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70CFD">
      <w:pPr>
        <w:keepNext/>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bCs/>
          <w:color w:val="auto"/>
          <w:sz w:val="20"/>
          <w:szCs w:val="20"/>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宋体" w:hAnsi="宋体" w:eastAsia="宋体" w:cs="宋体"/>
          <w:color w:val="auto"/>
          <w:sz w:val="20"/>
          <w:szCs w:val="20"/>
          <w:highlight w:val="none"/>
        </w:rPr>
        <mc:AlternateContent>
          <mc:Choice Requires="wps">
            <w:drawing>
              <wp:anchor distT="45720" distB="45720" distL="114300" distR="114300" simplePos="0" relativeHeight="251661312" behindDoc="0" locked="0" layoutInCell="1" allowOverlap="1">
                <wp:simplePos x="0" y="0"/>
                <wp:positionH relativeFrom="margin">
                  <wp:posOffset>98425</wp:posOffset>
                </wp:positionH>
                <wp:positionV relativeFrom="paragraph">
                  <wp:posOffset>2019935</wp:posOffset>
                </wp:positionV>
                <wp:extent cx="5119370" cy="636905"/>
                <wp:effectExtent l="0" t="0" r="0" b="0"/>
                <wp:wrapSquare wrapText="bothSides"/>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5119370" cy="636905"/>
                        </a:xfrm>
                        <a:prstGeom prst="rect">
                          <a:avLst/>
                        </a:prstGeom>
                        <a:noFill/>
                        <a:ln w="9525">
                          <a:noFill/>
                          <a:miter lim="800000"/>
                        </a:ln>
                        <a:effectLst/>
                      </wps:spPr>
                      <wps:txbx>
                        <w:txbxContent>
                          <w:p w14:paraId="0622A43C">
                            <w:pPr>
                              <w:rPr>
                                <w:rFonts w:hint="eastAsia"/>
                                <w:sz w:val="52"/>
                                <w:szCs w:val="52"/>
                              </w:rPr>
                            </w:pPr>
                            <w:r>
                              <w:rPr>
                                <w:rFonts w:hint="eastAsia" w:ascii="黑体" w:hAnsi="黑体" w:eastAsia="黑体" w:cs="黑体"/>
                                <w:b/>
                                <w:color w:val="auto"/>
                                <w:sz w:val="52"/>
                                <w:szCs w:val="52"/>
                                <w:lang w:val="en-US" w:eastAsia="zh-CN"/>
                              </w:rPr>
                              <w:t>广西电网公司</w:t>
                            </w:r>
                            <w:r>
                              <w:rPr>
                                <w:rFonts w:hint="eastAsia" w:ascii="黑体" w:hAnsi="黑体" w:eastAsia="黑体" w:cs="黑体"/>
                                <w:b/>
                                <w:color w:val="auto"/>
                                <w:sz w:val="52"/>
                                <w:szCs w:val="52"/>
                              </w:rPr>
                              <w:t>物业管理服务项目</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7.75pt;margin-top:159.05pt;height:50.15pt;width:403.1pt;mso-position-horizontal-relative:margin;mso-wrap-distance-bottom:3.6pt;mso-wrap-distance-left:9pt;mso-wrap-distance-right:9pt;mso-wrap-distance-top:3.6pt;z-index:251661312;mso-width-relative:page;mso-height-relative:page;" filled="f" stroked="f" coordsize="21600,21600" o:gfxdata="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m1dvXXAAAACgEAAA8AAAAAAAAAAQAgAAAAIgAAAGRycy9kb3ducmV2LnhtbFBLAQIUABQA&#10;AAAIAIdO4kBTya9kKgIAADcEAAAOAAAAAAAAAAEAIAAAACYBAABkcnMvZTJvRG9jLnhtbFBLBQYA&#10;AAAABgAGAFkBAADCBQAAAAA=&#10;">
                <v:fill on="f" focussize="0,0"/>
                <v:stroke on="f" miterlimit="8" joinstyle="miter"/>
                <v:imagedata o:title=""/>
                <o:lock v:ext="edit" aspectratio="f"/>
                <v:textbox>
                  <w:txbxContent>
                    <w:p w14:paraId="0622A43C">
                      <w:pPr>
                        <w:rPr>
                          <w:rFonts w:hint="eastAsia"/>
                          <w:sz w:val="52"/>
                          <w:szCs w:val="52"/>
                        </w:rPr>
                      </w:pPr>
                      <w:r>
                        <w:rPr>
                          <w:rFonts w:hint="eastAsia" w:ascii="黑体" w:hAnsi="黑体" w:eastAsia="黑体" w:cs="黑体"/>
                          <w:b/>
                          <w:color w:val="auto"/>
                          <w:sz w:val="52"/>
                          <w:szCs w:val="52"/>
                          <w:lang w:val="en-US" w:eastAsia="zh-CN"/>
                        </w:rPr>
                        <w:t>广西电网公司</w:t>
                      </w:r>
                      <w:r>
                        <w:rPr>
                          <w:rFonts w:hint="eastAsia" w:ascii="黑体" w:hAnsi="黑体" w:eastAsia="黑体" w:cs="黑体"/>
                          <w:b/>
                          <w:color w:val="auto"/>
                          <w:sz w:val="52"/>
                          <w:szCs w:val="52"/>
                        </w:rPr>
                        <w:t>物业管理服务项目</w:t>
                      </w:r>
                    </w:p>
                  </w:txbxContent>
                </v:textbox>
                <w10:wrap type="square"/>
              </v:shape>
            </w:pict>
          </mc:Fallback>
        </mc:AlternateContent>
      </w:r>
      <w:r>
        <w:rPr>
          <w:rFonts w:hint="eastAsia" w:ascii="宋体" w:hAnsi="宋体" w:eastAsia="宋体" w:cs="宋体"/>
          <w:color w:val="auto"/>
          <w:sz w:val="20"/>
          <w:szCs w:val="20"/>
          <w:highlight w:val="none"/>
        </w:rPr>
        <w:drawing>
          <wp:anchor distT="0" distB="0" distL="114300" distR="114300" simplePos="0" relativeHeight="251659264" behindDoc="0" locked="0" layoutInCell="1" allowOverlap="1">
            <wp:simplePos x="0" y="0"/>
            <wp:positionH relativeFrom="page">
              <wp:posOffset>752475</wp:posOffset>
            </wp:positionH>
            <wp:positionV relativeFrom="page">
              <wp:posOffset>104775</wp:posOffset>
            </wp:positionV>
            <wp:extent cx="6688455" cy="5330825"/>
            <wp:effectExtent l="0" t="0" r="17145" b="3175"/>
            <wp:wrapNone/>
            <wp:docPr id="14" name="图片 3"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D02-L [Converted]"/>
                    <pic:cNvPicPr>
                      <a:picLocks noChangeAspect="1"/>
                    </pic:cNvPicPr>
                  </pic:nvPicPr>
                  <pic:blipFill>
                    <a:blip r:embed="rId7"/>
                    <a:stretch>
                      <a:fillRect/>
                    </a:stretch>
                  </pic:blipFill>
                  <pic:spPr>
                    <a:xfrm>
                      <a:off x="0" y="0"/>
                      <a:ext cx="6688455" cy="5330825"/>
                    </a:xfrm>
                    <a:prstGeom prst="rect">
                      <a:avLst/>
                    </a:prstGeom>
                    <a:noFill/>
                    <a:ln>
                      <a:noFill/>
                    </a:ln>
                  </pic:spPr>
                </pic:pic>
              </a:graphicData>
            </a:graphic>
          </wp:anchor>
        </w:drawing>
      </w:r>
      <w:r>
        <w:rPr>
          <w:rFonts w:ascii="宋体" w:hAnsi="宋体"/>
          <w:color w:val="auto"/>
          <w:sz w:val="20"/>
          <w:szCs w:val="20"/>
          <w:highlight w:val="none"/>
        </w:rPr>
        <mc:AlternateContent>
          <mc:Choice Requires="wps">
            <w:drawing>
              <wp:anchor distT="0" distB="0" distL="114300" distR="114300" simplePos="0" relativeHeight="251662336" behindDoc="0" locked="0" layoutInCell="1" allowOverlap="1">
                <wp:simplePos x="0" y="0"/>
                <wp:positionH relativeFrom="column">
                  <wp:posOffset>-594995</wp:posOffset>
                </wp:positionH>
                <wp:positionV relativeFrom="paragraph">
                  <wp:posOffset>2804160</wp:posOffset>
                </wp:positionV>
                <wp:extent cx="6205855" cy="75374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6205855" cy="753745"/>
                        </a:xfrm>
                        <a:prstGeom prst="rect">
                          <a:avLst/>
                        </a:prstGeom>
                        <a:noFill/>
                        <a:ln>
                          <a:noFill/>
                        </a:ln>
                      </wps:spPr>
                      <wps:txbx>
                        <w:txbxContent>
                          <w:p w14:paraId="468CB5F8">
                            <w:pPr>
                              <w:jc w:val="center"/>
                              <w:rPr>
                                <w:rFonts w:ascii="文鼎CS大黑" w:eastAsia="文鼎CS大黑"/>
                                <w:b/>
                                <w:color w:val="5B9BD5" w:themeColor="accent1"/>
                                <w:sz w:val="72"/>
                                <w:szCs w:val="72"/>
                                <w14:textFill>
                                  <w14:solidFill>
                                    <w14:schemeClr w14:val="accent1"/>
                                  </w14:solidFill>
                                </w14:textFill>
                              </w:rPr>
                            </w:pPr>
                            <w:r>
                              <w:rPr>
                                <w:rFonts w:hint="eastAsia" w:ascii="黑体" w:hAnsi="黑体" w:eastAsia="黑体" w:cs="黑体"/>
                                <w:b/>
                                <w:color w:val="auto"/>
                                <w:sz w:val="44"/>
                                <w:szCs w:val="44"/>
                                <w:lang w:val="en-US" w:eastAsia="zh-CN"/>
                              </w:rPr>
                              <w:t xml:space="preserve">          </w:t>
                            </w:r>
                            <w:r>
                              <w:rPr>
                                <w:rFonts w:hint="eastAsia" w:ascii="黑体" w:hAnsi="黑体" w:eastAsia="黑体" w:cs="黑体"/>
                                <w:b/>
                                <w:color w:val="auto"/>
                                <w:sz w:val="72"/>
                                <w:szCs w:val="72"/>
                                <w:lang w:val="en-US" w:eastAsia="zh-CN"/>
                                <w14:textFill>
                                  <w14:gradFill>
                                    <w14:gsLst>
                                      <w14:gs w14:pos="0">
                                        <w14:srgbClr w14:val="007BD3"/>
                                      </w14:gs>
                                      <w14:gs w14:pos="100000">
                                        <w14:srgbClr w14:val="034373"/>
                                      </w14:gs>
                                    </w14:gsLst>
                                    <w14:lin w14:scaled="0"/>
                                  </w14:gradFill>
                                </w14:textFill>
                              </w:rPr>
                              <w:t xml:space="preserve"> </w:t>
                            </w:r>
                            <w:r>
                              <w:rPr>
                                <w:rFonts w:hint="eastAsia" w:ascii="黑体" w:hAnsi="黑体" w:eastAsia="黑体" w:cs="黑体"/>
                                <w:b/>
                                <w:color w:val="5B9BD5" w:themeColor="accent1"/>
                                <w:sz w:val="72"/>
                                <w:szCs w:val="72"/>
                                <w14:textFill>
                                  <w14:solidFill>
                                    <w14:schemeClr w14:val="accent1"/>
                                  </w14:solidFill>
                                </w14:textFill>
                              </w:rPr>
                              <w:t>服务标准</w:t>
                            </w:r>
                            <w:r>
                              <w:rPr>
                                <w:rFonts w:hint="eastAsia" w:ascii="黑体" w:hAnsi="黑体" w:eastAsia="黑体" w:cs="黑体"/>
                                <w:b/>
                                <w:color w:val="5B9BD5" w:themeColor="accent1"/>
                                <w:sz w:val="72"/>
                                <w:szCs w:val="72"/>
                                <w:lang w:eastAsia="zh-CN"/>
                                <w14:textFill>
                                  <w14:solidFill>
                                    <w14:schemeClr w14:val="accent1"/>
                                  </w14:solidFill>
                                </w14:textFill>
                              </w:rPr>
                              <w:t>及</w:t>
                            </w:r>
                            <w:r>
                              <w:rPr>
                                <w:rFonts w:hint="eastAsia" w:ascii="黑体" w:hAnsi="黑体" w:eastAsia="黑体" w:cs="黑体"/>
                                <w:b/>
                                <w:color w:val="5B9BD5" w:themeColor="accent1"/>
                                <w:sz w:val="72"/>
                                <w:szCs w:val="72"/>
                                <w:lang w:val="en-US" w:eastAsia="zh-CN"/>
                                <w14:textFill>
                                  <w14:solidFill>
                                    <w14:schemeClr w14:val="accent1"/>
                                  </w14:solidFill>
                                </w14:textFill>
                              </w:rPr>
                              <w:t>要求</w:t>
                            </w:r>
                            <w:r>
                              <w:rPr>
                                <w:rFonts w:hint="eastAsia" w:ascii="方正粗宋简体" w:eastAsia="方正粗宋简体"/>
                                <w:b/>
                                <w:color w:val="5B9BD5" w:themeColor="accent1"/>
                                <w:sz w:val="72"/>
                                <w:szCs w:val="72"/>
                                <w14:textFill>
                                  <w14:solidFill>
                                    <w14:schemeClr w14:val="accent1"/>
                                  </w14:solidFill>
                                </w14:textFill>
                              </w:rPr>
                              <w:t xml:space="preserve"> </w:t>
                            </w:r>
                          </w:p>
                        </w:txbxContent>
                      </wps:txbx>
                      <wps:bodyPr upright="1"/>
                    </wps:wsp>
                  </a:graphicData>
                </a:graphic>
              </wp:anchor>
            </w:drawing>
          </mc:Choice>
          <mc:Fallback>
            <w:pict>
              <v:shape id="_x0000_s1026" o:spid="_x0000_s1026" o:spt="202" type="#_x0000_t202" style="position:absolute;left:0pt;margin-left:-46.85pt;margin-top:220.8pt;height:59.35pt;width:488.65pt;z-index:251662336;mso-width-relative:page;mso-height-relative:page;" filled="f" stroked="f" coordsize="21600,21600" o:gfxdata="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ABw8&#10;2QAAAAsBAAAPAAAAAAAAAAEAIAAAACIAAABkcnMvZG93bnJldi54bWxQSwECFAAUAAAACACHTuJA&#10;QMTPFK4BAABQAwAADgAAAAAAAAABACAAAAAoAQAAZHJzL2Uyb0RvYy54bWxQSwUGAAAAAAYABgBZ&#10;AQAASAUAAAAA&#10;">
                <v:fill on="f" focussize="0,0"/>
                <v:stroke on="f"/>
                <v:imagedata o:title=""/>
                <o:lock v:ext="edit" aspectratio="f"/>
                <v:textbox>
                  <w:txbxContent>
                    <w:p w14:paraId="468CB5F8">
                      <w:pPr>
                        <w:jc w:val="center"/>
                        <w:rPr>
                          <w:rFonts w:ascii="文鼎CS大黑" w:eastAsia="文鼎CS大黑"/>
                          <w:b/>
                          <w:color w:val="5B9BD5" w:themeColor="accent1"/>
                          <w:sz w:val="72"/>
                          <w:szCs w:val="72"/>
                          <w14:textFill>
                            <w14:solidFill>
                              <w14:schemeClr w14:val="accent1"/>
                            </w14:solidFill>
                          </w14:textFill>
                        </w:rPr>
                      </w:pPr>
                      <w:r>
                        <w:rPr>
                          <w:rFonts w:hint="eastAsia" w:ascii="黑体" w:hAnsi="黑体" w:eastAsia="黑体" w:cs="黑体"/>
                          <w:b/>
                          <w:color w:val="auto"/>
                          <w:sz w:val="44"/>
                          <w:szCs w:val="44"/>
                          <w:lang w:val="en-US" w:eastAsia="zh-CN"/>
                        </w:rPr>
                        <w:t xml:space="preserve">          </w:t>
                      </w:r>
                      <w:r>
                        <w:rPr>
                          <w:rFonts w:hint="eastAsia" w:ascii="黑体" w:hAnsi="黑体" w:eastAsia="黑体" w:cs="黑体"/>
                          <w:b/>
                          <w:color w:val="auto"/>
                          <w:sz w:val="72"/>
                          <w:szCs w:val="72"/>
                          <w:lang w:val="en-US" w:eastAsia="zh-CN"/>
                          <w14:textFill>
                            <w14:gradFill>
                              <w14:gsLst>
                                <w14:gs w14:pos="0">
                                  <w14:srgbClr w14:val="007BD3"/>
                                </w14:gs>
                                <w14:gs w14:pos="100000">
                                  <w14:srgbClr w14:val="034373"/>
                                </w14:gs>
                              </w14:gsLst>
                              <w14:lin w14:scaled="0"/>
                            </w14:gradFill>
                          </w14:textFill>
                        </w:rPr>
                        <w:t xml:space="preserve"> </w:t>
                      </w:r>
                      <w:r>
                        <w:rPr>
                          <w:rFonts w:hint="eastAsia" w:ascii="黑体" w:hAnsi="黑体" w:eastAsia="黑体" w:cs="黑体"/>
                          <w:b/>
                          <w:color w:val="5B9BD5" w:themeColor="accent1"/>
                          <w:sz w:val="72"/>
                          <w:szCs w:val="72"/>
                          <w14:textFill>
                            <w14:solidFill>
                              <w14:schemeClr w14:val="accent1"/>
                            </w14:solidFill>
                          </w14:textFill>
                        </w:rPr>
                        <w:t>服务标准</w:t>
                      </w:r>
                      <w:r>
                        <w:rPr>
                          <w:rFonts w:hint="eastAsia" w:ascii="黑体" w:hAnsi="黑体" w:eastAsia="黑体" w:cs="黑体"/>
                          <w:b/>
                          <w:color w:val="5B9BD5" w:themeColor="accent1"/>
                          <w:sz w:val="72"/>
                          <w:szCs w:val="72"/>
                          <w:lang w:eastAsia="zh-CN"/>
                          <w14:textFill>
                            <w14:solidFill>
                              <w14:schemeClr w14:val="accent1"/>
                            </w14:solidFill>
                          </w14:textFill>
                        </w:rPr>
                        <w:t>及</w:t>
                      </w:r>
                      <w:r>
                        <w:rPr>
                          <w:rFonts w:hint="eastAsia" w:ascii="黑体" w:hAnsi="黑体" w:eastAsia="黑体" w:cs="黑体"/>
                          <w:b/>
                          <w:color w:val="5B9BD5" w:themeColor="accent1"/>
                          <w:sz w:val="72"/>
                          <w:szCs w:val="72"/>
                          <w:lang w:val="en-US" w:eastAsia="zh-CN"/>
                          <w14:textFill>
                            <w14:solidFill>
                              <w14:schemeClr w14:val="accent1"/>
                            </w14:solidFill>
                          </w14:textFill>
                        </w:rPr>
                        <w:t>要求</w:t>
                      </w:r>
                      <w:r>
                        <w:rPr>
                          <w:rFonts w:hint="eastAsia" w:ascii="方正粗宋简体" w:eastAsia="方正粗宋简体"/>
                          <w:b/>
                          <w:color w:val="5B9BD5" w:themeColor="accent1"/>
                          <w:sz w:val="72"/>
                          <w:szCs w:val="72"/>
                          <w14:textFill>
                            <w14:solidFill>
                              <w14:schemeClr w14:val="accent1"/>
                            </w14:solidFill>
                          </w14:textFill>
                        </w:rPr>
                        <w:t xml:space="preserve"> </w:t>
                      </w:r>
                    </w:p>
                  </w:txbxContent>
                </v:textbox>
              </v:shape>
            </w:pict>
          </mc:Fallback>
        </mc:AlternateContent>
      </w:r>
      <w:r>
        <w:rPr>
          <w:rFonts w:hint="eastAsia" w:ascii="宋体" w:hAnsi="宋体" w:eastAsia="宋体" w:cs="宋体"/>
          <w:color w:val="auto"/>
          <w:sz w:val="20"/>
          <w:szCs w:val="20"/>
          <w:highlight w:val="none"/>
        </w:rPr>
        <mc:AlternateContent>
          <mc:Choice Requires="wps">
            <w:drawing>
              <wp:anchor distT="45720" distB="45720" distL="114300" distR="114300" simplePos="0" relativeHeight="251660288" behindDoc="0" locked="0" layoutInCell="1" allowOverlap="1">
                <wp:simplePos x="0" y="0"/>
                <wp:positionH relativeFrom="margin">
                  <wp:posOffset>78740</wp:posOffset>
                </wp:positionH>
                <wp:positionV relativeFrom="paragraph">
                  <wp:posOffset>7938770</wp:posOffset>
                </wp:positionV>
                <wp:extent cx="5106035" cy="843280"/>
                <wp:effectExtent l="0" t="0" r="0" b="0"/>
                <wp:wrapSquare wrapText="bothSides"/>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106035" cy="843280"/>
                        </a:xfrm>
                        <a:prstGeom prst="rect">
                          <a:avLst/>
                        </a:prstGeom>
                        <a:noFill/>
                        <a:ln w="9525">
                          <a:noFill/>
                          <a:miter lim="800000"/>
                        </a:ln>
                        <a:effectLst/>
                      </wps:spPr>
                      <wps:txbx>
                        <w:txbxContent>
                          <w:p w14:paraId="662F7440">
                            <w:pPr>
                              <w:jc w:val="center"/>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202</w:t>
                            </w:r>
                            <w:r>
                              <w:rPr>
                                <w:rFonts w:hint="eastAsia" w:ascii="宋体" w:hAnsi="宋体" w:cs="宋体"/>
                                <w:b w:val="0"/>
                                <w:bCs/>
                                <w:color w:val="auto"/>
                                <w:sz w:val="28"/>
                                <w:szCs w:val="28"/>
                                <w:lang w:val="en-US" w:eastAsia="zh-CN"/>
                              </w:rPr>
                              <w:t>6</w:t>
                            </w:r>
                            <w:r>
                              <w:rPr>
                                <w:rFonts w:hint="eastAsia" w:ascii="宋体" w:hAnsi="宋体" w:eastAsia="宋体" w:cs="宋体"/>
                                <w:b w:val="0"/>
                                <w:bCs/>
                                <w:color w:val="auto"/>
                                <w:sz w:val="28"/>
                                <w:szCs w:val="28"/>
                                <w:lang w:val="en-US" w:eastAsia="zh-CN"/>
                              </w:rPr>
                              <w:t>年1月</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6.2pt;margin-top:625.1pt;height:66.4pt;width:402.05pt;mso-position-horizontal-relative:margin;mso-wrap-distance-bottom:3.6pt;mso-wrap-distance-left:9pt;mso-wrap-distance-right:9pt;mso-wrap-distance-top:3.6pt;z-index:251660288;mso-width-relative:page;mso-height-relative:page;" filled="f" stroked="f" coordsize="21600,21600" o:gfxdata="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WepEb2AAAAAwBAAAPAAAAAAAAAAEAIAAAACIAAABkcnMvZG93bnJldi54bWxQSwECFAAU&#10;AAAACACHTuJAm01fXioCAAA3BAAADgAAAAAAAAABACAAAAAnAQAAZHJzL2Uyb0RvYy54bWxQSwUG&#10;AAAAAAYABgBZAQAAwwUAAAAA&#10;">
                <v:fill on="f" focussize="0,0"/>
                <v:stroke on="f" miterlimit="8" joinstyle="miter"/>
                <v:imagedata o:title=""/>
                <o:lock v:ext="edit" aspectratio="f"/>
                <v:textbox>
                  <w:txbxContent>
                    <w:p w14:paraId="662F7440">
                      <w:pPr>
                        <w:jc w:val="center"/>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202</w:t>
                      </w:r>
                      <w:r>
                        <w:rPr>
                          <w:rFonts w:hint="eastAsia" w:ascii="宋体" w:hAnsi="宋体" w:cs="宋体"/>
                          <w:b w:val="0"/>
                          <w:bCs/>
                          <w:color w:val="auto"/>
                          <w:sz w:val="28"/>
                          <w:szCs w:val="28"/>
                          <w:lang w:val="en-US" w:eastAsia="zh-CN"/>
                        </w:rPr>
                        <w:t>6</w:t>
                      </w:r>
                      <w:r>
                        <w:rPr>
                          <w:rFonts w:hint="eastAsia" w:ascii="宋体" w:hAnsi="宋体" w:eastAsia="宋体" w:cs="宋体"/>
                          <w:b w:val="0"/>
                          <w:bCs/>
                          <w:color w:val="auto"/>
                          <w:sz w:val="28"/>
                          <w:szCs w:val="28"/>
                          <w:lang w:val="en-US" w:eastAsia="zh-CN"/>
                        </w:rPr>
                        <w:t>年1月</w:t>
                      </w:r>
                    </w:p>
                  </w:txbxContent>
                </v:textbox>
                <w10:wrap type="square"/>
              </v:shape>
            </w:pict>
          </mc:Fallback>
        </mc:AlternateContent>
      </w:r>
    </w:p>
    <w:sdt>
      <w:sdtPr>
        <w:rPr>
          <w:rFonts w:hint="eastAsia" w:ascii="黑体" w:hAnsi="黑体" w:eastAsia="黑体" w:cs="黑体"/>
          <w:kern w:val="2"/>
          <w:sz w:val="44"/>
          <w:szCs w:val="44"/>
          <w:lang w:val="en-US" w:eastAsia="zh-CN" w:bidi="ar-SA"/>
        </w:rPr>
        <w:id w:val="147460688"/>
        <w15:color w:val="DBDBDB"/>
        <w:docPartObj>
          <w:docPartGallery w:val="Table of Contents"/>
          <w:docPartUnique/>
        </w:docPartObj>
      </w:sdtPr>
      <w:sdtEndPr>
        <w:rPr>
          <w:rFonts w:hint="eastAsia" w:ascii="黑体" w:hAnsi="黑体" w:eastAsia="黑体" w:cs="黑体"/>
          <w:color w:val="auto"/>
          <w:kern w:val="2"/>
          <w:sz w:val="20"/>
          <w:szCs w:val="32"/>
          <w:lang w:val="en-US" w:eastAsia="zh-CN" w:bidi="ar-SA"/>
        </w:rPr>
      </w:sdtEndPr>
      <w:sdtContent>
        <w:p w14:paraId="37EC099B">
          <w:pPr>
            <w:spacing w:before="0" w:beforeLines="0" w:after="0" w:afterLines="0" w:line="240" w:lineRule="auto"/>
            <w:ind w:left="0" w:leftChars="0" w:right="0" w:rightChars="0" w:firstLine="0" w:firstLineChars="0"/>
            <w:jc w:val="center"/>
            <w:rPr>
              <w:rFonts w:hint="eastAsia"/>
            </w:rPr>
          </w:pPr>
          <w:bookmarkStart w:id="0" w:name="_Toc1120"/>
          <w:r>
            <w:rPr>
              <w:rFonts w:hint="eastAsia" w:ascii="黑体" w:hAnsi="黑体" w:eastAsia="黑体" w:cs="黑体"/>
              <w:sz w:val="44"/>
              <w:szCs w:val="44"/>
            </w:rPr>
            <w:t>目录</w:t>
          </w:r>
        </w:p>
        <w:p w14:paraId="551BC64C">
          <w:pPr>
            <w:pStyle w:val="12"/>
            <w:tabs>
              <w:tab w:val="right" w:leader="dot" w:pos="8306"/>
            </w:tabs>
            <w:rPr>
              <w:sz w:val="21"/>
              <w:szCs w:val="21"/>
            </w:rPr>
          </w:pPr>
          <w:r>
            <w:rPr>
              <w:sz w:val="21"/>
              <w:szCs w:val="21"/>
            </w:rPr>
            <w:fldChar w:fldCharType="begin"/>
          </w:r>
          <w:r>
            <w:rPr>
              <w:sz w:val="21"/>
              <w:szCs w:val="21"/>
            </w:rPr>
            <w:instrText xml:space="preserve">TOC \o "1-2" \h \u </w:instrText>
          </w:r>
          <w:r>
            <w:rPr>
              <w:sz w:val="21"/>
              <w:szCs w:val="21"/>
            </w:rPr>
            <w:fldChar w:fldCharType="separate"/>
          </w:r>
          <w:r>
            <w:rPr>
              <w:sz w:val="21"/>
              <w:szCs w:val="21"/>
            </w:rPr>
            <w:fldChar w:fldCharType="begin"/>
          </w:r>
          <w:r>
            <w:rPr>
              <w:sz w:val="21"/>
              <w:szCs w:val="21"/>
            </w:rPr>
            <w:instrText xml:space="preserve"> HYPERLINK \l _Toc18594 </w:instrText>
          </w:r>
          <w:r>
            <w:rPr>
              <w:sz w:val="21"/>
              <w:szCs w:val="21"/>
            </w:rPr>
            <w:fldChar w:fldCharType="separate"/>
          </w:r>
          <w:r>
            <w:rPr>
              <w:rFonts w:hint="eastAsia" w:ascii="黑体" w:hAnsi="黑体" w:eastAsia="黑体" w:cs="黑体"/>
              <w:bCs w:val="0"/>
              <w:sz w:val="21"/>
              <w:szCs w:val="21"/>
              <w:highlight w:val="none"/>
              <w:lang w:val="en-US" w:eastAsia="zh-CN"/>
            </w:rPr>
            <w:t xml:space="preserve">一、项目总体概况    </w:t>
          </w:r>
          <w:r>
            <w:rPr>
              <w:sz w:val="21"/>
              <w:szCs w:val="21"/>
            </w:rPr>
            <w:tab/>
          </w:r>
          <w:r>
            <w:rPr>
              <w:sz w:val="21"/>
              <w:szCs w:val="21"/>
            </w:rPr>
            <w:fldChar w:fldCharType="begin"/>
          </w:r>
          <w:r>
            <w:rPr>
              <w:sz w:val="21"/>
              <w:szCs w:val="21"/>
            </w:rPr>
            <w:instrText xml:space="preserve"> PAGEREF _Toc18594 \h </w:instrText>
          </w:r>
          <w:r>
            <w:rPr>
              <w:sz w:val="21"/>
              <w:szCs w:val="21"/>
            </w:rPr>
            <w:fldChar w:fldCharType="separate"/>
          </w:r>
          <w:r>
            <w:rPr>
              <w:sz w:val="21"/>
              <w:szCs w:val="21"/>
            </w:rPr>
            <w:t>1</w:t>
          </w:r>
          <w:r>
            <w:rPr>
              <w:sz w:val="21"/>
              <w:szCs w:val="21"/>
            </w:rPr>
            <w:fldChar w:fldCharType="end"/>
          </w:r>
          <w:r>
            <w:rPr>
              <w:sz w:val="21"/>
              <w:szCs w:val="21"/>
            </w:rPr>
            <w:fldChar w:fldCharType="end"/>
          </w:r>
        </w:p>
        <w:p w14:paraId="0097A536">
          <w:pPr>
            <w:pStyle w:val="12"/>
            <w:tabs>
              <w:tab w:val="right" w:leader="dot" w:pos="8306"/>
            </w:tabs>
            <w:rPr>
              <w:sz w:val="21"/>
              <w:szCs w:val="21"/>
            </w:rPr>
          </w:pPr>
          <w:r>
            <w:rPr>
              <w:sz w:val="21"/>
              <w:szCs w:val="21"/>
            </w:rPr>
            <w:fldChar w:fldCharType="begin"/>
          </w:r>
          <w:r>
            <w:rPr>
              <w:sz w:val="21"/>
              <w:szCs w:val="21"/>
            </w:rPr>
            <w:instrText xml:space="preserve"> HYPERLINK \l _Toc22895 </w:instrText>
          </w:r>
          <w:r>
            <w:rPr>
              <w:sz w:val="21"/>
              <w:szCs w:val="21"/>
            </w:rPr>
            <w:fldChar w:fldCharType="separate"/>
          </w:r>
          <w:r>
            <w:rPr>
              <w:rFonts w:hint="eastAsia" w:ascii="黑体" w:hAnsi="黑体" w:eastAsia="黑体" w:cs="黑体"/>
              <w:bCs w:val="0"/>
              <w:sz w:val="21"/>
              <w:szCs w:val="21"/>
              <w:highlight w:val="none"/>
              <w:lang w:val="en-US" w:eastAsia="zh-CN"/>
            </w:rPr>
            <w:t>二、项目服务标准要求及履约考核</w:t>
          </w:r>
          <w:r>
            <w:rPr>
              <w:sz w:val="21"/>
              <w:szCs w:val="21"/>
            </w:rPr>
            <w:tab/>
          </w:r>
          <w:r>
            <w:rPr>
              <w:sz w:val="21"/>
              <w:szCs w:val="21"/>
            </w:rPr>
            <w:fldChar w:fldCharType="begin"/>
          </w:r>
          <w:r>
            <w:rPr>
              <w:sz w:val="21"/>
              <w:szCs w:val="21"/>
            </w:rPr>
            <w:instrText xml:space="preserve"> PAGEREF _Toc22895 \h </w:instrText>
          </w:r>
          <w:r>
            <w:rPr>
              <w:sz w:val="21"/>
              <w:szCs w:val="21"/>
            </w:rPr>
            <w:fldChar w:fldCharType="separate"/>
          </w:r>
          <w:r>
            <w:rPr>
              <w:sz w:val="21"/>
              <w:szCs w:val="21"/>
            </w:rPr>
            <w:t>1</w:t>
          </w:r>
          <w:r>
            <w:rPr>
              <w:sz w:val="21"/>
              <w:szCs w:val="21"/>
            </w:rPr>
            <w:fldChar w:fldCharType="end"/>
          </w:r>
          <w:r>
            <w:rPr>
              <w:sz w:val="21"/>
              <w:szCs w:val="21"/>
            </w:rPr>
            <w:fldChar w:fldCharType="end"/>
          </w:r>
        </w:p>
        <w:p w14:paraId="4A60105E">
          <w:pPr>
            <w:pStyle w:val="12"/>
            <w:tabs>
              <w:tab w:val="right" w:leader="dot" w:pos="8306"/>
            </w:tabs>
            <w:rPr>
              <w:sz w:val="21"/>
              <w:szCs w:val="21"/>
            </w:rPr>
          </w:pPr>
          <w:r>
            <w:rPr>
              <w:sz w:val="21"/>
              <w:szCs w:val="21"/>
            </w:rPr>
            <w:fldChar w:fldCharType="begin"/>
          </w:r>
          <w:r>
            <w:rPr>
              <w:sz w:val="21"/>
              <w:szCs w:val="21"/>
            </w:rPr>
            <w:instrText xml:space="preserve"> HYPERLINK \l _Toc15882 </w:instrText>
          </w:r>
          <w:r>
            <w:rPr>
              <w:sz w:val="21"/>
              <w:szCs w:val="21"/>
            </w:rPr>
            <w:fldChar w:fldCharType="separate"/>
          </w:r>
          <w:r>
            <w:rPr>
              <w:rFonts w:hint="eastAsia" w:ascii="宋体" w:hAnsi="宋体" w:eastAsia="宋体" w:cs="宋体"/>
              <w:bCs w:val="0"/>
              <w:sz w:val="21"/>
              <w:szCs w:val="21"/>
              <w:highlight w:val="none"/>
              <w:lang w:val="en-US" w:eastAsia="zh-CN"/>
            </w:rPr>
            <w:t>（一）</w:t>
          </w:r>
          <w:r>
            <w:rPr>
              <w:rFonts w:hint="eastAsia" w:ascii="宋体" w:hAnsi="宋体" w:cs="宋体"/>
              <w:bCs/>
              <w:sz w:val="21"/>
              <w:szCs w:val="21"/>
              <w:highlight w:val="none"/>
              <w:lang w:val="en-US" w:eastAsia="zh-CN"/>
            </w:rPr>
            <w:t>物业管理服务项目</w:t>
          </w:r>
          <w:r>
            <w:rPr>
              <w:sz w:val="21"/>
              <w:szCs w:val="21"/>
            </w:rPr>
            <w:tab/>
          </w:r>
          <w:r>
            <w:rPr>
              <w:sz w:val="21"/>
              <w:szCs w:val="21"/>
            </w:rPr>
            <w:fldChar w:fldCharType="begin"/>
          </w:r>
          <w:r>
            <w:rPr>
              <w:sz w:val="21"/>
              <w:szCs w:val="21"/>
            </w:rPr>
            <w:instrText xml:space="preserve"> PAGEREF _Toc15882 \h </w:instrText>
          </w:r>
          <w:r>
            <w:rPr>
              <w:sz w:val="21"/>
              <w:szCs w:val="21"/>
            </w:rPr>
            <w:fldChar w:fldCharType="separate"/>
          </w:r>
          <w:r>
            <w:rPr>
              <w:sz w:val="21"/>
              <w:szCs w:val="21"/>
            </w:rPr>
            <w:t>2</w:t>
          </w:r>
          <w:r>
            <w:rPr>
              <w:sz w:val="21"/>
              <w:szCs w:val="21"/>
            </w:rPr>
            <w:fldChar w:fldCharType="end"/>
          </w:r>
          <w:r>
            <w:rPr>
              <w:sz w:val="21"/>
              <w:szCs w:val="21"/>
            </w:rPr>
            <w:fldChar w:fldCharType="end"/>
          </w:r>
        </w:p>
        <w:p w14:paraId="7FA6CF6D">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_Toc24615 </w:instrText>
          </w:r>
          <w:r>
            <w:rPr>
              <w:sz w:val="21"/>
              <w:szCs w:val="21"/>
            </w:rPr>
            <w:fldChar w:fldCharType="separate"/>
          </w:r>
          <w:r>
            <w:rPr>
              <w:rFonts w:hint="eastAsia" w:ascii="宋体" w:hAnsi="宋体" w:eastAsia="宋体" w:cs="宋体"/>
              <w:bCs w:val="0"/>
              <w:sz w:val="21"/>
              <w:szCs w:val="21"/>
              <w:highlight w:val="none"/>
              <w:lang w:val="en-US" w:eastAsia="zh-CN"/>
            </w:rPr>
            <w:t>（二）车辆驾驶业务外委服务</w:t>
          </w:r>
          <w:r>
            <w:rPr>
              <w:rFonts w:hint="eastAsia" w:ascii="宋体" w:hAnsi="宋体" w:cs="宋体"/>
              <w:bCs w:val="0"/>
              <w:sz w:val="21"/>
              <w:szCs w:val="21"/>
              <w:highlight w:val="none"/>
              <w:lang w:val="en-US" w:eastAsia="zh-CN"/>
            </w:rPr>
            <w:t>项目</w:t>
          </w:r>
          <w:r>
            <w:rPr>
              <w:sz w:val="21"/>
              <w:szCs w:val="21"/>
            </w:rPr>
            <w:tab/>
          </w:r>
          <w:r>
            <w:rPr>
              <w:rFonts w:hint="eastAsia"/>
              <w:sz w:val="21"/>
              <w:szCs w:val="21"/>
              <w:lang w:val="en-US" w:eastAsia="zh-CN"/>
            </w:rPr>
            <w:t>4</w:t>
          </w:r>
          <w:r>
            <w:rPr>
              <w:sz w:val="21"/>
              <w:szCs w:val="21"/>
            </w:rPr>
            <w:fldChar w:fldCharType="end"/>
          </w:r>
          <w:r>
            <w:rPr>
              <w:rFonts w:hint="eastAsia"/>
              <w:sz w:val="21"/>
              <w:szCs w:val="21"/>
              <w:lang w:val="en-US" w:eastAsia="zh-CN"/>
            </w:rPr>
            <w:t>8</w:t>
          </w:r>
        </w:p>
        <w:p w14:paraId="0DA15EEF">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_Toc2868 </w:instrText>
          </w:r>
          <w:r>
            <w:rPr>
              <w:sz w:val="21"/>
              <w:szCs w:val="21"/>
            </w:rPr>
            <w:fldChar w:fldCharType="separate"/>
          </w:r>
          <w:r>
            <w:rPr>
              <w:rFonts w:hint="eastAsia" w:ascii="宋体" w:hAnsi="宋体" w:eastAsia="宋体" w:cs="宋体"/>
              <w:bCs w:val="0"/>
              <w:sz w:val="21"/>
              <w:szCs w:val="21"/>
              <w:highlight w:val="none"/>
              <w:lang w:val="en-US" w:eastAsia="zh-CN"/>
            </w:rPr>
            <w:t>（三）环境治理服务项目</w:t>
          </w:r>
          <w:r>
            <w:rPr>
              <w:sz w:val="21"/>
              <w:szCs w:val="21"/>
            </w:rPr>
            <w:tab/>
          </w:r>
          <w:r>
            <w:rPr>
              <w:rFonts w:hint="eastAsia"/>
              <w:sz w:val="21"/>
              <w:szCs w:val="21"/>
              <w:lang w:val="en-US" w:eastAsia="zh-CN"/>
            </w:rPr>
            <w:t>5</w:t>
          </w:r>
          <w:r>
            <w:rPr>
              <w:sz w:val="21"/>
              <w:szCs w:val="21"/>
            </w:rPr>
            <w:fldChar w:fldCharType="end"/>
          </w:r>
          <w:r>
            <w:rPr>
              <w:rFonts w:hint="eastAsia"/>
              <w:sz w:val="21"/>
              <w:szCs w:val="21"/>
              <w:lang w:val="en-US" w:eastAsia="zh-CN"/>
            </w:rPr>
            <w:t>4</w:t>
          </w:r>
        </w:p>
        <w:p w14:paraId="0EDC2345">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_Toc21252 </w:instrText>
          </w:r>
          <w:r>
            <w:rPr>
              <w:sz w:val="21"/>
              <w:szCs w:val="21"/>
            </w:rPr>
            <w:fldChar w:fldCharType="separate"/>
          </w:r>
          <w:r>
            <w:rPr>
              <w:rFonts w:hint="eastAsia" w:ascii="宋体" w:hAnsi="宋体" w:eastAsia="宋体" w:cs="宋体"/>
              <w:bCs w:val="0"/>
              <w:sz w:val="21"/>
              <w:szCs w:val="21"/>
              <w:highlight w:val="none"/>
              <w:lang w:val="en-US" w:eastAsia="zh-CN"/>
            </w:rPr>
            <w:t>（</w:t>
          </w:r>
          <w:r>
            <w:rPr>
              <w:rFonts w:hint="eastAsia" w:ascii="宋体" w:hAnsi="宋体" w:cs="宋体"/>
              <w:bCs w:val="0"/>
              <w:sz w:val="21"/>
              <w:szCs w:val="21"/>
              <w:highlight w:val="none"/>
              <w:lang w:val="en-US" w:eastAsia="zh-CN"/>
            </w:rPr>
            <w:t>四</w:t>
          </w:r>
          <w:r>
            <w:rPr>
              <w:rFonts w:hint="eastAsia" w:ascii="宋体" w:hAnsi="宋体" w:eastAsia="宋体" w:cs="宋体"/>
              <w:bCs w:val="0"/>
              <w:sz w:val="21"/>
              <w:szCs w:val="21"/>
              <w:highlight w:val="none"/>
              <w:lang w:val="en-US" w:eastAsia="zh-CN"/>
            </w:rPr>
            <w:t>）搬运服务项目</w:t>
          </w:r>
          <w:r>
            <w:rPr>
              <w:sz w:val="21"/>
              <w:szCs w:val="21"/>
            </w:rPr>
            <w:tab/>
          </w:r>
          <w:r>
            <w:rPr>
              <w:rFonts w:hint="eastAsia"/>
              <w:sz w:val="21"/>
              <w:szCs w:val="21"/>
              <w:lang w:val="en-US" w:eastAsia="zh-CN"/>
            </w:rPr>
            <w:t>5</w:t>
          </w:r>
          <w:r>
            <w:rPr>
              <w:sz w:val="21"/>
              <w:szCs w:val="21"/>
            </w:rPr>
            <w:fldChar w:fldCharType="end"/>
          </w:r>
          <w:r>
            <w:rPr>
              <w:rFonts w:hint="eastAsia"/>
              <w:sz w:val="21"/>
              <w:szCs w:val="21"/>
              <w:lang w:val="en-US" w:eastAsia="zh-CN"/>
            </w:rPr>
            <w:t>7</w:t>
          </w:r>
        </w:p>
        <w:p w14:paraId="41A47293">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_Toc17189 </w:instrText>
          </w:r>
          <w:r>
            <w:rPr>
              <w:sz w:val="21"/>
              <w:szCs w:val="21"/>
            </w:rPr>
            <w:fldChar w:fldCharType="separate"/>
          </w:r>
          <w:r>
            <w:rPr>
              <w:rFonts w:hint="eastAsia" w:ascii="宋体" w:hAnsi="宋体" w:eastAsia="宋体" w:cs="宋体"/>
              <w:bCs w:val="0"/>
              <w:sz w:val="21"/>
              <w:szCs w:val="21"/>
              <w:highlight w:val="none"/>
              <w:lang w:val="en-US" w:eastAsia="zh-CN"/>
            </w:rPr>
            <w:t>（五）车辆清洁服务项目</w:t>
          </w:r>
          <w:r>
            <w:rPr>
              <w:sz w:val="21"/>
              <w:szCs w:val="21"/>
            </w:rPr>
            <w:tab/>
          </w:r>
          <w:r>
            <w:rPr>
              <w:rFonts w:hint="eastAsia"/>
              <w:sz w:val="21"/>
              <w:szCs w:val="21"/>
              <w:lang w:val="en-US" w:eastAsia="zh-CN"/>
            </w:rPr>
            <w:t>6</w:t>
          </w:r>
          <w:r>
            <w:rPr>
              <w:sz w:val="21"/>
              <w:szCs w:val="21"/>
            </w:rPr>
            <w:fldChar w:fldCharType="end"/>
          </w:r>
          <w:r>
            <w:rPr>
              <w:rFonts w:hint="eastAsia"/>
              <w:sz w:val="21"/>
              <w:szCs w:val="21"/>
              <w:lang w:val="en-US" w:eastAsia="zh-CN"/>
            </w:rPr>
            <w:t>1</w:t>
          </w:r>
        </w:p>
        <w:p w14:paraId="4CE879C9">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_Toc18819 </w:instrText>
          </w:r>
          <w:r>
            <w:rPr>
              <w:sz w:val="21"/>
              <w:szCs w:val="21"/>
            </w:rPr>
            <w:fldChar w:fldCharType="separate"/>
          </w:r>
          <w:r>
            <w:rPr>
              <w:rFonts w:hint="eastAsia" w:ascii="宋体" w:hAnsi="宋体" w:eastAsia="宋体" w:cs="宋体"/>
              <w:bCs w:val="0"/>
              <w:sz w:val="21"/>
              <w:szCs w:val="21"/>
              <w:highlight w:val="none"/>
              <w:lang w:val="en-US" w:eastAsia="zh-CN"/>
            </w:rPr>
            <w:t>（六）</w:t>
          </w:r>
          <w:r>
            <w:rPr>
              <w:rFonts w:hint="eastAsia" w:ascii="宋体" w:hAnsi="宋体" w:cs="宋体"/>
              <w:kern w:val="0"/>
              <w:sz w:val="21"/>
              <w:szCs w:val="21"/>
              <w:highlight w:val="none"/>
              <w:lang w:val="en-US" w:eastAsia="zh-CN"/>
            </w:rPr>
            <w:t>窗帘布艺清洗服务</w:t>
          </w:r>
          <w:r>
            <w:rPr>
              <w:rFonts w:hint="eastAsia" w:ascii="宋体" w:hAnsi="宋体" w:eastAsia="宋体" w:cs="宋体"/>
              <w:bCs w:val="0"/>
              <w:sz w:val="21"/>
              <w:szCs w:val="21"/>
              <w:highlight w:val="none"/>
              <w:lang w:val="en-US" w:eastAsia="zh-CN"/>
            </w:rPr>
            <w:t>项目</w:t>
          </w:r>
          <w:r>
            <w:rPr>
              <w:sz w:val="21"/>
              <w:szCs w:val="21"/>
            </w:rPr>
            <w:tab/>
          </w:r>
          <w:r>
            <w:rPr>
              <w:rFonts w:hint="eastAsia"/>
              <w:sz w:val="21"/>
              <w:szCs w:val="21"/>
              <w:lang w:val="en-US" w:eastAsia="zh-CN"/>
            </w:rPr>
            <w:t>6</w:t>
          </w:r>
          <w:r>
            <w:rPr>
              <w:sz w:val="21"/>
              <w:szCs w:val="21"/>
            </w:rPr>
            <w:fldChar w:fldCharType="end"/>
          </w:r>
          <w:r>
            <w:rPr>
              <w:rFonts w:hint="eastAsia"/>
              <w:sz w:val="21"/>
              <w:szCs w:val="21"/>
              <w:lang w:val="en-US" w:eastAsia="zh-CN"/>
            </w:rPr>
            <w:t>4</w:t>
          </w:r>
        </w:p>
        <w:p w14:paraId="2EB34530">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_Toc30037 </w:instrText>
          </w:r>
          <w:r>
            <w:rPr>
              <w:sz w:val="21"/>
              <w:szCs w:val="21"/>
            </w:rPr>
            <w:fldChar w:fldCharType="separate"/>
          </w:r>
          <w:r>
            <w:rPr>
              <w:rFonts w:hint="eastAsia" w:ascii="宋体" w:hAnsi="宋体" w:eastAsia="宋体" w:cs="宋体"/>
              <w:bCs w:val="0"/>
              <w:sz w:val="21"/>
              <w:szCs w:val="21"/>
              <w:highlight w:val="none"/>
              <w:lang w:val="en-US" w:eastAsia="zh-CN"/>
            </w:rPr>
            <w:t>（七）</w:t>
          </w:r>
          <w:r>
            <w:rPr>
              <w:rFonts w:hint="eastAsia" w:ascii="宋体" w:hAnsi="宋体" w:cs="宋体"/>
              <w:kern w:val="0"/>
              <w:sz w:val="21"/>
              <w:szCs w:val="21"/>
              <w:highlight w:val="none"/>
              <w:lang w:val="en-US" w:eastAsia="zh-CN"/>
            </w:rPr>
            <w:t>工装清洗服务项目</w:t>
          </w:r>
          <w:r>
            <w:rPr>
              <w:sz w:val="21"/>
              <w:szCs w:val="21"/>
            </w:rPr>
            <w:tab/>
          </w:r>
          <w:r>
            <w:rPr>
              <w:rFonts w:hint="eastAsia"/>
              <w:sz w:val="21"/>
              <w:szCs w:val="21"/>
              <w:lang w:val="en-US" w:eastAsia="zh-CN"/>
            </w:rPr>
            <w:t>6</w:t>
          </w:r>
          <w:r>
            <w:rPr>
              <w:sz w:val="21"/>
              <w:szCs w:val="21"/>
            </w:rPr>
            <w:fldChar w:fldCharType="end"/>
          </w:r>
          <w:r>
            <w:rPr>
              <w:rFonts w:hint="eastAsia"/>
              <w:sz w:val="21"/>
              <w:szCs w:val="21"/>
              <w:lang w:val="en-US" w:eastAsia="zh-CN"/>
            </w:rPr>
            <w:t>8</w:t>
          </w:r>
        </w:p>
        <w:p w14:paraId="36106C9B">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_Toc12409 </w:instrText>
          </w:r>
          <w:r>
            <w:rPr>
              <w:sz w:val="21"/>
              <w:szCs w:val="21"/>
            </w:rPr>
            <w:fldChar w:fldCharType="separate"/>
          </w:r>
          <w:r>
            <w:rPr>
              <w:rFonts w:hint="eastAsia" w:ascii="宋体" w:hAnsi="宋体" w:eastAsia="宋体" w:cs="宋体"/>
              <w:bCs w:val="0"/>
              <w:sz w:val="21"/>
              <w:szCs w:val="21"/>
              <w:highlight w:val="none"/>
              <w:lang w:val="en-US" w:eastAsia="zh-CN"/>
            </w:rPr>
            <w:t>（八）员工</w:t>
          </w:r>
          <w:r>
            <w:rPr>
              <w:rFonts w:hint="eastAsia" w:ascii="宋体" w:hAnsi="宋体" w:cs="宋体"/>
              <w:kern w:val="0"/>
              <w:sz w:val="21"/>
              <w:szCs w:val="21"/>
              <w:highlight w:val="none"/>
              <w:lang w:val="en-US" w:eastAsia="zh-CN"/>
            </w:rPr>
            <w:t>理发服务</w:t>
          </w:r>
          <w:r>
            <w:rPr>
              <w:rFonts w:hint="eastAsia" w:ascii="宋体" w:hAnsi="宋体" w:eastAsia="宋体" w:cs="宋体"/>
              <w:bCs w:val="0"/>
              <w:sz w:val="21"/>
              <w:szCs w:val="21"/>
              <w:highlight w:val="none"/>
              <w:lang w:val="en-US" w:eastAsia="zh-CN"/>
            </w:rPr>
            <w:t>项目</w:t>
          </w:r>
          <w:r>
            <w:rPr>
              <w:sz w:val="21"/>
              <w:szCs w:val="21"/>
            </w:rPr>
            <w:tab/>
          </w:r>
          <w:r>
            <w:rPr>
              <w:rFonts w:hint="eastAsia"/>
              <w:sz w:val="21"/>
              <w:szCs w:val="21"/>
              <w:lang w:val="en-US" w:eastAsia="zh-CN"/>
            </w:rPr>
            <w:t>7</w:t>
          </w:r>
          <w:r>
            <w:rPr>
              <w:sz w:val="21"/>
              <w:szCs w:val="21"/>
            </w:rPr>
            <w:fldChar w:fldCharType="end"/>
          </w:r>
          <w:r>
            <w:rPr>
              <w:rFonts w:hint="eastAsia"/>
              <w:sz w:val="21"/>
              <w:szCs w:val="21"/>
              <w:lang w:val="en-US" w:eastAsia="zh-CN"/>
            </w:rPr>
            <w:t>1</w:t>
          </w:r>
        </w:p>
        <w:p w14:paraId="775E173D">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_Toc9197 </w:instrText>
          </w:r>
          <w:r>
            <w:rPr>
              <w:sz w:val="21"/>
              <w:szCs w:val="21"/>
            </w:rPr>
            <w:fldChar w:fldCharType="separate"/>
          </w:r>
          <w:r>
            <w:rPr>
              <w:rFonts w:hint="eastAsia" w:asciiTheme="majorEastAsia" w:hAnsiTheme="majorEastAsia" w:eastAsiaTheme="majorEastAsia" w:cstheme="majorEastAsia"/>
              <w:sz w:val="21"/>
              <w:szCs w:val="21"/>
              <w:highlight w:val="none"/>
              <w:lang w:val="en-US" w:eastAsia="zh-CN"/>
            </w:rPr>
            <w:t>（九）不动产管理服务项目</w:t>
          </w:r>
          <w:r>
            <w:rPr>
              <w:sz w:val="21"/>
              <w:szCs w:val="21"/>
            </w:rPr>
            <w:tab/>
          </w:r>
          <w:r>
            <w:rPr>
              <w:rFonts w:hint="eastAsia"/>
              <w:sz w:val="21"/>
              <w:szCs w:val="21"/>
              <w:lang w:val="en-US" w:eastAsia="zh-CN"/>
            </w:rPr>
            <w:t>7</w:t>
          </w:r>
          <w:r>
            <w:rPr>
              <w:sz w:val="21"/>
              <w:szCs w:val="21"/>
            </w:rPr>
            <w:fldChar w:fldCharType="end"/>
          </w:r>
          <w:r>
            <w:rPr>
              <w:rFonts w:hint="eastAsia"/>
              <w:sz w:val="21"/>
              <w:szCs w:val="21"/>
              <w:lang w:val="en-US" w:eastAsia="zh-CN"/>
            </w:rPr>
            <w:t>5</w:t>
          </w:r>
        </w:p>
        <w:p w14:paraId="01F1B900">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_Toc30409 </w:instrText>
          </w:r>
          <w:r>
            <w:rPr>
              <w:sz w:val="21"/>
              <w:szCs w:val="21"/>
            </w:rPr>
            <w:fldChar w:fldCharType="separate"/>
          </w:r>
          <w:r>
            <w:rPr>
              <w:rFonts w:hint="eastAsia" w:ascii="宋体" w:hAnsi="宋体" w:eastAsia="宋体" w:cs="宋体"/>
              <w:bCs w:val="0"/>
              <w:sz w:val="21"/>
              <w:szCs w:val="21"/>
              <w:highlight w:val="none"/>
              <w:lang w:val="en-US" w:eastAsia="zh-CN"/>
            </w:rPr>
            <w:t>（</w:t>
          </w:r>
          <w:r>
            <w:rPr>
              <w:rFonts w:hint="eastAsia" w:ascii="宋体" w:hAnsi="宋体" w:cs="宋体"/>
              <w:bCs w:val="0"/>
              <w:sz w:val="21"/>
              <w:szCs w:val="21"/>
              <w:highlight w:val="none"/>
              <w:lang w:val="en-US" w:eastAsia="zh-CN"/>
            </w:rPr>
            <w:t>十</w:t>
          </w:r>
          <w:r>
            <w:rPr>
              <w:rFonts w:hint="eastAsia" w:ascii="宋体" w:hAnsi="宋体" w:eastAsia="宋体" w:cs="宋体"/>
              <w:bCs w:val="0"/>
              <w:sz w:val="21"/>
              <w:szCs w:val="21"/>
              <w:highlight w:val="none"/>
              <w:lang w:val="en-US" w:eastAsia="zh-CN"/>
            </w:rPr>
            <w:t>）盆栽绿植购置</w:t>
          </w:r>
          <w:r>
            <w:rPr>
              <w:rFonts w:hint="eastAsia" w:ascii="宋体" w:hAnsi="宋体" w:cs="宋体"/>
              <w:bCs w:val="0"/>
              <w:sz w:val="21"/>
              <w:szCs w:val="21"/>
              <w:highlight w:val="none"/>
              <w:lang w:val="en-US" w:eastAsia="zh-CN"/>
            </w:rPr>
            <w:t>、租赁</w:t>
          </w:r>
          <w:r>
            <w:rPr>
              <w:rFonts w:hint="eastAsia" w:ascii="宋体" w:hAnsi="宋体" w:eastAsia="宋体" w:cs="宋体"/>
              <w:bCs w:val="0"/>
              <w:sz w:val="21"/>
              <w:szCs w:val="21"/>
              <w:highlight w:val="none"/>
              <w:lang w:val="en-US" w:eastAsia="zh-CN"/>
            </w:rPr>
            <w:t>项目</w:t>
          </w:r>
          <w:r>
            <w:rPr>
              <w:sz w:val="21"/>
              <w:szCs w:val="21"/>
            </w:rPr>
            <w:tab/>
          </w:r>
          <w:r>
            <w:rPr>
              <w:rFonts w:hint="eastAsia"/>
              <w:sz w:val="21"/>
              <w:szCs w:val="21"/>
              <w:lang w:val="en-US" w:eastAsia="zh-CN"/>
            </w:rPr>
            <w:t>7</w:t>
          </w:r>
          <w:r>
            <w:rPr>
              <w:sz w:val="21"/>
              <w:szCs w:val="21"/>
            </w:rPr>
            <w:fldChar w:fldCharType="end"/>
          </w:r>
          <w:r>
            <w:rPr>
              <w:rFonts w:hint="eastAsia"/>
              <w:sz w:val="21"/>
              <w:szCs w:val="21"/>
              <w:lang w:val="en-US" w:eastAsia="zh-CN"/>
            </w:rPr>
            <w:t>7</w:t>
          </w:r>
        </w:p>
        <w:p w14:paraId="104C1B6F">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_Toc25868 </w:instrText>
          </w:r>
          <w:r>
            <w:rPr>
              <w:sz w:val="21"/>
              <w:szCs w:val="21"/>
            </w:rPr>
            <w:fldChar w:fldCharType="separate"/>
          </w:r>
          <w:r>
            <w:rPr>
              <w:rFonts w:hint="eastAsia"/>
              <w:sz w:val="21"/>
              <w:szCs w:val="21"/>
              <w:highlight w:val="none"/>
              <w:lang w:val="en-US" w:eastAsia="zh-CN"/>
            </w:rPr>
            <w:t>（十一）空调维保服务项目</w:t>
          </w:r>
          <w:r>
            <w:rPr>
              <w:sz w:val="21"/>
              <w:szCs w:val="21"/>
            </w:rPr>
            <w:tab/>
          </w:r>
          <w:r>
            <w:rPr>
              <w:rFonts w:hint="eastAsia"/>
              <w:sz w:val="21"/>
              <w:szCs w:val="21"/>
              <w:lang w:val="en-US" w:eastAsia="zh-CN"/>
            </w:rPr>
            <w:t>8</w:t>
          </w:r>
          <w:r>
            <w:rPr>
              <w:sz w:val="21"/>
              <w:szCs w:val="21"/>
            </w:rPr>
            <w:fldChar w:fldCharType="end"/>
          </w:r>
          <w:r>
            <w:rPr>
              <w:rFonts w:hint="eastAsia"/>
              <w:sz w:val="21"/>
              <w:szCs w:val="21"/>
              <w:lang w:val="en-US" w:eastAsia="zh-CN"/>
            </w:rPr>
            <w:t>1</w:t>
          </w:r>
        </w:p>
        <w:p w14:paraId="0C292234">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_Toc26817 </w:instrText>
          </w:r>
          <w:r>
            <w:rPr>
              <w:sz w:val="21"/>
              <w:szCs w:val="21"/>
            </w:rPr>
            <w:fldChar w:fldCharType="separate"/>
          </w:r>
          <w:r>
            <w:rPr>
              <w:rFonts w:hint="eastAsia" w:ascii="宋体" w:hAnsi="宋体" w:eastAsia="宋体" w:cs="宋体"/>
              <w:bCs w:val="0"/>
              <w:sz w:val="21"/>
              <w:szCs w:val="21"/>
              <w:highlight w:val="none"/>
              <w:lang w:val="en-US" w:eastAsia="zh-CN"/>
            </w:rPr>
            <w:t>（十二）安防监控系统维保服务项目</w:t>
          </w:r>
          <w:r>
            <w:rPr>
              <w:sz w:val="21"/>
              <w:szCs w:val="21"/>
            </w:rPr>
            <w:tab/>
          </w:r>
          <w:r>
            <w:rPr>
              <w:rFonts w:hint="eastAsia"/>
              <w:sz w:val="21"/>
              <w:szCs w:val="21"/>
              <w:lang w:val="en-US" w:eastAsia="zh-CN"/>
            </w:rPr>
            <w:t>9</w:t>
          </w:r>
          <w:r>
            <w:rPr>
              <w:sz w:val="21"/>
              <w:szCs w:val="21"/>
            </w:rPr>
            <w:fldChar w:fldCharType="end"/>
          </w:r>
          <w:r>
            <w:rPr>
              <w:rFonts w:hint="eastAsia"/>
              <w:sz w:val="21"/>
              <w:szCs w:val="21"/>
              <w:lang w:val="en-US" w:eastAsia="zh-CN"/>
            </w:rPr>
            <w:t>0</w:t>
          </w:r>
        </w:p>
        <w:p w14:paraId="6D3FDBE0">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_Toc16499 </w:instrText>
          </w:r>
          <w:r>
            <w:rPr>
              <w:sz w:val="21"/>
              <w:szCs w:val="21"/>
            </w:rPr>
            <w:fldChar w:fldCharType="separate"/>
          </w:r>
          <w:r>
            <w:rPr>
              <w:rFonts w:hint="eastAsia" w:ascii="宋体" w:hAnsi="宋体" w:eastAsia="宋体" w:cs="宋体"/>
              <w:bCs w:val="0"/>
              <w:sz w:val="21"/>
              <w:szCs w:val="21"/>
              <w:highlight w:val="none"/>
              <w:lang w:val="en-US" w:eastAsia="zh-CN"/>
            </w:rPr>
            <w:t>（十三）道闸门禁系统维保服务项目</w:t>
          </w:r>
          <w:r>
            <w:rPr>
              <w:sz w:val="21"/>
              <w:szCs w:val="21"/>
            </w:rPr>
            <w:tab/>
          </w:r>
          <w:r>
            <w:rPr>
              <w:rFonts w:hint="eastAsia"/>
              <w:sz w:val="21"/>
              <w:szCs w:val="21"/>
              <w:lang w:val="en-US" w:eastAsia="zh-CN"/>
            </w:rPr>
            <w:t>9</w:t>
          </w:r>
          <w:r>
            <w:rPr>
              <w:sz w:val="21"/>
              <w:szCs w:val="21"/>
            </w:rPr>
            <w:fldChar w:fldCharType="end"/>
          </w:r>
          <w:r>
            <w:rPr>
              <w:rFonts w:hint="eastAsia"/>
              <w:sz w:val="21"/>
              <w:szCs w:val="21"/>
              <w:lang w:val="en-US" w:eastAsia="zh-CN"/>
            </w:rPr>
            <w:t>6</w:t>
          </w:r>
        </w:p>
        <w:p w14:paraId="42B0E223">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_Toc6612 </w:instrText>
          </w:r>
          <w:r>
            <w:rPr>
              <w:sz w:val="21"/>
              <w:szCs w:val="21"/>
            </w:rPr>
            <w:fldChar w:fldCharType="separate"/>
          </w:r>
          <w:r>
            <w:rPr>
              <w:rFonts w:hint="eastAsia" w:ascii="宋体" w:hAnsi="宋体" w:eastAsia="宋体" w:cs="宋体"/>
              <w:bCs w:val="0"/>
              <w:sz w:val="21"/>
              <w:szCs w:val="21"/>
              <w:highlight w:val="none"/>
              <w:lang w:val="en-US" w:eastAsia="zh-CN"/>
            </w:rPr>
            <w:t>（十四）消防系统维保服务项目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01</w:t>
          </w:r>
        </w:p>
        <w:p w14:paraId="1DC1DE2C">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_Toc24359 </w:instrText>
          </w:r>
          <w:r>
            <w:rPr>
              <w:sz w:val="21"/>
              <w:szCs w:val="21"/>
            </w:rPr>
            <w:fldChar w:fldCharType="separate"/>
          </w:r>
          <w:r>
            <w:rPr>
              <w:rFonts w:hint="eastAsia"/>
              <w:sz w:val="21"/>
              <w:szCs w:val="21"/>
              <w:highlight w:val="none"/>
              <w:lang w:val="en-US" w:eastAsia="zh-CN"/>
            </w:rPr>
            <w:t>（十五）电梯维保服务项目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11</w:t>
          </w:r>
        </w:p>
        <w:p w14:paraId="44AF6A9B">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_Toc26691 </w:instrText>
          </w:r>
          <w:r>
            <w:rPr>
              <w:sz w:val="21"/>
              <w:szCs w:val="21"/>
            </w:rPr>
            <w:fldChar w:fldCharType="separate"/>
          </w:r>
          <w:r>
            <w:rPr>
              <w:rFonts w:hint="eastAsia" w:ascii="宋体" w:hAnsi="宋体" w:eastAsia="宋体" w:cs="宋体"/>
              <w:bCs w:val="0"/>
              <w:sz w:val="21"/>
              <w:szCs w:val="21"/>
              <w:highlight w:val="none"/>
              <w:lang w:val="en-US" w:eastAsia="zh-CN"/>
            </w:rPr>
            <w:t>（</w:t>
          </w:r>
          <w:r>
            <w:rPr>
              <w:rFonts w:hint="eastAsia" w:ascii="宋体" w:hAnsi="宋体" w:cs="宋体"/>
              <w:bCs w:val="0"/>
              <w:sz w:val="21"/>
              <w:szCs w:val="21"/>
              <w:highlight w:val="none"/>
              <w:lang w:val="en-US" w:eastAsia="zh-CN"/>
            </w:rPr>
            <w:t>十六</w:t>
          </w:r>
          <w:r>
            <w:rPr>
              <w:rFonts w:hint="eastAsia" w:ascii="宋体" w:hAnsi="宋体" w:eastAsia="宋体" w:cs="宋体"/>
              <w:bCs w:val="0"/>
              <w:sz w:val="21"/>
              <w:szCs w:val="21"/>
              <w:highlight w:val="none"/>
              <w:lang w:val="en-US" w:eastAsia="zh-CN"/>
            </w:rPr>
            <w:t>）</w:t>
          </w:r>
          <w:r>
            <w:rPr>
              <w:rFonts w:hint="eastAsia" w:ascii="宋体" w:hAnsi="宋体" w:cs="宋体"/>
              <w:bCs w:val="0"/>
              <w:sz w:val="21"/>
              <w:szCs w:val="21"/>
              <w:highlight w:val="none"/>
              <w:lang w:val="en-US" w:eastAsia="zh-CN"/>
            </w:rPr>
            <w:t>后勤</w:t>
          </w:r>
          <w:r>
            <w:rPr>
              <w:rFonts w:hint="eastAsia" w:ascii="宋体" w:hAnsi="宋体" w:eastAsia="宋体" w:cs="宋体"/>
              <w:bCs w:val="0"/>
              <w:sz w:val="21"/>
              <w:szCs w:val="21"/>
              <w:highlight w:val="none"/>
              <w:lang w:val="en-US" w:eastAsia="zh-CN"/>
            </w:rPr>
            <w:t>设备维保</w:t>
          </w:r>
          <w:r>
            <w:rPr>
              <w:rFonts w:hint="eastAsia" w:ascii="宋体" w:hAnsi="宋体" w:cs="宋体"/>
              <w:bCs w:val="0"/>
              <w:sz w:val="21"/>
              <w:szCs w:val="21"/>
              <w:highlight w:val="none"/>
              <w:lang w:val="en-US" w:eastAsia="zh-CN"/>
            </w:rPr>
            <w:t>服务</w:t>
          </w:r>
          <w:r>
            <w:rPr>
              <w:rFonts w:hint="eastAsia" w:ascii="宋体" w:hAnsi="宋体" w:eastAsia="宋体" w:cs="宋体"/>
              <w:bCs w:val="0"/>
              <w:sz w:val="21"/>
              <w:szCs w:val="21"/>
              <w:highlight w:val="none"/>
              <w:lang w:val="en-US" w:eastAsia="zh-CN"/>
            </w:rPr>
            <w:t>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28</w:t>
          </w:r>
        </w:p>
        <w:p w14:paraId="495ED31E">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_Toc14688 </w:instrText>
          </w:r>
          <w:r>
            <w:rPr>
              <w:sz w:val="21"/>
              <w:szCs w:val="21"/>
            </w:rPr>
            <w:fldChar w:fldCharType="separate"/>
          </w:r>
          <w:r>
            <w:rPr>
              <w:rFonts w:hint="eastAsia"/>
              <w:sz w:val="21"/>
              <w:szCs w:val="21"/>
              <w:highlight w:val="none"/>
              <w:lang w:val="en-US" w:eastAsia="zh-CN"/>
            </w:rPr>
            <w:t>（十七）办公设备维保服务项目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39</w:t>
          </w:r>
        </w:p>
        <w:p w14:paraId="780C6B78">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_Toc28872 </w:instrText>
          </w:r>
          <w:r>
            <w:rPr>
              <w:sz w:val="21"/>
              <w:szCs w:val="21"/>
            </w:rPr>
            <w:fldChar w:fldCharType="separate"/>
          </w:r>
          <w:r>
            <w:rPr>
              <w:rFonts w:hint="eastAsia" w:ascii="宋体" w:hAnsi="宋体" w:cs="宋体"/>
              <w:kern w:val="0"/>
              <w:sz w:val="21"/>
              <w:szCs w:val="21"/>
              <w:highlight w:val="none"/>
              <w:lang w:val="en-US" w:eastAsia="zh-CN"/>
            </w:rPr>
            <w:t>（十八）蚁害防治及除四害服务项目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42</w:t>
          </w:r>
        </w:p>
        <w:p w14:paraId="6EE8BC4E">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_Toc6204 </w:instrText>
          </w:r>
          <w:r>
            <w:rPr>
              <w:sz w:val="21"/>
              <w:szCs w:val="21"/>
            </w:rPr>
            <w:fldChar w:fldCharType="separate"/>
          </w:r>
          <w:r>
            <w:rPr>
              <w:rFonts w:hint="eastAsia" w:ascii="宋体" w:hAnsi="宋体" w:cs="宋体"/>
              <w:kern w:val="0"/>
              <w:sz w:val="21"/>
              <w:szCs w:val="21"/>
              <w:highlight w:val="none"/>
              <w:lang w:val="en-US" w:eastAsia="zh-CN"/>
            </w:rPr>
            <w:t>（十九）行政后勤作业辅助管理服务项目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48</w:t>
          </w:r>
        </w:p>
        <w:p w14:paraId="3E745C6A">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_Toc5888 </w:instrText>
          </w:r>
          <w:r>
            <w:rPr>
              <w:sz w:val="21"/>
              <w:szCs w:val="21"/>
            </w:rPr>
            <w:fldChar w:fldCharType="separate"/>
          </w:r>
          <w:r>
            <w:rPr>
              <w:rFonts w:hint="eastAsia" w:ascii="宋体" w:hAnsi="宋体" w:eastAsia="宋体" w:cs="宋体"/>
              <w:bCs w:val="0"/>
              <w:sz w:val="21"/>
              <w:szCs w:val="21"/>
              <w:highlight w:val="none"/>
              <w:lang w:val="en-US" w:eastAsia="zh-CN"/>
            </w:rPr>
            <w:t>（二十）临时性秩序维护服务项目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53</w:t>
          </w:r>
        </w:p>
        <w:p w14:paraId="343B483A">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_Toc14419 </w:instrText>
          </w:r>
          <w:r>
            <w:rPr>
              <w:sz w:val="21"/>
              <w:szCs w:val="21"/>
            </w:rPr>
            <w:fldChar w:fldCharType="separate"/>
          </w:r>
          <w:r>
            <w:rPr>
              <w:rFonts w:hint="eastAsia" w:asciiTheme="majorEastAsia" w:hAnsiTheme="majorEastAsia" w:eastAsiaTheme="majorEastAsia" w:cstheme="majorEastAsia"/>
              <w:sz w:val="21"/>
              <w:szCs w:val="21"/>
              <w:highlight w:val="none"/>
              <w:lang w:val="en-US" w:eastAsia="zh-CN"/>
            </w:rPr>
            <w:t>（二十一）车辆（罐装）运输供水服务项目</w:t>
          </w:r>
          <w:r>
            <w:rPr>
              <w:sz w:val="21"/>
              <w:szCs w:val="21"/>
            </w:rPr>
            <w:tab/>
          </w:r>
          <w:r>
            <w:rPr>
              <w:sz w:val="21"/>
              <w:szCs w:val="21"/>
            </w:rPr>
            <w:fldChar w:fldCharType="begin"/>
          </w:r>
          <w:r>
            <w:rPr>
              <w:sz w:val="21"/>
              <w:szCs w:val="21"/>
            </w:rPr>
            <w:instrText xml:space="preserve"> PAGEREF _Toc14419 \h </w:instrText>
          </w:r>
          <w:r>
            <w:rPr>
              <w:sz w:val="21"/>
              <w:szCs w:val="21"/>
            </w:rPr>
            <w:fldChar w:fldCharType="separate"/>
          </w:r>
          <w:r>
            <w:rPr>
              <w:sz w:val="21"/>
              <w:szCs w:val="21"/>
            </w:rPr>
            <w:t>1</w:t>
          </w:r>
          <w:r>
            <w:rPr>
              <w:rFonts w:hint="eastAsia"/>
              <w:sz w:val="21"/>
              <w:szCs w:val="21"/>
              <w:lang w:val="en-US" w:eastAsia="zh-CN"/>
            </w:rPr>
            <w:t>5</w:t>
          </w:r>
          <w:r>
            <w:rPr>
              <w:sz w:val="21"/>
              <w:szCs w:val="21"/>
            </w:rPr>
            <w:fldChar w:fldCharType="end"/>
          </w:r>
          <w:r>
            <w:rPr>
              <w:sz w:val="21"/>
              <w:szCs w:val="21"/>
            </w:rPr>
            <w:fldChar w:fldCharType="end"/>
          </w:r>
          <w:r>
            <w:rPr>
              <w:rFonts w:hint="eastAsia"/>
              <w:sz w:val="21"/>
              <w:szCs w:val="21"/>
              <w:lang w:val="en-US" w:eastAsia="zh-CN"/>
            </w:rPr>
            <w:t>8</w:t>
          </w:r>
        </w:p>
        <w:p w14:paraId="4C9E9AB8">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_Toc11146 </w:instrText>
          </w:r>
          <w:r>
            <w:rPr>
              <w:sz w:val="21"/>
              <w:szCs w:val="21"/>
            </w:rPr>
            <w:fldChar w:fldCharType="separate"/>
          </w:r>
          <w:r>
            <w:rPr>
              <w:rFonts w:hint="eastAsia" w:asciiTheme="majorEastAsia" w:hAnsiTheme="majorEastAsia" w:eastAsiaTheme="majorEastAsia" w:cstheme="majorEastAsia"/>
              <w:sz w:val="21"/>
              <w:szCs w:val="21"/>
              <w:highlight w:val="none"/>
              <w:lang w:val="en-US" w:eastAsia="zh-CN"/>
            </w:rPr>
            <w:t>（二十二）电力设施保护外委服务项目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59</w:t>
          </w:r>
        </w:p>
        <w:p w14:paraId="4E9F7881">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_Toc23261 </w:instrText>
          </w:r>
          <w:r>
            <w:rPr>
              <w:sz w:val="21"/>
              <w:szCs w:val="21"/>
            </w:rPr>
            <w:fldChar w:fldCharType="separate"/>
          </w:r>
          <w:r>
            <w:rPr>
              <w:rFonts w:hint="eastAsia" w:asciiTheme="majorEastAsia" w:hAnsiTheme="majorEastAsia" w:eastAsiaTheme="majorEastAsia" w:cstheme="majorEastAsia"/>
              <w:sz w:val="21"/>
              <w:szCs w:val="21"/>
              <w:highlight w:val="none"/>
              <w:lang w:val="en-US" w:eastAsia="zh-CN"/>
            </w:rPr>
            <w:t>（二十三）办公区域配电设施检测项目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61</w:t>
          </w:r>
        </w:p>
        <w:p w14:paraId="0C57B452">
          <w:pPr>
            <w:pStyle w:val="12"/>
            <w:tabs>
              <w:tab w:val="right" w:leader="dot" w:pos="8306"/>
            </w:tabs>
            <w:rPr>
              <w:rFonts w:hint="default" w:eastAsia="宋体"/>
              <w:sz w:val="21"/>
              <w:szCs w:val="21"/>
              <w:lang w:val="en-US" w:eastAsia="zh-CN"/>
            </w:rPr>
          </w:pPr>
          <w:r>
            <w:rPr>
              <w:sz w:val="21"/>
              <w:szCs w:val="21"/>
            </w:rPr>
            <w:fldChar w:fldCharType="begin"/>
          </w:r>
          <w:r>
            <w:rPr>
              <w:sz w:val="21"/>
              <w:szCs w:val="21"/>
            </w:rPr>
            <w:instrText xml:space="preserve"> HYPERLINK \l _Toc11307 </w:instrText>
          </w:r>
          <w:r>
            <w:rPr>
              <w:sz w:val="21"/>
              <w:szCs w:val="21"/>
            </w:rPr>
            <w:fldChar w:fldCharType="separate"/>
          </w:r>
          <w:r>
            <w:rPr>
              <w:rFonts w:hint="eastAsia"/>
              <w:sz w:val="21"/>
              <w:szCs w:val="21"/>
              <w:highlight w:val="none"/>
              <w:lang w:val="en-US" w:eastAsia="zh-CN"/>
            </w:rPr>
            <w:t>（二十四）不动产租赁服务项目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63</w:t>
          </w:r>
        </w:p>
        <w:p w14:paraId="52C94C6F">
          <w:pPr>
            <w:pStyle w:val="12"/>
            <w:tabs>
              <w:tab w:val="right" w:leader="dot" w:pos="8306"/>
            </w:tabs>
            <w:rPr>
              <w:rFonts w:hint="eastAsia" w:eastAsia="宋体"/>
              <w:sz w:val="21"/>
              <w:szCs w:val="21"/>
              <w:lang w:val="en-US" w:eastAsia="zh-CN"/>
            </w:rPr>
          </w:pPr>
          <w:r>
            <w:rPr>
              <w:sz w:val="21"/>
              <w:szCs w:val="21"/>
            </w:rPr>
            <w:fldChar w:fldCharType="begin"/>
          </w:r>
          <w:r>
            <w:rPr>
              <w:sz w:val="21"/>
              <w:szCs w:val="21"/>
            </w:rPr>
            <w:instrText xml:space="preserve"> HYPERLINK \l _Toc27616 </w:instrText>
          </w:r>
          <w:r>
            <w:rPr>
              <w:sz w:val="21"/>
              <w:szCs w:val="21"/>
            </w:rPr>
            <w:fldChar w:fldCharType="separate"/>
          </w:r>
          <w:r>
            <w:rPr>
              <w:rFonts w:hint="eastAsia"/>
              <w:sz w:val="21"/>
              <w:szCs w:val="21"/>
              <w:highlight w:val="none"/>
              <w:lang w:val="en-US" w:eastAsia="zh-CN"/>
            </w:rPr>
            <w:t>（二十五）双休日配送餐服务项目</w:t>
          </w:r>
          <w:r>
            <w:rPr>
              <w:sz w:val="21"/>
              <w:szCs w:val="21"/>
            </w:rPr>
            <w:tab/>
          </w:r>
          <w:r>
            <w:rPr>
              <w:sz w:val="21"/>
              <w:szCs w:val="21"/>
            </w:rPr>
            <w:fldChar w:fldCharType="begin"/>
          </w:r>
          <w:r>
            <w:rPr>
              <w:sz w:val="21"/>
              <w:szCs w:val="21"/>
            </w:rPr>
            <w:instrText xml:space="preserve"> PAGEREF _Toc27616 \h </w:instrText>
          </w:r>
          <w:r>
            <w:rPr>
              <w:sz w:val="21"/>
              <w:szCs w:val="21"/>
            </w:rPr>
            <w:fldChar w:fldCharType="separate"/>
          </w:r>
          <w:r>
            <w:rPr>
              <w:sz w:val="21"/>
              <w:szCs w:val="21"/>
            </w:rPr>
            <w:t>1</w:t>
          </w:r>
          <w:r>
            <w:rPr>
              <w:rFonts w:hint="eastAsia"/>
              <w:sz w:val="21"/>
              <w:szCs w:val="21"/>
              <w:lang w:val="en-US" w:eastAsia="zh-CN"/>
            </w:rPr>
            <w:t>6</w:t>
          </w:r>
          <w:r>
            <w:rPr>
              <w:sz w:val="21"/>
              <w:szCs w:val="21"/>
            </w:rPr>
            <w:fldChar w:fldCharType="end"/>
          </w:r>
          <w:r>
            <w:rPr>
              <w:sz w:val="21"/>
              <w:szCs w:val="21"/>
            </w:rPr>
            <w:fldChar w:fldCharType="end"/>
          </w:r>
          <w:r>
            <w:rPr>
              <w:rFonts w:hint="eastAsia"/>
              <w:sz w:val="21"/>
              <w:szCs w:val="21"/>
              <w:lang w:val="en-US" w:eastAsia="zh-CN"/>
            </w:rPr>
            <w:t>5</w:t>
          </w:r>
        </w:p>
        <w:p w14:paraId="6329A04D">
          <w:pPr>
            <w:pStyle w:val="13"/>
            <w:tabs>
              <w:tab w:val="right" w:leader="dot" w:pos="8306"/>
            </w:tabs>
            <w:ind w:left="0" w:leftChars="0" w:firstLine="0" w:firstLineChars="0"/>
            <w:rPr>
              <w:rFonts w:hint="default" w:eastAsia="宋体"/>
              <w:sz w:val="21"/>
              <w:szCs w:val="21"/>
              <w:lang w:val="en-US" w:eastAsia="zh-CN"/>
            </w:rPr>
          </w:pPr>
          <w:r>
            <w:rPr>
              <w:sz w:val="21"/>
              <w:szCs w:val="21"/>
            </w:rPr>
            <w:fldChar w:fldCharType="begin"/>
          </w:r>
          <w:r>
            <w:rPr>
              <w:sz w:val="21"/>
              <w:szCs w:val="21"/>
            </w:rPr>
            <w:instrText xml:space="preserve"> HYPERLINK \l _Toc23956 </w:instrText>
          </w:r>
          <w:r>
            <w:rPr>
              <w:sz w:val="21"/>
              <w:szCs w:val="21"/>
            </w:rPr>
            <w:fldChar w:fldCharType="separate"/>
          </w:r>
          <w:r>
            <w:rPr>
              <w:rFonts w:hint="eastAsia"/>
              <w:sz w:val="21"/>
              <w:szCs w:val="21"/>
              <w:lang w:val="en-US" w:eastAsia="zh-CN"/>
            </w:rPr>
            <w:t>（二十六）印制品印制服务项目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66</w:t>
          </w:r>
        </w:p>
        <w:p w14:paraId="37AFEFA9">
          <w:pPr>
            <w:pStyle w:val="13"/>
            <w:tabs>
              <w:tab w:val="right" w:leader="dot" w:pos="8306"/>
            </w:tabs>
            <w:ind w:left="0" w:leftChars="0" w:firstLine="0" w:firstLineChars="0"/>
            <w:rPr>
              <w:rFonts w:hint="default" w:eastAsia="宋体"/>
              <w:sz w:val="21"/>
              <w:szCs w:val="21"/>
              <w:lang w:val="en-US" w:eastAsia="zh-CN"/>
            </w:rPr>
          </w:pPr>
          <w:r>
            <w:rPr>
              <w:sz w:val="21"/>
              <w:szCs w:val="21"/>
            </w:rPr>
            <w:fldChar w:fldCharType="begin"/>
          </w:r>
          <w:r>
            <w:rPr>
              <w:sz w:val="21"/>
              <w:szCs w:val="21"/>
            </w:rPr>
            <w:instrText xml:space="preserve"> HYPERLINK \l _Toc21232 </w:instrText>
          </w:r>
          <w:r>
            <w:rPr>
              <w:sz w:val="21"/>
              <w:szCs w:val="21"/>
            </w:rPr>
            <w:fldChar w:fldCharType="separate"/>
          </w:r>
          <w:r>
            <w:rPr>
              <w:rFonts w:hint="eastAsia" w:ascii="宋体" w:hAnsi="宋体" w:eastAsia="宋体" w:cs="宋体"/>
              <w:sz w:val="21"/>
              <w:szCs w:val="21"/>
              <w:highlight w:val="none"/>
              <w:lang w:val="en-US" w:eastAsia="zh-CN"/>
            </w:rPr>
            <w:t>（二</w:t>
          </w:r>
          <w:r>
            <w:rPr>
              <w:rFonts w:hint="eastAsia" w:ascii="宋体" w:hAnsi="宋体" w:cs="宋体"/>
              <w:sz w:val="21"/>
              <w:szCs w:val="21"/>
              <w:highlight w:val="none"/>
              <w:lang w:val="en-US" w:eastAsia="zh-CN"/>
            </w:rPr>
            <w:t>十七</w:t>
          </w:r>
          <w:r>
            <w:rPr>
              <w:rFonts w:hint="eastAsia" w:ascii="宋体" w:hAnsi="宋体" w:eastAsia="宋体" w:cs="宋体"/>
              <w:sz w:val="21"/>
              <w:szCs w:val="21"/>
              <w:highlight w:val="none"/>
              <w:lang w:val="en-US" w:eastAsia="zh-CN"/>
            </w:rPr>
            <w:t>）电调委运作项目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69</w:t>
          </w:r>
        </w:p>
        <w:p w14:paraId="031BBD31">
          <w:pPr>
            <w:pStyle w:val="13"/>
            <w:tabs>
              <w:tab w:val="right" w:leader="dot" w:pos="8306"/>
            </w:tabs>
            <w:ind w:left="0" w:leftChars="0" w:firstLine="0" w:firstLineChars="0"/>
            <w:rPr>
              <w:rFonts w:hint="default" w:eastAsia="宋体"/>
              <w:sz w:val="21"/>
              <w:szCs w:val="21"/>
              <w:lang w:val="en-US" w:eastAsia="zh-CN"/>
            </w:rPr>
          </w:pPr>
          <w:r>
            <w:rPr>
              <w:sz w:val="21"/>
              <w:szCs w:val="21"/>
            </w:rPr>
            <w:fldChar w:fldCharType="begin"/>
          </w:r>
          <w:r>
            <w:rPr>
              <w:sz w:val="21"/>
              <w:szCs w:val="21"/>
            </w:rPr>
            <w:instrText xml:space="preserve"> HYPERLINK \l _Toc15523 </w:instrText>
          </w:r>
          <w:r>
            <w:rPr>
              <w:sz w:val="21"/>
              <w:szCs w:val="21"/>
            </w:rPr>
            <w:fldChar w:fldCharType="separate"/>
          </w:r>
          <w:r>
            <w:rPr>
              <w:rFonts w:hint="eastAsia" w:ascii="宋体" w:hAnsi="宋体" w:eastAsia="宋体" w:cs="宋体"/>
              <w:bCs w:val="0"/>
              <w:kern w:val="2"/>
              <w:sz w:val="21"/>
              <w:szCs w:val="21"/>
              <w:highlight w:val="none"/>
              <w:lang w:val="en-US" w:eastAsia="zh-CN" w:bidi="ar-SA"/>
            </w:rPr>
            <w:t>（二十八）</w:t>
          </w:r>
          <w:r>
            <w:rPr>
              <w:rFonts w:hint="eastAsia" w:ascii="宋体" w:hAnsi="宋体" w:eastAsia="宋体" w:cs="宋体"/>
              <w:bCs w:val="0"/>
              <w:sz w:val="21"/>
              <w:szCs w:val="21"/>
              <w:highlight w:val="none"/>
              <w:lang w:val="en-US" w:eastAsia="zh-CN"/>
            </w:rPr>
            <w:t>外墙清洗服务项目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71</w:t>
          </w:r>
        </w:p>
        <w:p w14:paraId="679AC03F">
          <w:pPr>
            <w:jc w:val="left"/>
            <w:rPr>
              <w:rFonts w:hint="default" w:eastAsia="宋体" w:asciiTheme="minorAscii" w:hAnsiTheme="minorAscii" w:cstheme="minorBidi"/>
              <w:kern w:val="2"/>
              <w:sz w:val="21"/>
              <w:szCs w:val="21"/>
              <w:lang w:val="en-US" w:eastAsia="zh-CN" w:bidi="ar-SA"/>
            </w:rPr>
          </w:pPr>
          <w:r>
            <w:rPr>
              <w:rFonts w:hint="eastAsia" w:ascii="宋体" w:hAnsi="宋体" w:eastAsia="宋体" w:cs="宋体"/>
              <w:bCs w:val="0"/>
              <w:kern w:val="2"/>
              <w:sz w:val="21"/>
              <w:szCs w:val="21"/>
              <w:highlight w:val="none"/>
              <w:lang w:val="en-US" w:eastAsia="zh-CN" w:bidi="ar-SA"/>
            </w:rPr>
            <w:t>（二十九）油烟管道、设备清洗服务项目</w:t>
          </w:r>
          <w:r>
            <w:rPr>
              <w:rFonts w:hint="default" w:eastAsia="宋体" w:asciiTheme="minorAscii" w:hAnsiTheme="minorAscii" w:cstheme="minorBidi"/>
              <w:kern w:val="2"/>
              <w:sz w:val="21"/>
              <w:szCs w:val="21"/>
              <w:lang w:val="en-US" w:eastAsia="zh-CN" w:bidi="ar-SA"/>
            </w:rPr>
            <w:t>……………………………………………………………………………</w:t>
          </w:r>
          <w:r>
            <w:rPr>
              <w:rFonts w:hint="eastAsia" w:eastAsia="宋体" w:asciiTheme="minorAscii" w:hAnsiTheme="minorAscii" w:cstheme="minorBidi"/>
              <w:kern w:val="2"/>
              <w:sz w:val="21"/>
              <w:szCs w:val="21"/>
              <w:lang w:val="en-US" w:eastAsia="zh-CN" w:bidi="ar-SA"/>
            </w:rPr>
            <w:t>1</w:t>
          </w:r>
          <w:r>
            <w:rPr>
              <w:rFonts w:hint="eastAsia" w:cstheme="minorBidi"/>
              <w:kern w:val="2"/>
              <w:sz w:val="21"/>
              <w:szCs w:val="21"/>
              <w:lang w:val="en-US" w:eastAsia="zh-CN" w:bidi="ar-SA"/>
            </w:rPr>
            <w:t>74</w:t>
          </w:r>
        </w:p>
        <w:p w14:paraId="7FA3C9A0">
          <w:pPr>
            <w:pStyle w:val="13"/>
            <w:tabs>
              <w:tab w:val="right" w:leader="dot" w:pos="8306"/>
            </w:tabs>
            <w:ind w:left="0" w:leftChars="0" w:firstLine="0" w:firstLineChars="0"/>
            <w:rPr>
              <w:rFonts w:hint="default" w:eastAsia="宋体"/>
              <w:sz w:val="21"/>
              <w:szCs w:val="21"/>
              <w:lang w:val="en-US" w:eastAsia="zh-CN"/>
            </w:rPr>
          </w:pPr>
          <w:r>
            <w:rPr>
              <w:sz w:val="21"/>
              <w:szCs w:val="21"/>
            </w:rPr>
            <w:fldChar w:fldCharType="begin"/>
          </w:r>
          <w:r>
            <w:rPr>
              <w:sz w:val="21"/>
              <w:szCs w:val="21"/>
            </w:rPr>
            <w:instrText xml:space="preserve"> HYPERLINK \l _Toc7918 </w:instrText>
          </w:r>
          <w:r>
            <w:rPr>
              <w:sz w:val="21"/>
              <w:szCs w:val="21"/>
            </w:rPr>
            <w:fldChar w:fldCharType="separate"/>
          </w:r>
          <w:r>
            <w:rPr>
              <w:rFonts w:hint="eastAsia" w:ascii="宋体" w:hAnsi="宋体" w:eastAsia="宋体" w:cs="宋体"/>
              <w:sz w:val="21"/>
              <w:szCs w:val="21"/>
              <w:lang w:val="en-US" w:eastAsia="zh-CN"/>
            </w:rPr>
            <w:t>（三十）立体停车库维保服务项目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78</w:t>
          </w:r>
        </w:p>
        <w:p w14:paraId="0B932CE8">
          <w:pPr>
            <w:pStyle w:val="13"/>
            <w:tabs>
              <w:tab w:val="right" w:leader="dot" w:pos="8306"/>
            </w:tabs>
            <w:ind w:left="0" w:leftChars="0" w:firstLine="0" w:firstLineChars="0"/>
            <w:rPr>
              <w:rFonts w:hint="eastAsia"/>
              <w:sz w:val="21"/>
              <w:szCs w:val="21"/>
              <w:lang w:val="en-US" w:eastAsia="zh-CN"/>
            </w:rPr>
          </w:pPr>
          <w:r>
            <w:rPr>
              <w:sz w:val="21"/>
              <w:szCs w:val="21"/>
            </w:rPr>
            <w:fldChar w:fldCharType="begin"/>
          </w:r>
          <w:r>
            <w:rPr>
              <w:sz w:val="21"/>
              <w:szCs w:val="21"/>
            </w:rPr>
            <w:instrText xml:space="preserve"> HYPERLINK \l _Toc9829 </w:instrText>
          </w:r>
          <w:r>
            <w:rPr>
              <w:sz w:val="21"/>
              <w:szCs w:val="21"/>
            </w:rPr>
            <w:fldChar w:fldCharType="separate"/>
          </w:r>
          <w:r>
            <w:rPr>
              <w:rFonts w:hint="eastAsia" w:ascii="宋体" w:hAnsi="宋体" w:eastAsia="宋体" w:cs="宋体"/>
              <w:kern w:val="2"/>
              <w:sz w:val="21"/>
              <w:szCs w:val="21"/>
              <w:lang w:val="en-US" w:eastAsia="zh-CN" w:bidi="ar-SA"/>
            </w:rPr>
            <w:t>（三十一）视频维保（“110”联网报警）服务项目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80</w:t>
          </w:r>
        </w:p>
        <w:p w14:paraId="1B477B09">
          <w:pPr>
            <w:pStyle w:val="13"/>
            <w:tabs>
              <w:tab w:val="right" w:leader="dot" w:pos="8306"/>
            </w:tabs>
            <w:ind w:left="0" w:leftChars="0" w:firstLine="0" w:firstLineChars="0"/>
            <w:rPr>
              <w:rFonts w:hint="default"/>
              <w:lang w:val="en-US" w:eastAsia="zh-CN"/>
            </w:rPr>
          </w:pPr>
          <w:r>
            <w:rPr>
              <w:sz w:val="21"/>
              <w:szCs w:val="21"/>
            </w:rPr>
            <w:fldChar w:fldCharType="begin"/>
          </w:r>
          <w:r>
            <w:rPr>
              <w:sz w:val="21"/>
              <w:szCs w:val="21"/>
            </w:rPr>
            <w:instrText xml:space="preserve"> HYPERLINK \l _Toc9829 </w:instrText>
          </w:r>
          <w:r>
            <w:rPr>
              <w:sz w:val="21"/>
              <w:szCs w:val="21"/>
            </w:rPr>
            <w:fldChar w:fldCharType="separate"/>
          </w:r>
          <w:r>
            <w:rPr>
              <w:rFonts w:hint="eastAsia" w:ascii="宋体" w:hAnsi="宋体" w:eastAsia="宋体" w:cs="宋体"/>
              <w:kern w:val="2"/>
              <w:sz w:val="21"/>
              <w:szCs w:val="21"/>
              <w:lang w:val="en-US" w:eastAsia="zh-CN" w:bidi="ar-SA"/>
            </w:rPr>
            <w:t>（三十</w:t>
          </w:r>
          <w:r>
            <w:rPr>
              <w:rFonts w:hint="eastAsia" w:ascii="宋体" w:hAnsi="宋体" w:cs="宋体"/>
              <w:kern w:val="2"/>
              <w:sz w:val="21"/>
              <w:szCs w:val="21"/>
              <w:lang w:val="en-US" w:eastAsia="zh-CN" w:bidi="ar-SA"/>
            </w:rPr>
            <w:t>二</w:t>
          </w:r>
          <w:r>
            <w:rPr>
              <w:rFonts w:hint="eastAsia" w:ascii="宋体" w:hAnsi="宋体" w:eastAsia="宋体" w:cs="宋体"/>
              <w:kern w:val="2"/>
              <w:sz w:val="21"/>
              <w:szCs w:val="21"/>
              <w:lang w:val="en-US" w:eastAsia="zh-CN" w:bidi="ar-SA"/>
            </w:rPr>
            <w:t>）</w:t>
          </w:r>
          <w:r>
            <w:rPr>
              <w:rFonts w:hint="eastAsia" w:ascii="宋体" w:hAnsi="宋体" w:cs="宋体"/>
              <w:kern w:val="2"/>
              <w:sz w:val="21"/>
              <w:szCs w:val="21"/>
              <w:lang w:val="en-US" w:eastAsia="zh-CN" w:bidi="ar-SA"/>
            </w:rPr>
            <w:t>应急保障</w:t>
          </w:r>
          <w:r>
            <w:rPr>
              <w:rFonts w:hint="eastAsia" w:ascii="宋体" w:hAnsi="宋体" w:eastAsia="宋体" w:cs="宋体"/>
              <w:kern w:val="2"/>
              <w:sz w:val="21"/>
              <w:szCs w:val="21"/>
              <w:lang w:val="en-US" w:eastAsia="zh-CN" w:bidi="ar-SA"/>
            </w:rPr>
            <w:t>服务项目</w:t>
          </w:r>
          <w:r>
            <w:rPr>
              <w:sz w:val="21"/>
              <w:szCs w:val="21"/>
            </w:rPr>
            <w:tab/>
          </w:r>
          <w:r>
            <w:rPr>
              <w:rFonts w:hint="eastAsia"/>
              <w:sz w:val="21"/>
              <w:szCs w:val="21"/>
              <w:lang w:val="en-US" w:eastAsia="zh-CN"/>
            </w:rPr>
            <w:t>1</w:t>
          </w:r>
          <w:r>
            <w:rPr>
              <w:sz w:val="21"/>
              <w:szCs w:val="21"/>
            </w:rPr>
            <w:fldChar w:fldCharType="end"/>
          </w:r>
          <w:r>
            <w:rPr>
              <w:rFonts w:hint="eastAsia"/>
              <w:sz w:val="21"/>
              <w:szCs w:val="21"/>
              <w:lang w:val="en-US" w:eastAsia="zh-CN"/>
            </w:rPr>
            <w:t>81</w:t>
          </w:r>
        </w:p>
        <w:p w14:paraId="6A60670E">
          <w:pPr>
            <w:keepNext w:val="0"/>
            <w:keepLines w:val="0"/>
            <w:pageBreakBefore w:val="0"/>
            <w:widowControl w:val="0"/>
            <w:kinsoku/>
            <w:wordWrap/>
            <w:overflowPunct/>
            <w:topLinePunct w:val="0"/>
            <w:autoSpaceDE/>
            <w:autoSpaceDN/>
            <w:bidi w:val="0"/>
            <w:adjustRightInd/>
            <w:snapToGrid/>
            <w:jc w:val="left"/>
            <w:textAlignment w:val="auto"/>
            <w:rPr>
              <w:rFonts w:hint="default" w:ascii="宋体" w:hAnsi="宋体" w:eastAsia="宋体" w:cs="宋体"/>
              <w:b/>
              <w:kern w:val="2"/>
              <w:sz w:val="20"/>
              <w:szCs w:val="20"/>
              <w:lang w:val="en-US" w:eastAsia="zh-CN" w:bidi="ar-SA"/>
            </w:rPr>
          </w:pPr>
          <w:r>
            <w:rPr>
              <w:sz w:val="21"/>
              <w:szCs w:val="21"/>
            </w:rPr>
            <w:fldChar w:fldCharType="end"/>
          </w:r>
          <w:r>
            <w:rPr>
              <w:rFonts w:hint="eastAsia"/>
              <w:sz w:val="21"/>
              <w:szCs w:val="21"/>
              <w:lang w:val="en-US" w:eastAsia="zh-CN"/>
            </w:rPr>
            <w:fldChar w:fldCharType="begin"/>
          </w:r>
          <w:r>
            <w:rPr>
              <w:rFonts w:hint="eastAsia"/>
              <w:sz w:val="21"/>
              <w:szCs w:val="21"/>
              <w:lang w:val="en-US" w:eastAsia="zh-CN"/>
            </w:rPr>
            <w:instrText xml:space="preserve"> HYPERLINK \l _Toc9829 </w:instrText>
          </w:r>
          <w:r>
            <w:rPr>
              <w:rFonts w:hint="eastAsia"/>
              <w:sz w:val="21"/>
              <w:szCs w:val="21"/>
              <w:lang w:val="en-US" w:eastAsia="zh-CN"/>
            </w:rPr>
            <w:fldChar w:fldCharType="separate"/>
          </w:r>
          <w:r>
            <w:rPr>
              <w:rFonts w:hint="eastAsia"/>
              <w:sz w:val="21"/>
              <w:szCs w:val="21"/>
              <w:lang w:val="en-US" w:eastAsia="zh-CN"/>
            </w:rPr>
            <w:t>（三十三）档案整理服务项目.</w:t>
          </w:r>
          <w:r>
            <w:rPr>
              <w:rFonts w:hint="eastAsia"/>
              <w:sz w:val="21"/>
              <w:szCs w:val="21"/>
              <w:lang w:val="en-US" w:eastAsia="zh-CN"/>
            </w:rPr>
            <w:fldChar w:fldCharType="end"/>
          </w:r>
          <w:r>
            <w:rPr>
              <w:rFonts w:hint="eastAsia"/>
              <w:sz w:val="21"/>
              <w:szCs w:val="21"/>
              <w:lang w:val="en-US" w:eastAsia="zh-CN"/>
            </w:rPr>
            <w:t>................................................................................................</w:t>
          </w:r>
          <w:r>
            <w:rPr>
              <w:sz w:val="21"/>
              <w:szCs w:val="21"/>
            </w:rPr>
            <w:tab/>
          </w:r>
          <w:r>
            <w:rPr>
              <w:rFonts w:hint="eastAsia"/>
              <w:sz w:val="21"/>
              <w:szCs w:val="21"/>
              <w:lang w:val="en-US" w:eastAsia="zh-CN"/>
            </w:rPr>
            <w:t>187（三十四）会议视讯、音响系统运行维护项目</w:t>
          </w:r>
          <w:r>
            <w:rPr>
              <w:rFonts w:hint="eastAsia"/>
              <w:sz w:val="21"/>
              <w:szCs w:val="21"/>
              <w:lang w:val="en-US" w:eastAsia="zh-CN"/>
            </w:rPr>
            <w:fldChar w:fldCharType="begin"/>
          </w:r>
          <w:r>
            <w:rPr>
              <w:rFonts w:hint="eastAsia"/>
              <w:sz w:val="21"/>
              <w:szCs w:val="21"/>
              <w:lang w:val="en-US" w:eastAsia="zh-CN"/>
            </w:rPr>
            <w:instrText xml:space="preserve"> HYPERLINK \l _Toc9829 </w:instrText>
          </w:r>
          <w:r>
            <w:rPr>
              <w:rFonts w:hint="eastAsia"/>
              <w:sz w:val="21"/>
              <w:szCs w:val="21"/>
              <w:lang w:val="en-US" w:eastAsia="zh-CN"/>
            </w:rPr>
            <w:fldChar w:fldCharType="separate"/>
          </w:r>
          <w:r>
            <w:rPr>
              <w:rFonts w:hint="eastAsia"/>
              <w:sz w:val="21"/>
              <w:szCs w:val="21"/>
              <w:lang w:val="en-US" w:eastAsia="zh-CN"/>
            </w:rPr>
            <w:t>.</w:t>
          </w:r>
          <w:r>
            <w:rPr>
              <w:rFonts w:hint="eastAsia"/>
              <w:sz w:val="21"/>
              <w:szCs w:val="21"/>
              <w:lang w:val="en-US" w:eastAsia="zh-CN"/>
            </w:rPr>
            <w:fldChar w:fldCharType="end"/>
          </w:r>
          <w:r>
            <w:rPr>
              <w:rFonts w:hint="eastAsia"/>
              <w:sz w:val="21"/>
              <w:szCs w:val="21"/>
              <w:lang w:val="en-US" w:eastAsia="zh-CN"/>
            </w:rPr>
            <w:t>......................................................................191</w:t>
          </w:r>
        </w:p>
        <w:p w14:paraId="7240A891">
          <w:pPr>
            <w:rPr>
              <w:sz w:val="21"/>
              <w:szCs w:val="21"/>
            </w:rPr>
          </w:pPr>
        </w:p>
        <w:p w14:paraId="27D32F05">
          <w:pPr>
            <w:jc w:val="center"/>
            <w:rPr>
              <w:rFonts w:hint="eastAsia" w:ascii="黑体" w:hAnsi="黑体" w:eastAsia="黑体" w:cs="黑体"/>
              <w:b/>
              <w:color w:val="auto"/>
              <w:sz w:val="32"/>
              <w:szCs w:val="32"/>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p>
      </w:sdtContent>
    </w:sdt>
    <w:p w14:paraId="6DCD89F1">
      <w:pPr>
        <w:jc w:val="center"/>
        <w:outlineLvl w:val="0"/>
        <w:rPr>
          <w:rFonts w:hint="eastAsia"/>
          <w:color w:val="auto"/>
          <w:sz w:val="32"/>
          <w:szCs w:val="32"/>
        </w:rPr>
      </w:pPr>
      <w:bookmarkStart w:id="1" w:name="_Toc32410"/>
      <w:bookmarkStart w:id="2" w:name="_Toc6435"/>
      <w:r>
        <w:rPr>
          <w:rFonts w:hint="eastAsia" w:ascii="黑体" w:hAnsi="黑体" w:eastAsia="黑体" w:cs="黑体"/>
          <w:b/>
          <w:color w:val="auto"/>
          <w:sz w:val="32"/>
          <w:szCs w:val="32"/>
          <w:lang w:val="en-US" w:eastAsia="zh-CN"/>
        </w:rPr>
        <w:t>广西电网公司</w:t>
      </w:r>
      <w:r>
        <w:rPr>
          <w:rFonts w:hint="eastAsia" w:ascii="黑体" w:hAnsi="黑体" w:eastAsia="黑体" w:cs="黑体"/>
          <w:b/>
          <w:color w:val="auto"/>
          <w:sz w:val="32"/>
          <w:szCs w:val="32"/>
        </w:rPr>
        <w:t>物业管理服务项目服务标准</w:t>
      </w:r>
      <w:r>
        <w:rPr>
          <w:rFonts w:hint="eastAsia" w:ascii="黑体" w:hAnsi="黑体" w:eastAsia="黑体" w:cs="黑体"/>
          <w:b/>
          <w:color w:val="auto"/>
          <w:sz w:val="32"/>
          <w:szCs w:val="32"/>
          <w:lang w:eastAsia="zh-CN"/>
        </w:rPr>
        <w:t>及</w:t>
      </w:r>
      <w:r>
        <w:rPr>
          <w:rFonts w:hint="eastAsia" w:ascii="黑体" w:hAnsi="黑体" w:eastAsia="黑体" w:cs="黑体"/>
          <w:b/>
          <w:color w:val="auto"/>
          <w:sz w:val="32"/>
          <w:szCs w:val="32"/>
          <w:lang w:val="en-US" w:eastAsia="zh-CN"/>
        </w:rPr>
        <w:t>要求</w:t>
      </w:r>
      <w:bookmarkEnd w:id="1"/>
      <w:bookmarkEnd w:id="2"/>
    </w:p>
    <w:p w14:paraId="775BB9D6">
      <w:pPr>
        <w:pStyle w:val="4"/>
        <w:keepNext w:val="0"/>
        <w:keepLines w:val="0"/>
        <w:pageBreakBefore w:val="0"/>
        <w:widowControl w:val="0"/>
        <w:kinsoku/>
        <w:wordWrap/>
        <w:overflowPunct/>
        <w:topLinePunct w:val="0"/>
        <w:autoSpaceDE/>
        <w:autoSpaceDN/>
        <w:bidi w:val="0"/>
        <w:adjustRightInd/>
        <w:snapToGrid/>
        <w:spacing w:before="0" w:after="0" w:line="580" w:lineRule="exact"/>
        <w:ind w:left="0" w:leftChars="0" w:firstLine="402" w:firstLineChars="200"/>
        <w:textAlignment w:val="auto"/>
        <w:outlineLvl w:val="9"/>
        <w:rPr>
          <w:rFonts w:hint="eastAsia" w:ascii="黑体" w:hAnsi="黑体" w:eastAsia="黑体" w:cs="黑体"/>
          <w:b/>
          <w:bCs w:val="0"/>
          <w:color w:val="auto"/>
          <w:sz w:val="20"/>
          <w:szCs w:val="20"/>
          <w:highlight w:val="none"/>
          <w:lang w:val="en-US" w:eastAsia="zh-CN"/>
        </w:rPr>
      </w:pPr>
    </w:p>
    <w:p w14:paraId="29A2DA14">
      <w:pPr>
        <w:pStyle w:val="4"/>
        <w:keepNext w:val="0"/>
        <w:keepLines w:val="0"/>
        <w:pageBreakBefore w:val="0"/>
        <w:widowControl w:val="0"/>
        <w:kinsoku/>
        <w:wordWrap/>
        <w:overflowPunct/>
        <w:topLinePunct w:val="0"/>
        <w:autoSpaceDE/>
        <w:autoSpaceDN/>
        <w:bidi w:val="0"/>
        <w:adjustRightInd/>
        <w:snapToGrid/>
        <w:spacing w:before="0" w:after="0" w:line="580" w:lineRule="exact"/>
        <w:textAlignment w:val="auto"/>
        <w:rPr>
          <w:rFonts w:hint="eastAsia" w:ascii="黑体" w:hAnsi="黑体" w:eastAsia="黑体" w:cs="黑体"/>
          <w:b/>
          <w:bCs w:val="0"/>
          <w:color w:val="auto"/>
          <w:sz w:val="20"/>
          <w:szCs w:val="20"/>
          <w:highlight w:val="none"/>
          <w:lang w:val="en-US" w:eastAsia="zh-CN"/>
        </w:rPr>
      </w:pPr>
      <w:bookmarkStart w:id="3" w:name="_Toc18594"/>
      <w:bookmarkStart w:id="4" w:name="_Toc25524"/>
      <w:r>
        <w:rPr>
          <w:rFonts w:hint="eastAsia" w:ascii="黑体" w:hAnsi="黑体" w:eastAsia="黑体" w:cs="黑体"/>
          <w:b/>
          <w:bCs w:val="0"/>
          <w:color w:val="auto"/>
          <w:sz w:val="20"/>
          <w:szCs w:val="20"/>
          <w:highlight w:val="none"/>
          <w:lang w:val="en-US" w:eastAsia="zh-CN"/>
        </w:rPr>
        <w:t>一、项目总体概况</w:t>
      </w:r>
      <w:bookmarkEnd w:id="0"/>
      <w:bookmarkEnd w:id="3"/>
      <w:bookmarkEnd w:id="4"/>
    </w:p>
    <w:p w14:paraId="1BEAC2EB">
      <w:pPr>
        <w:keepNext w:val="0"/>
        <w:keepLines w:val="0"/>
        <w:pageBreakBefore w:val="0"/>
        <w:widowControl w:val="0"/>
        <w:kinsoku/>
        <w:wordWrap/>
        <w:overflowPunct/>
        <w:topLinePunct w:val="0"/>
        <w:autoSpaceDE/>
        <w:autoSpaceDN/>
        <w:bidi w:val="0"/>
        <w:adjustRightInd/>
        <w:snapToGrid/>
        <w:spacing w:line="580" w:lineRule="exact"/>
        <w:ind w:firstLine="600" w:firstLineChars="300"/>
        <w:textAlignment w:val="auto"/>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对广西电网公司</w:t>
      </w:r>
      <w:r>
        <w:rPr>
          <w:rFonts w:hint="eastAsia" w:ascii="宋体" w:hAnsi="宋体" w:eastAsia="宋体" w:cs="宋体"/>
          <w:color w:val="auto"/>
          <w:sz w:val="20"/>
          <w:szCs w:val="20"/>
          <w:highlight w:val="none"/>
          <w:lang w:val="en-US" w:eastAsia="zh-CN"/>
        </w:rPr>
        <w:t>所属</w:t>
      </w:r>
      <w:r>
        <w:rPr>
          <w:rFonts w:hint="eastAsia" w:ascii="宋体" w:hAnsi="宋体" w:cs="宋体"/>
          <w:color w:val="auto"/>
          <w:sz w:val="20"/>
          <w:szCs w:val="20"/>
          <w:highlight w:val="none"/>
          <w:lang w:val="en-US" w:eastAsia="zh-CN"/>
        </w:rPr>
        <w:t>各单位</w:t>
      </w:r>
      <w:r>
        <w:rPr>
          <w:rFonts w:hint="eastAsia" w:ascii="宋体" w:hAnsi="宋体" w:eastAsia="宋体" w:cs="宋体"/>
          <w:color w:val="auto"/>
          <w:sz w:val="20"/>
          <w:szCs w:val="20"/>
          <w:highlight w:val="none"/>
          <w:lang w:val="en-US" w:eastAsia="zh-CN"/>
        </w:rPr>
        <w:t>的办公、生产、生活</w:t>
      </w:r>
      <w:r>
        <w:rPr>
          <w:rFonts w:hint="eastAsia" w:ascii="宋体" w:hAnsi="宋体" w:cs="宋体"/>
          <w:color w:val="auto"/>
          <w:sz w:val="20"/>
          <w:szCs w:val="20"/>
          <w:highlight w:val="none"/>
          <w:lang w:val="en-US" w:eastAsia="zh-CN"/>
        </w:rPr>
        <w:t>、培训</w:t>
      </w:r>
      <w:r>
        <w:rPr>
          <w:rFonts w:hint="eastAsia" w:ascii="宋体" w:hAnsi="宋体" w:eastAsia="宋体" w:cs="宋体"/>
          <w:color w:val="auto"/>
          <w:sz w:val="20"/>
          <w:szCs w:val="20"/>
          <w:highlight w:val="none"/>
          <w:lang w:val="en-US" w:eastAsia="zh-CN"/>
        </w:rPr>
        <w:t>等场所实行专业化、一体化的物业管理服务，具体服务内容如下：</w:t>
      </w:r>
    </w:p>
    <w:p w14:paraId="1566B557">
      <w:pPr>
        <w:keepNext w:val="0"/>
        <w:keepLines w:val="0"/>
        <w:pageBreakBefore w:val="0"/>
        <w:widowControl w:val="0"/>
        <w:kinsoku/>
        <w:wordWrap/>
        <w:overflowPunct/>
        <w:topLinePunct w:val="0"/>
        <w:autoSpaceDE/>
        <w:autoSpaceDN/>
        <w:bidi w:val="0"/>
        <w:adjustRightInd/>
        <w:snapToGrid/>
        <w:spacing w:line="580" w:lineRule="exact"/>
        <w:ind w:firstLine="402" w:firstLineChars="200"/>
        <w:textAlignment w:val="auto"/>
        <w:rPr>
          <w:rFonts w:hint="eastAsia" w:ascii="宋体" w:hAnsi="宋体" w:eastAsia="宋体" w:cs="宋体"/>
          <w:color w:val="auto"/>
          <w:sz w:val="20"/>
          <w:szCs w:val="20"/>
          <w:highlight w:val="none"/>
          <w:lang w:eastAsia="zh-CN"/>
        </w:rPr>
      </w:pPr>
      <w:r>
        <w:rPr>
          <w:rFonts w:hint="eastAsia" w:ascii="宋体" w:hAnsi="宋体" w:eastAsia="宋体" w:cs="宋体"/>
          <w:b/>
          <w:bCs/>
          <w:color w:val="auto"/>
          <w:sz w:val="20"/>
          <w:szCs w:val="20"/>
          <w:highlight w:val="none"/>
          <w:lang w:eastAsia="zh-CN"/>
        </w:rPr>
        <w:t>（</w:t>
      </w:r>
      <w:r>
        <w:rPr>
          <w:rFonts w:hint="eastAsia" w:ascii="宋体" w:hAnsi="宋体" w:eastAsia="宋体" w:cs="宋体"/>
          <w:b/>
          <w:bCs/>
          <w:color w:val="auto"/>
          <w:sz w:val="20"/>
          <w:szCs w:val="20"/>
          <w:highlight w:val="none"/>
          <w:lang w:val="en-US" w:eastAsia="zh-CN"/>
        </w:rPr>
        <w:t>1）</w:t>
      </w:r>
      <w:r>
        <w:rPr>
          <w:rFonts w:hint="eastAsia" w:ascii="宋体" w:hAnsi="宋体" w:cs="宋体"/>
          <w:b/>
          <w:bCs/>
          <w:color w:val="auto"/>
          <w:sz w:val="20"/>
          <w:szCs w:val="20"/>
          <w:highlight w:val="none"/>
          <w:lang w:val="en-US" w:eastAsia="zh-CN"/>
        </w:rPr>
        <w:t>物业管理服务项目内容：</w:t>
      </w:r>
      <w:r>
        <w:rPr>
          <w:rFonts w:hint="eastAsia" w:ascii="宋体" w:hAnsi="宋体" w:cs="宋体"/>
          <w:color w:val="auto"/>
          <w:sz w:val="20"/>
          <w:szCs w:val="20"/>
          <w:highlight w:val="none"/>
          <w:lang w:val="en-US" w:eastAsia="zh-CN"/>
        </w:rPr>
        <w:t>开展</w:t>
      </w:r>
      <w:r>
        <w:rPr>
          <w:rFonts w:hint="eastAsia" w:ascii="宋体" w:hAnsi="宋体" w:eastAsia="宋体" w:cs="宋体"/>
          <w:color w:val="auto"/>
          <w:sz w:val="20"/>
          <w:szCs w:val="20"/>
          <w:highlight w:val="none"/>
          <w:lang w:eastAsia="zh-CN"/>
        </w:rPr>
        <w:t>办公</w:t>
      </w:r>
      <w:r>
        <w:rPr>
          <w:rFonts w:hint="eastAsia" w:ascii="宋体" w:hAnsi="宋体" w:cs="宋体"/>
          <w:color w:val="auto"/>
          <w:sz w:val="20"/>
          <w:szCs w:val="20"/>
          <w:highlight w:val="none"/>
          <w:lang w:val="en-US" w:eastAsia="zh-CN"/>
        </w:rPr>
        <w:t>及</w:t>
      </w:r>
      <w:r>
        <w:rPr>
          <w:rFonts w:hint="eastAsia" w:ascii="宋体" w:hAnsi="宋体" w:eastAsia="宋体" w:cs="宋体"/>
          <w:color w:val="auto"/>
          <w:sz w:val="20"/>
          <w:szCs w:val="20"/>
          <w:highlight w:val="none"/>
          <w:lang w:eastAsia="zh-CN"/>
        </w:rPr>
        <w:t>生产场所物业管理</w:t>
      </w:r>
      <w:r>
        <w:rPr>
          <w:rFonts w:hint="eastAsia" w:ascii="宋体" w:hAnsi="宋体" w:cs="宋体"/>
          <w:color w:val="auto"/>
          <w:sz w:val="20"/>
          <w:szCs w:val="20"/>
          <w:highlight w:val="none"/>
          <w:lang w:eastAsia="zh-CN"/>
        </w:rPr>
        <w:t>、</w:t>
      </w:r>
      <w:r>
        <w:rPr>
          <w:rFonts w:hint="eastAsia" w:ascii="宋体" w:hAnsi="宋体" w:eastAsia="宋体" w:cs="宋体"/>
          <w:color w:val="auto"/>
          <w:sz w:val="20"/>
          <w:szCs w:val="20"/>
          <w:highlight w:val="none"/>
          <w:lang w:eastAsia="zh-CN"/>
        </w:rPr>
        <w:t>绿化维护</w:t>
      </w:r>
      <w:r>
        <w:rPr>
          <w:rFonts w:hint="eastAsia" w:ascii="宋体" w:hAnsi="宋体" w:cs="宋体"/>
          <w:color w:val="auto"/>
          <w:sz w:val="20"/>
          <w:szCs w:val="20"/>
          <w:highlight w:val="none"/>
          <w:lang w:eastAsia="zh-CN"/>
        </w:rPr>
        <w:t>、</w:t>
      </w:r>
      <w:r>
        <w:rPr>
          <w:rFonts w:hint="eastAsia" w:ascii="宋体" w:hAnsi="宋体" w:eastAsia="宋体" w:cs="宋体"/>
          <w:color w:val="auto"/>
          <w:sz w:val="20"/>
          <w:szCs w:val="20"/>
          <w:highlight w:val="none"/>
          <w:lang w:eastAsia="zh-CN"/>
        </w:rPr>
        <w:t>生产秩序维护服务</w:t>
      </w:r>
      <w:r>
        <w:rPr>
          <w:rFonts w:hint="eastAsia" w:ascii="宋体" w:hAnsi="宋体" w:cs="宋体"/>
          <w:color w:val="auto"/>
          <w:sz w:val="20"/>
          <w:szCs w:val="20"/>
          <w:highlight w:val="none"/>
          <w:lang w:eastAsia="zh-CN"/>
        </w:rPr>
        <w:t>、</w:t>
      </w:r>
      <w:r>
        <w:rPr>
          <w:rFonts w:hint="eastAsia" w:ascii="宋体" w:hAnsi="宋体" w:eastAsia="宋体" w:cs="宋体"/>
          <w:color w:val="auto"/>
          <w:sz w:val="20"/>
          <w:szCs w:val="20"/>
          <w:highlight w:val="none"/>
          <w:lang w:eastAsia="zh-CN"/>
        </w:rPr>
        <w:t>行政</w:t>
      </w:r>
      <w:r>
        <w:rPr>
          <w:rFonts w:hint="eastAsia" w:ascii="宋体" w:hAnsi="宋体" w:cs="宋体"/>
          <w:color w:val="auto"/>
          <w:sz w:val="20"/>
          <w:szCs w:val="20"/>
          <w:highlight w:val="none"/>
          <w:lang w:val="en-US" w:eastAsia="zh-CN"/>
        </w:rPr>
        <w:t>后勤服务</w:t>
      </w:r>
      <w:r>
        <w:rPr>
          <w:rFonts w:hint="eastAsia" w:ascii="宋体" w:hAnsi="宋体" w:cs="宋体"/>
          <w:color w:val="auto"/>
          <w:sz w:val="20"/>
          <w:szCs w:val="20"/>
          <w:highlight w:val="none"/>
          <w:lang w:eastAsia="zh-CN"/>
        </w:rPr>
        <w:t>、</w:t>
      </w:r>
      <w:r>
        <w:rPr>
          <w:rFonts w:hint="eastAsia" w:ascii="宋体" w:hAnsi="宋体" w:eastAsia="宋体" w:cs="宋体"/>
          <w:color w:val="auto"/>
          <w:sz w:val="20"/>
          <w:szCs w:val="20"/>
          <w:highlight w:val="none"/>
          <w:lang w:eastAsia="zh-CN"/>
        </w:rPr>
        <w:t>食堂餐饮外委、</w:t>
      </w:r>
      <w:r>
        <w:rPr>
          <w:rFonts w:hint="eastAsia" w:ascii="宋体" w:hAnsi="宋体" w:cs="宋体"/>
          <w:color w:val="auto"/>
          <w:sz w:val="20"/>
          <w:szCs w:val="20"/>
          <w:highlight w:val="none"/>
          <w:lang w:eastAsia="zh-CN"/>
        </w:rPr>
        <w:t>食堂物业管理、</w:t>
      </w:r>
      <w:r>
        <w:rPr>
          <w:rFonts w:hint="eastAsia" w:ascii="宋体" w:hAnsi="宋体" w:eastAsia="宋体" w:cs="宋体"/>
          <w:color w:val="auto"/>
          <w:sz w:val="20"/>
          <w:szCs w:val="20"/>
          <w:highlight w:val="none"/>
          <w:lang w:eastAsia="zh-CN"/>
        </w:rPr>
        <w:t>周转房</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员工宿舍等）生活场所</w:t>
      </w:r>
      <w:r>
        <w:rPr>
          <w:rFonts w:hint="eastAsia" w:ascii="宋体" w:hAnsi="宋体" w:eastAsia="宋体" w:cs="宋体"/>
          <w:color w:val="auto"/>
          <w:sz w:val="20"/>
          <w:szCs w:val="20"/>
          <w:highlight w:val="none"/>
          <w:lang w:eastAsia="zh-CN"/>
        </w:rPr>
        <w:t>管理</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职工活动场所、消防管理等服务工作</w:t>
      </w:r>
      <w:r>
        <w:rPr>
          <w:rFonts w:hint="eastAsia" w:ascii="宋体" w:hAnsi="宋体" w:eastAsia="宋体" w:cs="宋体"/>
          <w:color w:val="auto"/>
          <w:sz w:val="20"/>
          <w:szCs w:val="20"/>
          <w:highlight w:val="none"/>
          <w:lang w:eastAsia="zh-CN"/>
        </w:rPr>
        <w:t>，</w:t>
      </w:r>
      <w:r>
        <w:rPr>
          <w:rFonts w:hint="eastAsia" w:ascii="宋体" w:hAnsi="宋体" w:cs="宋体"/>
          <w:color w:val="auto"/>
          <w:sz w:val="20"/>
          <w:szCs w:val="20"/>
          <w:highlight w:val="none"/>
          <w:lang w:val="en-US" w:eastAsia="zh-CN"/>
        </w:rPr>
        <w:t>具体的服务内容、服务面积、</w:t>
      </w:r>
      <w:r>
        <w:rPr>
          <w:rFonts w:hint="eastAsia" w:ascii="宋体" w:hAnsi="宋体" w:eastAsia="宋体" w:cs="宋体"/>
          <w:color w:val="auto"/>
          <w:sz w:val="20"/>
          <w:szCs w:val="20"/>
          <w:highlight w:val="none"/>
          <w:lang w:eastAsia="zh-CN"/>
        </w:rPr>
        <w:t>服务期限</w:t>
      </w:r>
      <w:r>
        <w:rPr>
          <w:rFonts w:hint="eastAsia" w:ascii="宋体" w:hAnsi="宋体" w:cs="宋体"/>
          <w:color w:val="auto"/>
          <w:sz w:val="20"/>
          <w:szCs w:val="20"/>
          <w:highlight w:val="none"/>
          <w:lang w:val="en-US" w:eastAsia="zh-CN"/>
        </w:rPr>
        <w:t>以各单位需求为准，总价进行结算</w:t>
      </w:r>
      <w:r>
        <w:rPr>
          <w:rFonts w:hint="eastAsia" w:ascii="宋体" w:hAnsi="宋体" w:eastAsia="宋体" w:cs="宋体"/>
          <w:color w:val="auto"/>
          <w:sz w:val="20"/>
          <w:szCs w:val="20"/>
          <w:highlight w:val="none"/>
          <w:lang w:eastAsia="zh-CN"/>
        </w:rPr>
        <w:t>。原则上不允许将本物业管理服务项目整体转、分包，中标服务商经采购方同意后可选聘专业公司承担本物业项目的专项业务服务，但相关业务分包服务不得损害采购方利益。</w:t>
      </w:r>
    </w:p>
    <w:p w14:paraId="52F1A328">
      <w:pPr>
        <w:keepNext w:val="0"/>
        <w:keepLines w:val="0"/>
        <w:pageBreakBefore w:val="0"/>
        <w:widowControl w:val="0"/>
        <w:kinsoku/>
        <w:wordWrap/>
        <w:overflowPunct/>
        <w:topLinePunct w:val="0"/>
        <w:autoSpaceDE/>
        <w:autoSpaceDN/>
        <w:bidi w:val="0"/>
        <w:adjustRightInd/>
        <w:snapToGrid/>
        <w:spacing w:line="580" w:lineRule="exact"/>
        <w:ind w:firstLine="402" w:firstLineChars="200"/>
        <w:textAlignment w:val="auto"/>
        <w:rPr>
          <w:rFonts w:hint="eastAsia" w:ascii="黑体" w:hAnsi="黑体" w:eastAsia="黑体" w:cs="黑体"/>
          <w:b/>
          <w:bCs w:val="0"/>
          <w:color w:val="auto"/>
          <w:sz w:val="20"/>
          <w:szCs w:val="20"/>
          <w:highlight w:val="none"/>
          <w:lang w:val="en-US" w:eastAsia="zh-CN"/>
        </w:rPr>
      </w:pPr>
      <w:r>
        <w:rPr>
          <w:rFonts w:hint="eastAsia" w:ascii="宋体" w:hAnsi="宋体" w:eastAsia="宋体" w:cs="宋体"/>
          <w:b/>
          <w:bCs/>
          <w:color w:val="auto"/>
          <w:sz w:val="20"/>
          <w:szCs w:val="20"/>
          <w:highlight w:val="none"/>
          <w:lang w:eastAsia="zh-CN"/>
        </w:rPr>
        <w:t>（</w:t>
      </w:r>
      <w:r>
        <w:rPr>
          <w:rFonts w:hint="eastAsia" w:ascii="宋体" w:hAnsi="宋体" w:eastAsia="宋体" w:cs="宋体"/>
          <w:b/>
          <w:bCs/>
          <w:color w:val="auto"/>
          <w:sz w:val="20"/>
          <w:szCs w:val="20"/>
          <w:highlight w:val="none"/>
          <w:lang w:val="en-US" w:eastAsia="zh-CN"/>
        </w:rPr>
        <w:t>2</w:t>
      </w:r>
      <w:r>
        <w:rPr>
          <w:rFonts w:hint="eastAsia" w:ascii="宋体" w:hAnsi="宋体" w:eastAsia="宋体" w:cs="宋体"/>
          <w:b/>
          <w:bCs/>
          <w:color w:val="auto"/>
          <w:sz w:val="20"/>
          <w:szCs w:val="20"/>
          <w:highlight w:val="none"/>
          <w:lang w:eastAsia="zh-CN"/>
        </w:rPr>
        <w:t>）</w:t>
      </w:r>
      <w:r>
        <w:rPr>
          <w:rFonts w:hint="eastAsia" w:ascii="宋体" w:hAnsi="宋体" w:cs="宋体"/>
          <w:b/>
          <w:bCs/>
          <w:color w:val="auto"/>
          <w:sz w:val="20"/>
          <w:szCs w:val="20"/>
          <w:highlight w:val="none"/>
          <w:lang w:val="en-US" w:eastAsia="zh-CN"/>
        </w:rPr>
        <w:t>其他服务项目内容</w:t>
      </w:r>
      <w:r>
        <w:rPr>
          <w:rFonts w:hint="eastAsia" w:ascii="宋体" w:hAnsi="宋体" w:cs="宋体"/>
          <w:b/>
          <w:bCs/>
          <w:color w:val="auto"/>
          <w:sz w:val="20"/>
          <w:szCs w:val="20"/>
          <w:highlight w:val="none"/>
          <w:lang w:eastAsia="zh-CN"/>
        </w:rPr>
        <w:t>：</w:t>
      </w:r>
      <w:r>
        <w:rPr>
          <w:rFonts w:hint="eastAsia" w:ascii="宋体" w:hAnsi="宋体" w:cs="宋体"/>
          <w:color w:val="auto"/>
          <w:sz w:val="20"/>
          <w:szCs w:val="20"/>
          <w:highlight w:val="none"/>
          <w:lang w:val="en-US" w:eastAsia="zh-CN"/>
        </w:rPr>
        <w:t>开展</w:t>
      </w:r>
      <w:r>
        <w:rPr>
          <w:rFonts w:hint="eastAsia" w:ascii="宋体" w:hAnsi="宋体" w:eastAsia="宋体" w:cs="宋体"/>
          <w:color w:val="auto"/>
          <w:sz w:val="20"/>
          <w:szCs w:val="20"/>
          <w:highlight w:val="none"/>
          <w:lang w:eastAsia="zh-CN"/>
        </w:rPr>
        <w:t>车辆驾驶业务外委服务、</w:t>
      </w:r>
      <w:r>
        <w:rPr>
          <w:rFonts w:hint="eastAsia" w:ascii="宋体" w:hAnsi="宋体" w:eastAsia="宋体" w:cs="宋体"/>
          <w:color w:val="auto"/>
          <w:sz w:val="20"/>
          <w:szCs w:val="20"/>
          <w:highlight w:val="none"/>
          <w:lang w:val="en-US" w:eastAsia="zh-CN"/>
        </w:rPr>
        <w:t>环境治理、</w:t>
      </w:r>
      <w:r>
        <w:rPr>
          <w:rFonts w:hint="eastAsia" w:ascii="宋体" w:hAnsi="宋体" w:eastAsia="宋体" w:cs="宋体"/>
          <w:color w:val="auto"/>
          <w:sz w:val="20"/>
          <w:szCs w:val="20"/>
          <w:highlight w:val="none"/>
          <w:lang w:eastAsia="zh-CN"/>
        </w:rPr>
        <w:t>搬运服务、</w:t>
      </w:r>
      <w:r>
        <w:rPr>
          <w:rFonts w:hint="eastAsia" w:ascii="宋体" w:hAnsi="宋体" w:eastAsia="宋体" w:cs="宋体"/>
          <w:color w:val="auto"/>
          <w:sz w:val="20"/>
          <w:szCs w:val="20"/>
          <w:highlight w:val="none"/>
          <w:lang w:val="en-US" w:eastAsia="zh-CN"/>
        </w:rPr>
        <w:t>车辆清洁、</w:t>
      </w:r>
      <w:r>
        <w:rPr>
          <w:rFonts w:hint="eastAsia" w:ascii="宋体" w:hAnsi="宋体" w:eastAsia="宋体" w:cs="宋体"/>
          <w:color w:val="auto"/>
          <w:sz w:val="20"/>
          <w:szCs w:val="20"/>
          <w:highlight w:val="none"/>
          <w:lang w:eastAsia="zh-CN"/>
        </w:rPr>
        <w:t>窗帘布艺清洗、员工工装清洗、</w:t>
      </w:r>
      <w:r>
        <w:rPr>
          <w:rFonts w:hint="eastAsia" w:ascii="宋体" w:hAnsi="宋体" w:eastAsia="宋体" w:cs="宋体"/>
          <w:color w:val="auto"/>
          <w:sz w:val="20"/>
          <w:szCs w:val="20"/>
          <w:highlight w:val="none"/>
          <w:lang w:val="en-US" w:eastAsia="zh-CN"/>
        </w:rPr>
        <w:t>理发</w:t>
      </w:r>
      <w:r>
        <w:rPr>
          <w:rFonts w:hint="eastAsia" w:ascii="宋体" w:hAnsi="宋体" w:eastAsia="宋体" w:cs="宋体"/>
          <w:color w:val="auto"/>
          <w:sz w:val="20"/>
          <w:szCs w:val="20"/>
          <w:highlight w:val="none"/>
          <w:lang w:eastAsia="zh-CN"/>
        </w:rPr>
        <w:t>、不动产租赁服务、盆栽绿植</w:t>
      </w:r>
      <w:r>
        <w:rPr>
          <w:rFonts w:hint="eastAsia" w:ascii="宋体" w:hAnsi="宋体" w:eastAsia="宋体" w:cs="宋体"/>
          <w:color w:val="auto"/>
          <w:sz w:val="20"/>
          <w:szCs w:val="20"/>
          <w:highlight w:val="none"/>
          <w:lang w:val="en-US" w:eastAsia="zh-CN"/>
        </w:rPr>
        <w:t>租赁</w:t>
      </w:r>
      <w:r>
        <w:rPr>
          <w:rFonts w:hint="eastAsia" w:ascii="宋体" w:hAnsi="宋体" w:eastAsia="宋体" w:cs="宋体"/>
          <w:color w:val="auto"/>
          <w:sz w:val="20"/>
          <w:szCs w:val="20"/>
          <w:highlight w:val="none"/>
          <w:lang w:eastAsia="zh-CN"/>
        </w:rPr>
        <w:t>购置、空调维保、安防监控</w:t>
      </w:r>
      <w:r>
        <w:rPr>
          <w:rFonts w:hint="eastAsia" w:ascii="宋体" w:hAnsi="宋体" w:cs="宋体"/>
          <w:color w:val="auto"/>
          <w:sz w:val="20"/>
          <w:szCs w:val="20"/>
          <w:highlight w:val="none"/>
          <w:lang w:val="en-US" w:eastAsia="zh-CN"/>
        </w:rPr>
        <w:t>维保</w:t>
      </w:r>
      <w:r>
        <w:rPr>
          <w:rFonts w:hint="eastAsia" w:ascii="宋体" w:hAnsi="宋体" w:eastAsia="宋体" w:cs="宋体"/>
          <w:color w:val="auto"/>
          <w:sz w:val="20"/>
          <w:szCs w:val="20"/>
          <w:highlight w:val="none"/>
          <w:lang w:eastAsia="zh-CN"/>
        </w:rPr>
        <w:t>、道闸</w:t>
      </w:r>
      <w:r>
        <w:rPr>
          <w:rFonts w:hint="eastAsia" w:ascii="宋体" w:hAnsi="宋体" w:cs="宋体"/>
          <w:color w:val="auto"/>
          <w:sz w:val="20"/>
          <w:szCs w:val="20"/>
          <w:highlight w:val="none"/>
          <w:lang w:val="en-US" w:eastAsia="zh-CN"/>
        </w:rPr>
        <w:t>门禁</w:t>
      </w:r>
      <w:r>
        <w:rPr>
          <w:rFonts w:hint="eastAsia" w:ascii="宋体" w:hAnsi="宋体" w:eastAsia="宋体" w:cs="宋体"/>
          <w:color w:val="auto"/>
          <w:sz w:val="20"/>
          <w:szCs w:val="20"/>
          <w:highlight w:val="none"/>
          <w:lang w:eastAsia="zh-CN"/>
        </w:rPr>
        <w:t>维保、消防维保、</w:t>
      </w:r>
      <w:r>
        <w:rPr>
          <w:rFonts w:hint="eastAsia" w:ascii="宋体" w:hAnsi="宋体" w:cs="宋体"/>
          <w:color w:val="auto"/>
          <w:sz w:val="20"/>
          <w:szCs w:val="20"/>
          <w:highlight w:val="none"/>
          <w:lang w:eastAsia="zh-CN"/>
        </w:rPr>
        <w:t>电梯</w:t>
      </w:r>
      <w:r>
        <w:rPr>
          <w:rFonts w:hint="eastAsia" w:ascii="宋体" w:hAnsi="宋体" w:eastAsia="宋体" w:cs="宋体"/>
          <w:color w:val="auto"/>
          <w:sz w:val="20"/>
          <w:szCs w:val="20"/>
          <w:highlight w:val="none"/>
          <w:lang w:eastAsia="zh-CN"/>
        </w:rPr>
        <w:t>维保</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后勤设备维保、办公设备维保、</w:t>
      </w:r>
      <w:r>
        <w:rPr>
          <w:rFonts w:hint="eastAsia" w:ascii="宋体" w:hAnsi="宋体" w:eastAsia="宋体" w:cs="宋体"/>
          <w:color w:val="auto"/>
          <w:sz w:val="20"/>
          <w:szCs w:val="20"/>
          <w:highlight w:val="none"/>
          <w:lang w:val="en-US" w:eastAsia="zh-CN"/>
        </w:rPr>
        <w:t>蚁害防治及除四害、行政后勤作业辅助管理、临时性秩序维护</w:t>
      </w:r>
      <w:r>
        <w:rPr>
          <w:rFonts w:hint="eastAsia" w:ascii="宋体" w:hAnsi="宋体" w:cs="宋体"/>
          <w:color w:val="auto"/>
          <w:sz w:val="20"/>
          <w:szCs w:val="20"/>
          <w:highlight w:val="none"/>
          <w:lang w:val="en-US" w:eastAsia="zh-CN"/>
        </w:rPr>
        <w:t>、应急保障服务</w:t>
      </w:r>
      <w:r>
        <w:rPr>
          <w:rFonts w:hint="eastAsia" w:ascii="宋体" w:hAnsi="宋体" w:eastAsia="宋体" w:cs="宋体"/>
          <w:color w:val="auto"/>
          <w:sz w:val="20"/>
          <w:szCs w:val="20"/>
          <w:highlight w:val="none"/>
          <w:lang w:val="en-US" w:eastAsia="zh-CN"/>
        </w:rPr>
        <w:t>等其他服务工作,</w:t>
      </w:r>
      <w:r>
        <w:rPr>
          <w:rFonts w:hint="eastAsia" w:ascii="宋体" w:hAnsi="宋体" w:cs="宋体"/>
          <w:color w:val="auto"/>
          <w:sz w:val="20"/>
          <w:szCs w:val="20"/>
          <w:highlight w:val="none"/>
          <w:lang w:val="en-US" w:eastAsia="zh-CN"/>
        </w:rPr>
        <w:t>具体的服务内容、</w:t>
      </w:r>
      <w:r>
        <w:rPr>
          <w:rFonts w:hint="eastAsia" w:ascii="宋体" w:hAnsi="宋体" w:eastAsia="宋体" w:cs="宋体"/>
          <w:color w:val="auto"/>
          <w:sz w:val="20"/>
          <w:szCs w:val="20"/>
          <w:highlight w:val="none"/>
          <w:lang w:eastAsia="zh-CN"/>
        </w:rPr>
        <w:t>服务期限</w:t>
      </w:r>
      <w:r>
        <w:rPr>
          <w:rFonts w:hint="eastAsia" w:ascii="宋体" w:hAnsi="宋体" w:cs="宋体"/>
          <w:color w:val="auto"/>
          <w:sz w:val="20"/>
          <w:szCs w:val="20"/>
          <w:highlight w:val="none"/>
          <w:lang w:val="en-US" w:eastAsia="zh-CN"/>
        </w:rPr>
        <w:t>以各单位需求为准，据实进行结算</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其他服务允许分包</w:t>
      </w:r>
      <w:r>
        <w:rPr>
          <w:rFonts w:hint="eastAsia" w:ascii="宋体" w:hAnsi="宋体" w:eastAsia="宋体" w:cs="宋体"/>
          <w:color w:val="auto"/>
          <w:sz w:val="20"/>
          <w:szCs w:val="20"/>
          <w:highlight w:val="none"/>
          <w:lang w:eastAsia="zh-CN"/>
        </w:rPr>
        <w:t>,须报</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eastAsia="zh-CN"/>
        </w:rPr>
        <w:t>同意和备案。（部分分包商资质要求如下：（1）消防系统维保分包商资质要求：在广西社会消防技术服务机构业务信息管理系统上备案，可开展消防设施维护保养业务;（2）电梯维保分包商资质要求：《特种设备生产许可证》电梯类（含修理）B级及以上资质，或《特种设备安装改造维修许可证》（电梯类B级及以上维修资质））。</w:t>
      </w:r>
    </w:p>
    <w:p w14:paraId="12DE443F">
      <w:pPr>
        <w:pStyle w:val="4"/>
        <w:keepNext w:val="0"/>
        <w:keepLines w:val="0"/>
        <w:pageBreakBefore w:val="0"/>
        <w:widowControl w:val="0"/>
        <w:numPr>
          <w:ilvl w:val="0"/>
          <w:numId w:val="0"/>
        </w:numPr>
        <w:kinsoku/>
        <w:wordWrap/>
        <w:overflowPunct/>
        <w:topLinePunct w:val="0"/>
        <w:autoSpaceDE/>
        <w:autoSpaceDN/>
        <w:bidi w:val="0"/>
        <w:adjustRightInd/>
        <w:snapToGrid/>
        <w:spacing w:before="0" w:after="0" w:line="580" w:lineRule="exact"/>
        <w:textAlignment w:val="auto"/>
        <w:rPr>
          <w:rFonts w:hint="eastAsia" w:ascii="黑体" w:hAnsi="黑体" w:eastAsia="黑体" w:cs="黑体"/>
          <w:b/>
          <w:bCs w:val="0"/>
          <w:color w:val="auto"/>
          <w:sz w:val="20"/>
          <w:szCs w:val="20"/>
          <w:highlight w:val="none"/>
          <w:lang w:val="en-US" w:eastAsia="zh-CN"/>
        </w:rPr>
      </w:pPr>
      <w:bookmarkStart w:id="5" w:name="_Toc22895"/>
      <w:bookmarkStart w:id="6" w:name="_Toc12080"/>
      <w:r>
        <w:rPr>
          <w:rFonts w:hint="eastAsia" w:ascii="黑体" w:hAnsi="黑体" w:eastAsia="黑体" w:cs="黑体"/>
          <w:b/>
          <w:bCs w:val="0"/>
          <w:color w:val="auto"/>
          <w:sz w:val="20"/>
          <w:szCs w:val="20"/>
          <w:highlight w:val="none"/>
          <w:lang w:val="en-US" w:eastAsia="zh-CN"/>
        </w:rPr>
        <w:t>二、项目服务标准要求及履约考核</w:t>
      </w:r>
      <w:bookmarkEnd w:id="5"/>
      <w:bookmarkEnd w:id="6"/>
    </w:p>
    <w:p w14:paraId="4A224E45">
      <w:pPr>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br w:type="page"/>
      </w:r>
    </w:p>
    <w:p w14:paraId="523D522C">
      <w:pPr>
        <w:pStyle w:val="4"/>
        <w:keepNext w:val="0"/>
        <w:keepLines w:val="0"/>
        <w:pageBreakBefore w:val="0"/>
        <w:widowControl w:val="0"/>
        <w:numPr>
          <w:ilvl w:val="0"/>
          <w:numId w:val="0"/>
        </w:numPr>
        <w:kinsoku/>
        <w:wordWrap/>
        <w:overflowPunct/>
        <w:topLinePunct w:val="0"/>
        <w:autoSpaceDE/>
        <w:autoSpaceDN/>
        <w:bidi w:val="0"/>
        <w:adjustRightInd/>
        <w:snapToGrid/>
        <w:spacing w:before="0" w:after="0" w:line="580" w:lineRule="exact"/>
        <w:jc w:val="center"/>
        <w:textAlignment w:val="auto"/>
        <w:outlineLvl w:val="1"/>
        <w:rPr>
          <w:rFonts w:hint="eastAsia" w:ascii="宋体" w:hAnsi="宋体" w:eastAsia="宋体" w:cs="宋体"/>
          <w:b/>
          <w:bCs w:val="0"/>
          <w:color w:val="auto"/>
          <w:sz w:val="20"/>
          <w:szCs w:val="20"/>
          <w:highlight w:val="none"/>
          <w:lang w:val="en-US" w:eastAsia="zh-CN"/>
        </w:rPr>
      </w:pPr>
      <w:bookmarkStart w:id="7" w:name="_Toc4834"/>
      <w:bookmarkStart w:id="8" w:name="_Toc15882"/>
      <w:r>
        <w:rPr>
          <w:rFonts w:hint="eastAsia" w:ascii="宋体" w:hAnsi="宋体" w:eastAsia="宋体" w:cs="宋体"/>
          <w:b/>
          <w:bCs w:val="0"/>
          <w:color w:val="auto"/>
          <w:sz w:val="20"/>
          <w:szCs w:val="20"/>
          <w:highlight w:val="none"/>
          <w:lang w:val="en-US" w:eastAsia="zh-CN"/>
        </w:rPr>
        <w:t>（一）</w:t>
      </w:r>
      <w:bookmarkStart w:id="9" w:name="_Toc17948"/>
      <w:bookmarkStart w:id="10" w:name="_Toc13339"/>
      <w:bookmarkStart w:id="11" w:name="_Toc2963"/>
      <w:bookmarkStart w:id="12" w:name="_Toc23439"/>
      <w:r>
        <w:rPr>
          <w:rFonts w:hint="eastAsia" w:ascii="宋体" w:hAnsi="宋体" w:cs="宋体"/>
          <w:b/>
          <w:bCs/>
          <w:color w:val="auto"/>
          <w:sz w:val="20"/>
          <w:szCs w:val="20"/>
          <w:highlight w:val="none"/>
          <w:lang w:val="en-US" w:eastAsia="zh-CN"/>
        </w:rPr>
        <w:t>物业管理服务项目</w:t>
      </w:r>
      <w:bookmarkEnd w:id="7"/>
      <w:bookmarkEnd w:id="8"/>
    </w:p>
    <w:p w14:paraId="28823746">
      <w:pPr>
        <w:bidi w:val="0"/>
        <w:jc w:val="left"/>
        <w:rPr>
          <w:rFonts w:hint="eastAsia"/>
          <w:b/>
          <w:bCs/>
          <w:highlight w:val="none"/>
          <w:lang w:val="en-US" w:eastAsia="zh-CN"/>
        </w:rPr>
      </w:pPr>
    </w:p>
    <w:p w14:paraId="1F4E36AD">
      <w:pPr>
        <w:bidi w:val="0"/>
        <w:jc w:val="left"/>
        <w:rPr>
          <w:rFonts w:hint="eastAsia"/>
          <w:b/>
          <w:bCs/>
          <w:highlight w:val="none"/>
          <w:lang w:val="en-US" w:eastAsia="zh-CN"/>
        </w:rPr>
      </w:pPr>
    </w:p>
    <w:p w14:paraId="04C5EB8C">
      <w:pPr>
        <w:bidi w:val="0"/>
        <w:jc w:val="left"/>
        <w:rPr>
          <w:rFonts w:hint="eastAsia"/>
          <w:b/>
          <w:bCs/>
          <w:highlight w:val="none"/>
        </w:rPr>
      </w:pPr>
      <w:r>
        <w:rPr>
          <w:rFonts w:hint="eastAsia"/>
          <w:b/>
          <w:bCs/>
          <w:highlight w:val="none"/>
          <w:lang w:val="en-US" w:eastAsia="zh-CN"/>
        </w:rPr>
        <w:t>1.</w:t>
      </w:r>
      <w:r>
        <w:rPr>
          <w:rFonts w:hint="eastAsia"/>
          <w:b/>
          <w:bCs/>
          <w:highlight w:val="none"/>
        </w:rPr>
        <w:t>项目服务标准及要求</w:t>
      </w:r>
      <w:bookmarkEnd w:id="9"/>
      <w:bookmarkEnd w:id="10"/>
      <w:bookmarkEnd w:id="11"/>
      <w:bookmarkEnd w:id="12"/>
      <w:bookmarkStart w:id="13" w:name="_Toc28207"/>
      <w:bookmarkStart w:id="14" w:name="_Toc17731"/>
      <w:bookmarkStart w:id="15" w:name="_Toc32461"/>
      <w:bookmarkStart w:id="16" w:name="_Toc555"/>
      <w:bookmarkStart w:id="17" w:name="_Toc19723"/>
      <w:bookmarkStart w:id="18" w:name="_Toc19737"/>
      <w:bookmarkStart w:id="19" w:name="_Toc30625"/>
      <w:bookmarkStart w:id="20" w:name="_Toc31339"/>
      <w:bookmarkStart w:id="21" w:name="_Toc18856"/>
      <w:bookmarkStart w:id="22" w:name="_Toc2734"/>
      <w:bookmarkStart w:id="23" w:name="_Toc13675"/>
      <w:bookmarkStart w:id="24" w:name="_Toc3540"/>
      <w:bookmarkStart w:id="25" w:name="_Toc25955"/>
    </w:p>
    <w:p w14:paraId="525F894A">
      <w:pPr>
        <w:bidi w:val="0"/>
        <w:jc w:val="left"/>
        <w:rPr>
          <w:rFonts w:hint="eastAsia"/>
          <w:b/>
          <w:bCs/>
          <w:highlight w:val="none"/>
        </w:rPr>
      </w:pPr>
      <w:bookmarkStart w:id="26" w:name="_Toc2885"/>
      <w:bookmarkStart w:id="27" w:name="_Toc27"/>
      <w:bookmarkStart w:id="28" w:name="_Toc6604"/>
      <w:bookmarkStart w:id="29" w:name="_Toc28288"/>
      <w:r>
        <w:rPr>
          <w:rFonts w:hint="eastAsia"/>
          <w:b/>
          <w:bCs/>
          <w:highlight w:val="none"/>
          <w:lang w:val="en-US" w:eastAsia="zh-CN"/>
        </w:rPr>
        <w:t>1.1</w:t>
      </w:r>
      <w:r>
        <w:rPr>
          <w:rFonts w:hint="eastAsia"/>
          <w:b/>
          <w:bCs/>
          <w:highlight w:val="none"/>
        </w:rPr>
        <w:t>项目服务标准</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Start w:id="30" w:name="_Toc12700"/>
      <w:bookmarkStart w:id="31" w:name="_Toc12582"/>
      <w:bookmarkStart w:id="32" w:name="_Toc9748"/>
      <w:bookmarkStart w:id="33" w:name="_Toc19670"/>
      <w:bookmarkStart w:id="34" w:name="_Toc14174"/>
      <w:bookmarkStart w:id="35" w:name="_Toc6590"/>
    </w:p>
    <w:p w14:paraId="0C0C1966">
      <w:pPr>
        <w:bidi w:val="0"/>
        <w:ind w:firstLine="400" w:firstLineChars="200"/>
        <w:jc w:val="left"/>
        <w:rPr>
          <w:rFonts w:hint="eastAsia"/>
          <w:highlight w:val="none"/>
        </w:rPr>
      </w:pPr>
      <w:r>
        <w:rPr>
          <w:rFonts w:hint="eastAsia" w:ascii="宋体" w:hAnsi="宋体" w:eastAsia="宋体" w:cs="宋体"/>
          <w:b w:val="0"/>
          <w:bCs w:val="0"/>
          <w:color w:val="auto"/>
          <w:sz w:val="20"/>
          <w:szCs w:val="20"/>
          <w:highlight w:val="none"/>
        </w:rPr>
        <w:t>服务商在提供</w:t>
      </w:r>
      <w:r>
        <w:rPr>
          <w:rFonts w:hint="eastAsia" w:ascii="宋体" w:hAnsi="宋体" w:eastAsia="宋体" w:cs="宋体"/>
          <w:color w:val="auto"/>
          <w:sz w:val="20"/>
          <w:szCs w:val="20"/>
          <w:highlight w:val="none"/>
          <w:lang w:eastAsia="zh-CN"/>
        </w:rPr>
        <w:t>办公</w:t>
      </w:r>
      <w:r>
        <w:rPr>
          <w:rFonts w:hint="eastAsia" w:ascii="宋体" w:hAnsi="宋体" w:cs="宋体"/>
          <w:color w:val="auto"/>
          <w:sz w:val="20"/>
          <w:szCs w:val="20"/>
          <w:highlight w:val="none"/>
          <w:lang w:val="en-US" w:eastAsia="zh-CN"/>
        </w:rPr>
        <w:t>及</w:t>
      </w:r>
      <w:r>
        <w:rPr>
          <w:rFonts w:hint="eastAsia" w:ascii="宋体" w:hAnsi="宋体" w:eastAsia="宋体" w:cs="宋体"/>
          <w:color w:val="auto"/>
          <w:sz w:val="20"/>
          <w:szCs w:val="20"/>
          <w:highlight w:val="none"/>
          <w:lang w:eastAsia="zh-CN"/>
        </w:rPr>
        <w:t>生产场所物业管理</w:t>
      </w:r>
      <w:r>
        <w:rPr>
          <w:rFonts w:hint="eastAsia" w:ascii="宋体" w:hAnsi="宋体" w:cs="宋体"/>
          <w:color w:val="auto"/>
          <w:sz w:val="20"/>
          <w:szCs w:val="20"/>
          <w:highlight w:val="none"/>
          <w:lang w:eastAsia="zh-CN"/>
        </w:rPr>
        <w:t>、</w:t>
      </w:r>
      <w:r>
        <w:rPr>
          <w:rFonts w:hint="eastAsia" w:ascii="宋体" w:hAnsi="宋体" w:eastAsia="宋体" w:cs="宋体"/>
          <w:color w:val="auto"/>
          <w:sz w:val="20"/>
          <w:szCs w:val="20"/>
          <w:highlight w:val="none"/>
          <w:lang w:eastAsia="zh-CN"/>
        </w:rPr>
        <w:t>绿化维护</w:t>
      </w:r>
      <w:r>
        <w:rPr>
          <w:rFonts w:hint="eastAsia" w:ascii="宋体" w:hAnsi="宋体" w:cs="宋体"/>
          <w:color w:val="auto"/>
          <w:sz w:val="20"/>
          <w:szCs w:val="20"/>
          <w:highlight w:val="none"/>
          <w:lang w:eastAsia="zh-CN"/>
        </w:rPr>
        <w:t>、</w:t>
      </w:r>
      <w:r>
        <w:rPr>
          <w:rFonts w:hint="eastAsia" w:ascii="宋体" w:hAnsi="宋体" w:eastAsia="宋体" w:cs="宋体"/>
          <w:color w:val="auto"/>
          <w:sz w:val="20"/>
          <w:szCs w:val="20"/>
          <w:highlight w:val="none"/>
          <w:lang w:eastAsia="zh-CN"/>
        </w:rPr>
        <w:t>生产秩序维护服务</w:t>
      </w:r>
      <w:r>
        <w:rPr>
          <w:rFonts w:hint="eastAsia" w:ascii="宋体" w:hAnsi="宋体" w:cs="宋体"/>
          <w:color w:val="auto"/>
          <w:sz w:val="20"/>
          <w:szCs w:val="20"/>
          <w:highlight w:val="none"/>
          <w:lang w:eastAsia="zh-CN"/>
        </w:rPr>
        <w:t>、</w:t>
      </w:r>
      <w:r>
        <w:rPr>
          <w:rFonts w:hint="eastAsia" w:ascii="宋体" w:hAnsi="宋体" w:eastAsia="宋体" w:cs="宋体"/>
          <w:color w:val="auto"/>
          <w:sz w:val="20"/>
          <w:szCs w:val="20"/>
          <w:highlight w:val="none"/>
          <w:lang w:eastAsia="zh-CN"/>
        </w:rPr>
        <w:t>行政</w:t>
      </w:r>
      <w:r>
        <w:rPr>
          <w:rFonts w:hint="eastAsia" w:ascii="宋体" w:hAnsi="宋体" w:cs="宋体"/>
          <w:color w:val="auto"/>
          <w:sz w:val="20"/>
          <w:szCs w:val="20"/>
          <w:highlight w:val="none"/>
          <w:lang w:val="en-US" w:eastAsia="zh-CN"/>
        </w:rPr>
        <w:t>后勤服务</w:t>
      </w:r>
      <w:r>
        <w:rPr>
          <w:rFonts w:hint="eastAsia" w:ascii="宋体" w:hAnsi="宋体" w:cs="宋体"/>
          <w:color w:val="auto"/>
          <w:sz w:val="20"/>
          <w:szCs w:val="20"/>
          <w:highlight w:val="none"/>
          <w:lang w:eastAsia="zh-CN"/>
        </w:rPr>
        <w:t>、</w:t>
      </w:r>
      <w:r>
        <w:rPr>
          <w:rFonts w:hint="eastAsia" w:ascii="宋体" w:hAnsi="宋体" w:eastAsia="宋体" w:cs="宋体"/>
          <w:color w:val="auto"/>
          <w:sz w:val="20"/>
          <w:szCs w:val="20"/>
          <w:highlight w:val="none"/>
          <w:lang w:eastAsia="zh-CN"/>
        </w:rPr>
        <w:t>食堂餐饮外委、</w:t>
      </w:r>
      <w:r>
        <w:rPr>
          <w:rFonts w:hint="eastAsia" w:ascii="宋体" w:hAnsi="宋体" w:cs="宋体"/>
          <w:color w:val="auto"/>
          <w:sz w:val="20"/>
          <w:szCs w:val="20"/>
          <w:highlight w:val="none"/>
          <w:lang w:eastAsia="zh-CN"/>
        </w:rPr>
        <w:t>食堂物业管理、</w:t>
      </w:r>
      <w:r>
        <w:rPr>
          <w:rFonts w:hint="eastAsia" w:ascii="宋体" w:hAnsi="宋体" w:eastAsia="宋体" w:cs="宋体"/>
          <w:color w:val="auto"/>
          <w:sz w:val="20"/>
          <w:szCs w:val="20"/>
          <w:highlight w:val="none"/>
          <w:lang w:eastAsia="zh-CN"/>
        </w:rPr>
        <w:t>周转房</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员工宿舍等）生活场所</w:t>
      </w:r>
      <w:r>
        <w:rPr>
          <w:rFonts w:hint="eastAsia" w:ascii="宋体" w:hAnsi="宋体" w:eastAsia="宋体" w:cs="宋体"/>
          <w:color w:val="auto"/>
          <w:sz w:val="20"/>
          <w:szCs w:val="20"/>
          <w:highlight w:val="none"/>
          <w:lang w:eastAsia="zh-CN"/>
        </w:rPr>
        <w:t>管理</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职工活动场所、消防管理等服务工作</w:t>
      </w:r>
      <w:r>
        <w:rPr>
          <w:rFonts w:hint="eastAsia" w:ascii="宋体" w:hAnsi="宋体" w:eastAsia="宋体" w:cs="宋体"/>
          <w:b w:val="0"/>
          <w:bCs w:val="0"/>
          <w:color w:val="auto"/>
          <w:sz w:val="20"/>
          <w:szCs w:val="20"/>
          <w:highlight w:val="none"/>
        </w:rPr>
        <w:t>时，需按照如下标准执行，如国家颁布新的标准时，应按最新的条款执行。</w:t>
      </w:r>
      <w:bookmarkEnd w:id="30"/>
      <w:bookmarkEnd w:id="31"/>
      <w:bookmarkEnd w:id="32"/>
      <w:bookmarkEnd w:id="33"/>
      <w:bookmarkEnd w:id="34"/>
      <w:bookmarkEnd w:id="35"/>
    </w:p>
    <w:tbl>
      <w:tblPr>
        <w:tblStyle w:val="16"/>
        <w:tblpPr w:leftFromText="180" w:rightFromText="180" w:vertAnchor="text" w:horzAnchor="page" w:tblpX="1980" w:tblpY="44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6894"/>
      </w:tblGrid>
      <w:tr w14:paraId="56F89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06" w:type="dxa"/>
            <w:vAlign w:val="center"/>
          </w:tcPr>
          <w:p w14:paraId="61D5F3C8">
            <w:pPr>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 xml:space="preserve">  </w:t>
            </w:r>
            <w:r>
              <w:rPr>
                <w:rFonts w:hint="eastAsia" w:ascii="宋体" w:hAnsi="宋体" w:eastAsia="宋体" w:cs="宋体"/>
                <w:b/>
                <w:bCs/>
                <w:color w:val="auto"/>
                <w:sz w:val="20"/>
                <w:szCs w:val="20"/>
                <w:highlight w:val="none"/>
              </w:rPr>
              <w:t>序号</w:t>
            </w:r>
          </w:p>
        </w:tc>
        <w:tc>
          <w:tcPr>
            <w:tcW w:w="6894" w:type="dxa"/>
            <w:vAlign w:val="center"/>
          </w:tcPr>
          <w:p w14:paraId="41744B90">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rPr>
              <w:t>相关标准</w:t>
            </w:r>
          </w:p>
        </w:tc>
      </w:tr>
      <w:tr w14:paraId="6872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30527A1E">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w:t>
            </w:r>
          </w:p>
        </w:tc>
        <w:tc>
          <w:tcPr>
            <w:tcW w:w="6894" w:type="dxa"/>
            <w:vAlign w:val="center"/>
          </w:tcPr>
          <w:p w14:paraId="00D3DDA9">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《中华人民共和国物权法》</w:t>
            </w:r>
          </w:p>
        </w:tc>
      </w:tr>
      <w:tr w14:paraId="0AB8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17E3D2CC">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2</w:t>
            </w:r>
          </w:p>
        </w:tc>
        <w:tc>
          <w:tcPr>
            <w:tcW w:w="6894" w:type="dxa"/>
            <w:vAlign w:val="center"/>
          </w:tcPr>
          <w:p w14:paraId="3761AF12">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《中华人民共和国城市物业管理条例》</w:t>
            </w:r>
          </w:p>
        </w:tc>
      </w:tr>
      <w:tr w14:paraId="3888C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3F13938E">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3</w:t>
            </w:r>
          </w:p>
        </w:tc>
        <w:tc>
          <w:tcPr>
            <w:tcW w:w="6894" w:type="dxa"/>
            <w:vAlign w:val="center"/>
          </w:tcPr>
          <w:p w14:paraId="05EC4B4E">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《物业服务管理规范》（GB/T 50378-2019）</w:t>
            </w:r>
          </w:p>
        </w:tc>
      </w:tr>
      <w:tr w14:paraId="51267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227FBF01">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4</w:t>
            </w:r>
          </w:p>
        </w:tc>
        <w:tc>
          <w:tcPr>
            <w:tcW w:w="6894" w:type="dxa"/>
            <w:vAlign w:val="center"/>
          </w:tcPr>
          <w:p w14:paraId="34B21080">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《物业服务企业资质标准》（GB/T 50378-2019）</w:t>
            </w:r>
          </w:p>
        </w:tc>
      </w:tr>
      <w:tr w14:paraId="79A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5ED8E527">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5</w:t>
            </w:r>
          </w:p>
        </w:tc>
        <w:tc>
          <w:tcPr>
            <w:tcW w:w="6894" w:type="dxa"/>
            <w:vAlign w:val="center"/>
          </w:tcPr>
          <w:p w14:paraId="198DFA33">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《物业服务质量评价标准》（GB/T 50380-2019）</w:t>
            </w:r>
          </w:p>
        </w:tc>
      </w:tr>
      <w:tr w14:paraId="51B48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05F92C04">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6</w:t>
            </w:r>
          </w:p>
        </w:tc>
        <w:tc>
          <w:tcPr>
            <w:tcW w:w="6894" w:type="dxa"/>
            <w:vAlign w:val="center"/>
          </w:tcPr>
          <w:p w14:paraId="59F27077">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《物业服务企业工作规范》（GB/T 50411-2019）</w:t>
            </w:r>
          </w:p>
        </w:tc>
      </w:tr>
      <w:tr w14:paraId="61DBF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6F861069">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7</w:t>
            </w:r>
          </w:p>
        </w:tc>
        <w:tc>
          <w:tcPr>
            <w:tcW w:w="6894" w:type="dxa"/>
            <w:vAlign w:val="center"/>
          </w:tcPr>
          <w:p w14:paraId="1236CB67">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《物业服务标准》（中国物业管理协会）</w:t>
            </w:r>
          </w:p>
        </w:tc>
      </w:tr>
      <w:tr w14:paraId="13102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2A3F669F">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8</w:t>
            </w:r>
          </w:p>
        </w:tc>
        <w:tc>
          <w:tcPr>
            <w:tcW w:w="6894" w:type="dxa"/>
            <w:vAlign w:val="center"/>
          </w:tcPr>
          <w:p w14:paraId="792578E4">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《物业服务企业管理办法》</w:t>
            </w:r>
          </w:p>
        </w:tc>
      </w:tr>
      <w:tr w14:paraId="283C9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62044837">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9</w:t>
            </w:r>
          </w:p>
        </w:tc>
        <w:tc>
          <w:tcPr>
            <w:tcW w:w="6894" w:type="dxa"/>
            <w:vAlign w:val="center"/>
          </w:tcPr>
          <w:p w14:paraId="392405DF">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《物业服务企业资质管理规定》</w:t>
            </w:r>
          </w:p>
        </w:tc>
      </w:tr>
      <w:tr w14:paraId="319B7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1E573D3C">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10</w:t>
            </w:r>
          </w:p>
        </w:tc>
        <w:tc>
          <w:tcPr>
            <w:tcW w:w="6894" w:type="dxa"/>
            <w:vAlign w:val="center"/>
          </w:tcPr>
          <w:p w14:paraId="504542C3">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《物业服务收费标准》（中国城市物业协会）</w:t>
            </w:r>
          </w:p>
        </w:tc>
      </w:tr>
      <w:tr w14:paraId="70333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39CC22D0">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11</w:t>
            </w:r>
          </w:p>
        </w:tc>
        <w:tc>
          <w:tcPr>
            <w:tcW w:w="6894" w:type="dxa"/>
            <w:vAlign w:val="center"/>
          </w:tcPr>
          <w:p w14:paraId="4AF9BDE2">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《物业服务企业管理规范》（Q/JSYL 001）</w:t>
            </w:r>
          </w:p>
        </w:tc>
      </w:tr>
      <w:tr w14:paraId="6A6B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74E69777">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12</w:t>
            </w:r>
          </w:p>
        </w:tc>
        <w:tc>
          <w:tcPr>
            <w:tcW w:w="6894" w:type="dxa"/>
            <w:vAlign w:val="center"/>
          </w:tcPr>
          <w:p w14:paraId="13E530F7">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《物业服务企业服务规范》（Q/JSYL 002）</w:t>
            </w:r>
          </w:p>
        </w:tc>
      </w:tr>
      <w:tr w14:paraId="28341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1CFF77AE">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13</w:t>
            </w:r>
          </w:p>
        </w:tc>
        <w:tc>
          <w:tcPr>
            <w:tcW w:w="6894" w:type="dxa"/>
            <w:vAlign w:val="center"/>
          </w:tcPr>
          <w:p w14:paraId="6C13DC17">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《物业服务企业收费规范》（Q/JSYL 003）</w:t>
            </w:r>
          </w:p>
        </w:tc>
      </w:tr>
      <w:tr w14:paraId="6DE9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413163ED">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14</w:t>
            </w:r>
          </w:p>
        </w:tc>
        <w:tc>
          <w:tcPr>
            <w:tcW w:w="6894" w:type="dxa"/>
            <w:vAlign w:val="center"/>
          </w:tcPr>
          <w:p w14:paraId="377C3A92">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《物业服务企业诚信经营自律公约》（中国物业服务业协会）</w:t>
            </w:r>
          </w:p>
        </w:tc>
      </w:tr>
      <w:tr w14:paraId="165B5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24A887CC">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15</w:t>
            </w:r>
          </w:p>
        </w:tc>
        <w:tc>
          <w:tcPr>
            <w:tcW w:w="6894" w:type="dxa"/>
            <w:vAlign w:val="center"/>
          </w:tcPr>
          <w:p w14:paraId="2B713506">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《物业服务企业诚信评价标准》（中国房地产业协会）</w:t>
            </w:r>
          </w:p>
        </w:tc>
      </w:tr>
      <w:tr w14:paraId="698A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772655FD">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16</w:t>
            </w:r>
          </w:p>
        </w:tc>
        <w:tc>
          <w:tcPr>
            <w:tcW w:w="6894" w:type="dxa"/>
            <w:vAlign w:val="center"/>
          </w:tcPr>
          <w:p w14:paraId="22C9438F">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《物业服务企业人才素质标准》（中国物业服务业协会）</w:t>
            </w:r>
          </w:p>
        </w:tc>
      </w:tr>
      <w:tr w14:paraId="0AB8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14740B93">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17</w:t>
            </w:r>
          </w:p>
        </w:tc>
        <w:tc>
          <w:tcPr>
            <w:tcW w:w="6894" w:type="dxa"/>
            <w:vAlign w:val="center"/>
          </w:tcPr>
          <w:p w14:paraId="2EEFAE1E">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0"/>
                <w:sz w:val="20"/>
                <w:szCs w:val="20"/>
                <w:highlight w:val="none"/>
                <w:lang w:bidi="ar"/>
              </w:rPr>
              <w:t>《社会消防技术服务管理规定》（中华人民共和国公安部令第129号）</w:t>
            </w:r>
          </w:p>
        </w:tc>
      </w:tr>
      <w:tr w14:paraId="6E6A8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6" w:type="dxa"/>
            <w:vAlign w:val="center"/>
          </w:tcPr>
          <w:p w14:paraId="51F9A056">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18</w:t>
            </w:r>
          </w:p>
        </w:tc>
        <w:tc>
          <w:tcPr>
            <w:tcW w:w="6894" w:type="dxa"/>
            <w:vAlign w:val="center"/>
          </w:tcPr>
          <w:p w14:paraId="7E6883F9">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《广西贯彻〈社会消防技术服务管理规定〉临时资质管理暂行办法》（桂公消〔2014〕28号的有关规定）</w:t>
            </w:r>
          </w:p>
        </w:tc>
      </w:tr>
      <w:tr w14:paraId="4784F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465E66B8">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19</w:t>
            </w:r>
          </w:p>
        </w:tc>
        <w:tc>
          <w:tcPr>
            <w:tcW w:w="6894" w:type="dxa"/>
            <w:vAlign w:val="center"/>
          </w:tcPr>
          <w:p w14:paraId="365817F7">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《建筑消防设施的维护管理》（GB-25201-2010）</w:t>
            </w:r>
          </w:p>
        </w:tc>
      </w:tr>
      <w:tr w14:paraId="16CC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0C791A16">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20</w:t>
            </w:r>
          </w:p>
        </w:tc>
        <w:tc>
          <w:tcPr>
            <w:tcW w:w="6894" w:type="dxa"/>
            <w:vAlign w:val="center"/>
          </w:tcPr>
          <w:p w14:paraId="4FB0D9E4">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《建筑消防设施检测技术规程》（GA503-2004）</w:t>
            </w:r>
          </w:p>
        </w:tc>
      </w:tr>
      <w:tr w14:paraId="7BBD6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01979CCE">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21</w:t>
            </w:r>
          </w:p>
        </w:tc>
        <w:tc>
          <w:tcPr>
            <w:tcW w:w="6894" w:type="dxa"/>
            <w:vAlign w:val="center"/>
          </w:tcPr>
          <w:p w14:paraId="52611010">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《火灾自动报警系统施工及验收规范》（GB50166-2007）</w:t>
            </w:r>
          </w:p>
        </w:tc>
      </w:tr>
      <w:tr w14:paraId="32FF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04BD694C">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22</w:t>
            </w:r>
          </w:p>
        </w:tc>
        <w:tc>
          <w:tcPr>
            <w:tcW w:w="6894" w:type="dxa"/>
            <w:vAlign w:val="center"/>
          </w:tcPr>
          <w:p w14:paraId="44875A42">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《建筑设计防火规范》（GB50016-2014）</w:t>
            </w:r>
          </w:p>
        </w:tc>
      </w:tr>
      <w:tr w14:paraId="3AB78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5EC61B5E">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23</w:t>
            </w:r>
          </w:p>
        </w:tc>
        <w:tc>
          <w:tcPr>
            <w:tcW w:w="6894" w:type="dxa"/>
            <w:vAlign w:val="center"/>
          </w:tcPr>
          <w:p w14:paraId="48C3E1DF">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《火灾自动报警系统设计规范》（GB50116-2013）</w:t>
            </w:r>
          </w:p>
        </w:tc>
      </w:tr>
      <w:tr w14:paraId="3F3B6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1C42739D">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24</w:t>
            </w:r>
          </w:p>
        </w:tc>
        <w:tc>
          <w:tcPr>
            <w:tcW w:w="6894" w:type="dxa"/>
            <w:vAlign w:val="center"/>
          </w:tcPr>
          <w:p w14:paraId="77FD888A">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《自动喷水灭火系统设计规范》（GB50084-2001 2005年版）</w:t>
            </w:r>
          </w:p>
        </w:tc>
      </w:tr>
      <w:tr w14:paraId="3C09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283E0DB1">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25</w:t>
            </w:r>
          </w:p>
        </w:tc>
        <w:tc>
          <w:tcPr>
            <w:tcW w:w="6894" w:type="dxa"/>
            <w:vAlign w:val="center"/>
          </w:tcPr>
          <w:p w14:paraId="421AC94C">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《自动喷水灭火系统施工及验收规范》（GB50261-2005）</w:t>
            </w:r>
          </w:p>
        </w:tc>
      </w:tr>
      <w:tr w14:paraId="34C90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0E14A7DC">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26</w:t>
            </w:r>
          </w:p>
        </w:tc>
        <w:tc>
          <w:tcPr>
            <w:tcW w:w="6894" w:type="dxa"/>
            <w:vAlign w:val="center"/>
          </w:tcPr>
          <w:p w14:paraId="300F9341">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《气体灭火系统设计规范》（GB50370-2006）</w:t>
            </w:r>
          </w:p>
        </w:tc>
      </w:tr>
      <w:tr w14:paraId="24132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205D6A9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27</w:t>
            </w:r>
          </w:p>
        </w:tc>
        <w:tc>
          <w:tcPr>
            <w:tcW w:w="6894" w:type="dxa"/>
            <w:vAlign w:val="center"/>
          </w:tcPr>
          <w:p w14:paraId="7C32831C">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《气体灭火系统施工及验收规范》（GB50263-2007）</w:t>
            </w:r>
          </w:p>
        </w:tc>
      </w:tr>
      <w:tr w14:paraId="2A114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4D644080">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28</w:t>
            </w:r>
          </w:p>
        </w:tc>
        <w:tc>
          <w:tcPr>
            <w:tcW w:w="6894" w:type="dxa"/>
            <w:vAlign w:val="center"/>
          </w:tcPr>
          <w:p w14:paraId="767BA770">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《建筑灭火器配置验收及检查规范》（GB50444-2008）</w:t>
            </w:r>
          </w:p>
        </w:tc>
      </w:tr>
      <w:tr w14:paraId="3B50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13271F75">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29</w:t>
            </w:r>
          </w:p>
        </w:tc>
        <w:tc>
          <w:tcPr>
            <w:tcW w:w="6894" w:type="dxa"/>
            <w:vAlign w:val="center"/>
          </w:tcPr>
          <w:p w14:paraId="5196B2D0">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《消防安全标志设置要求》（GB15630-2015）</w:t>
            </w:r>
          </w:p>
        </w:tc>
      </w:tr>
    </w:tbl>
    <w:p w14:paraId="3A31D4CD">
      <w:pPr>
        <w:rPr>
          <w:rFonts w:hint="eastAsia" w:ascii="宋体" w:hAnsi="宋体" w:eastAsia="宋体" w:cs="宋体"/>
          <w:b w:val="0"/>
          <w:bCs w:val="0"/>
          <w:color w:val="auto"/>
          <w:sz w:val="20"/>
          <w:szCs w:val="20"/>
          <w:highlight w:val="none"/>
        </w:rPr>
      </w:pPr>
    </w:p>
    <w:tbl>
      <w:tblPr>
        <w:tblStyle w:val="16"/>
        <w:tblW w:w="7764"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6886"/>
      </w:tblGrid>
      <w:tr w14:paraId="30E4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4E239C60">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30</w:t>
            </w:r>
          </w:p>
        </w:tc>
        <w:tc>
          <w:tcPr>
            <w:tcW w:w="6886" w:type="dxa"/>
            <w:noWrap w:val="0"/>
            <w:vAlign w:val="center"/>
          </w:tcPr>
          <w:p w14:paraId="20A342A9">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《建筑消防设施检测技术规范》（GB503-2004）</w:t>
            </w:r>
          </w:p>
        </w:tc>
      </w:tr>
      <w:tr w14:paraId="7EF68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196453C7">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31</w:t>
            </w:r>
          </w:p>
        </w:tc>
        <w:tc>
          <w:tcPr>
            <w:tcW w:w="6886" w:type="dxa"/>
            <w:noWrap w:val="0"/>
            <w:vAlign w:val="center"/>
          </w:tcPr>
          <w:p w14:paraId="04E286E1">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《火灾报警控制器》(GB4717-2005)</w:t>
            </w:r>
          </w:p>
        </w:tc>
      </w:tr>
      <w:tr w14:paraId="29D5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6161B532">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32</w:t>
            </w:r>
          </w:p>
        </w:tc>
        <w:tc>
          <w:tcPr>
            <w:tcW w:w="6886" w:type="dxa"/>
            <w:noWrap w:val="0"/>
            <w:vAlign w:val="center"/>
          </w:tcPr>
          <w:p w14:paraId="482BCFC1">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《消防联动控制系统》(GB16806-2006)</w:t>
            </w:r>
          </w:p>
        </w:tc>
      </w:tr>
      <w:tr w14:paraId="77B06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6764D84F">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33</w:t>
            </w:r>
          </w:p>
        </w:tc>
        <w:tc>
          <w:tcPr>
            <w:tcW w:w="6886" w:type="dxa"/>
            <w:noWrap w:val="0"/>
            <w:vAlign w:val="center"/>
          </w:tcPr>
          <w:p w14:paraId="7FBCEFA2">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《消防应急照明和疏散指示系统》(GB17945-2010)</w:t>
            </w:r>
          </w:p>
        </w:tc>
      </w:tr>
      <w:tr w14:paraId="1B604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74479BDC">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34</w:t>
            </w:r>
          </w:p>
        </w:tc>
        <w:tc>
          <w:tcPr>
            <w:tcW w:w="6886" w:type="dxa"/>
            <w:noWrap w:val="0"/>
            <w:vAlign w:val="center"/>
          </w:tcPr>
          <w:p w14:paraId="4A74D92A">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《防火卷帘》(GB14102-2005)</w:t>
            </w:r>
          </w:p>
        </w:tc>
      </w:tr>
      <w:tr w14:paraId="21962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48FF1ECD">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35</w:t>
            </w:r>
          </w:p>
        </w:tc>
        <w:tc>
          <w:tcPr>
            <w:tcW w:w="6886" w:type="dxa"/>
            <w:noWrap w:val="0"/>
            <w:vAlign w:val="center"/>
          </w:tcPr>
          <w:p w14:paraId="21CD8475">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《火灾自动报警系统设计规范》(GB50116-98)</w:t>
            </w:r>
          </w:p>
        </w:tc>
      </w:tr>
      <w:tr w14:paraId="6CBC7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3F444591">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36</w:t>
            </w:r>
          </w:p>
        </w:tc>
        <w:tc>
          <w:tcPr>
            <w:tcW w:w="6886" w:type="dxa"/>
            <w:noWrap w:val="0"/>
            <w:vAlign w:val="center"/>
          </w:tcPr>
          <w:p w14:paraId="3BEB6F20">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《建筑给水排水设计规范》(GB50015-2003)</w:t>
            </w:r>
          </w:p>
        </w:tc>
      </w:tr>
      <w:tr w14:paraId="678A5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7EAB7CE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37</w:t>
            </w:r>
          </w:p>
        </w:tc>
        <w:tc>
          <w:tcPr>
            <w:tcW w:w="6886" w:type="dxa"/>
            <w:noWrap w:val="0"/>
            <w:vAlign w:val="center"/>
          </w:tcPr>
          <w:p w14:paraId="7A321C0A">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《风机压缩机泵安装工程施工及验收规范》(GB50275-2010 )</w:t>
            </w:r>
          </w:p>
        </w:tc>
      </w:tr>
      <w:tr w14:paraId="33B0B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4374E430">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38</w:t>
            </w:r>
          </w:p>
        </w:tc>
        <w:tc>
          <w:tcPr>
            <w:tcW w:w="6886" w:type="dxa"/>
            <w:noWrap w:val="0"/>
            <w:vAlign w:val="center"/>
          </w:tcPr>
          <w:p w14:paraId="2F1F1DF8">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《电气装置安装工程盘柜及二次回路结线施工及验收规范》(GB50171-92)</w:t>
            </w:r>
          </w:p>
        </w:tc>
      </w:tr>
      <w:tr w14:paraId="0E8D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7689A1EE">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39</w:t>
            </w:r>
          </w:p>
        </w:tc>
        <w:tc>
          <w:tcPr>
            <w:tcW w:w="6886" w:type="dxa"/>
            <w:noWrap w:val="0"/>
            <w:vAlign w:val="center"/>
          </w:tcPr>
          <w:p w14:paraId="4763D31A">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《建筑给排水及采暖工程施工及验收规范》(GB50242-2002)</w:t>
            </w:r>
          </w:p>
        </w:tc>
      </w:tr>
      <w:tr w14:paraId="4E0A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18C55CD0">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40</w:t>
            </w:r>
          </w:p>
        </w:tc>
        <w:tc>
          <w:tcPr>
            <w:tcW w:w="6886" w:type="dxa"/>
            <w:noWrap w:val="0"/>
            <w:vAlign w:val="center"/>
          </w:tcPr>
          <w:p w14:paraId="5BB20CFB">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《水喷雾灭火系统设计规范》(GB50219-95)</w:t>
            </w:r>
          </w:p>
        </w:tc>
      </w:tr>
      <w:tr w14:paraId="1FEE3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6675A1C1">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41</w:t>
            </w:r>
          </w:p>
        </w:tc>
        <w:tc>
          <w:tcPr>
            <w:tcW w:w="6886" w:type="dxa"/>
            <w:noWrap w:val="0"/>
            <w:vAlign w:val="center"/>
          </w:tcPr>
          <w:p w14:paraId="4518AEF0">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《油浸变压器排油注氮灭火装置》(GA835-2009)</w:t>
            </w:r>
          </w:p>
        </w:tc>
      </w:tr>
      <w:tr w14:paraId="433B0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05C5D923">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42</w:t>
            </w:r>
          </w:p>
        </w:tc>
        <w:tc>
          <w:tcPr>
            <w:tcW w:w="6886" w:type="dxa"/>
            <w:noWrap w:val="0"/>
            <w:vAlign w:val="center"/>
          </w:tcPr>
          <w:p w14:paraId="2AD4C39D">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《油浸变压器排油注氮灭火装置技术规程》(CECS187:2005)</w:t>
            </w:r>
          </w:p>
        </w:tc>
      </w:tr>
      <w:tr w14:paraId="055C8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6676F556">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43</w:t>
            </w:r>
          </w:p>
        </w:tc>
        <w:tc>
          <w:tcPr>
            <w:tcW w:w="6886" w:type="dxa"/>
            <w:noWrap w:val="0"/>
            <w:vAlign w:val="center"/>
          </w:tcPr>
          <w:p w14:paraId="101A0F1C">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《火力发电厂与变电站设计防火规范》(GB50229-2006)</w:t>
            </w:r>
          </w:p>
        </w:tc>
      </w:tr>
      <w:tr w14:paraId="65A1B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1779CC85">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44</w:t>
            </w:r>
          </w:p>
        </w:tc>
        <w:tc>
          <w:tcPr>
            <w:tcW w:w="6886" w:type="dxa"/>
            <w:noWrap w:val="0"/>
            <w:vAlign w:val="center"/>
          </w:tcPr>
          <w:p w14:paraId="5FBD597C">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《气体灭火系统设计规范》(GB50370-2005)</w:t>
            </w:r>
          </w:p>
        </w:tc>
      </w:tr>
      <w:tr w14:paraId="5667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38FFBE32">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45</w:t>
            </w:r>
          </w:p>
        </w:tc>
        <w:tc>
          <w:tcPr>
            <w:tcW w:w="6886" w:type="dxa"/>
            <w:noWrap w:val="0"/>
            <w:vAlign w:val="center"/>
          </w:tcPr>
          <w:p w14:paraId="7D1FDA07">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《火灾显示盘》（GB17429-2011）</w:t>
            </w:r>
          </w:p>
        </w:tc>
      </w:tr>
      <w:tr w14:paraId="311A1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58492418">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46</w:t>
            </w:r>
          </w:p>
        </w:tc>
        <w:tc>
          <w:tcPr>
            <w:tcW w:w="6886" w:type="dxa"/>
            <w:noWrap w:val="0"/>
            <w:vAlign w:val="center"/>
          </w:tcPr>
          <w:p w14:paraId="099D3BD5">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《泡沫灭火系统施工及验收规范》(GB50281-2006)</w:t>
            </w:r>
          </w:p>
        </w:tc>
      </w:tr>
      <w:tr w14:paraId="20FF1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3947F6B0">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47</w:t>
            </w:r>
          </w:p>
        </w:tc>
        <w:tc>
          <w:tcPr>
            <w:tcW w:w="6886" w:type="dxa"/>
            <w:noWrap w:val="0"/>
            <w:vAlign w:val="center"/>
          </w:tcPr>
          <w:p w14:paraId="0B7F04AA">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《合成型泡沫喷雾灭火系统应用技术规程》(CECE156：2004)</w:t>
            </w:r>
          </w:p>
        </w:tc>
      </w:tr>
      <w:tr w14:paraId="7054D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78" w:type="dxa"/>
            <w:noWrap w:val="0"/>
            <w:vAlign w:val="center"/>
          </w:tcPr>
          <w:p w14:paraId="6D018280">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48</w:t>
            </w:r>
          </w:p>
        </w:tc>
        <w:tc>
          <w:tcPr>
            <w:tcW w:w="6886" w:type="dxa"/>
            <w:noWrap w:val="0"/>
            <w:vAlign w:val="center"/>
          </w:tcPr>
          <w:p w14:paraId="50C4BB48">
            <w:pPr>
              <w:widowControl/>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《电力设备典型消防规程》(DL5027-1993）</w:t>
            </w:r>
          </w:p>
        </w:tc>
      </w:tr>
    </w:tbl>
    <w:p w14:paraId="02E61F42">
      <w:pPr>
        <w:rPr>
          <w:rFonts w:hint="eastAsia"/>
          <w:highlight w:val="none"/>
        </w:rPr>
      </w:pPr>
    </w:p>
    <w:p w14:paraId="0916D471">
      <w:pPr>
        <w:rPr>
          <w:rFonts w:hint="eastAsia"/>
          <w:highlight w:val="none"/>
        </w:rPr>
      </w:pPr>
    </w:p>
    <w:p w14:paraId="66443457">
      <w:pPr>
        <w:bidi w:val="0"/>
        <w:rPr>
          <w:rFonts w:hint="eastAsia"/>
          <w:b/>
          <w:bCs/>
          <w:highlight w:val="none"/>
        </w:rPr>
      </w:pPr>
      <w:bookmarkStart w:id="36" w:name="_Toc17730"/>
      <w:bookmarkStart w:id="37" w:name="_Toc22919"/>
      <w:bookmarkStart w:id="38" w:name="_Toc26507"/>
      <w:bookmarkStart w:id="39" w:name="_Toc29215"/>
      <w:bookmarkStart w:id="40" w:name="_Toc20934"/>
      <w:bookmarkStart w:id="41" w:name="_Toc18244"/>
      <w:bookmarkStart w:id="42" w:name="_Toc8124"/>
      <w:bookmarkStart w:id="43" w:name="_Toc6610"/>
      <w:bookmarkStart w:id="44" w:name="_Toc16720"/>
      <w:bookmarkStart w:id="45" w:name="_Toc26782"/>
      <w:bookmarkStart w:id="46" w:name="_Toc1930"/>
      <w:bookmarkStart w:id="47" w:name="_Toc19028"/>
      <w:bookmarkStart w:id="48" w:name="_Toc17256"/>
      <w:bookmarkStart w:id="49" w:name="_Toc7136"/>
      <w:bookmarkStart w:id="50" w:name="_Toc10894"/>
      <w:bookmarkStart w:id="51" w:name="_Toc5957"/>
      <w:bookmarkStart w:id="52" w:name="_Toc13491"/>
      <w:bookmarkStart w:id="53" w:name="_Toc21994"/>
      <w:bookmarkStart w:id="54" w:name="_Toc8791"/>
      <w:bookmarkStart w:id="55" w:name="_Toc3536"/>
      <w:bookmarkStart w:id="56" w:name="_Toc13672"/>
      <w:bookmarkStart w:id="57" w:name="_Toc10123"/>
      <w:r>
        <w:rPr>
          <w:rFonts w:hint="eastAsia"/>
          <w:b/>
          <w:bCs/>
          <w:highlight w:val="none"/>
          <w:lang w:val="en-US" w:eastAsia="zh-CN"/>
        </w:rPr>
        <w:t>1.2</w:t>
      </w:r>
      <w:r>
        <w:rPr>
          <w:rFonts w:hint="eastAsia"/>
          <w:b/>
          <w:bCs/>
          <w:highlight w:val="none"/>
        </w:rPr>
        <w:t>项目服务要求</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27EBA641">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1.2.1合同实施前，服务商应对采购方的具体状况进行全面摸查和调查，根据摸查情况，应指派专人进行对接。</w:t>
      </w:r>
    </w:p>
    <w:p w14:paraId="0A57D404">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1.2.2为保证工作正常有序开展，服务商必须按照采购方的要求执行，按时按质地提供相关服务。</w:t>
      </w:r>
    </w:p>
    <w:p w14:paraId="53419956">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1.2.3服务商应提供24小时的响应接收渠道（热线电话、微信、传真、电子邮件等）。采购方在提出需求后，服务商应在1小时内作出响应，并派出专业的服务人员按采购方的时间要求提供服务。如果未能按规定时间内提供服务的，应与采购方协商解决。</w:t>
      </w:r>
    </w:p>
    <w:p w14:paraId="298786F6">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1.2.4如遇到不能及时解决的紧急事情，服务商在不影响采购方正常工作的前提下应提供解决建议和解决方案，经采购方同意后作为临时应急措施进行实施。</w:t>
      </w:r>
    </w:p>
    <w:p w14:paraId="38A7ECA3">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1.2.5服务期间，服务商根据采购方要求填写服务活动记录表，并经采购方值班人员或管理员核实签字认可,作为结算的重要依据。</w:t>
      </w:r>
    </w:p>
    <w:p w14:paraId="4C507C49">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1.2.6服务商负责制定服务范围内紧急事件的工作预案，经服务商和采购方双方审定后由服务商组织实施；在发生紧急事件时，服务商须立即委派经应急培训后合格的人员妥善处理。</w:t>
      </w:r>
    </w:p>
    <w:p w14:paraId="5F6480FD">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1.2.7服务商应根据项目需求配备专业的服务人员，服务人员应具备项目所需的丰富经验，且应持有国家法规和行业要求的相关的资质证书、从业资格证等。</w:t>
      </w:r>
    </w:p>
    <w:p w14:paraId="7F90A145">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1.2.8服务商应配备足够的可随时调遣的后备服务人员，以便随时响应采购方的临时及紧急的工作安排，后备人员也应具备相应的资质证书、从业资格证等。</w:t>
      </w:r>
    </w:p>
    <w:p w14:paraId="44B0B260">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1.2.9服务商应建立规范的档案管理制度，设立专人负责妥善保管和正确使用本合同范围内档案资料。</w:t>
      </w:r>
    </w:p>
    <w:p w14:paraId="505EDEB8">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1.2.10服务商加强人员管理，合理安排人员，保障项目服务的工作进度。确因不可抗力影响项目服务实施，需与采购人协商修订项目服务实施计划，达成一致后执行。</w:t>
      </w:r>
    </w:p>
    <w:p w14:paraId="172802CF">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1.2.11根据采购方的需求，提供在服务范围内的相关指导或培训，使采购方相关人员能掌握对应的基础知识或操作方法。</w:t>
      </w:r>
    </w:p>
    <w:p w14:paraId="2BA16FE0">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1.2.12服务商必须建立健全严格的安全管理制度。在服务期间，服务商应负责落实现场安全防护措施，建立可靠的安全防护措施，保证安全作业。如因非采购方原因导致的安全问题，由服务商承担责任，并按国家法律法规及相关要求进行赔偿。</w:t>
      </w:r>
    </w:p>
    <w:p w14:paraId="06E75F91">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1.2.13服务商应严格遵守有关法律法规和采购方内部规章制度，不得擅自翻阅、复制、传播所接触的资料或数据，禁止窥窃采购方任何信息。服务商应对采购方作出保密承诺，并负责约束有关员工的保密工作。</w:t>
      </w:r>
    </w:p>
    <w:p w14:paraId="012627E7">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1.2.14服务商应建立健全的各项规章制度，提高服务管理水平（包含但不限于安全生产责任及管理制度、质量安全及事故呈报与处理制度、回访制度等）。</w:t>
      </w:r>
    </w:p>
    <w:bookmarkEnd w:id="53"/>
    <w:bookmarkEnd w:id="54"/>
    <w:bookmarkEnd w:id="55"/>
    <w:bookmarkEnd w:id="56"/>
    <w:bookmarkEnd w:id="57"/>
    <w:p w14:paraId="259567F6">
      <w:pPr>
        <w:bidi w:val="0"/>
        <w:rPr>
          <w:rFonts w:hint="eastAsia"/>
          <w:b/>
          <w:bCs/>
          <w:highlight w:val="none"/>
          <w:lang w:val="en-US" w:eastAsia="zh-CN"/>
        </w:rPr>
      </w:pPr>
      <w:bookmarkStart w:id="58" w:name="_Toc9330"/>
      <w:bookmarkStart w:id="59" w:name="_Toc1301"/>
      <w:bookmarkStart w:id="60" w:name="_Toc13922"/>
      <w:bookmarkStart w:id="61" w:name="_Toc12157"/>
      <w:bookmarkStart w:id="62" w:name="_Toc15320"/>
      <w:bookmarkStart w:id="63" w:name="_Toc14483"/>
    </w:p>
    <w:p w14:paraId="4C1B26FC">
      <w:pPr>
        <w:bidi w:val="0"/>
        <w:rPr>
          <w:rFonts w:hint="default"/>
          <w:b/>
          <w:bCs/>
          <w:highlight w:val="none"/>
          <w:lang w:val="en-US" w:eastAsia="zh-CN"/>
        </w:rPr>
      </w:pPr>
      <w:r>
        <w:rPr>
          <w:rFonts w:hint="eastAsia"/>
          <w:b/>
          <w:bCs/>
          <w:highlight w:val="none"/>
          <w:lang w:val="en-US" w:eastAsia="zh-CN"/>
        </w:rPr>
        <w:t>2.服务达标要求</w:t>
      </w:r>
    </w:p>
    <w:p w14:paraId="5E6E11A8">
      <w:pPr>
        <w:keepNext/>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2.1物业管理服务达标要求</w:t>
      </w:r>
    </w:p>
    <w:tbl>
      <w:tblPr>
        <w:tblStyle w:val="15"/>
        <w:tblW w:w="8325" w:type="dxa"/>
        <w:tblInd w:w="84" w:type="dxa"/>
        <w:tblLayout w:type="fixed"/>
        <w:tblCellMar>
          <w:top w:w="0" w:type="dxa"/>
          <w:left w:w="108" w:type="dxa"/>
          <w:bottom w:w="0" w:type="dxa"/>
          <w:right w:w="108" w:type="dxa"/>
        </w:tblCellMar>
      </w:tblPr>
      <w:tblGrid>
        <w:gridCol w:w="1392"/>
        <w:gridCol w:w="4533"/>
        <w:gridCol w:w="2400"/>
      </w:tblGrid>
      <w:tr w14:paraId="32B3625D">
        <w:tblPrEx>
          <w:tblCellMar>
            <w:top w:w="0" w:type="dxa"/>
            <w:left w:w="108" w:type="dxa"/>
            <w:bottom w:w="0" w:type="dxa"/>
            <w:right w:w="108" w:type="dxa"/>
          </w:tblCellMar>
        </w:tblPrEx>
        <w:trPr>
          <w:trHeight w:val="23" w:hRule="atLeast"/>
        </w:trPr>
        <w:tc>
          <w:tcPr>
            <w:tcW w:w="1392" w:type="dxa"/>
            <w:tcBorders>
              <w:top w:val="single" w:color="auto" w:sz="8" w:space="0"/>
              <w:left w:val="single" w:color="auto" w:sz="8" w:space="0"/>
              <w:bottom w:val="single" w:color="auto" w:sz="4" w:space="0"/>
              <w:right w:val="single" w:color="auto" w:sz="8" w:space="0"/>
            </w:tcBorders>
            <w:noWrap w:val="0"/>
            <w:vAlign w:val="center"/>
          </w:tcPr>
          <w:p w14:paraId="006A7CAE">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序号</w:t>
            </w:r>
          </w:p>
        </w:tc>
        <w:tc>
          <w:tcPr>
            <w:tcW w:w="4533" w:type="dxa"/>
            <w:tcBorders>
              <w:top w:val="single" w:color="auto" w:sz="8" w:space="0"/>
              <w:left w:val="nil"/>
              <w:bottom w:val="single" w:color="auto" w:sz="4" w:space="0"/>
              <w:right w:val="single" w:color="auto" w:sz="8" w:space="0"/>
            </w:tcBorders>
            <w:noWrap w:val="0"/>
            <w:vAlign w:val="center"/>
          </w:tcPr>
          <w:p w14:paraId="55E0DA78">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项       目</w:t>
            </w:r>
          </w:p>
        </w:tc>
        <w:tc>
          <w:tcPr>
            <w:tcW w:w="2400" w:type="dxa"/>
            <w:tcBorders>
              <w:top w:val="single" w:color="auto" w:sz="8" w:space="0"/>
              <w:left w:val="nil"/>
              <w:bottom w:val="single" w:color="auto" w:sz="4" w:space="0"/>
              <w:right w:val="single" w:color="auto" w:sz="8" w:space="0"/>
            </w:tcBorders>
            <w:noWrap w:val="0"/>
            <w:vAlign w:val="center"/>
          </w:tcPr>
          <w:p w14:paraId="1F7C960E">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要求达到标准</w:t>
            </w:r>
          </w:p>
        </w:tc>
      </w:tr>
      <w:tr w14:paraId="1F8EED64">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244F49B4">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4FE8B978">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cs="宋体"/>
                <w:b w:val="0"/>
                <w:bCs w:val="0"/>
                <w:color w:val="auto"/>
                <w:kern w:val="0"/>
                <w:sz w:val="20"/>
                <w:szCs w:val="20"/>
                <w:highlight w:val="none"/>
                <w:lang w:eastAsia="zh-CN"/>
              </w:rPr>
              <w:t>房源</w:t>
            </w:r>
            <w:r>
              <w:rPr>
                <w:rFonts w:hint="eastAsia" w:ascii="宋体" w:hAnsi="宋体" w:eastAsia="宋体" w:cs="宋体"/>
                <w:b w:val="0"/>
                <w:bCs w:val="0"/>
                <w:color w:val="auto"/>
                <w:kern w:val="0"/>
                <w:sz w:val="20"/>
                <w:szCs w:val="20"/>
                <w:highlight w:val="none"/>
              </w:rPr>
              <w:t>及配套设施完好率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0D90F9D5">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≥90%</w:t>
            </w:r>
          </w:p>
        </w:tc>
      </w:tr>
      <w:tr w14:paraId="170EEB5A">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7289D113">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2</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3C64D3D4">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道路及配套设施完好率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233E2F82">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≥90%</w:t>
            </w:r>
          </w:p>
        </w:tc>
      </w:tr>
      <w:tr w14:paraId="0E197BBE">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2DBB9B9C">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3</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502B131F">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排供水设施完好率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341C00AE">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01B71591">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12EACB54">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4</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2160DFD2">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路灯完好率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4B4E895B">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≥90%</w:t>
            </w:r>
          </w:p>
        </w:tc>
      </w:tr>
      <w:tr w14:paraId="7B62BCB6">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5D0E31C4">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5</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0713E36D">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停车场完好率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3D4C0CF4">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≥90%</w:t>
            </w:r>
          </w:p>
        </w:tc>
      </w:tr>
      <w:tr w14:paraId="0F90A441">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4CA6B135">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6</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745588E7">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维修工程质量合格率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673B3ED3">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128E1426">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632DC728">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7</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59C1151F">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清洁、保洁率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4BD57A19">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2BAB901A">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050B15D5">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8</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4ED923EB">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绿化完好率、覆盖率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1E113138">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59D42433">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2E9D65D1">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6716214E">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管理人员培训合格率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67524BBA">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≥90%</w:t>
            </w:r>
          </w:p>
        </w:tc>
      </w:tr>
      <w:tr w14:paraId="3A7DCA96">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60736B1F">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10</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636EB9E0">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会议室灯光设备完好率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3241C9ED">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100%</w:t>
            </w:r>
          </w:p>
        </w:tc>
      </w:tr>
      <w:tr w14:paraId="30FF6D74">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649C5279">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11</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0DA0DAD9">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治安案件发生率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161038C2">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≦5‰</w:t>
            </w:r>
          </w:p>
        </w:tc>
      </w:tr>
      <w:tr w14:paraId="61B9DBBB">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77D55977">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12</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1C339B6A">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消防设施完好率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53C48207">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6C210520">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1AC8A9B0">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13</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18310093">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消防</w:t>
            </w:r>
            <w:r>
              <w:rPr>
                <w:rFonts w:hint="eastAsia" w:ascii="宋体" w:hAnsi="宋体" w:eastAsia="宋体" w:cs="宋体"/>
                <w:b w:val="0"/>
                <w:bCs w:val="0"/>
                <w:color w:val="auto"/>
                <w:kern w:val="0"/>
                <w:sz w:val="20"/>
                <w:szCs w:val="20"/>
                <w:highlight w:val="none"/>
                <w:lang w:val="en-US" w:eastAsia="zh-CN"/>
              </w:rPr>
              <w:t>责任</w:t>
            </w:r>
            <w:r>
              <w:rPr>
                <w:rFonts w:hint="eastAsia" w:ascii="宋体" w:hAnsi="宋体" w:eastAsia="宋体" w:cs="宋体"/>
                <w:b w:val="0"/>
                <w:bCs w:val="0"/>
                <w:color w:val="auto"/>
                <w:kern w:val="0"/>
                <w:sz w:val="20"/>
                <w:szCs w:val="20"/>
                <w:highlight w:val="none"/>
              </w:rPr>
              <w:t>事故发生率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0239B9F1">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0</w:t>
            </w:r>
          </w:p>
        </w:tc>
      </w:tr>
      <w:tr w14:paraId="19D1299B">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2DC3A1CE">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14</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76AD4914">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食品安全事故发生率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3B0C4EBA">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0</w:t>
            </w:r>
          </w:p>
        </w:tc>
      </w:tr>
      <w:tr w14:paraId="4E58CE6E">
        <w:tblPrEx>
          <w:tblCellMar>
            <w:top w:w="0" w:type="dxa"/>
            <w:left w:w="108" w:type="dxa"/>
            <w:bottom w:w="0" w:type="dxa"/>
            <w:right w:w="108" w:type="dxa"/>
          </w:tblCellMar>
        </w:tblPrEx>
        <w:trPr>
          <w:trHeight w:val="23" w:hRule="atLeast"/>
        </w:trPr>
        <w:tc>
          <w:tcPr>
            <w:tcW w:w="1392" w:type="dxa"/>
            <w:tcBorders>
              <w:top w:val="single" w:color="auto" w:sz="4" w:space="0"/>
              <w:left w:val="single" w:color="auto" w:sz="4" w:space="0"/>
              <w:bottom w:val="single" w:color="auto" w:sz="4" w:space="0"/>
              <w:right w:val="single" w:color="auto" w:sz="4" w:space="0"/>
            </w:tcBorders>
            <w:noWrap w:val="0"/>
            <w:vAlign w:val="center"/>
          </w:tcPr>
          <w:p w14:paraId="4ED93BF7">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15</w:t>
            </w:r>
          </w:p>
        </w:tc>
        <w:tc>
          <w:tcPr>
            <w:tcW w:w="4533" w:type="dxa"/>
            <w:tcBorders>
              <w:top w:val="single" w:color="auto" w:sz="4" w:space="0"/>
              <w:left w:val="single" w:color="auto" w:sz="4" w:space="0"/>
              <w:bottom w:val="single" w:color="auto" w:sz="4" w:space="0"/>
              <w:right w:val="single" w:color="auto" w:sz="4" w:space="0"/>
            </w:tcBorders>
            <w:noWrap w:val="0"/>
            <w:vAlign w:val="center"/>
          </w:tcPr>
          <w:p w14:paraId="7F38D084">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rPr>
              <w:t>对物业服务满意率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7A698093">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bl>
    <w:p w14:paraId="6F23AB32">
      <w:pPr>
        <w:keepNext/>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2.2绿化维护服务达标要求</w:t>
      </w:r>
    </w:p>
    <w:tbl>
      <w:tblPr>
        <w:tblStyle w:val="15"/>
        <w:tblW w:w="8402" w:type="dxa"/>
        <w:jc w:val="center"/>
        <w:tblLayout w:type="fixed"/>
        <w:tblCellMar>
          <w:top w:w="0" w:type="dxa"/>
          <w:left w:w="108" w:type="dxa"/>
          <w:bottom w:w="0" w:type="dxa"/>
          <w:right w:w="108" w:type="dxa"/>
        </w:tblCellMar>
      </w:tblPr>
      <w:tblGrid>
        <w:gridCol w:w="1292"/>
        <w:gridCol w:w="4672"/>
        <w:gridCol w:w="2438"/>
      </w:tblGrid>
      <w:tr w14:paraId="018D2D1C">
        <w:tblPrEx>
          <w:tblCellMar>
            <w:top w:w="0" w:type="dxa"/>
            <w:left w:w="108" w:type="dxa"/>
            <w:bottom w:w="0" w:type="dxa"/>
            <w:right w:w="108" w:type="dxa"/>
          </w:tblCellMar>
        </w:tblPrEx>
        <w:trPr>
          <w:trHeight w:val="23" w:hRule="atLeast"/>
          <w:jc w:val="center"/>
        </w:trPr>
        <w:tc>
          <w:tcPr>
            <w:tcW w:w="1292" w:type="dxa"/>
            <w:tcBorders>
              <w:top w:val="single" w:color="auto" w:sz="8" w:space="0"/>
              <w:left w:val="single" w:color="auto" w:sz="8" w:space="0"/>
              <w:bottom w:val="single" w:color="auto" w:sz="8" w:space="0"/>
              <w:right w:val="single" w:color="auto" w:sz="8" w:space="0"/>
            </w:tcBorders>
            <w:noWrap w:val="0"/>
            <w:vAlign w:val="center"/>
          </w:tcPr>
          <w:p w14:paraId="32870800">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序号</w:t>
            </w:r>
          </w:p>
        </w:tc>
        <w:tc>
          <w:tcPr>
            <w:tcW w:w="4672" w:type="dxa"/>
            <w:tcBorders>
              <w:top w:val="single" w:color="auto" w:sz="8" w:space="0"/>
              <w:left w:val="nil"/>
              <w:bottom w:val="single" w:color="auto" w:sz="8" w:space="0"/>
              <w:right w:val="single" w:color="auto" w:sz="8" w:space="0"/>
            </w:tcBorders>
            <w:noWrap w:val="0"/>
            <w:vAlign w:val="center"/>
          </w:tcPr>
          <w:p w14:paraId="7713BCA3">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项       目</w:t>
            </w:r>
          </w:p>
        </w:tc>
        <w:tc>
          <w:tcPr>
            <w:tcW w:w="2438" w:type="dxa"/>
            <w:tcBorders>
              <w:top w:val="single" w:color="auto" w:sz="8" w:space="0"/>
              <w:left w:val="nil"/>
              <w:bottom w:val="single" w:color="auto" w:sz="8" w:space="0"/>
              <w:right w:val="single" w:color="auto" w:sz="8" w:space="0"/>
            </w:tcBorders>
            <w:noWrap w:val="0"/>
            <w:vAlign w:val="center"/>
          </w:tcPr>
          <w:p w14:paraId="77DE5356">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要求达到标准</w:t>
            </w:r>
          </w:p>
        </w:tc>
      </w:tr>
      <w:tr w14:paraId="70149789">
        <w:tblPrEx>
          <w:tblCellMar>
            <w:top w:w="0" w:type="dxa"/>
            <w:left w:w="108" w:type="dxa"/>
            <w:bottom w:w="0" w:type="dxa"/>
            <w:right w:w="108" w:type="dxa"/>
          </w:tblCellMar>
        </w:tblPrEx>
        <w:trPr>
          <w:trHeight w:val="23" w:hRule="atLeast"/>
          <w:jc w:val="center"/>
        </w:trPr>
        <w:tc>
          <w:tcPr>
            <w:tcW w:w="1292" w:type="dxa"/>
            <w:tcBorders>
              <w:top w:val="nil"/>
              <w:left w:val="single" w:color="auto" w:sz="8" w:space="0"/>
              <w:bottom w:val="single" w:color="auto" w:sz="4" w:space="0"/>
              <w:right w:val="single" w:color="auto" w:sz="8" w:space="0"/>
            </w:tcBorders>
            <w:noWrap w:val="0"/>
            <w:vAlign w:val="center"/>
          </w:tcPr>
          <w:p w14:paraId="0A170321">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w:t>
            </w:r>
          </w:p>
        </w:tc>
        <w:tc>
          <w:tcPr>
            <w:tcW w:w="4672" w:type="dxa"/>
            <w:tcBorders>
              <w:top w:val="nil"/>
              <w:left w:val="nil"/>
              <w:bottom w:val="single" w:color="auto" w:sz="4" w:space="0"/>
              <w:right w:val="single" w:color="auto" w:sz="8" w:space="0"/>
            </w:tcBorders>
            <w:noWrap w:val="0"/>
            <w:vAlign w:val="center"/>
          </w:tcPr>
          <w:p w14:paraId="7D0415F7">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管理人员培训合格率</w:t>
            </w:r>
          </w:p>
        </w:tc>
        <w:tc>
          <w:tcPr>
            <w:tcW w:w="2438" w:type="dxa"/>
            <w:tcBorders>
              <w:top w:val="nil"/>
              <w:left w:val="nil"/>
              <w:bottom w:val="single" w:color="auto" w:sz="4" w:space="0"/>
              <w:right w:val="single" w:color="auto" w:sz="8" w:space="0"/>
            </w:tcBorders>
            <w:noWrap w:val="0"/>
            <w:vAlign w:val="center"/>
          </w:tcPr>
          <w:p w14:paraId="684C17E3">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≥90%</w:t>
            </w:r>
          </w:p>
        </w:tc>
      </w:tr>
      <w:tr w14:paraId="0E5959BE">
        <w:tblPrEx>
          <w:tblCellMar>
            <w:top w:w="0" w:type="dxa"/>
            <w:left w:w="108" w:type="dxa"/>
            <w:bottom w:w="0" w:type="dxa"/>
            <w:right w:w="108" w:type="dxa"/>
          </w:tblCellMar>
        </w:tblPrEx>
        <w:trPr>
          <w:trHeight w:val="23" w:hRule="atLeast"/>
          <w:jc w:val="center"/>
        </w:trPr>
        <w:tc>
          <w:tcPr>
            <w:tcW w:w="1292" w:type="dxa"/>
            <w:tcBorders>
              <w:top w:val="single" w:color="auto" w:sz="4" w:space="0"/>
              <w:left w:val="single" w:color="auto" w:sz="4" w:space="0"/>
              <w:bottom w:val="single" w:color="auto" w:sz="4" w:space="0"/>
              <w:right w:val="single" w:color="auto" w:sz="4" w:space="0"/>
            </w:tcBorders>
            <w:noWrap w:val="0"/>
            <w:vAlign w:val="center"/>
          </w:tcPr>
          <w:p w14:paraId="3F4E339A">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2</w:t>
            </w:r>
          </w:p>
        </w:tc>
        <w:tc>
          <w:tcPr>
            <w:tcW w:w="4672" w:type="dxa"/>
            <w:tcBorders>
              <w:top w:val="single" w:color="auto" w:sz="4" w:space="0"/>
              <w:left w:val="single" w:color="auto" w:sz="4" w:space="0"/>
              <w:bottom w:val="single" w:color="auto" w:sz="4" w:space="0"/>
              <w:right w:val="single" w:color="auto" w:sz="4" w:space="0"/>
            </w:tcBorders>
            <w:noWrap w:val="0"/>
            <w:vAlign w:val="center"/>
          </w:tcPr>
          <w:p w14:paraId="13BC84CE">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sz w:val="20"/>
                <w:szCs w:val="20"/>
                <w:highlight w:val="none"/>
              </w:rPr>
              <w:t>树木生长良好，乔灌木绿篱成型、整齐，无枯枝无虫害。</w:t>
            </w:r>
          </w:p>
        </w:tc>
        <w:tc>
          <w:tcPr>
            <w:tcW w:w="2438" w:type="dxa"/>
            <w:tcBorders>
              <w:top w:val="single" w:color="auto" w:sz="4" w:space="0"/>
              <w:left w:val="single" w:color="auto" w:sz="4" w:space="0"/>
              <w:bottom w:val="single" w:color="auto" w:sz="4" w:space="0"/>
              <w:right w:val="single" w:color="auto" w:sz="4" w:space="0"/>
            </w:tcBorders>
            <w:noWrap w:val="0"/>
            <w:vAlign w:val="center"/>
          </w:tcPr>
          <w:p w14:paraId="7BC5DF69">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6EAFC509">
        <w:tblPrEx>
          <w:tblCellMar>
            <w:top w:w="0" w:type="dxa"/>
            <w:left w:w="108" w:type="dxa"/>
            <w:bottom w:w="0" w:type="dxa"/>
            <w:right w:w="108" w:type="dxa"/>
          </w:tblCellMar>
        </w:tblPrEx>
        <w:trPr>
          <w:trHeight w:val="23" w:hRule="atLeast"/>
          <w:jc w:val="center"/>
        </w:trPr>
        <w:tc>
          <w:tcPr>
            <w:tcW w:w="1292" w:type="dxa"/>
            <w:tcBorders>
              <w:top w:val="single" w:color="auto" w:sz="4" w:space="0"/>
              <w:left w:val="single" w:color="auto" w:sz="4" w:space="0"/>
              <w:bottom w:val="single" w:color="auto" w:sz="4" w:space="0"/>
              <w:right w:val="single" w:color="auto" w:sz="4" w:space="0"/>
            </w:tcBorders>
            <w:noWrap w:val="0"/>
            <w:vAlign w:val="center"/>
          </w:tcPr>
          <w:p w14:paraId="094A4F04">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3</w:t>
            </w:r>
          </w:p>
        </w:tc>
        <w:tc>
          <w:tcPr>
            <w:tcW w:w="4672" w:type="dxa"/>
            <w:tcBorders>
              <w:top w:val="single" w:color="auto" w:sz="4" w:space="0"/>
              <w:left w:val="single" w:color="auto" w:sz="4" w:space="0"/>
              <w:bottom w:val="single" w:color="auto" w:sz="4" w:space="0"/>
              <w:right w:val="single" w:color="auto" w:sz="4" w:space="0"/>
            </w:tcBorders>
            <w:noWrap w:val="0"/>
            <w:vAlign w:val="center"/>
          </w:tcPr>
          <w:p w14:paraId="135FCE9C">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sz w:val="20"/>
                <w:szCs w:val="20"/>
                <w:highlight w:val="none"/>
              </w:rPr>
              <w:t>树木冠径、高度符合行业要求，生长对环境、行人、车辆不构成安全隐患。</w:t>
            </w:r>
          </w:p>
        </w:tc>
        <w:tc>
          <w:tcPr>
            <w:tcW w:w="2438" w:type="dxa"/>
            <w:tcBorders>
              <w:top w:val="single" w:color="auto" w:sz="4" w:space="0"/>
              <w:left w:val="single" w:color="auto" w:sz="4" w:space="0"/>
              <w:bottom w:val="single" w:color="auto" w:sz="4" w:space="0"/>
              <w:right w:val="single" w:color="auto" w:sz="4" w:space="0"/>
            </w:tcBorders>
            <w:noWrap w:val="0"/>
            <w:vAlign w:val="center"/>
          </w:tcPr>
          <w:p w14:paraId="22ED7678">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438B1300">
        <w:tblPrEx>
          <w:tblCellMar>
            <w:top w:w="0" w:type="dxa"/>
            <w:left w:w="108" w:type="dxa"/>
            <w:bottom w:w="0" w:type="dxa"/>
            <w:right w:w="108" w:type="dxa"/>
          </w:tblCellMar>
        </w:tblPrEx>
        <w:trPr>
          <w:trHeight w:val="23" w:hRule="atLeast"/>
          <w:jc w:val="center"/>
        </w:trPr>
        <w:tc>
          <w:tcPr>
            <w:tcW w:w="1292" w:type="dxa"/>
            <w:tcBorders>
              <w:top w:val="single" w:color="auto" w:sz="4" w:space="0"/>
              <w:left w:val="single" w:color="auto" w:sz="4" w:space="0"/>
              <w:bottom w:val="single" w:color="auto" w:sz="4" w:space="0"/>
              <w:right w:val="single" w:color="auto" w:sz="4" w:space="0"/>
            </w:tcBorders>
            <w:noWrap w:val="0"/>
            <w:vAlign w:val="center"/>
          </w:tcPr>
          <w:p w14:paraId="729778D7">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4</w:t>
            </w:r>
          </w:p>
        </w:tc>
        <w:tc>
          <w:tcPr>
            <w:tcW w:w="4672" w:type="dxa"/>
            <w:tcBorders>
              <w:top w:val="single" w:color="auto" w:sz="4" w:space="0"/>
              <w:left w:val="single" w:color="auto" w:sz="4" w:space="0"/>
              <w:bottom w:val="single" w:color="auto" w:sz="4" w:space="0"/>
              <w:right w:val="single" w:color="auto" w:sz="4" w:space="0"/>
            </w:tcBorders>
            <w:noWrap w:val="0"/>
            <w:vAlign w:val="center"/>
          </w:tcPr>
          <w:p w14:paraId="45F55650">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sz w:val="20"/>
                <w:szCs w:val="20"/>
                <w:highlight w:val="none"/>
              </w:rPr>
              <w:t>草坪无明显黄土裸露，绿化带内无明显杂草，无杂物堆放。</w:t>
            </w:r>
          </w:p>
        </w:tc>
        <w:tc>
          <w:tcPr>
            <w:tcW w:w="2438" w:type="dxa"/>
            <w:tcBorders>
              <w:top w:val="single" w:color="auto" w:sz="4" w:space="0"/>
              <w:left w:val="single" w:color="auto" w:sz="4" w:space="0"/>
              <w:bottom w:val="single" w:color="auto" w:sz="4" w:space="0"/>
              <w:right w:val="single" w:color="auto" w:sz="4" w:space="0"/>
            </w:tcBorders>
            <w:noWrap w:val="0"/>
            <w:vAlign w:val="center"/>
          </w:tcPr>
          <w:p w14:paraId="717A9FCE">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4F9C3388">
        <w:tblPrEx>
          <w:tblCellMar>
            <w:top w:w="0" w:type="dxa"/>
            <w:left w:w="108" w:type="dxa"/>
            <w:bottom w:w="0" w:type="dxa"/>
            <w:right w:w="108" w:type="dxa"/>
          </w:tblCellMar>
        </w:tblPrEx>
        <w:trPr>
          <w:trHeight w:val="23" w:hRule="atLeast"/>
          <w:jc w:val="center"/>
        </w:trPr>
        <w:tc>
          <w:tcPr>
            <w:tcW w:w="1292" w:type="dxa"/>
            <w:tcBorders>
              <w:top w:val="single" w:color="auto" w:sz="4" w:space="0"/>
              <w:left w:val="single" w:color="auto" w:sz="4" w:space="0"/>
              <w:bottom w:val="single" w:color="auto" w:sz="4" w:space="0"/>
              <w:right w:val="single" w:color="auto" w:sz="4" w:space="0"/>
            </w:tcBorders>
            <w:noWrap w:val="0"/>
            <w:vAlign w:val="center"/>
          </w:tcPr>
          <w:p w14:paraId="2D55484A">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5</w:t>
            </w:r>
          </w:p>
        </w:tc>
        <w:tc>
          <w:tcPr>
            <w:tcW w:w="4672" w:type="dxa"/>
            <w:tcBorders>
              <w:top w:val="single" w:color="auto" w:sz="4" w:space="0"/>
              <w:left w:val="single" w:color="auto" w:sz="4" w:space="0"/>
              <w:bottom w:val="single" w:color="auto" w:sz="4" w:space="0"/>
              <w:right w:val="single" w:color="auto" w:sz="4" w:space="0"/>
            </w:tcBorders>
            <w:noWrap w:val="0"/>
            <w:vAlign w:val="center"/>
          </w:tcPr>
          <w:p w14:paraId="03481361">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rPr>
              <w:t>对</w:t>
            </w:r>
            <w:r>
              <w:rPr>
                <w:rFonts w:hint="eastAsia" w:ascii="宋体" w:hAnsi="宋体" w:eastAsia="宋体" w:cs="宋体"/>
                <w:b w:val="0"/>
                <w:bCs w:val="0"/>
                <w:color w:val="auto"/>
                <w:kern w:val="0"/>
                <w:sz w:val="20"/>
                <w:szCs w:val="20"/>
                <w:highlight w:val="none"/>
                <w:lang w:val="en-US" w:eastAsia="zh-CN"/>
              </w:rPr>
              <w:t>绿化维护</w:t>
            </w:r>
            <w:r>
              <w:rPr>
                <w:rFonts w:hint="eastAsia" w:ascii="宋体" w:hAnsi="宋体" w:eastAsia="宋体" w:cs="宋体"/>
                <w:b w:val="0"/>
                <w:bCs w:val="0"/>
                <w:color w:val="auto"/>
                <w:kern w:val="0"/>
                <w:sz w:val="20"/>
                <w:szCs w:val="20"/>
                <w:highlight w:val="none"/>
              </w:rPr>
              <w:t>服务满意率</w:t>
            </w:r>
          </w:p>
        </w:tc>
        <w:tc>
          <w:tcPr>
            <w:tcW w:w="2438" w:type="dxa"/>
            <w:tcBorders>
              <w:top w:val="single" w:color="auto" w:sz="4" w:space="0"/>
              <w:left w:val="single" w:color="auto" w:sz="4" w:space="0"/>
              <w:bottom w:val="single" w:color="auto" w:sz="4" w:space="0"/>
              <w:right w:val="single" w:color="auto" w:sz="4" w:space="0"/>
            </w:tcBorders>
            <w:noWrap w:val="0"/>
            <w:vAlign w:val="center"/>
          </w:tcPr>
          <w:p w14:paraId="1306DD77">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bl>
    <w:p w14:paraId="3F067E05">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ind w:leftChars="0"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2.3</w:t>
      </w:r>
      <w:r>
        <w:rPr>
          <w:rFonts w:hint="eastAsia" w:ascii="宋体" w:hAnsi="宋体" w:cs="宋体"/>
          <w:color w:val="auto"/>
          <w:sz w:val="20"/>
          <w:szCs w:val="20"/>
          <w:highlight w:val="none"/>
          <w:lang w:val="en-US" w:eastAsia="zh-CN"/>
        </w:rPr>
        <w:t>生产</w:t>
      </w:r>
      <w:r>
        <w:rPr>
          <w:rFonts w:hint="eastAsia" w:ascii="宋体" w:hAnsi="宋体" w:eastAsia="宋体" w:cs="宋体"/>
          <w:color w:val="auto"/>
          <w:sz w:val="20"/>
          <w:szCs w:val="20"/>
          <w:highlight w:val="none"/>
          <w:lang w:val="en-US" w:eastAsia="zh-CN"/>
        </w:rPr>
        <w:t>秩序维护服务</w:t>
      </w:r>
      <w:r>
        <w:rPr>
          <w:rFonts w:hint="eastAsia" w:ascii="宋体" w:hAnsi="宋体" w:eastAsia="宋体" w:cs="宋体"/>
          <w:b w:val="0"/>
          <w:bCs w:val="0"/>
          <w:color w:val="auto"/>
          <w:sz w:val="20"/>
          <w:szCs w:val="20"/>
          <w:highlight w:val="none"/>
          <w:lang w:val="en-US" w:eastAsia="zh-CN"/>
        </w:rPr>
        <w:t>达标要求</w:t>
      </w:r>
    </w:p>
    <w:tbl>
      <w:tblPr>
        <w:tblStyle w:val="15"/>
        <w:tblW w:w="8392"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7"/>
        <w:gridCol w:w="4755"/>
        <w:gridCol w:w="2370"/>
      </w:tblGrid>
      <w:tr w14:paraId="23BD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67" w:type="dxa"/>
            <w:noWrap w:val="0"/>
            <w:vAlign w:val="center"/>
          </w:tcPr>
          <w:p w14:paraId="35312988">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序号</w:t>
            </w:r>
          </w:p>
        </w:tc>
        <w:tc>
          <w:tcPr>
            <w:tcW w:w="4755" w:type="dxa"/>
            <w:noWrap w:val="0"/>
            <w:vAlign w:val="center"/>
          </w:tcPr>
          <w:p w14:paraId="57FA7210">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项       目</w:t>
            </w:r>
          </w:p>
        </w:tc>
        <w:tc>
          <w:tcPr>
            <w:tcW w:w="2370" w:type="dxa"/>
            <w:noWrap w:val="0"/>
            <w:vAlign w:val="center"/>
          </w:tcPr>
          <w:p w14:paraId="3292EDED">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要求达到标准</w:t>
            </w:r>
          </w:p>
        </w:tc>
      </w:tr>
      <w:tr w14:paraId="3388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67" w:type="dxa"/>
            <w:noWrap w:val="0"/>
            <w:vAlign w:val="center"/>
          </w:tcPr>
          <w:p w14:paraId="7CD15E98">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w:t>
            </w:r>
          </w:p>
        </w:tc>
        <w:tc>
          <w:tcPr>
            <w:tcW w:w="4755" w:type="dxa"/>
            <w:noWrap w:val="0"/>
            <w:vAlign w:val="center"/>
          </w:tcPr>
          <w:p w14:paraId="131C2C7E">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管理人员培训合格率</w:t>
            </w:r>
          </w:p>
        </w:tc>
        <w:tc>
          <w:tcPr>
            <w:tcW w:w="2370" w:type="dxa"/>
            <w:noWrap w:val="0"/>
            <w:vAlign w:val="center"/>
          </w:tcPr>
          <w:p w14:paraId="14BAB81D">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w:t>
            </w:r>
            <w:r>
              <w:rPr>
                <w:rFonts w:hint="eastAsia" w:ascii="宋体" w:hAnsi="宋体" w:eastAsia="宋体" w:cs="宋体"/>
                <w:b w:val="0"/>
                <w:bCs w:val="0"/>
                <w:color w:val="auto"/>
                <w:kern w:val="0"/>
                <w:sz w:val="20"/>
                <w:szCs w:val="20"/>
                <w:highlight w:val="none"/>
                <w:lang w:val="en-US" w:eastAsia="zh-CN"/>
              </w:rPr>
              <w:t>90</w:t>
            </w:r>
            <w:r>
              <w:rPr>
                <w:rFonts w:hint="eastAsia" w:ascii="宋体" w:hAnsi="宋体" w:eastAsia="宋体" w:cs="宋体"/>
                <w:b w:val="0"/>
                <w:bCs w:val="0"/>
                <w:color w:val="auto"/>
                <w:kern w:val="0"/>
                <w:sz w:val="20"/>
                <w:szCs w:val="20"/>
                <w:highlight w:val="none"/>
              </w:rPr>
              <w:t>%</w:t>
            </w:r>
          </w:p>
        </w:tc>
      </w:tr>
      <w:tr w14:paraId="4E45D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67" w:type="dxa"/>
            <w:noWrap w:val="0"/>
            <w:vAlign w:val="center"/>
          </w:tcPr>
          <w:p w14:paraId="5825F501">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2</w:t>
            </w:r>
          </w:p>
        </w:tc>
        <w:tc>
          <w:tcPr>
            <w:tcW w:w="4755" w:type="dxa"/>
            <w:noWrap w:val="0"/>
            <w:vAlign w:val="center"/>
          </w:tcPr>
          <w:p w14:paraId="6DC6024D">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治安案件发生率</w:t>
            </w:r>
          </w:p>
        </w:tc>
        <w:tc>
          <w:tcPr>
            <w:tcW w:w="2370" w:type="dxa"/>
            <w:noWrap w:val="0"/>
            <w:vAlign w:val="center"/>
          </w:tcPr>
          <w:p w14:paraId="39FC076D">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≦5‰</w:t>
            </w:r>
          </w:p>
        </w:tc>
      </w:tr>
      <w:tr w14:paraId="51E35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267" w:type="dxa"/>
            <w:noWrap w:val="0"/>
            <w:vAlign w:val="center"/>
          </w:tcPr>
          <w:p w14:paraId="28D9D9A5">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3</w:t>
            </w:r>
          </w:p>
        </w:tc>
        <w:tc>
          <w:tcPr>
            <w:tcW w:w="4755" w:type="dxa"/>
            <w:noWrap w:val="0"/>
            <w:vAlign w:val="center"/>
          </w:tcPr>
          <w:p w14:paraId="1E5EAA42">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消防设施完好率</w:t>
            </w:r>
          </w:p>
        </w:tc>
        <w:tc>
          <w:tcPr>
            <w:tcW w:w="2370" w:type="dxa"/>
            <w:noWrap w:val="0"/>
            <w:vAlign w:val="center"/>
          </w:tcPr>
          <w:p w14:paraId="1310FB90">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60F0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67" w:type="dxa"/>
            <w:noWrap w:val="0"/>
            <w:vAlign w:val="center"/>
          </w:tcPr>
          <w:p w14:paraId="3CF37EB6">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4</w:t>
            </w:r>
          </w:p>
        </w:tc>
        <w:tc>
          <w:tcPr>
            <w:tcW w:w="4755" w:type="dxa"/>
            <w:noWrap w:val="0"/>
            <w:vAlign w:val="center"/>
          </w:tcPr>
          <w:p w14:paraId="75FD2474">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消防</w:t>
            </w:r>
            <w:r>
              <w:rPr>
                <w:rFonts w:hint="eastAsia" w:ascii="宋体" w:hAnsi="宋体" w:eastAsia="宋体" w:cs="宋体"/>
                <w:b w:val="0"/>
                <w:bCs w:val="0"/>
                <w:color w:val="auto"/>
                <w:kern w:val="0"/>
                <w:sz w:val="20"/>
                <w:szCs w:val="20"/>
                <w:highlight w:val="none"/>
                <w:lang w:val="en-US" w:eastAsia="zh-CN"/>
              </w:rPr>
              <w:t>责任</w:t>
            </w:r>
            <w:r>
              <w:rPr>
                <w:rFonts w:hint="eastAsia" w:ascii="宋体" w:hAnsi="宋体" w:eastAsia="宋体" w:cs="宋体"/>
                <w:b w:val="0"/>
                <w:bCs w:val="0"/>
                <w:color w:val="auto"/>
                <w:kern w:val="0"/>
                <w:sz w:val="20"/>
                <w:szCs w:val="20"/>
                <w:highlight w:val="none"/>
              </w:rPr>
              <w:t>事故发生率</w:t>
            </w:r>
          </w:p>
        </w:tc>
        <w:tc>
          <w:tcPr>
            <w:tcW w:w="2370" w:type="dxa"/>
            <w:noWrap w:val="0"/>
            <w:vAlign w:val="center"/>
          </w:tcPr>
          <w:p w14:paraId="0CA50B24">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0</w:t>
            </w:r>
          </w:p>
        </w:tc>
      </w:tr>
      <w:tr w14:paraId="6085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267" w:type="dxa"/>
            <w:noWrap w:val="0"/>
            <w:vAlign w:val="center"/>
          </w:tcPr>
          <w:p w14:paraId="4E079810">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5</w:t>
            </w:r>
          </w:p>
        </w:tc>
        <w:tc>
          <w:tcPr>
            <w:tcW w:w="4755" w:type="dxa"/>
            <w:noWrap w:val="0"/>
            <w:vAlign w:val="center"/>
          </w:tcPr>
          <w:p w14:paraId="6864C6D1">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rPr>
              <w:t>对</w:t>
            </w:r>
            <w:r>
              <w:rPr>
                <w:rFonts w:hint="eastAsia" w:ascii="宋体" w:hAnsi="宋体" w:eastAsia="宋体" w:cs="宋体"/>
                <w:b w:val="0"/>
                <w:bCs w:val="0"/>
                <w:color w:val="auto"/>
                <w:kern w:val="0"/>
                <w:sz w:val="20"/>
                <w:szCs w:val="20"/>
                <w:highlight w:val="none"/>
                <w:lang w:val="en-US" w:eastAsia="zh-CN"/>
              </w:rPr>
              <w:t>秩序维护</w:t>
            </w:r>
            <w:r>
              <w:rPr>
                <w:rFonts w:hint="eastAsia" w:ascii="宋体" w:hAnsi="宋体" w:eastAsia="宋体" w:cs="宋体"/>
                <w:b w:val="0"/>
                <w:bCs w:val="0"/>
                <w:color w:val="auto"/>
                <w:kern w:val="0"/>
                <w:sz w:val="20"/>
                <w:szCs w:val="20"/>
                <w:highlight w:val="none"/>
              </w:rPr>
              <w:t>服务满意率</w:t>
            </w:r>
          </w:p>
        </w:tc>
        <w:tc>
          <w:tcPr>
            <w:tcW w:w="2370" w:type="dxa"/>
            <w:noWrap w:val="0"/>
            <w:vAlign w:val="center"/>
          </w:tcPr>
          <w:p w14:paraId="1F214B4F">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bl>
    <w:p w14:paraId="7355F237">
      <w:pPr>
        <w:keepNext w:val="0"/>
        <w:keepLines w:val="0"/>
        <w:pageBreakBefore w:val="0"/>
        <w:widowControl w:val="0"/>
        <w:numPr>
          <w:ilvl w:val="0"/>
          <w:numId w:val="0"/>
        </w:numPr>
        <w:kinsoku/>
        <w:wordWrap/>
        <w:overflowPunct/>
        <w:topLinePunct w:val="0"/>
        <w:autoSpaceDE/>
        <w:autoSpaceDN/>
        <w:bidi w:val="0"/>
        <w:adjustRightInd/>
        <w:snapToGrid/>
        <w:ind w:leftChars="0"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2.4</w:t>
      </w:r>
      <w:r>
        <w:rPr>
          <w:rFonts w:hint="eastAsia" w:ascii="宋体" w:hAnsi="宋体" w:cs="宋体"/>
          <w:color w:val="auto"/>
          <w:sz w:val="20"/>
          <w:szCs w:val="20"/>
          <w:highlight w:val="none"/>
          <w:lang w:val="en-US" w:eastAsia="zh-CN"/>
        </w:rPr>
        <w:t>行政后勤</w:t>
      </w:r>
      <w:r>
        <w:rPr>
          <w:rFonts w:hint="eastAsia" w:ascii="宋体" w:hAnsi="宋体" w:eastAsia="宋体" w:cs="宋体"/>
          <w:color w:val="auto"/>
          <w:sz w:val="20"/>
          <w:szCs w:val="20"/>
          <w:highlight w:val="none"/>
          <w:lang w:val="en-US" w:eastAsia="zh-CN"/>
        </w:rPr>
        <w:t>服务</w:t>
      </w:r>
      <w:r>
        <w:rPr>
          <w:rFonts w:hint="eastAsia" w:ascii="宋体" w:hAnsi="宋体" w:eastAsia="宋体" w:cs="宋体"/>
          <w:b w:val="0"/>
          <w:bCs w:val="0"/>
          <w:color w:val="auto"/>
          <w:sz w:val="20"/>
          <w:szCs w:val="20"/>
          <w:highlight w:val="none"/>
          <w:lang w:val="en-US" w:eastAsia="zh-CN"/>
        </w:rPr>
        <w:t>达标要求</w:t>
      </w:r>
    </w:p>
    <w:tbl>
      <w:tblPr>
        <w:tblStyle w:val="15"/>
        <w:tblW w:w="8430" w:type="dxa"/>
        <w:tblInd w:w="-6" w:type="dxa"/>
        <w:tblLayout w:type="fixed"/>
        <w:tblCellMar>
          <w:top w:w="0" w:type="dxa"/>
          <w:left w:w="108" w:type="dxa"/>
          <w:bottom w:w="0" w:type="dxa"/>
          <w:right w:w="108" w:type="dxa"/>
        </w:tblCellMar>
      </w:tblPr>
      <w:tblGrid>
        <w:gridCol w:w="1275"/>
        <w:gridCol w:w="4755"/>
        <w:gridCol w:w="2400"/>
      </w:tblGrid>
      <w:tr w14:paraId="7F1302CB">
        <w:tblPrEx>
          <w:tblCellMar>
            <w:top w:w="0" w:type="dxa"/>
            <w:left w:w="108" w:type="dxa"/>
            <w:bottom w:w="0" w:type="dxa"/>
            <w:right w:w="108" w:type="dxa"/>
          </w:tblCellMar>
        </w:tblPrEx>
        <w:trPr>
          <w:trHeight w:val="23" w:hRule="atLeast"/>
        </w:trPr>
        <w:tc>
          <w:tcPr>
            <w:tcW w:w="1275" w:type="dxa"/>
            <w:tcBorders>
              <w:top w:val="single" w:color="auto" w:sz="8" w:space="0"/>
              <w:left w:val="single" w:color="auto" w:sz="8" w:space="0"/>
              <w:bottom w:val="single" w:color="auto" w:sz="8" w:space="0"/>
              <w:right w:val="single" w:color="auto" w:sz="8" w:space="0"/>
            </w:tcBorders>
            <w:noWrap w:val="0"/>
            <w:vAlign w:val="center"/>
          </w:tcPr>
          <w:p w14:paraId="2E50567E">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序号</w:t>
            </w:r>
          </w:p>
        </w:tc>
        <w:tc>
          <w:tcPr>
            <w:tcW w:w="4755" w:type="dxa"/>
            <w:tcBorders>
              <w:top w:val="single" w:color="auto" w:sz="8" w:space="0"/>
              <w:left w:val="nil"/>
              <w:bottom w:val="single" w:color="auto" w:sz="8" w:space="0"/>
              <w:right w:val="single" w:color="auto" w:sz="8" w:space="0"/>
            </w:tcBorders>
            <w:noWrap w:val="0"/>
            <w:vAlign w:val="center"/>
          </w:tcPr>
          <w:p w14:paraId="3BEBD7E3">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项       目</w:t>
            </w:r>
          </w:p>
        </w:tc>
        <w:tc>
          <w:tcPr>
            <w:tcW w:w="2400" w:type="dxa"/>
            <w:tcBorders>
              <w:top w:val="single" w:color="auto" w:sz="8" w:space="0"/>
              <w:left w:val="nil"/>
              <w:bottom w:val="single" w:color="auto" w:sz="8" w:space="0"/>
              <w:right w:val="single" w:color="auto" w:sz="8" w:space="0"/>
            </w:tcBorders>
            <w:noWrap w:val="0"/>
            <w:vAlign w:val="center"/>
          </w:tcPr>
          <w:p w14:paraId="0E1274ED">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要求达到标准</w:t>
            </w:r>
          </w:p>
        </w:tc>
      </w:tr>
      <w:tr w14:paraId="41A38307">
        <w:tblPrEx>
          <w:tblCellMar>
            <w:top w:w="0" w:type="dxa"/>
            <w:left w:w="108" w:type="dxa"/>
            <w:bottom w:w="0" w:type="dxa"/>
            <w:right w:w="108" w:type="dxa"/>
          </w:tblCellMar>
        </w:tblPrEx>
        <w:trPr>
          <w:trHeight w:val="23" w:hRule="atLeast"/>
        </w:trPr>
        <w:tc>
          <w:tcPr>
            <w:tcW w:w="1275" w:type="dxa"/>
            <w:tcBorders>
              <w:top w:val="nil"/>
              <w:left w:val="single" w:color="auto" w:sz="8" w:space="0"/>
              <w:bottom w:val="single" w:color="auto" w:sz="4" w:space="0"/>
              <w:right w:val="single" w:color="auto" w:sz="8" w:space="0"/>
            </w:tcBorders>
            <w:noWrap w:val="0"/>
            <w:vAlign w:val="center"/>
          </w:tcPr>
          <w:p w14:paraId="152AA6E5">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w:t>
            </w:r>
          </w:p>
        </w:tc>
        <w:tc>
          <w:tcPr>
            <w:tcW w:w="4755" w:type="dxa"/>
            <w:tcBorders>
              <w:top w:val="nil"/>
              <w:left w:val="nil"/>
              <w:bottom w:val="single" w:color="auto" w:sz="4" w:space="0"/>
              <w:right w:val="single" w:color="auto" w:sz="8" w:space="0"/>
            </w:tcBorders>
            <w:noWrap w:val="0"/>
            <w:vAlign w:val="center"/>
          </w:tcPr>
          <w:p w14:paraId="522E5332">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cs="宋体"/>
                <w:b w:val="0"/>
                <w:bCs w:val="0"/>
                <w:color w:val="auto"/>
                <w:kern w:val="0"/>
                <w:sz w:val="20"/>
                <w:szCs w:val="20"/>
                <w:highlight w:val="none"/>
                <w:lang w:val="en-US" w:eastAsia="zh-CN"/>
              </w:rPr>
              <w:t>行政后勤</w:t>
            </w:r>
            <w:r>
              <w:rPr>
                <w:rFonts w:hint="eastAsia" w:ascii="宋体" w:hAnsi="宋体" w:eastAsia="宋体" w:cs="宋体"/>
                <w:b w:val="0"/>
                <w:bCs w:val="0"/>
                <w:color w:val="auto"/>
                <w:kern w:val="0"/>
                <w:sz w:val="20"/>
                <w:szCs w:val="20"/>
                <w:highlight w:val="none"/>
              </w:rPr>
              <w:t>服务工作按要求完成率</w:t>
            </w:r>
          </w:p>
        </w:tc>
        <w:tc>
          <w:tcPr>
            <w:tcW w:w="2400" w:type="dxa"/>
            <w:tcBorders>
              <w:top w:val="nil"/>
              <w:left w:val="nil"/>
              <w:bottom w:val="single" w:color="auto" w:sz="4" w:space="0"/>
              <w:right w:val="single" w:color="auto" w:sz="8" w:space="0"/>
            </w:tcBorders>
            <w:noWrap w:val="0"/>
            <w:vAlign w:val="center"/>
          </w:tcPr>
          <w:p w14:paraId="36E13A6A">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≥99%</w:t>
            </w:r>
          </w:p>
        </w:tc>
      </w:tr>
      <w:tr w14:paraId="225B7BFA">
        <w:tblPrEx>
          <w:tblCellMar>
            <w:top w:w="0" w:type="dxa"/>
            <w:left w:w="108" w:type="dxa"/>
            <w:bottom w:w="0" w:type="dxa"/>
            <w:right w:w="108" w:type="dxa"/>
          </w:tblCellMar>
        </w:tblPrEx>
        <w:trPr>
          <w:trHeight w:val="23"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4A87A543">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2</w:t>
            </w:r>
          </w:p>
        </w:tc>
        <w:tc>
          <w:tcPr>
            <w:tcW w:w="4755" w:type="dxa"/>
            <w:tcBorders>
              <w:top w:val="single" w:color="auto" w:sz="4" w:space="0"/>
              <w:left w:val="single" w:color="auto" w:sz="4" w:space="0"/>
              <w:bottom w:val="single" w:color="auto" w:sz="4" w:space="0"/>
              <w:right w:val="single" w:color="auto" w:sz="4" w:space="0"/>
            </w:tcBorders>
            <w:noWrap w:val="0"/>
            <w:vAlign w:val="center"/>
          </w:tcPr>
          <w:p w14:paraId="10598543">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会议前期准备工作完成率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2CA30399">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≥99</w:t>
            </w:r>
            <w:r>
              <w:rPr>
                <w:rFonts w:hint="eastAsia" w:ascii="宋体" w:hAnsi="宋体" w:eastAsia="宋体" w:cs="宋体"/>
                <w:b w:val="0"/>
                <w:bCs w:val="0"/>
                <w:color w:val="auto"/>
                <w:kern w:val="0"/>
                <w:sz w:val="20"/>
                <w:szCs w:val="20"/>
                <w:highlight w:val="none"/>
                <w:lang w:val="en-US" w:eastAsia="zh-CN"/>
              </w:rPr>
              <w:t>%</w:t>
            </w:r>
          </w:p>
        </w:tc>
      </w:tr>
      <w:tr w14:paraId="66473EFF">
        <w:tblPrEx>
          <w:tblCellMar>
            <w:top w:w="0" w:type="dxa"/>
            <w:left w:w="108" w:type="dxa"/>
            <w:bottom w:w="0" w:type="dxa"/>
            <w:right w:w="108" w:type="dxa"/>
          </w:tblCellMar>
        </w:tblPrEx>
        <w:trPr>
          <w:trHeight w:val="23"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4E0F271A">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3</w:t>
            </w:r>
          </w:p>
        </w:tc>
        <w:tc>
          <w:tcPr>
            <w:tcW w:w="4755" w:type="dxa"/>
            <w:tcBorders>
              <w:top w:val="single" w:color="auto" w:sz="4" w:space="0"/>
              <w:left w:val="single" w:color="auto" w:sz="4" w:space="0"/>
              <w:bottom w:val="single" w:color="auto" w:sz="4" w:space="0"/>
              <w:right w:val="single" w:color="auto" w:sz="4" w:space="0"/>
            </w:tcBorders>
            <w:noWrap w:val="0"/>
            <w:vAlign w:val="center"/>
          </w:tcPr>
          <w:p w14:paraId="259E8601">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会议期间服务满意率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252DCE9C">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026FE951">
        <w:tblPrEx>
          <w:tblCellMar>
            <w:top w:w="0" w:type="dxa"/>
            <w:left w:w="108" w:type="dxa"/>
            <w:bottom w:w="0" w:type="dxa"/>
            <w:right w:w="108" w:type="dxa"/>
          </w:tblCellMar>
        </w:tblPrEx>
        <w:trPr>
          <w:trHeight w:val="23"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1E981D74">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4</w:t>
            </w:r>
          </w:p>
        </w:tc>
        <w:tc>
          <w:tcPr>
            <w:tcW w:w="4755" w:type="dxa"/>
            <w:tcBorders>
              <w:top w:val="single" w:color="auto" w:sz="4" w:space="0"/>
              <w:left w:val="single" w:color="auto" w:sz="4" w:space="0"/>
              <w:bottom w:val="single" w:color="auto" w:sz="4" w:space="0"/>
              <w:right w:val="single" w:color="auto" w:sz="4" w:space="0"/>
            </w:tcBorders>
            <w:noWrap w:val="0"/>
            <w:vAlign w:val="center"/>
          </w:tcPr>
          <w:p w14:paraId="3EE3EAF6">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sz w:val="20"/>
                <w:szCs w:val="20"/>
                <w:highlight w:val="none"/>
              </w:rPr>
              <w:t>会场环境卫生及物品摆放合格率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75746E65">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100%</w:t>
            </w:r>
          </w:p>
        </w:tc>
      </w:tr>
      <w:tr w14:paraId="2E1193C9">
        <w:tblPrEx>
          <w:tblCellMar>
            <w:top w:w="0" w:type="dxa"/>
            <w:left w:w="108" w:type="dxa"/>
            <w:bottom w:w="0" w:type="dxa"/>
            <w:right w:w="108" w:type="dxa"/>
          </w:tblCellMar>
        </w:tblPrEx>
        <w:trPr>
          <w:trHeight w:val="23"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57C3D6E0">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5</w:t>
            </w:r>
          </w:p>
        </w:tc>
        <w:tc>
          <w:tcPr>
            <w:tcW w:w="4755" w:type="dxa"/>
            <w:tcBorders>
              <w:top w:val="single" w:color="auto" w:sz="4" w:space="0"/>
              <w:left w:val="single" w:color="auto" w:sz="4" w:space="0"/>
              <w:bottom w:val="single" w:color="auto" w:sz="4" w:space="0"/>
              <w:right w:val="single" w:color="auto" w:sz="4" w:space="0"/>
            </w:tcBorders>
            <w:noWrap w:val="0"/>
            <w:vAlign w:val="center"/>
          </w:tcPr>
          <w:p w14:paraId="48561756">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会场灯光、音响等设备完好率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06AA8B5A">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100%</w:t>
            </w:r>
          </w:p>
        </w:tc>
      </w:tr>
      <w:tr w14:paraId="0AF7A908">
        <w:tblPrEx>
          <w:tblCellMar>
            <w:top w:w="0" w:type="dxa"/>
            <w:left w:w="108" w:type="dxa"/>
            <w:bottom w:w="0" w:type="dxa"/>
            <w:right w:w="108" w:type="dxa"/>
          </w:tblCellMar>
        </w:tblPrEx>
        <w:trPr>
          <w:trHeight w:val="23"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328B0B7D">
            <w:pPr>
              <w:widowControl/>
              <w:spacing w:line="360" w:lineRule="auto"/>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6</w:t>
            </w:r>
          </w:p>
        </w:tc>
        <w:tc>
          <w:tcPr>
            <w:tcW w:w="4755" w:type="dxa"/>
            <w:tcBorders>
              <w:top w:val="single" w:color="auto" w:sz="4" w:space="0"/>
              <w:left w:val="single" w:color="auto" w:sz="4" w:space="0"/>
              <w:bottom w:val="single" w:color="auto" w:sz="4" w:space="0"/>
              <w:right w:val="single" w:color="auto" w:sz="4" w:space="0"/>
            </w:tcBorders>
            <w:noWrap w:val="0"/>
            <w:vAlign w:val="center"/>
          </w:tcPr>
          <w:p w14:paraId="1C4FCC4D">
            <w:pPr>
              <w:widowControl/>
              <w:spacing w:line="360" w:lineRule="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rPr>
              <w:t>对</w:t>
            </w:r>
            <w:r>
              <w:rPr>
                <w:rFonts w:hint="eastAsia" w:ascii="宋体" w:hAnsi="宋体" w:eastAsia="宋体" w:cs="宋体"/>
                <w:b w:val="0"/>
                <w:bCs w:val="0"/>
                <w:color w:val="auto"/>
                <w:kern w:val="0"/>
                <w:sz w:val="20"/>
                <w:szCs w:val="20"/>
                <w:highlight w:val="none"/>
                <w:lang w:val="en-US" w:eastAsia="zh-CN"/>
              </w:rPr>
              <w:t>行政</w:t>
            </w:r>
            <w:r>
              <w:rPr>
                <w:rFonts w:hint="eastAsia" w:ascii="宋体" w:hAnsi="宋体" w:cs="宋体"/>
                <w:b w:val="0"/>
                <w:bCs w:val="0"/>
                <w:color w:val="auto"/>
                <w:kern w:val="0"/>
                <w:sz w:val="20"/>
                <w:szCs w:val="20"/>
                <w:highlight w:val="none"/>
                <w:lang w:val="en-US" w:eastAsia="zh-CN"/>
              </w:rPr>
              <w:t>后勤</w:t>
            </w:r>
            <w:r>
              <w:rPr>
                <w:rFonts w:hint="eastAsia" w:ascii="宋体" w:hAnsi="宋体" w:eastAsia="宋体" w:cs="宋体"/>
                <w:b w:val="0"/>
                <w:bCs w:val="0"/>
                <w:color w:val="auto"/>
                <w:kern w:val="0"/>
                <w:sz w:val="20"/>
                <w:szCs w:val="20"/>
                <w:highlight w:val="none"/>
              </w:rPr>
              <w:t>服务满意率</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1C4EB384">
            <w:pPr>
              <w:widowControl/>
              <w:spacing w:line="360" w:lineRule="auto"/>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≥95%</w:t>
            </w:r>
          </w:p>
        </w:tc>
      </w:tr>
    </w:tbl>
    <w:p w14:paraId="642E1222">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ind w:leftChars="0"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2.5食堂餐饮外委服务</w:t>
      </w:r>
      <w:r>
        <w:rPr>
          <w:rFonts w:hint="eastAsia" w:ascii="宋体" w:hAnsi="宋体" w:eastAsia="宋体" w:cs="宋体"/>
          <w:b w:val="0"/>
          <w:bCs w:val="0"/>
          <w:color w:val="auto"/>
          <w:sz w:val="20"/>
          <w:szCs w:val="20"/>
          <w:highlight w:val="none"/>
          <w:lang w:val="en-US" w:eastAsia="zh-CN"/>
        </w:rPr>
        <w:t>达标要求</w:t>
      </w:r>
    </w:p>
    <w:tbl>
      <w:tblPr>
        <w:tblStyle w:val="15"/>
        <w:tblW w:w="8490" w:type="dxa"/>
        <w:tblInd w:w="-6" w:type="dxa"/>
        <w:tblLayout w:type="fixed"/>
        <w:tblCellMar>
          <w:top w:w="0" w:type="dxa"/>
          <w:left w:w="108" w:type="dxa"/>
          <w:bottom w:w="0" w:type="dxa"/>
          <w:right w:w="108" w:type="dxa"/>
        </w:tblCellMar>
      </w:tblPr>
      <w:tblGrid>
        <w:gridCol w:w="1261"/>
        <w:gridCol w:w="4769"/>
        <w:gridCol w:w="2460"/>
      </w:tblGrid>
      <w:tr w14:paraId="554E0FE7">
        <w:tblPrEx>
          <w:tblCellMar>
            <w:top w:w="0" w:type="dxa"/>
            <w:left w:w="108" w:type="dxa"/>
            <w:bottom w:w="0" w:type="dxa"/>
            <w:right w:w="108" w:type="dxa"/>
          </w:tblCellMar>
        </w:tblPrEx>
        <w:trPr>
          <w:trHeight w:val="90" w:hRule="atLeast"/>
        </w:trPr>
        <w:tc>
          <w:tcPr>
            <w:tcW w:w="1261" w:type="dxa"/>
            <w:tcBorders>
              <w:top w:val="single" w:color="auto" w:sz="4" w:space="0"/>
              <w:left w:val="single" w:color="auto" w:sz="4" w:space="0"/>
              <w:bottom w:val="single" w:color="auto" w:sz="4" w:space="0"/>
              <w:right w:val="single" w:color="auto" w:sz="4" w:space="0"/>
            </w:tcBorders>
            <w:noWrap w:val="0"/>
            <w:vAlign w:val="center"/>
          </w:tcPr>
          <w:p w14:paraId="1D38AF90">
            <w:pPr>
              <w:widowControl/>
              <w:spacing w:line="360" w:lineRule="auto"/>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序号</w:t>
            </w:r>
          </w:p>
        </w:tc>
        <w:tc>
          <w:tcPr>
            <w:tcW w:w="4769" w:type="dxa"/>
            <w:tcBorders>
              <w:top w:val="single" w:color="auto" w:sz="4" w:space="0"/>
              <w:left w:val="single" w:color="auto" w:sz="4" w:space="0"/>
              <w:bottom w:val="single" w:color="auto" w:sz="4" w:space="0"/>
              <w:right w:val="single" w:color="auto" w:sz="4" w:space="0"/>
            </w:tcBorders>
            <w:noWrap w:val="0"/>
            <w:vAlign w:val="center"/>
          </w:tcPr>
          <w:p w14:paraId="7ABAB417">
            <w:pPr>
              <w:widowControl/>
              <w:spacing w:line="360" w:lineRule="auto"/>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项       目</w:t>
            </w:r>
          </w:p>
        </w:tc>
        <w:tc>
          <w:tcPr>
            <w:tcW w:w="2460" w:type="dxa"/>
            <w:tcBorders>
              <w:top w:val="single" w:color="auto" w:sz="4" w:space="0"/>
              <w:left w:val="single" w:color="auto" w:sz="4" w:space="0"/>
              <w:bottom w:val="single" w:color="auto" w:sz="4" w:space="0"/>
              <w:right w:val="single" w:color="auto" w:sz="4" w:space="0"/>
            </w:tcBorders>
            <w:noWrap w:val="0"/>
            <w:vAlign w:val="center"/>
          </w:tcPr>
          <w:p w14:paraId="3AF4C4A8">
            <w:pPr>
              <w:widowControl/>
              <w:spacing w:line="360" w:lineRule="auto"/>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要求达到标准</w:t>
            </w:r>
          </w:p>
        </w:tc>
      </w:tr>
      <w:tr w14:paraId="052A6599">
        <w:trPr>
          <w:trHeight w:val="90" w:hRule="atLeast"/>
        </w:trPr>
        <w:tc>
          <w:tcPr>
            <w:tcW w:w="1261" w:type="dxa"/>
            <w:tcBorders>
              <w:top w:val="single" w:color="auto" w:sz="4" w:space="0"/>
              <w:left w:val="single" w:color="auto" w:sz="4" w:space="0"/>
              <w:bottom w:val="single" w:color="auto" w:sz="4" w:space="0"/>
              <w:right w:val="single" w:color="auto" w:sz="4" w:space="0"/>
            </w:tcBorders>
            <w:noWrap w:val="0"/>
            <w:vAlign w:val="center"/>
          </w:tcPr>
          <w:p w14:paraId="0F76D2AD">
            <w:pPr>
              <w:widowControl/>
              <w:spacing w:line="360" w:lineRule="auto"/>
              <w:ind w:firstLine="400" w:firstLineChars="200"/>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w:t>
            </w:r>
          </w:p>
        </w:tc>
        <w:tc>
          <w:tcPr>
            <w:tcW w:w="4769" w:type="dxa"/>
            <w:tcBorders>
              <w:top w:val="single" w:color="auto" w:sz="4" w:space="0"/>
              <w:left w:val="single" w:color="auto" w:sz="4" w:space="0"/>
              <w:bottom w:val="single" w:color="auto" w:sz="4" w:space="0"/>
              <w:right w:val="single" w:color="auto" w:sz="4" w:space="0"/>
            </w:tcBorders>
            <w:noWrap w:val="0"/>
            <w:vAlign w:val="center"/>
          </w:tcPr>
          <w:p w14:paraId="0170CD8F">
            <w:pPr>
              <w:widowControl/>
              <w:spacing w:line="360" w:lineRule="auto"/>
              <w:jc w:val="both"/>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食物中毒发生率</w:t>
            </w:r>
          </w:p>
        </w:tc>
        <w:tc>
          <w:tcPr>
            <w:tcW w:w="2460" w:type="dxa"/>
            <w:tcBorders>
              <w:top w:val="single" w:color="auto" w:sz="4" w:space="0"/>
              <w:left w:val="single" w:color="auto" w:sz="4" w:space="0"/>
              <w:bottom w:val="single" w:color="auto" w:sz="4" w:space="0"/>
              <w:right w:val="single" w:color="auto" w:sz="4" w:space="0"/>
            </w:tcBorders>
            <w:noWrap w:val="0"/>
            <w:vAlign w:val="center"/>
          </w:tcPr>
          <w:p w14:paraId="2853DED6">
            <w:pPr>
              <w:widowControl/>
              <w:spacing w:line="360" w:lineRule="auto"/>
              <w:ind w:firstLine="400" w:firstLineChars="200"/>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0</w:t>
            </w:r>
          </w:p>
        </w:tc>
      </w:tr>
      <w:tr w14:paraId="209EC177">
        <w:tblPrEx>
          <w:tblCellMar>
            <w:top w:w="0" w:type="dxa"/>
            <w:left w:w="108" w:type="dxa"/>
            <w:bottom w:w="0" w:type="dxa"/>
            <w:right w:w="108" w:type="dxa"/>
          </w:tblCellMar>
        </w:tblPrEx>
        <w:trPr>
          <w:trHeight w:val="90" w:hRule="atLeast"/>
        </w:trPr>
        <w:tc>
          <w:tcPr>
            <w:tcW w:w="1261" w:type="dxa"/>
            <w:tcBorders>
              <w:top w:val="single" w:color="auto" w:sz="4" w:space="0"/>
              <w:left w:val="single" w:color="auto" w:sz="4" w:space="0"/>
              <w:bottom w:val="single" w:color="auto" w:sz="4" w:space="0"/>
              <w:right w:val="single" w:color="auto" w:sz="4" w:space="0"/>
            </w:tcBorders>
            <w:noWrap w:val="0"/>
            <w:vAlign w:val="center"/>
          </w:tcPr>
          <w:p w14:paraId="14141567">
            <w:pPr>
              <w:widowControl/>
              <w:spacing w:line="360" w:lineRule="auto"/>
              <w:ind w:firstLine="400" w:firstLineChars="200"/>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w:t>
            </w:r>
          </w:p>
        </w:tc>
        <w:tc>
          <w:tcPr>
            <w:tcW w:w="4769" w:type="dxa"/>
            <w:tcBorders>
              <w:top w:val="single" w:color="auto" w:sz="4" w:space="0"/>
              <w:left w:val="single" w:color="auto" w:sz="4" w:space="0"/>
              <w:bottom w:val="single" w:color="auto" w:sz="4" w:space="0"/>
              <w:right w:val="single" w:color="auto" w:sz="4" w:space="0"/>
            </w:tcBorders>
            <w:noWrap w:val="0"/>
            <w:vAlign w:val="center"/>
          </w:tcPr>
          <w:p w14:paraId="1B00CCAF">
            <w:pPr>
              <w:widowControl/>
              <w:spacing w:line="360" w:lineRule="auto"/>
              <w:jc w:val="both"/>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每月更新至少1道新菜品</w:t>
            </w:r>
          </w:p>
        </w:tc>
        <w:tc>
          <w:tcPr>
            <w:tcW w:w="2460" w:type="dxa"/>
            <w:tcBorders>
              <w:top w:val="single" w:color="auto" w:sz="4" w:space="0"/>
              <w:left w:val="single" w:color="auto" w:sz="4" w:space="0"/>
              <w:bottom w:val="single" w:color="auto" w:sz="4" w:space="0"/>
              <w:right w:val="single" w:color="auto" w:sz="4" w:space="0"/>
            </w:tcBorders>
            <w:noWrap w:val="0"/>
            <w:vAlign w:val="center"/>
          </w:tcPr>
          <w:p w14:paraId="0C1AD823">
            <w:pPr>
              <w:widowControl/>
              <w:spacing w:line="360" w:lineRule="auto"/>
              <w:ind w:firstLine="400" w:firstLineChars="200"/>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100%</w:t>
            </w:r>
          </w:p>
        </w:tc>
      </w:tr>
      <w:tr w14:paraId="396E2D04">
        <w:tblPrEx>
          <w:tblCellMar>
            <w:top w:w="0" w:type="dxa"/>
            <w:left w:w="108" w:type="dxa"/>
            <w:bottom w:w="0" w:type="dxa"/>
            <w:right w:w="108" w:type="dxa"/>
          </w:tblCellMar>
        </w:tblPrEx>
        <w:trPr>
          <w:trHeight w:val="90" w:hRule="atLeast"/>
        </w:trPr>
        <w:tc>
          <w:tcPr>
            <w:tcW w:w="1261" w:type="dxa"/>
            <w:tcBorders>
              <w:top w:val="single" w:color="auto" w:sz="4" w:space="0"/>
              <w:left w:val="single" w:color="auto" w:sz="4" w:space="0"/>
              <w:bottom w:val="single" w:color="auto" w:sz="4" w:space="0"/>
              <w:right w:val="single" w:color="auto" w:sz="4" w:space="0"/>
            </w:tcBorders>
            <w:noWrap w:val="0"/>
            <w:vAlign w:val="center"/>
          </w:tcPr>
          <w:p w14:paraId="2B1B2418">
            <w:pPr>
              <w:widowControl/>
              <w:spacing w:line="360" w:lineRule="auto"/>
              <w:ind w:firstLine="400" w:firstLineChars="200"/>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w:t>
            </w:r>
          </w:p>
        </w:tc>
        <w:tc>
          <w:tcPr>
            <w:tcW w:w="4769" w:type="dxa"/>
            <w:tcBorders>
              <w:top w:val="single" w:color="auto" w:sz="4" w:space="0"/>
              <w:left w:val="single" w:color="auto" w:sz="4" w:space="0"/>
              <w:bottom w:val="single" w:color="auto" w:sz="4" w:space="0"/>
              <w:right w:val="single" w:color="auto" w:sz="4" w:space="0"/>
            </w:tcBorders>
            <w:noWrap w:val="0"/>
            <w:vAlign w:val="center"/>
          </w:tcPr>
          <w:p w14:paraId="2A06207C">
            <w:pPr>
              <w:widowControl/>
              <w:spacing w:line="360" w:lineRule="auto"/>
              <w:jc w:val="both"/>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职工食堂环境卫生合格率</w:t>
            </w:r>
          </w:p>
        </w:tc>
        <w:tc>
          <w:tcPr>
            <w:tcW w:w="2460" w:type="dxa"/>
            <w:tcBorders>
              <w:top w:val="single" w:color="auto" w:sz="4" w:space="0"/>
              <w:left w:val="single" w:color="auto" w:sz="4" w:space="0"/>
              <w:bottom w:val="single" w:color="auto" w:sz="4" w:space="0"/>
              <w:right w:val="single" w:color="auto" w:sz="4" w:space="0"/>
            </w:tcBorders>
            <w:noWrap w:val="0"/>
            <w:vAlign w:val="center"/>
          </w:tcPr>
          <w:p w14:paraId="380B5E3E">
            <w:pPr>
              <w:widowControl/>
              <w:spacing w:line="360" w:lineRule="auto"/>
              <w:ind w:firstLine="400" w:firstLineChars="200"/>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100%</w:t>
            </w:r>
          </w:p>
        </w:tc>
      </w:tr>
      <w:tr w14:paraId="7E924968">
        <w:tblPrEx>
          <w:tblCellMar>
            <w:top w:w="0" w:type="dxa"/>
            <w:left w:w="108" w:type="dxa"/>
            <w:bottom w:w="0" w:type="dxa"/>
            <w:right w:w="108" w:type="dxa"/>
          </w:tblCellMar>
        </w:tblPrEx>
        <w:trPr>
          <w:trHeight w:val="90" w:hRule="atLeast"/>
        </w:trPr>
        <w:tc>
          <w:tcPr>
            <w:tcW w:w="1261" w:type="dxa"/>
            <w:tcBorders>
              <w:top w:val="single" w:color="auto" w:sz="4" w:space="0"/>
              <w:left w:val="single" w:color="auto" w:sz="8" w:space="0"/>
              <w:bottom w:val="single" w:color="auto" w:sz="4" w:space="0"/>
              <w:right w:val="single" w:color="auto" w:sz="8" w:space="0"/>
            </w:tcBorders>
            <w:noWrap w:val="0"/>
            <w:vAlign w:val="center"/>
          </w:tcPr>
          <w:p w14:paraId="510105C1">
            <w:pPr>
              <w:widowControl/>
              <w:spacing w:line="360" w:lineRule="auto"/>
              <w:ind w:firstLine="400" w:firstLineChars="200"/>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w:t>
            </w:r>
          </w:p>
        </w:tc>
        <w:tc>
          <w:tcPr>
            <w:tcW w:w="4769" w:type="dxa"/>
            <w:tcBorders>
              <w:top w:val="single" w:color="auto" w:sz="4" w:space="0"/>
              <w:left w:val="nil"/>
              <w:bottom w:val="single" w:color="auto" w:sz="4" w:space="0"/>
              <w:right w:val="single" w:color="auto" w:sz="8" w:space="0"/>
            </w:tcBorders>
            <w:noWrap w:val="0"/>
            <w:vAlign w:val="center"/>
          </w:tcPr>
          <w:p w14:paraId="48CB424E">
            <w:pPr>
              <w:widowControl/>
              <w:spacing w:line="360" w:lineRule="auto"/>
              <w:jc w:val="both"/>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每个餐次的食品留样率</w:t>
            </w:r>
          </w:p>
        </w:tc>
        <w:tc>
          <w:tcPr>
            <w:tcW w:w="2460" w:type="dxa"/>
            <w:tcBorders>
              <w:top w:val="single" w:color="auto" w:sz="4" w:space="0"/>
              <w:left w:val="nil"/>
              <w:bottom w:val="single" w:color="auto" w:sz="4" w:space="0"/>
              <w:right w:val="single" w:color="auto" w:sz="8" w:space="0"/>
            </w:tcBorders>
            <w:noWrap w:val="0"/>
            <w:vAlign w:val="center"/>
          </w:tcPr>
          <w:p w14:paraId="55C9FB6E">
            <w:pPr>
              <w:widowControl/>
              <w:spacing w:line="360" w:lineRule="auto"/>
              <w:ind w:firstLine="400" w:firstLineChars="200"/>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100%</w:t>
            </w:r>
          </w:p>
        </w:tc>
      </w:tr>
      <w:tr w14:paraId="6AE7DB94">
        <w:trPr>
          <w:trHeight w:val="90" w:hRule="atLeast"/>
        </w:trPr>
        <w:tc>
          <w:tcPr>
            <w:tcW w:w="1261" w:type="dxa"/>
            <w:tcBorders>
              <w:top w:val="single" w:color="auto" w:sz="4" w:space="0"/>
              <w:left w:val="single" w:color="auto" w:sz="8" w:space="0"/>
              <w:bottom w:val="single" w:color="auto" w:sz="4" w:space="0"/>
              <w:right w:val="single" w:color="auto" w:sz="8" w:space="0"/>
            </w:tcBorders>
            <w:noWrap w:val="0"/>
            <w:vAlign w:val="center"/>
          </w:tcPr>
          <w:p w14:paraId="42F566ED">
            <w:pPr>
              <w:widowControl/>
              <w:spacing w:line="360" w:lineRule="auto"/>
              <w:ind w:firstLine="400" w:firstLineChars="200"/>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w:t>
            </w:r>
          </w:p>
        </w:tc>
        <w:tc>
          <w:tcPr>
            <w:tcW w:w="4769" w:type="dxa"/>
            <w:tcBorders>
              <w:top w:val="single" w:color="auto" w:sz="4" w:space="0"/>
              <w:left w:val="nil"/>
              <w:bottom w:val="single" w:color="auto" w:sz="4" w:space="0"/>
              <w:right w:val="single" w:color="auto" w:sz="8" w:space="0"/>
            </w:tcBorders>
            <w:noWrap w:val="0"/>
            <w:vAlign w:val="center"/>
          </w:tcPr>
          <w:p w14:paraId="7AB7B65E">
            <w:pPr>
              <w:widowControl/>
              <w:spacing w:line="360" w:lineRule="auto"/>
              <w:jc w:val="both"/>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作业人员</w:t>
            </w:r>
            <w:r>
              <w:rPr>
                <w:rFonts w:hint="eastAsia" w:ascii="宋体" w:hAnsi="宋体" w:eastAsia="宋体" w:cs="宋体"/>
                <w:color w:val="auto"/>
                <w:kern w:val="0"/>
                <w:sz w:val="20"/>
                <w:szCs w:val="20"/>
                <w:highlight w:val="none"/>
                <w:lang w:val="en-US" w:eastAsia="zh-CN"/>
              </w:rPr>
              <w:t>健康证</w:t>
            </w:r>
            <w:r>
              <w:rPr>
                <w:rFonts w:hint="eastAsia" w:ascii="宋体" w:hAnsi="宋体" w:eastAsia="宋体" w:cs="宋体"/>
                <w:color w:val="auto"/>
                <w:kern w:val="0"/>
                <w:sz w:val="20"/>
                <w:szCs w:val="20"/>
                <w:highlight w:val="none"/>
              </w:rPr>
              <w:t>持证率</w:t>
            </w:r>
          </w:p>
        </w:tc>
        <w:tc>
          <w:tcPr>
            <w:tcW w:w="2460" w:type="dxa"/>
            <w:tcBorders>
              <w:top w:val="single" w:color="auto" w:sz="4" w:space="0"/>
              <w:left w:val="nil"/>
              <w:bottom w:val="single" w:color="auto" w:sz="4" w:space="0"/>
              <w:right w:val="single" w:color="auto" w:sz="8" w:space="0"/>
            </w:tcBorders>
            <w:noWrap w:val="0"/>
            <w:vAlign w:val="center"/>
          </w:tcPr>
          <w:p w14:paraId="35BB8940">
            <w:pPr>
              <w:widowControl/>
              <w:spacing w:line="360" w:lineRule="auto"/>
              <w:ind w:firstLine="400" w:firstLineChars="200"/>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100%</w:t>
            </w:r>
          </w:p>
        </w:tc>
      </w:tr>
      <w:tr w14:paraId="0C59CFFA">
        <w:tblPrEx>
          <w:tblCellMar>
            <w:top w:w="0" w:type="dxa"/>
            <w:left w:w="108" w:type="dxa"/>
            <w:bottom w:w="0" w:type="dxa"/>
            <w:right w:w="108" w:type="dxa"/>
          </w:tblCellMar>
        </w:tblPrEx>
        <w:trPr>
          <w:trHeight w:val="90" w:hRule="atLeast"/>
        </w:trPr>
        <w:tc>
          <w:tcPr>
            <w:tcW w:w="1261" w:type="dxa"/>
            <w:tcBorders>
              <w:top w:val="single" w:color="auto" w:sz="4" w:space="0"/>
              <w:left w:val="single" w:color="auto" w:sz="8" w:space="0"/>
              <w:bottom w:val="single" w:color="auto" w:sz="4" w:space="0"/>
              <w:right w:val="single" w:color="auto" w:sz="8" w:space="0"/>
            </w:tcBorders>
            <w:noWrap w:val="0"/>
            <w:vAlign w:val="center"/>
          </w:tcPr>
          <w:p w14:paraId="44910052">
            <w:pPr>
              <w:widowControl/>
              <w:spacing w:line="360" w:lineRule="auto"/>
              <w:ind w:firstLine="400" w:firstLineChars="200"/>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w:t>
            </w:r>
          </w:p>
        </w:tc>
        <w:tc>
          <w:tcPr>
            <w:tcW w:w="4769" w:type="dxa"/>
            <w:tcBorders>
              <w:top w:val="single" w:color="auto" w:sz="4" w:space="0"/>
              <w:left w:val="nil"/>
              <w:bottom w:val="single" w:color="auto" w:sz="4" w:space="0"/>
              <w:right w:val="single" w:color="auto" w:sz="8" w:space="0"/>
            </w:tcBorders>
            <w:noWrap w:val="0"/>
            <w:vAlign w:val="center"/>
          </w:tcPr>
          <w:p w14:paraId="6625CFFB">
            <w:pPr>
              <w:widowControl/>
              <w:spacing w:line="360" w:lineRule="auto"/>
              <w:jc w:val="both"/>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管理人员培训合格率</w:t>
            </w:r>
          </w:p>
        </w:tc>
        <w:tc>
          <w:tcPr>
            <w:tcW w:w="2460" w:type="dxa"/>
            <w:tcBorders>
              <w:top w:val="single" w:color="auto" w:sz="4" w:space="0"/>
              <w:left w:val="nil"/>
              <w:bottom w:val="single" w:color="auto" w:sz="4" w:space="0"/>
              <w:right w:val="single" w:color="auto" w:sz="8" w:space="0"/>
            </w:tcBorders>
            <w:noWrap w:val="0"/>
            <w:vAlign w:val="center"/>
          </w:tcPr>
          <w:p w14:paraId="15ECFE42">
            <w:pPr>
              <w:widowControl/>
              <w:spacing w:line="360" w:lineRule="auto"/>
              <w:ind w:firstLine="400" w:firstLineChars="200"/>
              <w:jc w:val="center"/>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≥85%</w:t>
            </w:r>
          </w:p>
        </w:tc>
      </w:tr>
      <w:tr w14:paraId="68269A5C">
        <w:tblPrEx>
          <w:tblCellMar>
            <w:top w:w="0" w:type="dxa"/>
            <w:left w:w="108" w:type="dxa"/>
            <w:bottom w:w="0" w:type="dxa"/>
            <w:right w:w="108" w:type="dxa"/>
          </w:tblCellMar>
        </w:tblPrEx>
        <w:trPr>
          <w:trHeight w:val="90" w:hRule="atLeast"/>
        </w:trPr>
        <w:tc>
          <w:tcPr>
            <w:tcW w:w="1261" w:type="dxa"/>
            <w:tcBorders>
              <w:top w:val="single" w:color="auto" w:sz="4" w:space="0"/>
              <w:left w:val="single" w:color="auto" w:sz="8" w:space="0"/>
              <w:bottom w:val="single" w:color="auto" w:sz="8" w:space="0"/>
              <w:right w:val="single" w:color="auto" w:sz="8" w:space="0"/>
            </w:tcBorders>
            <w:noWrap w:val="0"/>
            <w:vAlign w:val="center"/>
          </w:tcPr>
          <w:p w14:paraId="4C2AB32E">
            <w:pPr>
              <w:widowControl/>
              <w:spacing w:line="360" w:lineRule="auto"/>
              <w:ind w:firstLine="400" w:firstLineChars="200"/>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7</w:t>
            </w:r>
          </w:p>
        </w:tc>
        <w:tc>
          <w:tcPr>
            <w:tcW w:w="4769" w:type="dxa"/>
            <w:tcBorders>
              <w:top w:val="single" w:color="auto" w:sz="4" w:space="0"/>
              <w:left w:val="nil"/>
              <w:bottom w:val="single" w:color="auto" w:sz="8" w:space="0"/>
              <w:right w:val="single" w:color="auto" w:sz="8" w:space="0"/>
            </w:tcBorders>
            <w:noWrap w:val="0"/>
            <w:vAlign w:val="center"/>
          </w:tcPr>
          <w:p w14:paraId="2B20E17F">
            <w:pPr>
              <w:widowControl/>
              <w:spacing w:line="360" w:lineRule="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rPr>
              <w:t>对</w:t>
            </w:r>
            <w:r>
              <w:rPr>
                <w:rFonts w:hint="eastAsia" w:ascii="宋体" w:hAnsi="宋体" w:eastAsia="宋体" w:cs="宋体"/>
                <w:b w:val="0"/>
                <w:bCs w:val="0"/>
                <w:color w:val="auto"/>
                <w:kern w:val="0"/>
                <w:sz w:val="20"/>
                <w:szCs w:val="20"/>
                <w:highlight w:val="none"/>
                <w:lang w:val="en-US" w:eastAsia="zh-CN"/>
              </w:rPr>
              <w:t>食堂餐饮</w:t>
            </w:r>
            <w:r>
              <w:rPr>
                <w:rFonts w:hint="eastAsia" w:ascii="宋体" w:hAnsi="宋体" w:eastAsia="宋体" w:cs="宋体"/>
                <w:b w:val="0"/>
                <w:bCs w:val="0"/>
                <w:color w:val="auto"/>
                <w:kern w:val="0"/>
                <w:sz w:val="20"/>
                <w:szCs w:val="20"/>
                <w:highlight w:val="none"/>
              </w:rPr>
              <w:t>服务满意率</w:t>
            </w:r>
          </w:p>
        </w:tc>
        <w:tc>
          <w:tcPr>
            <w:tcW w:w="2460" w:type="dxa"/>
            <w:tcBorders>
              <w:top w:val="single" w:color="auto" w:sz="4" w:space="0"/>
              <w:left w:val="nil"/>
              <w:bottom w:val="single" w:color="auto" w:sz="8" w:space="0"/>
              <w:right w:val="single" w:color="auto" w:sz="8" w:space="0"/>
            </w:tcBorders>
            <w:noWrap w:val="0"/>
            <w:vAlign w:val="center"/>
          </w:tcPr>
          <w:p w14:paraId="7B9A9DDC">
            <w:pPr>
              <w:widowControl/>
              <w:spacing w:line="360" w:lineRule="auto"/>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 xml:space="preserve">   </w:t>
            </w:r>
            <w:r>
              <w:rPr>
                <w:rFonts w:hint="eastAsia" w:ascii="宋体" w:hAnsi="宋体" w:eastAsia="宋体" w:cs="宋体"/>
                <w:b w:val="0"/>
                <w:bCs w:val="0"/>
                <w:color w:val="auto"/>
                <w:kern w:val="0"/>
                <w:sz w:val="20"/>
                <w:szCs w:val="20"/>
                <w:highlight w:val="none"/>
              </w:rPr>
              <w:t>≥95%</w:t>
            </w:r>
          </w:p>
        </w:tc>
      </w:tr>
    </w:tbl>
    <w:p w14:paraId="5AEC1615">
      <w:pPr>
        <w:keepNext/>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2.6食堂物业管理服务达标要求</w:t>
      </w:r>
    </w:p>
    <w:tbl>
      <w:tblPr>
        <w:tblStyle w:val="15"/>
        <w:tblW w:w="8507" w:type="dxa"/>
        <w:tblInd w:w="-23" w:type="dxa"/>
        <w:tblLayout w:type="fixed"/>
        <w:tblCellMar>
          <w:top w:w="0" w:type="dxa"/>
          <w:left w:w="108" w:type="dxa"/>
          <w:bottom w:w="0" w:type="dxa"/>
          <w:right w:w="108" w:type="dxa"/>
        </w:tblCellMar>
      </w:tblPr>
      <w:tblGrid>
        <w:gridCol w:w="1290"/>
        <w:gridCol w:w="4742"/>
        <w:gridCol w:w="2475"/>
      </w:tblGrid>
      <w:tr w14:paraId="4F7FFE36">
        <w:tblPrEx>
          <w:tblCellMar>
            <w:top w:w="0" w:type="dxa"/>
            <w:left w:w="108" w:type="dxa"/>
            <w:bottom w:w="0" w:type="dxa"/>
            <w:right w:w="108" w:type="dxa"/>
          </w:tblCellMar>
        </w:tblPrEx>
        <w:trPr>
          <w:trHeight w:val="23" w:hRule="atLeast"/>
        </w:trPr>
        <w:tc>
          <w:tcPr>
            <w:tcW w:w="1290" w:type="dxa"/>
            <w:tcBorders>
              <w:top w:val="single" w:color="auto" w:sz="8" w:space="0"/>
              <w:left w:val="single" w:color="auto" w:sz="8" w:space="0"/>
              <w:bottom w:val="single" w:color="auto" w:sz="4" w:space="0"/>
              <w:right w:val="single" w:color="auto" w:sz="8" w:space="0"/>
            </w:tcBorders>
            <w:noWrap w:val="0"/>
            <w:vAlign w:val="center"/>
          </w:tcPr>
          <w:p w14:paraId="74773949">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序号</w:t>
            </w:r>
          </w:p>
        </w:tc>
        <w:tc>
          <w:tcPr>
            <w:tcW w:w="4742" w:type="dxa"/>
            <w:tcBorders>
              <w:top w:val="single" w:color="auto" w:sz="8" w:space="0"/>
              <w:left w:val="nil"/>
              <w:bottom w:val="single" w:color="auto" w:sz="4" w:space="0"/>
              <w:right w:val="single" w:color="auto" w:sz="8" w:space="0"/>
            </w:tcBorders>
            <w:noWrap w:val="0"/>
            <w:vAlign w:val="center"/>
          </w:tcPr>
          <w:p w14:paraId="213B0FEC">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项       目</w:t>
            </w:r>
          </w:p>
        </w:tc>
        <w:tc>
          <w:tcPr>
            <w:tcW w:w="2475" w:type="dxa"/>
            <w:tcBorders>
              <w:top w:val="single" w:color="auto" w:sz="8" w:space="0"/>
              <w:left w:val="nil"/>
              <w:bottom w:val="single" w:color="auto" w:sz="4" w:space="0"/>
              <w:right w:val="single" w:color="auto" w:sz="8" w:space="0"/>
            </w:tcBorders>
            <w:noWrap w:val="0"/>
            <w:vAlign w:val="center"/>
          </w:tcPr>
          <w:p w14:paraId="5C439E8F">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要求达到标准</w:t>
            </w:r>
          </w:p>
        </w:tc>
      </w:tr>
      <w:tr w14:paraId="0DA544A9">
        <w:tblPrEx>
          <w:tblCellMar>
            <w:top w:w="0" w:type="dxa"/>
            <w:left w:w="108" w:type="dxa"/>
            <w:bottom w:w="0" w:type="dxa"/>
            <w:right w:w="108" w:type="dxa"/>
          </w:tblCellMar>
        </w:tblPrEx>
        <w:trPr>
          <w:trHeight w:val="23" w:hRule="atLeast"/>
        </w:trPr>
        <w:tc>
          <w:tcPr>
            <w:tcW w:w="1290" w:type="dxa"/>
            <w:tcBorders>
              <w:top w:val="single" w:color="auto" w:sz="4" w:space="0"/>
              <w:left w:val="single" w:color="auto" w:sz="4" w:space="0"/>
              <w:bottom w:val="single" w:color="auto" w:sz="4" w:space="0"/>
              <w:right w:val="single" w:color="auto" w:sz="4" w:space="0"/>
            </w:tcBorders>
            <w:noWrap w:val="0"/>
            <w:vAlign w:val="center"/>
          </w:tcPr>
          <w:p w14:paraId="688B616D">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1</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40DA30DC">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cs="宋体"/>
                <w:b w:val="0"/>
                <w:bCs w:val="0"/>
                <w:color w:val="auto"/>
                <w:kern w:val="0"/>
                <w:sz w:val="20"/>
                <w:szCs w:val="20"/>
                <w:highlight w:val="none"/>
                <w:lang w:eastAsia="zh-CN"/>
              </w:rPr>
              <w:t>房源</w:t>
            </w:r>
            <w:r>
              <w:rPr>
                <w:rFonts w:hint="eastAsia" w:ascii="宋体" w:hAnsi="宋体" w:eastAsia="宋体" w:cs="宋体"/>
                <w:b w:val="0"/>
                <w:bCs w:val="0"/>
                <w:color w:val="auto"/>
                <w:kern w:val="0"/>
                <w:sz w:val="20"/>
                <w:szCs w:val="20"/>
                <w:highlight w:val="none"/>
              </w:rPr>
              <w:t>及配套设施完好率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15FBCE1F">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≥90%</w:t>
            </w:r>
          </w:p>
        </w:tc>
      </w:tr>
      <w:tr w14:paraId="0A4B9012">
        <w:tblPrEx>
          <w:tblCellMar>
            <w:top w:w="0" w:type="dxa"/>
            <w:left w:w="108" w:type="dxa"/>
            <w:bottom w:w="0" w:type="dxa"/>
            <w:right w:w="108" w:type="dxa"/>
          </w:tblCellMar>
        </w:tblPrEx>
        <w:trPr>
          <w:trHeight w:val="23" w:hRule="atLeast"/>
        </w:trPr>
        <w:tc>
          <w:tcPr>
            <w:tcW w:w="1290" w:type="dxa"/>
            <w:tcBorders>
              <w:top w:val="single" w:color="auto" w:sz="4" w:space="0"/>
              <w:left w:val="single" w:color="auto" w:sz="4" w:space="0"/>
              <w:bottom w:val="single" w:color="auto" w:sz="4" w:space="0"/>
              <w:right w:val="single" w:color="auto" w:sz="4" w:space="0"/>
            </w:tcBorders>
            <w:noWrap w:val="0"/>
            <w:vAlign w:val="center"/>
          </w:tcPr>
          <w:p w14:paraId="5BD16F3D">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2</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0B113865">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排供水设施完好率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5357F058">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62D219B2">
        <w:tblPrEx>
          <w:tblCellMar>
            <w:top w:w="0" w:type="dxa"/>
            <w:left w:w="108" w:type="dxa"/>
            <w:bottom w:w="0" w:type="dxa"/>
            <w:right w:w="108" w:type="dxa"/>
          </w:tblCellMar>
        </w:tblPrEx>
        <w:trPr>
          <w:trHeight w:val="23" w:hRule="atLeast"/>
        </w:trPr>
        <w:tc>
          <w:tcPr>
            <w:tcW w:w="1290" w:type="dxa"/>
            <w:tcBorders>
              <w:top w:val="single" w:color="auto" w:sz="4" w:space="0"/>
              <w:left w:val="single" w:color="auto" w:sz="4" w:space="0"/>
              <w:bottom w:val="single" w:color="auto" w:sz="4" w:space="0"/>
              <w:right w:val="single" w:color="auto" w:sz="4" w:space="0"/>
            </w:tcBorders>
            <w:noWrap w:val="0"/>
            <w:vAlign w:val="center"/>
          </w:tcPr>
          <w:p w14:paraId="4DD17FCE">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3</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7D4F952C">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维修工程质量合格率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64D00DB4">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2A544615">
        <w:tblPrEx>
          <w:tblCellMar>
            <w:top w:w="0" w:type="dxa"/>
            <w:left w:w="108" w:type="dxa"/>
            <w:bottom w:w="0" w:type="dxa"/>
            <w:right w:w="108" w:type="dxa"/>
          </w:tblCellMar>
        </w:tblPrEx>
        <w:trPr>
          <w:trHeight w:val="23" w:hRule="atLeast"/>
        </w:trPr>
        <w:tc>
          <w:tcPr>
            <w:tcW w:w="1290" w:type="dxa"/>
            <w:tcBorders>
              <w:top w:val="single" w:color="auto" w:sz="4" w:space="0"/>
              <w:left w:val="single" w:color="auto" w:sz="4" w:space="0"/>
              <w:bottom w:val="single" w:color="auto" w:sz="4" w:space="0"/>
              <w:right w:val="single" w:color="auto" w:sz="4" w:space="0"/>
            </w:tcBorders>
            <w:noWrap w:val="0"/>
            <w:vAlign w:val="center"/>
          </w:tcPr>
          <w:p w14:paraId="55C93725">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4</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38CF8019">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清洁、保洁率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0F6B2C73">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≥95%</w:t>
            </w:r>
          </w:p>
        </w:tc>
      </w:tr>
      <w:tr w14:paraId="1115F5EA">
        <w:trPr>
          <w:trHeight w:val="23" w:hRule="atLeast"/>
        </w:trPr>
        <w:tc>
          <w:tcPr>
            <w:tcW w:w="1290" w:type="dxa"/>
            <w:tcBorders>
              <w:top w:val="single" w:color="auto" w:sz="4" w:space="0"/>
              <w:left w:val="single" w:color="auto" w:sz="4" w:space="0"/>
              <w:bottom w:val="single" w:color="auto" w:sz="4" w:space="0"/>
              <w:right w:val="single" w:color="auto" w:sz="4" w:space="0"/>
            </w:tcBorders>
            <w:noWrap w:val="0"/>
            <w:vAlign w:val="center"/>
          </w:tcPr>
          <w:p w14:paraId="5D9DFAD4">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5</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6E72384B">
            <w:pPr>
              <w:widowControl/>
              <w:spacing w:line="400" w:lineRule="exact"/>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管理人员培训合格率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4B0C4281">
            <w:pPr>
              <w:widowControl/>
              <w:spacing w:line="400" w:lineRule="exact"/>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≥90%</w:t>
            </w:r>
          </w:p>
        </w:tc>
      </w:tr>
      <w:tr w14:paraId="3AFB6A02">
        <w:tblPrEx>
          <w:tblCellMar>
            <w:top w:w="0" w:type="dxa"/>
            <w:left w:w="108" w:type="dxa"/>
            <w:bottom w:w="0" w:type="dxa"/>
            <w:right w:w="108" w:type="dxa"/>
          </w:tblCellMar>
        </w:tblPrEx>
        <w:trPr>
          <w:trHeight w:val="23" w:hRule="atLeast"/>
        </w:trPr>
        <w:tc>
          <w:tcPr>
            <w:tcW w:w="1290" w:type="dxa"/>
            <w:tcBorders>
              <w:top w:val="single" w:color="auto" w:sz="4" w:space="0"/>
              <w:left w:val="single" w:color="auto" w:sz="4" w:space="0"/>
              <w:bottom w:val="single" w:color="auto" w:sz="4" w:space="0"/>
              <w:right w:val="single" w:color="auto" w:sz="4" w:space="0"/>
            </w:tcBorders>
            <w:noWrap w:val="0"/>
            <w:vAlign w:val="center"/>
          </w:tcPr>
          <w:p w14:paraId="4B03FCA4">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6</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42B9FB31">
            <w:pPr>
              <w:widowControl/>
              <w:spacing w:line="400" w:lineRule="exac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消防设施完好率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3D3EA18D">
            <w:pPr>
              <w:widowControl/>
              <w:spacing w:line="40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≥95%</w:t>
            </w:r>
          </w:p>
        </w:tc>
      </w:tr>
      <w:tr w14:paraId="6F9B4644">
        <w:tblPrEx>
          <w:tblCellMar>
            <w:top w:w="0" w:type="dxa"/>
            <w:left w:w="108" w:type="dxa"/>
            <w:bottom w:w="0" w:type="dxa"/>
            <w:right w:w="108" w:type="dxa"/>
          </w:tblCellMar>
        </w:tblPrEx>
        <w:trPr>
          <w:trHeight w:val="23" w:hRule="atLeast"/>
        </w:trPr>
        <w:tc>
          <w:tcPr>
            <w:tcW w:w="1290" w:type="dxa"/>
            <w:tcBorders>
              <w:top w:val="single" w:color="auto" w:sz="4" w:space="0"/>
              <w:left w:val="single" w:color="auto" w:sz="4" w:space="0"/>
              <w:bottom w:val="single" w:color="auto" w:sz="4" w:space="0"/>
              <w:right w:val="single" w:color="auto" w:sz="4" w:space="0"/>
            </w:tcBorders>
            <w:noWrap w:val="0"/>
            <w:vAlign w:val="center"/>
          </w:tcPr>
          <w:p w14:paraId="3D09349A">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lang w:val="en-US" w:eastAsia="zh-CN"/>
              </w:rPr>
              <w:t>7</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460FD184">
            <w:pPr>
              <w:widowControl/>
              <w:spacing w:line="400" w:lineRule="exac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消防</w:t>
            </w:r>
            <w:r>
              <w:rPr>
                <w:rFonts w:hint="eastAsia" w:ascii="宋体" w:hAnsi="宋体" w:eastAsia="宋体" w:cs="宋体"/>
                <w:b w:val="0"/>
                <w:bCs w:val="0"/>
                <w:color w:val="auto"/>
                <w:kern w:val="0"/>
                <w:sz w:val="20"/>
                <w:szCs w:val="20"/>
                <w:highlight w:val="none"/>
                <w:lang w:val="en-US" w:eastAsia="zh-CN"/>
              </w:rPr>
              <w:t>责任</w:t>
            </w:r>
            <w:r>
              <w:rPr>
                <w:rFonts w:hint="eastAsia" w:ascii="宋体" w:hAnsi="宋体" w:eastAsia="宋体" w:cs="宋体"/>
                <w:b w:val="0"/>
                <w:bCs w:val="0"/>
                <w:color w:val="auto"/>
                <w:kern w:val="0"/>
                <w:sz w:val="20"/>
                <w:szCs w:val="20"/>
                <w:highlight w:val="none"/>
              </w:rPr>
              <w:t>事故发生率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2FDD1997">
            <w:pPr>
              <w:widowControl/>
              <w:spacing w:line="40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0</w:t>
            </w:r>
          </w:p>
        </w:tc>
      </w:tr>
      <w:tr w14:paraId="4599E5E0">
        <w:tblPrEx>
          <w:tblCellMar>
            <w:top w:w="0" w:type="dxa"/>
            <w:left w:w="108" w:type="dxa"/>
            <w:bottom w:w="0" w:type="dxa"/>
            <w:right w:w="108" w:type="dxa"/>
          </w:tblCellMar>
        </w:tblPrEx>
        <w:trPr>
          <w:trHeight w:val="23" w:hRule="atLeast"/>
        </w:trPr>
        <w:tc>
          <w:tcPr>
            <w:tcW w:w="1290" w:type="dxa"/>
            <w:tcBorders>
              <w:top w:val="single" w:color="auto" w:sz="4" w:space="0"/>
              <w:left w:val="single" w:color="auto" w:sz="4" w:space="0"/>
              <w:bottom w:val="single" w:color="auto" w:sz="4" w:space="0"/>
              <w:right w:val="single" w:color="auto" w:sz="4" w:space="0"/>
            </w:tcBorders>
            <w:noWrap w:val="0"/>
            <w:vAlign w:val="center"/>
          </w:tcPr>
          <w:p w14:paraId="05871CE8">
            <w:pPr>
              <w:widowControl/>
              <w:spacing w:line="360" w:lineRule="auto"/>
              <w:ind w:firstLine="400" w:firstLineChars="200"/>
              <w:jc w:val="left"/>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8</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7D8A5843">
            <w:pPr>
              <w:widowControl/>
              <w:spacing w:line="400" w:lineRule="exac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食品安全事故发生率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60C934D5">
            <w:pPr>
              <w:widowControl/>
              <w:spacing w:line="40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0</w:t>
            </w:r>
          </w:p>
        </w:tc>
      </w:tr>
      <w:tr w14:paraId="0E816C2C">
        <w:tblPrEx>
          <w:tblCellMar>
            <w:top w:w="0" w:type="dxa"/>
            <w:left w:w="108" w:type="dxa"/>
            <w:bottom w:w="0" w:type="dxa"/>
            <w:right w:w="108" w:type="dxa"/>
          </w:tblCellMar>
        </w:tblPrEx>
        <w:trPr>
          <w:trHeight w:val="23" w:hRule="atLeast"/>
        </w:trPr>
        <w:tc>
          <w:tcPr>
            <w:tcW w:w="1290" w:type="dxa"/>
            <w:tcBorders>
              <w:top w:val="single" w:color="auto" w:sz="4" w:space="0"/>
              <w:left w:val="single" w:color="auto" w:sz="4" w:space="0"/>
              <w:bottom w:val="single" w:color="auto" w:sz="4" w:space="0"/>
              <w:right w:val="single" w:color="auto" w:sz="4" w:space="0"/>
            </w:tcBorders>
            <w:noWrap w:val="0"/>
            <w:vAlign w:val="center"/>
          </w:tcPr>
          <w:p w14:paraId="50CCCB08">
            <w:pPr>
              <w:widowControl/>
              <w:spacing w:line="360" w:lineRule="auto"/>
              <w:ind w:firstLine="400" w:firstLineChars="200"/>
              <w:jc w:val="left"/>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9</w:t>
            </w:r>
          </w:p>
        </w:tc>
        <w:tc>
          <w:tcPr>
            <w:tcW w:w="4742" w:type="dxa"/>
            <w:tcBorders>
              <w:top w:val="single" w:color="auto" w:sz="4" w:space="0"/>
              <w:left w:val="single" w:color="auto" w:sz="4" w:space="0"/>
              <w:bottom w:val="single" w:color="auto" w:sz="4" w:space="0"/>
              <w:right w:val="single" w:color="auto" w:sz="4" w:space="0"/>
            </w:tcBorders>
            <w:noWrap w:val="0"/>
            <w:vAlign w:val="center"/>
          </w:tcPr>
          <w:p w14:paraId="0F9C7BAD">
            <w:pPr>
              <w:widowControl/>
              <w:spacing w:line="400" w:lineRule="exact"/>
              <w:rPr>
                <w:rFonts w:hint="eastAsia" w:ascii="宋体" w:hAnsi="宋体" w:eastAsia="宋体" w:cs="宋体"/>
                <w:b w:val="0"/>
                <w:bCs w:val="0"/>
                <w:color w:val="auto"/>
                <w:kern w:val="0"/>
                <w:sz w:val="20"/>
                <w:szCs w:val="20"/>
                <w:highlight w:val="none"/>
                <w:lang w:val="en-US" w:eastAsia="zh-CN" w:bidi="ar-SA"/>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rPr>
              <w:t>对物业服务满意率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23936D32">
            <w:pPr>
              <w:widowControl/>
              <w:spacing w:line="40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≥95%</w:t>
            </w:r>
          </w:p>
        </w:tc>
      </w:tr>
    </w:tbl>
    <w:p w14:paraId="5399D477">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textAlignment w:val="auto"/>
        <w:rPr>
          <w:rFonts w:hint="eastAsia"/>
          <w:sz w:val="20"/>
          <w:szCs w:val="20"/>
          <w:highlight w:val="none"/>
          <w:lang w:val="en-US" w:eastAsia="zh-CN"/>
        </w:rPr>
      </w:pPr>
      <w:r>
        <w:rPr>
          <w:rFonts w:hint="eastAsia" w:ascii="宋体" w:hAnsi="宋体" w:eastAsia="宋体" w:cs="宋体"/>
          <w:color w:val="auto"/>
          <w:sz w:val="20"/>
          <w:szCs w:val="20"/>
          <w:highlight w:val="none"/>
          <w:lang w:val="en-US" w:eastAsia="zh-CN"/>
        </w:rPr>
        <w:t>2.7周转房</w:t>
      </w:r>
      <w:r>
        <w:rPr>
          <w:rFonts w:hint="eastAsia" w:ascii="宋体" w:hAnsi="宋体" w:cs="宋体"/>
          <w:color w:val="auto"/>
          <w:sz w:val="20"/>
          <w:szCs w:val="20"/>
          <w:highlight w:val="none"/>
          <w:lang w:val="en-US" w:eastAsia="zh-CN"/>
        </w:rPr>
        <w:t>（员工宿舍等）生活场所</w:t>
      </w:r>
      <w:r>
        <w:rPr>
          <w:rFonts w:hint="eastAsia" w:ascii="宋体" w:hAnsi="宋体" w:eastAsia="宋体" w:cs="宋体"/>
          <w:color w:val="auto"/>
          <w:sz w:val="20"/>
          <w:szCs w:val="20"/>
          <w:highlight w:val="none"/>
          <w:lang w:val="en-US" w:eastAsia="zh-CN"/>
        </w:rPr>
        <w:t>管理服务</w:t>
      </w:r>
      <w:r>
        <w:rPr>
          <w:rFonts w:hint="eastAsia" w:ascii="宋体" w:hAnsi="宋体" w:eastAsia="宋体" w:cs="宋体"/>
          <w:b w:val="0"/>
          <w:bCs w:val="0"/>
          <w:color w:val="auto"/>
          <w:sz w:val="20"/>
          <w:szCs w:val="20"/>
          <w:highlight w:val="none"/>
          <w:lang w:val="en-US" w:eastAsia="zh-CN"/>
        </w:rPr>
        <w:t>达标要求</w:t>
      </w:r>
    </w:p>
    <w:tbl>
      <w:tblPr>
        <w:tblStyle w:val="15"/>
        <w:tblW w:w="8492" w:type="dxa"/>
        <w:tblInd w:w="-23" w:type="dxa"/>
        <w:tblLayout w:type="fixed"/>
        <w:tblCellMar>
          <w:top w:w="0" w:type="dxa"/>
          <w:left w:w="108" w:type="dxa"/>
          <w:bottom w:w="0" w:type="dxa"/>
          <w:right w:w="108" w:type="dxa"/>
        </w:tblCellMar>
      </w:tblPr>
      <w:tblGrid>
        <w:gridCol w:w="1278"/>
        <w:gridCol w:w="4739"/>
        <w:gridCol w:w="2475"/>
      </w:tblGrid>
      <w:tr w14:paraId="46106C92">
        <w:tblPrEx>
          <w:tblCellMar>
            <w:top w:w="0" w:type="dxa"/>
            <w:left w:w="108" w:type="dxa"/>
            <w:bottom w:w="0" w:type="dxa"/>
            <w:right w:w="108" w:type="dxa"/>
          </w:tblCellMar>
        </w:tblPrEx>
        <w:trPr>
          <w:trHeight w:val="23" w:hRule="atLeast"/>
        </w:trPr>
        <w:tc>
          <w:tcPr>
            <w:tcW w:w="1278" w:type="dxa"/>
            <w:tcBorders>
              <w:top w:val="single" w:color="auto" w:sz="4" w:space="0"/>
              <w:left w:val="single" w:color="auto" w:sz="4" w:space="0"/>
              <w:bottom w:val="single" w:color="auto" w:sz="4" w:space="0"/>
              <w:right w:val="single" w:color="auto" w:sz="4" w:space="0"/>
            </w:tcBorders>
            <w:noWrap w:val="0"/>
            <w:vAlign w:val="center"/>
          </w:tcPr>
          <w:p w14:paraId="55C08203">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序号</w:t>
            </w:r>
          </w:p>
        </w:tc>
        <w:tc>
          <w:tcPr>
            <w:tcW w:w="4739" w:type="dxa"/>
            <w:tcBorders>
              <w:top w:val="single" w:color="auto" w:sz="4" w:space="0"/>
              <w:left w:val="single" w:color="auto" w:sz="4" w:space="0"/>
              <w:bottom w:val="single" w:color="auto" w:sz="4" w:space="0"/>
              <w:right w:val="single" w:color="auto" w:sz="4" w:space="0"/>
            </w:tcBorders>
            <w:noWrap w:val="0"/>
            <w:vAlign w:val="center"/>
          </w:tcPr>
          <w:p w14:paraId="58ECE729">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项       目</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573A49BC">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要求达到标准</w:t>
            </w:r>
          </w:p>
        </w:tc>
      </w:tr>
      <w:tr w14:paraId="165AA7EA">
        <w:tblPrEx>
          <w:tblCellMar>
            <w:top w:w="0" w:type="dxa"/>
            <w:left w:w="108" w:type="dxa"/>
            <w:bottom w:w="0" w:type="dxa"/>
            <w:right w:w="108" w:type="dxa"/>
          </w:tblCellMar>
        </w:tblPrEx>
        <w:trPr>
          <w:trHeight w:val="23" w:hRule="atLeast"/>
        </w:trPr>
        <w:tc>
          <w:tcPr>
            <w:tcW w:w="1278" w:type="dxa"/>
            <w:tcBorders>
              <w:top w:val="single" w:color="auto" w:sz="4" w:space="0"/>
              <w:left w:val="single" w:color="auto" w:sz="4" w:space="0"/>
              <w:bottom w:val="single" w:color="auto" w:sz="4" w:space="0"/>
              <w:right w:val="single" w:color="auto" w:sz="4" w:space="0"/>
            </w:tcBorders>
            <w:noWrap w:val="0"/>
            <w:vAlign w:val="center"/>
          </w:tcPr>
          <w:p w14:paraId="16D377A7">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1</w:t>
            </w:r>
          </w:p>
        </w:tc>
        <w:tc>
          <w:tcPr>
            <w:tcW w:w="4739" w:type="dxa"/>
            <w:tcBorders>
              <w:top w:val="single" w:color="auto" w:sz="4" w:space="0"/>
              <w:left w:val="single" w:color="auto" w:sz="4" w:space="0"/>
              <w:bottom w:val="single" w:color="auto" w:sz="4" w:space="0"/>
              <w:right w:val="single" w:color="auto" w:sz="4" w:space="0"/>
            </w:tcBorders>
            <w:noWrap w:val="0"/>
            <w:vAlign w:val="center"/>
          </w:tcPr>
          <w:p w14:paraId="67C3B501">
            <w:pPr>
              <w:widowControl/>
              <w:spacing w:line="400" w:lineRule="exact"/>
              <w:rPr>
                <w:rFonts w:hint="eastAsia" w:ascii="宋体" w:hAnsi="宋体" w:eastAsia="宋体" w:cs="宋体"/>
                <w:b w:val="0"/>
                <w:bCs w:val="0"/>
                <w:color w:val="auto"/>
                <w:kern w:val="0"/>
                <w:sz w:val="20"/>
                <w:szCs w:val="20"/>
                <w:highlight w:val="none"/>
                <w:lang w:val="en-US" w:eastAsia="zh-CN"/>
              </w:rPr>
            </w:pPr>
            <w:r>
              <w:rPr>
                <w:rFonts w:hint="eastAsia" w:ascii="宋体" w:hAnsi="宋体" w:cs="宋体"/>
                <w:b w:val="0"/>
                <w:bCs w:val="0"/>
                <w:color w:val="auto"/>
                <w:kern w:val="0"/>
                <w:sz w:val="20"/>
                <w:szCs w:val="20"/>
                <w:highlight w:val="none"/>
                <w:lang w:eastAsia="zh-CN"/>
              </w:rPr>
              <w:t>房源</w:t>
            </w:r>
            <w:r>
              <w:rPr>
                <w:rFonts w:hint="eastAsia" w:ascii="宋体" w:hAnsi="宋体" w:eastAsia="宋体" w:cs="宋体"/>
                <w:b w:val="0"/>
                <w:bCs w:val="0"/>
                <w:color w:val="auto"/>
                <w:kern w:val="0"/>
                <w:sz w:val="20"/>
                <w:szCs w:val="20"/>
                <w:highlight w:val="none"/>
              </w:rPr>
              <w:t>及配套设施完好率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057932AF">
            <w:pPr>
              <w:widowControl/>
              <w:spacing w:line="400" w:lineRule="exact"/>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rPr>
              <w:t>≥90%</w:t>
            </w:r>
          </w:p>
        </w:tc>
      </w:tr>
      <w:tr w14:paraId="775F9329">
        <w:tblPrEx>
          <w:tblCellMar>
            <w:top w:w="0" w:type="dxa"/>
            <w:left w:w="108" w:type="dxa"/>
            <w:bottom w:w="0" w:type="dxa"/>
            <w:right w:w="108" w:type="dxa"/>
          </w:tblCellMar>
        </w:tblPrEx>
        <w:trPr>
          <w:trHeight w:val="23" w:hRule="atLeast"/>
        </w:trPr>
        <w:tc>
          <w:tcPr>
            <w:tcW w:w="1278" w:type="dxa"/>
            <w:tcBorders>
              <w:top w:val="single" w:color="auto" w:sz="4" w:space="0"/>
              <w:left w:val="single" w:color="auto" w:sz="4" w:space="0"/>
              <w:bottom w:val="single" w:color="auto" w:sz="4" w:space="0"/>
              <w:right w:val="single" w:color="auto" w:sz="4" w:space="0"/>
            </w:tcBorders>
            <w:noWrap w:val="0"/>
            <w:vAlign w:val="center"/>
          </w:tcPr>
          <w:p w14:paraId="6D1FE67D">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2</w:t>
            </w:r>
          </w:p>
        </w:tc>
        <w:tc>
          <w:tcPr>
            <w:tcW w:w="4739" w:type="dxa"/>
            <w:tcBorders>
              <w:top w:val="single" w:color="auto" w:sz="4" w:space="0"/>
              <w:left w:val="single" w:color="auto" w:sz="4" w:space="0"/>
              <w:bottom w:val="single" w:color="auto" w:sz="4" w:space="0"/>
              <w:right w:val="single" w:color="auto" w:sz="4" w:space="0"/>
            </w:tcBorders>
            <w:noWrap w:val="0"/>
            <w:vAlign w:val="center"/>
          </w:tcPr>
          <w:p w14:paraId="79FADE7A">
            <w:pPr>
              <w:widowControl/>
              <w:spacing w:line="400" w:lineRule="exact"/>
              <w:rPr>
                <w:rFonts w:hint="eastAsia" w:ascii="宋体" w:hAnsi="宋体" w:eastAsia="宋体" w:cs="宋体"/>
                <w:b w:val="0"/>
                <w:bCs w:val="0"/>
                <w:color w:val="auto"/>
                <w:kern w:val="0"/>
                <w:sz w:val="20"/>
                <w:szCs w:val="20"/>
                <w:highlight w:val="none"/>
                <w:lang w:val="en-US"/>
              </w:rPr>
            </w:pPr>
            <w:r>
              <w:rPr>
                <w:rFonts w:hint="eastAsia" w:ascii="宋体" w:hAnsi="宋体" w:eastAsia="宋体" w:cs="宋体"/>
                <w:b w:val="0"/>
                <w:bCs w:val="0"/>
                <w:color w:val="auto"/>
                <w:kern w:val="0"/>
                <w:sz w:val="20"/>
                <w:szCs w:val="20"/>
                <w:highlight w:val="none"/>
              </w:rPr>
              <w:t>排供水设施完好率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3E023FCB">
            <w:pPr>
              <w:widowControl/>
              <w:spacing w:line="400" w:lineRule="exact"/>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rPr>
              <w:t>≥95%</w:t>
            </w:r>
          </w:p>
        </w:tc>
      </w:tr>
      <w:tr w14:paraId="36D7671A">
        <w:tblPrEx>
          <w:tblCellMar>
            <w:top w:w="0" w:type="dxa"/>
            <w:left w:w="108" w:type="dxa"/>
            <w:bottom w:w="0" w:type="dxa"/>
            <w:right w:w="108" w:type="dxa"/>
          </w:tblCellMar>
        </w:tblPrEx>
        <w:trPr>
          <w:trHeight w:val="23" w:hRule="atLeast"/>
        </w:trPr>
        <w:tc>
          <w:tcPr>
            <w:tcW w:w="1278" w:type="dxa"/>
            <w:tcBorders>
              <w:top w:val="single" w:color="auto" w:sz="4" w:space="0"/>
              <w:left w:val="single" w:color="auto" w:sz="4" w:space="0"/>
              <w:bottom w:val="single" w:color="auto" w:sz="4" w:space="0"/>
              <w:right w:val="single" w:color="auto" w:sz="4" w:space="0"/>
            </w:tcBorders>
            <w:noWrap w:val="0"/>
            <w:vAlign w:val="center"/>
          </w:tcPr>
          <w:p w14:paraId="2E314F97">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4</w:t>
            </w:r>
          </w:p>
        </w:tc>
        <w:tc>
          <w:tcPr>
            <w:tcW w:w="4739" w:type="dxa"/>
            <w:tcBorders>
              <w:top w:val="single" w:color="auto" w:sz="4" w:space="0"/>
              <w:left w:val="single" w:color="auto" w:sz="4" w:space="0"/>
              <w:bottom w:val="single" w:color="auto" w:sz="4" w:space="0"/>
              <w:right w:val="single" w:color="auto" w:sz="4" w:space="0"/>
            </w:tcBorders>
            <w:noWrap w:val="0"/>
            <w:vAlign w:val="center"/>
          </w:tcPr>
          <w:p w14:paraId="4162DC9E">
            <w:pPr>
              <w:widowControl/>
              <w:spacing w:line="400" w:lineRule="exac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公共区域清洁、保洁率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2E091CA2">
            <w:pPr>
              <w:widowControl/>
              <w:spacing w:line="40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≥95%</w:t>
            </w:r>
          </w:p>
        </w:tc>
      </w:tr>
      <w:tr w14:paraId="0D99E875">
        <w:tblPrEx>
          <w:tblCellMar>
            <w:top w:w="0" w:type="dxa"/>
            <w:left w:w="108" w:type="dxa"/>
            <w:bottom w:w="0" w:type="dxa"/>
            <w:right w:w="108" w:type="dxa"/>
          </w:tblCellMar>
        </w:tblPrEx>
        <w:trPr>
          <w:trHeight w:val="23" w:hRule="atLeast"/>
        </w:trPr>
        <w:tc>
          <w:tcPr>
            <w:tcW w:w="1278" w:type="dxa"/>
            <w:tcBorders>
              <w:top w:val="single" w:color="auto" w:sz="4" w:space="0"/>
              <w:left w:val="single" w:color="auto" w:sz="4" w:space="0"/>
              <w:bottom w:val="single" w:color="auto" w:sz="4" w:space="0"/>
              <w:right w:val="single" w:color="auto" w:sz="4" w:space="0"/>
            </w:tcBorders>
            <w:noWrap w:val="0"/>
            <w:vAlign w:val="center"/>
          </w:tcPr>
          <w:p w14:paraId="76CAD41D">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5</w:t>
            </w:r>
          </w:p>
        </w:tc>
        <w:tc>
          <w:tcPr>
            <w:tcW w:w="4739" w:type="dxa"/>
            <w:tcBorders>
              <w:top w:val="single" w:color="auto" w:sz="4" w:space="0"/>
              <w:left w:val="single" w:color="auto" w:sz="4" w:space="0"/>
              <w:bottom w:val="single" w:color="auto" w:sz="4" w:space="0"/>
              <w:right w:val="single" w:color="auto" w:sz="4" w:space="0"/>
            </w:tcBorders>
            <w:noWrap w:val="0"/>
            <w:vAlign w:val="center"/>
          </w:tcPr>
          <w:p w14:paraId="26A510CA">
            <w:pPr>
              <w:widowControl/>
              <w:spacing w:line="400" w:lineRule="exac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管理人员培训合格率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0626AF55">
            <w:pPr>
              <w:widowControl/>
              <w:spacing w:line="40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≥90%</w:t>
            </w:r>
          </w:p>
        </w:tc>
      </w:tr>
      <w:tr w14:paraId="546E9C3A">
        <w:tblPrEx>
          <w:tblCellMar>
            <w:top w:w="0" w:type="dxa"/>
            <w:left w:w="108" w:type="dxa"/>
            <w:bottom w:w="0" w:type="dxa"/>
            <w:right w:w="108" w:type="dxa"/>
          </w:tblCellMar>
        </w:tblPrEx>
        <w:trPr>
          <w:trHeight w:val="23" w:hRule="atLeast"/>
        </w:trPr>
        <w:tc>
          <w:tcPr>
            <w:tcW w:w="1278" w:type="dxa"/>
            <w:tcBorders>
              <w:top w:val="single" w:color="auto" w:sz="4" w:space="0"/>
              <w:left w:val="single" w:color="auto" w:sz="4" w:space="0"/>
              <w:bottom w:val="single" w:color="auto" w:sz="4" w:space="0"/>
              <w:right w:val="single" w:color="auto" w:sz="4" w:space="0"/>
            </w:tcBorders>
            <w:noWrap w:val="0"/>
            <w:vAlign w:val="center"/>
          </w:tcPr>
          <w:p w14:paraId="0B74084C">
            <w:pPr>
              <w:widowControl/>
              <w:spacing w:line="360" w:lineRule="auto"/>
              <w:ind w:firstLine="400" w:firstLineChars="200"/>
              <w:jc w:val="left"/>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rPr>
              <w:t>6</w:t>
            </w:r>
          </w:p>
        </w:tc>
        <w:tc>
          <w:tcPr>
            <w:tcW w:w="4739" w:type="dxa"/>
            <w:tcBorders>
              <w:top w:val="single" w:color="auto" w:sz="4" w:space="0"/>
              <w:left w:val="single" w:color="auto" w:sz="4" w:space="0"/>
              <w:bottom w:val="single" w:color="auto" w:sz="4" w:space="0"/>
              <w:right w:val="single" w:color="auto" w:sz="4" w:space="0"/>
            </w:tcBorders>
            <w:noWrap w:val="0"/>
            <w:vAlign w:val="center"/>
          </w:tcPr>
          <w:p w14:paraId="7A5E9B96">
            <w:pPr>
              <w:widowControl/>
              <w:spacing w:line="400" w:lineRule="exact"/>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消防设施完好率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5C0BB1CC">
            <w:pPr>
              <w:widowControl/>
              <w:spacing w:line="40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≥95%</w:t>
            </w:r>
          </w:p>
        </w:tc>
      </w:tr>
      <w:tr w14:paraId="52EAC0A3">
        <w:tblPrEx>
          <w:tblCellMar>
            <w:top w:w="0" w:type="dxa"/>
            <w:left w:w="108" w:type="dxa"/>
            <w:bottom w:w="0" w:type="dxa"/>
            <w:right w:w="108" w:type="dxa"/>
          </w:tblCellMar>
        </w:tblPrEx>
        <w:trPr>
          <w:trHeight w:val="23" w:hRule="atLeast"/>
        </w:trPr>
        <w:tc>
          <w:tcPr>
            <w:tcW w:w="1278" w:type="dxa"/>
            <w:tcBorders>
              <w:top w:val="single" w:color="auto" w:sz="4" w:space="0"/>
              <w:left w:val="single" w:color="auto" w:sz="4" w:space="0"/>
              <w:bottom w:val="single" w:color="auto" w:sz="4" w:space="0"/>
              <w:right w:val="single" w:color="auto" w:sz="4" w:space="0"/>
            </w:tcBorders>
            <w:noWrap w:val="0"/>
            <w:vAlign w:val="center"/>
          </w:tcPr>
          <w:p w14:paraId="07C48455">
            <w:pPr>
              <w:widowControl/>
              <w:spacing w:line="360" w:lineRule="auto"/>
              <w:ind w:firstLine="400" w:firstLineChars="200"/>
              <w:jc w:val="left"/>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7</w:t>
            </w:r>
          </w:p>
        </w:tc>
        <w:tc>
          <w:tcPr>
            <w:tcW w:w="4739" w:type="dxa"/>
            <w:tcBorders>
              <w:top w:val="single" w:color="auto" w:sz="4" w:space="0"/>
              <w:left w:val="single" w:color="auto" w:sz="4" w:space="0"/>
              <w:bottom w:val="single" w:color="auto" w:sz="4" w:space="0"/>
              <w:right w:val="single" w:color="auto" w:sz="4" w:space="0"/>
            </w:tcBorders>
            <w:noWrap w:val="0"/>
            <w:vAlign w:val="center"/>
          </w:tcPr>
          <w:p w14:paraId="2D50273B">
            <w:pPr>
              <w:widowControl/>
              <w:spacing w:line="400" w:lineRule="exact"/>
              <w:rPr>
                <w:rFonts w:hint="eastAsia" w:ascii="宋体" w:hAnsi="宋体" w:eastAsia="宋体" w:cs="宋体"/>
                <w:b w:val="0"/>
                <w:bCs w:val="0"/>
                <w:color w:val="auto"/>
                <w:kern w:val="0"/>
                <w:sz w:val="20"/>
                <w:szCs w:val="20"/>
                <w:highlight w:val="none"/>
                <w:lang w:val="en-US" w:eastAsia="zh-CN" w:bidi="ar-SA"/>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rPr>
              <w:t>对物业服务满意率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6C38E8D5">
            <w:pPr>
              <w:widowControl/>
              <w:spacing w:line="400" w:lineRule="exact"/>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≥95%</w:t>
            </w:r>
          </w:p>
        </w:tc>
      </w:tr>
    </w:tbl>
    <w:p w14:paraId="37E1A5A2">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textAlignment w:val="auto"/>
        <w:rPr>
          <w:rFonts w:hint="eastAsia" w:ascii="宋体" w:hAnsi="宋体" w:eastAsia="宋体" w:cs="宋体"/>
          <w:color w:val="auto"/>
          <w:sz w:val="20"/>
          <w:szCs w:val="20"/>
          <w:lang w:val="en-US" w:eastAsia="zh-CN"/>
        </w:rPr>
      </w:pPr>
      <w:bookmarkStart w:id="64" w:name="_Toc1347"/>
      <w:r>
        <w:rPr>
          <w:rFonts w:hint="eastAsia" w:ascii="宋体" w:hAnsi="宋体" w:eastAsia="宋体" w:cs="宋体"/>
          <w:color w:val="auto"/>
          <w:sz w:val="20"/>
          <w:szCs w:val="20"/>
          <w:lang w:val="en-US" w:eastAsia="zh-CN"/>
        </w:rPr>
        <w:t>2.8职工活动场所委托服务</w:t>
      </w:r>
      <w:r>
        <w:rPr>
          <w:rFonts w:hint="eastAsia" w:ascii="宋体" w:hAnsi="宋体" w:eastAsia="宋体" w:cs="宋体"/>
          <w:b w:val="0"/>
          <w:bCs w:val="0"/>
          <w:color w:val="auto"/>
          <w:sz w:val="20"/>
          <w:szCs w:val="20"/>
          <w:lang w:val="en-US" w:eastAsia="zh-CN"/>
        </w:rPr>
        <w:t>达标要求</w:t>
      </w:r>
    </w:p>
    <w:tbl>
      <w:tblPr>
        <w:tblStyle w:val="15"/>
        <w:tblW w:w="8492" w:type="dxa"/>
        <w:tblInd w:w="-23" w:type="dxa"/>
        <w:tblLayout w:type="fixed"/>
        <w:tblCellMar>
          <w:top w:w="0" w:type="dxa"/>
          <w:left w:w="108" w:type="dxa"/>
          <w:bottom w:w="0" w:type="dxa"/>
          <w:right w:w="108" w:type="dxa"/>
        </w:tblCellMar>
      </w:tblPr>
      <w:tblGrid>
        <w:gridCol w:w="959"/>
        <w:gridCol w:w="5043"/>
        <w:gridCol w:w="2490"/>
      </w:tblGrid>
      <w:tr w14:paraId="48519FBE">
        <w:tblPrEx>
          <w:tblCellMar>
            <w:top w:w="0" w:type="dxa"/>
            <w:left w:w="108" w:type="dxa"/>
            <w:bottom w:w="0" w:type="dxa"/>
            <w:right w:w="108" w:type="dxa"/>
          </w:tblCellMar>
        </w:tblPrEx>
        <w:trPr>
          <w:trHeight w:val="56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096A43C">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序号</w:t>
            </w:r>
          </w:p>
        </w:tc>
        <w:tc>
          <w:tcPr>
            <w:tcW w:w="5043" w:type="dxa"/>
            <w:tcBorders>
              <w:top w:val="single" w:color="auto" w:sz="4" w:space="0"/>
              <w:left w:val="single" w:color="auto" w:sz="4" w:space="0"/>
              <w:bottom w:val="single" w:color="auto" w:sz="4" w:space="0"/>
              <w:right w:val="single" w:color="auto" w:sz="4" w:space="0"/>
            </w:tcBorders>
            <w:noWrap w:val="0"/>
            <w:vAlign w:val="center"/>
          </w:tcPr>
          <w:p w14:paraId="165A1287">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项       目</w:t>
            </w:r>
          </w:p>
        </w:tc>
        <w:tc>
          <w:tcPr>
            <w:tcW w:w="2490" w:type="dxa"/>
            <w:tcBorders>
              <w:top w:val="single" w:color="auto" w:sz="4" w:space="0"/>
              <w:left w:val="single" w:color="auto" w:sz="4" w:space="0"/>
              <w:bottom w:val="single" w:color="auto" w:sz="4" w:space="0"/>
              <w:right w:val="single" w:color="auto" w:sz="4" w:space="0"/>
            </w:tcBorders>
            <w:noWrap w:val="0"/>
            <w:vAlign w:val="center"/>
          </w:tcPr>
          <w:p w14:paraId="6CA5A02A">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要求达到标准</w:t>
            </w:r>
          </w:p>
        </w:tc>
      </w:tr>
      <w:tr w14:paraId="774093A0">
        <w:tblPrEx>
          <w:tblCellMar>
            <w:top w:w="0" w:type="dxa"/>
            <w:left w:w="108" w:type="dxa"/>
            <w:bottom w:w="0" w:type="dxa"/>
            <w:right w:w="108" w:type="dxa"/>
          </w:tblCellMar>
        </w:tblPrEx>
        <w:trPr>
          <w:trHeight w:val="56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800ED53">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w:t>
            </w:r>
          </w:p>
        </w:tc>
        <w:tc>
          <w:tcPr>
            <w:tcW w:w="5043" w:type="dxa"/>
            <w:tcBorders>
              <w:top w:val="single" w:color="auto" w:sz="4" w:space="0"/>
              <w:left w:val="single" w:color="auto" w:sz="4" w:space="0"/>
              <w:bottom w:val="single" w:color="auto" w:sz="4" w:space="0"/>
              <w:right w:val="single" w:color="auto" w:sz="4" w:space="0"/>
            </w:tcBorders>
            <w:noWrap w:val="0"/>
            <w:vAlign w:val="center"/>
          </w:tcPr>
          <w:p w14:paraId="39520768">
            <w:pPr>
              <w:widowControl/>
              <w:spacing w:line="360" w:lineRule="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color w:val="auto"/>
                <w:sz w:val="20"/>
                <w:szCs w:val="20"/>
                <w:highlight w:val="none"/>
                <w:lang w:val="en-US" w:eastAsia="zh-CN"/>
              </w:rPr>
              <w:t>球馆及书屋开放前准备工作完成率</w:t>
            </w:r>
          </w:p>
        </w:tc>
        <w:tc>
          <w:tcPr>
            <w:tcW w:w="2490" w:type="dxa"/>
            <w:tcBorders>
              <w:top w:val="single" w:color="auto" w:sz="4" w:space="0"/>
              <w:left w:val="single" w:color="auto" w:sz="4" w:space="0"/>
              <w:bottom w:val="single" w:color="auto" w:sz="4" w:space="0"/>
              <w:right w:val="single" w:color="auto" w:sz="4" w:space="0"/>
            </w:tcBorders>
            <w:noWrap w:val="0"/>
            <w:vAlign w:val="center"/>
          </w:tcPr>
          <w:p w14:paraId="342E7620">
            <w:pPr>
              <w:widowControl/>
              <w:spacing w:line="360" w:lineRule="auto"/>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100%</w:t>
            </w:r>
          </w:p>
        </w:tc>
      </w:tr>
      <w:tr w14:paraId="36AD665B">
        <w:tblPrEx>
          <w:tblCellMar>
            <w:top w:w="0" w:type="dxa"/>
            <w:left w:w="108" w:type="dxa"/>
            <w:bottom w:w="0" w:type="dxa"/>
            <w:right w:w="108" w:type="dxa"/>
          </w:tblCellMar>
        </w:tblPrEx>
        <w:trPr>
          <w:trHeight w:val="56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51EC450">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2</w:t>
            </w:r>
          </w:p>
        </w:tc>
        <w:tc>
          <w:tcPr>
            <w:tcW w:w="5043" w:type="dxa"/>
            <w:tcBorders>
              <w:top w:val="single" w:color="auto" w:sz="4" w:space="0"/>
              <w:left w:val="single" w:color="auto" w:sz="4" w:space="0"/>
              <w:bottom w:val="single" w:color="auto" w:sz="4" w:space="0"/>
              <w:right w:val="single" w:color="auto" w:sz="4" w:space="0"/>
            </w:tcBorders>
            <w:noWrap w:val="0"/>
            <w:vAlign w:val="center"/>
          </w:tcPr>
          <w:p w14:paraId="1116F20A">
            <w:pPr>
              <w:widowControl/>
              <w:spacing w:line="360" w:lineRule="auto"/>
              <w:rPr>
                <w:rFonts w:hint="eastAsia" w:ascii="宋体" w:hAnsi="宋体" w:eastAsia="宋体" w:cs="宋体"/>
                <w:b w:val="0"/>
                <w:bCs w:val="0"/>
                <w:color w:val="auto"/>
                <w:kern w:val="0"/>
                <w:sz w:val="20"/>
                <w:szCs w:val="20"/>
                <w:highlight w:val="none"/>
                <w:lang w:val="en-US"/>
              </w:rPr>
            </w:pPr>
            <w:r>
              <w:rPr>
                <w:rFonts w:hint="eastAsia" w:ascii="宋体" w:hAnsi="宋体" w:eastAsia="宋体" w:cs="宋体"/>
                <w:color w:val="auto"/>
                <w:sz w:val="20"/>
                <w:szCs w:val="20"/>
                <w:highlight w:val="none"/>
                <w:lang w:val="en-US" w:eastAsia="zh-CN"/>
              </w:rPr>
              <w:t>球馆及书屋安全隐患排查率</w:t>
            </w:r>
          </w:p>
        </w:tc>
        <w:tc>
          <w:tcPr>
            <w:tcW w:w="2490" w:type="dxa"/>
            <w:tcBorders>
              <w:top w:val="single" w:color="auto" w:sz="4" w:space="0"/>
              <w:left w:val="single" w:color="auto" w:sz="4" w:space="0"/>
              <w:bottom w:val="single" w:color="auto" w:sz="4" w:space="0"/>
              <w:right w:val="single" w:color="auto" w:sz="4" w:space="0"/>
            </w:tcBorders>
            <w:noWrap w:val="0"/>
            <w:vAlign w:val="center"/>
          </w:tcPr>
          <w:p w14:paraId="64FD0A86">
            <w:pPr>
              <w:widowControl/>
              <w:spacing w:line="360" w:lineRule="auto"/>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100%</w:t>
            </w:r>
          </w:p>
        </w:tc>
      </w:tr>
      <w:tr w14:paraId="636FDE6C">
        <w:tblPrEx>
          <w:tblCellMar>
            <w:top w:w="0" w:type="dxa"/>
            <w:left w:w="108" w:type="dxa"/>
            <w:bottom w:w="0" w:type="dxa"/>
            <w:right w:w="108" w:type="dxa"/>
          </w:tblCellMar>
        </w:tblPrEx>
        <w:trPr>
          <w:trHeight w:val="56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9ABFAC4">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3</w:t>
            </w:r>
          </w:p>
        </w:tc>
        <w:tc>
          <w:tcPr>
            <w:tcW w:w="5043" w:type="dxa"/>
            <w:tcBorders>
              <w:top w:val="single" w:color="auto" w:sz="4" w:space="0"/>
              <w:left w:val="single" w:color="auto" w:sz="4" w:space="0"/>
              <w:bottom w:val="single" w:color="auto" w:sz="4" w:space="0"/>
              <w:right w:val="single" w:color="auto" w:sz="4" w:space="0"/>
            </w:tcBorders>
            <w:noWrap w:val="0"/>
            <w:vAlign w:val="center"/>
          </w:tcPr>
          <w:p w14:paraId="34E6985F">
            <w:pPr>
              <w:widowControl/>
              <w:spacing w:line="360" w:lineRule="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color w:val="auto"/>
                <w:sz w:val="20"/>
                <w:szCs w:val="20"/>
                <w:highlight w:val="none"/>
                <w:lang w:val="en-US" w:eastAsia="zh-CN"/>
              </w:rPr>
              <w:t>对进入球馆活动的外来人员进行审查</w:t>
            </w:r>
            <w:r>
              <w:rPr>
                <w:rFonts w:hint="eastAsia" w:ascii="宋体" w:hAnsi="宋体" w:eastAsia="宋体" w:cs="宋体"/>
                <w:b w:val="0"/>
                <w:bCs w:val="0"/>
                <w:color w:val="auto"/>
                <w:kern w:val="0"/>
                <w:sz w:val="20"/>
                <w:szCs w:val="20"/>
                <w:highlight w:val="none"/>
                <w:lang w:val="en-US" w:eastAsia="zh-CN"/>
              </w:rPr>
              <w:t>率</w:t>
            </w:r>
          </w:p>
        </w:tc>
        <w:tc>
          <w:tcPr>
            <w:tcW w:w="2490" w:type="dxa"/>
            <w:tcBorders>
              <w:top w:val="single" w:color="auto" w:sz="4" w:space="0"/>
              <w:left w:val="single" w:color="auto" w:sz="4" w:space="0"/>
              <w:bottom w:val="single" w:color="auto" w:sz="4" w:space="0"/>
              <w:right w:val="single" w:color="auto" w:sz="4" w:space="0"/>
            </w:tcBorders>
            <w:noWrap w:val="0"/>
            <w:vAlign w:val="center"/>
          </w:tcPr>
          <w:p w14:paraId="7F381B85">
            <w:pPr>
              <w:widowControl/>
              <w:spacing w:line="360" w:lineRule="auto"/>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100%</w:t>
            </w:r>
          </w:p>
        </w:tc>
      </w:tr>
      <w:tr w14:paraId="009B2E4F">
        <w:tblPrEx>
          <w:tblCellMar>
            <w:top w:w="0" w:type="dxa"/>
            <w:left w:w="108" w:type="dxa"/>
            <w:bottom w:w="0" w:type="dxa"/>
            <w:right w:w="108" w:type="dxa"/>
          </w:tblCellMar>
        </w:tblPrEx>
        <w:trPr>
          <w:trHeight w:val="56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1CB8C8F">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4</w:t>
            </w:r>
          </w:p>
        </w:tc>
        <w:tc>
          <w:tcPr>
            <w:tcW w:w="5043" w:type="dxa"/>
            <w:tcBorders>
              <w:top w:val="single" w:color="auto" w:sz="4" w:space="0"/>
              <w:left w:val="single" w:color="auto" w:sz="4" w:space="0"/>
              <w:bottom w:val="single" w:color="auto" w:sz="4" w:space="0"/>
              <w:right w:val="single" w:color="auto" w:sz="4" w:space="0"/>
            </w:tcBorders>
            <w:noWrap w:val="0"/>
            <w:vAlign w:val="center"/>
          </w:tcPr>
          <w:p w14:paraId="24B70B74">
            <w:pPr>
              <w:widowControl/>
              <w:spacing w:line="360" w:lineRule="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bidi="ar-SA"/>
              </w:rPr>
              <w:t>球馆各类体育器材、设施完好率</w:t>
            </w:r>
          </w:p>
        </w:tc>
        <w:tc>
          <w:tcPr>
            <w:tcW w:w="2490" w:type="dxa"/>
            <w:tcBorders>
              <w:top w:val="single" w:color="auto" w:sz="4" w:space="0"/>
              <w:left w:val="single" w:color="auto" w:sz="4" w:space="0"/>
              <w:bottom w:val="single" w:color="auto" w:sz="4" w:space="0"/>
              <w:right w:val="single" w:color="auto" w:sz="4" w:space="0"/>
            </w:tcBorders>
            <w:noWrap w:val="0"/>
            <w:vAlign w:val="center"/>
          </w:tcPr>
          <w:p w14:paraId="5D30A161">
            <w:pPr>
              <w:widowControl/>
              <w:spacing w:line="360" w:lineRule="auto"/>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w:t>
            </w:r>
            <w:r>
              <w:rPr>
                <w:rFonts w:hint="eastAsia" w:ascii="宋体" w:hAnsi="宋体" w:eastAsia="宋体" w:cs="宋体"/>
                <w:b w:val="0"/>
                <w:bCs w:val="0"/>
                <w:color w:val="auto"/>
                <w:kern w:val="0"/>
                <w:sz w:val="20"/>
                <w:szCs w:val="20"/>
                <w:highlight w:val="none"/>
                <w:lang w:val="en-US" w:eastAsia="zh-CN"/>
              </w:rPr>
              <w:t>85</w:t>
            </w:r>
            <w:r>
              <w:rPr>
                <w:rFonts w:hint="eastAsia" w:ascii="宋体" w:hAnsi="宋体" w:eastAsia="宋体" w:cs="宋体"/>
                <w:b w:val="0"/>
                <w:bCs w:val="0"/>
                <w:color w:val="auto"/>
                <w:kern w:val="0"/>
                <w:sz w:val="20"/>
                <w:szCs w:val="20"/>
                <w:highlight w:val="none"/>
              </w:rPr>
              <w:t>%</w:t>
            </w:r>
          </w:p>
        </w:tc>
      </w:tr>
      <w:tr w14:paraId="2359E93D">
        <w:tblPrEx>
          <w:tblCellMar>
            <w:top w:w="0" w:type="dxa"/>
            <w:left w:w="108" w:type="dxa"/>
            <w:bottom w:w="0" w:type="dxa"/>
            <w:right w:w="108" w:type="dxa"/>
          </w:tblCellMar>
        </w:tblPrEx>
        <w:trPr>
          <w:trHeight w:val="575"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DA9F6C7">
            <w:pPr>
              <w:widowControl/>
              <w:spacing w:line="360" w:lineRule="auto"/>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5</w:t>
            </w:r>
          </w:p>
        </w:tc>
        <w:tc>
          <w:tcPr>
            <w:tcW w:w="5043" w:type="dxa"/>
            <w:tcBorders>
              <w:top w:val="single" w:color="auto" w:sz="4" w:space="0"/>
              <w:left w:val="single" w:color="auto" w:sz="4" w:space="0"/>
              <w:bottom w:val="single" w:color="auto" w:sz="4" w:space="0"/>
              <w:right w:val="single" w:color="auto" w:sz="4" w:space="0"/>
            </w:tcBorders>
            <w:noWrap w:val="0"/>
            <w:vAlign w:val="center"/>
          </w:tcPr>
          <w:p w14:paraId="4D757C13">
            <w:pPr>
              <w:widowControl/>
              <w:spacing w:line="360" w:lineRule="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lang w:val="en-US" w:eastAsia="zh-CN"/>
              </w:rPr>
              <w:t>职工活动场所委托</w:t>
            </w:r>
            <w:r>
              <w:rPr>
                <w:rFonts w:hint="eastAsia" w:ascii="宋体" w:hAnsi="宋体" w:eastAsia="宋体" w:cs="宋体"/>
                <w:b w:val="0"/>
                <w:bCs w:val="0"/>
                <w:color w:val="auto"/>
                <w:kern w:val="0"/>
                <w:sz w:val="20"/>
                <w:szCs w:val="20"/>
                <w:highlight w:val="none"/>
              </w:rPr>
              <w:t>服务满意率</w:t>
            </w:r>
          </w:p>
        </w:tc>
        <w:tc>
          <w:tcPr>
            <w:tcW w:w="2490" w:type="dxa"/>
            <w:tcBorders>
              <w:top w:val="single" w:color="auto" w:sz="4" w:space="0"/>
              <w:left w:val="single" w:color="auto" w:sz="4" w:space="0"/>
              <w:bottom w:val="single" w:color="auto" w:sz="4" w:space="0"/>
              <w:right w:val="single" w:color="auto" w:sz="4" w:space="0"/>
            </w:tcBorders>
            <w:noWrap w:val="0"/>
            <w:vAlign w:val="center"/>
          </w:tcPr>
          <w:p w14:paraId="6990BCE7">
            <w:pPr>
              <w:widowControl/>
              <w:spacing w:line="360" w:lineRule="auto"/>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≥95%</w:t>
            </w:r>
          </w:p>
        </w:tc>
      </w:tr>
    </w:tbl>
    <w:p w14:paraId="2EB5AFFC">
      <w:pPr>
        <w:keepNext w:val="0"/>
        <w:keepLines w:val="0"/>
        <w:pageBreakBefore w:val="0"/>
        <w:widowControl w:val="0"/>
        <w:numPr>
          <w:ilvl w:val="0"/>
          <w:numId w:val="0"/>
        </w:numPr>
        <w:kinsoku/>
        <w:wordWrap/>
        <w:overflowPunct/>
        <w:topLinePunct w:val="0"/>
        <w:autoSpaceDE/>
        <w:autoSpaceDN/>
        <w:bidi w:val="0"/>
        <w:adjustRightInd/>
        <w:snapToGrid/>
        <w:ind w:leftChars="200"/>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2.9消防管理服务</w:t>
      </w:r>
      <w:r>
        <w:rPr>
          <w:rFonts w:hint="eastAsia" w:ascii="宋体" w:hAnsi="宋体" w:eastAsia="宋体" w:cs="宋体"/>
          <w:b w:val="0"/>
          <w:bCs w:val="0"/>
          <w:color w:val="auto"/>
          <w:sz w:val="20"/>
          <w:szCs w:val="20"/>
          <w:lang w:val="en-US" w:eastAsia="zh-CN"/>
        </w:rPr>
        <w:t>达标要求</w:t>
      </w:r>
    </w:p>
    <w:tbl>
      <w:tblPr>
        <w:tblStyle w:val="15"/>
        <w:tblW w:w="8494" w:type="dxa"/>
        <w:tblInd w:w="-40" w:type="dxa"/>
        <w:tblLayout w:type="fixed"/>
        <w:tblCellMar>
          <w:top w:w="0" w:type="dxa"/>
          <w:left w:w="108" w:type="dxa"/>
          <w:bottom w:w="0" w:type="dxa"/>
          <w:right w:w="108" w:type="dxa"/>
        </w:tblCellMar>
      </w:tblPr>
      <w:tblGrid>
        <w:gridCol w:w="989"/>
        <w:gridCol w:w="5030"/>
        <w:gridCol w:w="2475"/>
      </w:tblGrid>
      <w:tr w14:paraId="43E7A565">
        <w:tblPrEx>
          <w:tblCellMar>
            <w:top w:w="0" w:type="dxa"/>
            <w:left w:w="108" w:type="dxa"/>
            <w:bottom w:w="0" w:type="dxa"/>
            <w:right w:w="108" w:type="dxa"/>
          </w:tblCellMar>
        </w:tblPrEx>
        <w:trPr>
          <w:trHeight w:val="90" w:hRule="atLeast"/>
        </w:trPr>
        <w:tc>
          <w:tcPr>
            <w:tcW w:w="989" w:type="dxa"/>
            <w:tcBorders>
              <w:top w:val="single" w:color="auto" w:sz="4" w:space="0"/>
              <w:left w:val="single" w:color="auto" w:sz="4" w:space="0"/>
              <w:bottom w:val="single" w:color="auto" w:sz="4" w:space="0"/>
              <w:right w:val="single" w:color="auto" w:sz="4" w:space="0"/>
            </w:tcBorders>
            <w:noWrap w:val="0"/>
            <w:vAlign w:val="center"/>
          </w:tcPr>
          <w:p w14:paraId="54444BB5">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序号</w:t>
            </w:r>
          </w:p>
        </w:tc>
        <w:tc>
          <w:tcPr>
            <w:tcW w:w="5030" w:type="dxa"/>
            <w:tcBorders>
              <w:top w:val="single" w:color="auto" w:sz="4" w:space="0"/>
              <w:left w:val="single" w:color="auto" w:sz="4" w:space="0"/>
              <w:bottom w:val="single" w:color="auto" w:sz="4" w:space="0"/>
              <w:right w:val="single" w:color="auto" w:sz="4" w:space="0"/>
            </w:tcBorders>
            <w:noWrap w:val="0"/>
            <w:vAlign w:val="center"/>
          </w:tcPr>
          <w:p w14:paraId="13A6F651">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项       目</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7BB81085">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要求达到标准</w:t>
            </w:r>
          </w:p>
        </w:tc>
      </w:tr>
      <w:tr w14:paraId="554C2783">
        <w:tblPrEx>
          <w:tblCellMar>
            <w:top w:w="0" w:type="dxa"/>
            <w:left w:w="108" w:type="dxa"/>
            <w:bottom w:w="0" w:type="dxa"/>
            <w:right w:w="108" w:type="dxa"/>
          </w:tblCellMar>
        </w:tblPrEx>
        <w:trPr>
          <w:trHeight w:val="268" w:hRule="atLeast"/>
        </w:trPr>
        <w:tc>
          <w:tcPr>
            <w:tcW w:w="989" w:type="dxa"/>
            <w:tcBorders>
              <w:top w:val="single" w:color="auto" w:sz="4" w:space="0"/>
              <w:left w:val="single" w:color="auto" w:sz="4" w:space="0"/>
              <w:bottom w:val="single" w:color="auto" w:sz="4" w:space="0"/>
              <w:right w:val="single" w:color="auto" w:sz="4" w:space="0"/>
            </w:tcBorders>
            <w:noWrap w:val="0"/>
            <w:vAlign w:val="center"/>
          </w:tcPr>
          <w:p w14:paraId="569C2BC3">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w:t>
            </w:r>
          </w:p>
        </w:tc>
        <w:tc>
          <w:tcPr>
            <w:tcW w:w="5030" w:type="dxa"/>
            <w:tcBorders>
              <w:top w:val="single" w:color="auto" w:sz="4" w:space="0"/>
              <w:left w:val="single" w:color="auto" w:sz="4" w:space="0"/>
              <w:bottom w:val="single" w:color="auto" w:sz="4" w:space="0"/>
              <w:right w:val="single" w:color="auto" w:sz="4" w:space="0"/>
            </w:tcBorders>
            <w:noWrap w:val="0"/>
            <w:vAlign w:val="center"/>
          </w:tcPr>
          <w:p w14:paraId="705DBC8E">
            <w:pPr>
              <w:widowControl/>
              <w:spacing w:line="360" w:lineRule="auto"/>
              <w:rPr>
                <w:rFonts w:hint="eastAsia" w:ascii="宋体" w:hAnsi="宋体" w:eastAsia="宋体" w:cs="宋体"/>
                <w:b w:val="0"/>
                <w:bCs w:val="0"/>
                <w:color w:val="auto"/>
                <w:kern w:val="0"/>
                <w:sz w:val="20"/>
                <w:szCs w:val="20"/>
                <w:highlight w:val="none"/>
              </w:rPr>
            </w:pPr>
            <w:r>
              <w:rPr>
                <w:rFonts w:hint="eastAsia" w:ascii="宋体" w:hAnsi="宋体" w:eastAsia="宋体" w:cs="宋体"/>
                <w:color w:val="auto"/>
                <w:kern w:val="0"/>
                <w:sz w:val="20"/>
                <w:szCs w:val="20"/>
                <w:highlight w:val="none"/>
                <w:lang w:val="en-US" w:eastAsia="zh-CN"/>
              </w:rPr>
              <w:t>作业</w:t>
            </w:r>
            <w:r>
              <w:rPr>
                <w:rFonts w:hint="eastAsia" w:ascii="宋体" w:hAnsi="宋体" w:eastAsia="宋体" w:cs="宋体"/>
                <w:color w:val="auto"/>
                <w:kern w:val="0"/>
                <w:sz w:val="20"/>
                <w:szCs w:val="20"/>
                <w:highlight w:val="none"/>
              </w:rPr>
              <w:t>人员上岗持证率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3FF9055E">
            <w:pPr>
              <w:widowControl/>
              <w:spacing w:line="360" w:lineRule="auto"/>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100%</w:t>
            </w:r>
          </w:p>
        </w:tc>
      </w:tr>
      <w:tr w14:paraId="4709CAA6">
        <w:tblPrEx>
          <w:tblCellMar>
            <w:top w:w="0" w:type="dxa"/>
            <w:left w:w="108" w:type="dxa"/>
            <w:bottom w:w="0" w:type="dxa"/>
            <w:right w:w="108" w:type="dxa"/>
          </w:tblCellMar>
        </w:tblPrEx>
        <w:trPr>
          <w:trHeight w:val="268" w:hRule="atLeast"/>
        </w:trPr>
        <w:tc>
          <w:tcPr>
            <w:tcW w:w="989" w:type="dxa"/>
            <w:tcBorders>
              <w:top w:val="single" w:color="auto" w:sz="4" w:space="0"/>
              <w:left w:val="single" w:color="auto" w:sz="4" w:space="0"/>
              <w:bottom w:val="single" w:color="auto" w:sz="4" w:space="0"/>
              <w:right w:val="single" w:color="auto" w:sz="4" w:space="0"/>
            </w:tcBorders>
            <w:noWrap w:val="0"/>
            <w:vAlign w:val="center"/>
          </w:tcPr>
          <w:p w14:paraId="511D1A7F">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2</w:t>
            </w:r>
          </w:p>
        </w:tc>
        <w:tc>
          <w:tcPr>
            <w:tcW w:w="5030" w:type="dxa"/>
            <w:tcBorders>
              <w:top w:val="single" w:color="auto" w:sz="4" w:space="0"/>
              <w:left w:val="single" w:color="auto" w:sz="4" w:space="0"/>
              <w:bottom w:val="single" w:color="auto" w:sz="4" w:space="0"/>
              <w:right w:val="single" w:color="auto" w:sz="4" w:space="0"/>
            </w:tcBorders>
            <w:noWrap w:val="0"/>
            <w:vAlign w:val="center"/>
          </w:tcPr>
          <w:p w14:paraId="58904BDD">
            <w:pPr>
              <w:widowControl/>
              <w:spacing w:line="360" w:lineRule="auto"/>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rPr>
              <w:t>作业人员24小时在岗值班率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31F7471A">
            <w:pPr>
              <w:widowControl/>
              <w:spacing w:line="360" w:lineRule="auto"/>
              <w:jc w:val="center"/>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rPr>
              <w:t>100%</w:t>
            </w:r>
          </w:p>
        </w:tc>
      </w:tr>
      <w:tr w14:paraId="6C545418">
        <w:tblPrEx>
          <w:tblCellMar>
            <w:top w:w="0" w:type="dxa"/>
            <w:left w:w="108" w:type="dxa"/>
            <w:bottom w:w="0" w:type="dxa"/>
            <w:right w:w="108" w:type="dxa"/>
          </w:tblCellMar>
        </w:tblPrEx>
        <w:trPr>
          <w:trHeight w:val="525" w:hRule="atLeast"/>
        </w:trPr>
        <w:tc>
          <w:tcPr>
            <w:tcW w:w="989" w:type="dxa"/>
            <w:tcBorders>
              <w:top w:val="single" w:color="auto" w:sz="4" w:space="0"/>
              <w:left w:val="single" w:color="auto" w:sz="4" w:space="0"/>
              <w:bottom w:val="single" w:color="auto" w:sz="4" w:space="0"/>
              <w:right w:val="single" w:color="auto" w:sz="4" w:space="0"/>
            </w:tcBorders>
            <w:noWrap w:val="0"/>
            <w:vAlign w:val="center"/>
          </w:tcPr>
          <w:p w14:paraId="69A1834F">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3</w:t>
            </w:r>
          </w:p>
        </w:tc>
        <w:tc>
          <w:tcPr>
            <w:tcW w:w="5030" w:type="dxa"/>
            <w:tcBorders>
              <w:top w:val="single" w:color="auto" w:sz="4" w:space="0"/>
              <w:left w:val="single" w:color="auto" w:sz="4" w:space="0"/>
              <w:bottom w:val="single" w:color="auto" w:sz="4" w:space="0"/>
              <w:right w:val="single" w:color="auto" w:sz="4" w:space="0"/>
            </w:tcBorders>
            <w:noWrap w:val="0"/>
            <w:vAlign w:val="center"/>
          </w:tcPr>
          <w:p w14:paraId="1C060265">
            <w:pPr>
              <w:widowControl/>
              <w:spacing w:line="360" w:lineRule="auto"/>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rPr>
              <w:t>防火巡查、微型消防站物资检查、消防简易器材检查率</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6691D5FB">
            <w:pPr>
              <w:widowControl/>
              <w:spacing w:line="360" w:lineRule="auto"/>
              <w:jc w:val="center"/>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rPr>
              <w:t>100%</w:t>
            </w:r>
          </w:p>
        </w:tc>
      </w:tr>
      <w:tr w14:paraId="377069AB">
        <w:tblPrEx>
          <w:tblCellMar>
            <w:top w:w="0" w:type="dxa"/>
            <w:left w:w="108" w:type="dxa"/>
            <w:bottom w:w="0" w:type="dxa"/>
            <w:right w:w="108" w:type="dxa"/>
          </w:tblCellMar>
        </w:tblPrEx>
        <w:trPr>
          <w:trHeight w:val="268" w:hRule="atLeast"/>
        </w:trPr>
        <w:tc>
          <w:tcPr>
            <w:tcW w:w="989" w:type="dxa"/>
            <w:tcBorders>
              <w:top w:val="single" w:color="auto" w:sz="4" w:space="0"/>
              <w:left w:val="single" w:color="auto" w:sz="8" w:space="0"/>
              <w:bottom w:val="single" w:color="auto" w:sz="8" w:space="0"/>
              <w:right w:val="single" w:color="auto" w:sz="8" w:space="0"/>
            </w:tcBorders>
            <w:noWrap w:val="0"/>
            <w:vAlign w:val="center"/>
          </w:tcPr>
          <w:p w14:paraId="3DDD6F61">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4</w:t>
            </w:r>
          </w:p>
        </w:tc>
        <w:tc>
          <w:tcPr>
            <w:tcW w:w="5030" w:type="dxa"/>
            <w:tcBorders>
              <w:top w:val="single" w:color="auto" w:sz="4" w:space="0"/>
              <w:left w:val="nil"/>
              <w:bottom w:val="single" w:color="auto" w:sz="8" w:space="0"/>
              <w:right w:val="single" w:color="auto" w:sz="8" w:space="0"/>
            </w:tcBorders>
            <w:noWrap w:val="0"/>
            <w:vAlign w:val="center"/>
          </w:tcPr>
          <w:p w14:paraId="1AA5E94E">
            <w:pPr>
              <w:widowControl/>
              <w:spacing w:line="360" w:lineRule="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消防培训、消防演练</w:t>
            </w:r>
          </w:p>
        </w:tc>
        <w:tc>
          <w:tcPr>
            <w:tcW w:w="2475" w:type="dxa"/>
            <w:tcBorders>
              <w:top w:val="single" w:color="auto" w:sz="4" w:space="0"/>
              <w:left w:val="nil"/>
              <w:bottom w:val="single" w:color="auto" w:sz="8" w:space="0"/>
              <w:right w:val="single" w:color="auto" w:sz="8" w:space="0"/>
            </w:tcBorders>
            <w:noWrap w:val="0"/>
            <w:vAlign w:val="center"/>
          </w:tcPr>
          <w:p w14:paraId="7F571750">
            <w:pPr>
              <w:widowControl/>
              <w:spacing w:line="360" w:lineRule="auto"/>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每年至少2次</w:t>
            </w:r>
          </w:p>
        </w:tc>
      </w:tr>
      <w:tr w14:paraId="66A3A834">
        <w:tblPrEx>
          <w:tblCellMar>
            <w:top w:w="0" w:type="dxa"/>
            <w:left w:w="108" w:type="dxa"/>
            <w:bottom w:w="0" w:type="dxa"/>
            <w:right w:w="108" w:type="dxa"/>
          </w:tblCellMar>
        </w:tblPrEx>
        <w:trPr>
          <w:trHeight w:val="273" w:hRule="atLeast"/>
        </w:trPr>
        <w:tc>
          <w:tcPr>
            <w:tcW w:w="989" w:type="dxa"/>
            <w:tcBorders>
              <w:top w:val="single" w:color="auto" w:sz="4" w:space="0"/>
              <w:left w:val="single" w:color="auto" w:sz="8" w:space="0"/>
              <w:bottom w:val="single" w:color="auto" w:sz="4" w:space="0"/>
              <w:right w:val="single" w:color="auto" w:sz="8" w:space="0"/>
            </w:tcBorders>
            <w:noWrap w:val="0"/>
            <w:vAlign w:val="center"/>
          </w:tcPr>
          <w:p w14:paraId="6A767625">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5</w:t>
            </w:r>
          </w:p>
        </w:tc>
        <w:tc>
          <w:tcPr>
            <w:tcW w:w="5030" w:type="dxa"/>
            <w:tcBorders>
              <w:top w:val="single" w:color="auto" w:sz="4" w:space="0"/>
              <w:left w:val="nil"/>
              <w:bottom w:val="single" w:color="auto" w:sz="4" w:space="0"/>
              <w:right w:val="single" w:color="auto" w:sz="8" w:space="0"/>
            </w:tcBorders>
            <w:noWrap w:val="0"/>
            <w:vAlign w:val="center"/>
          </w:tcPr>
          <w:p w14:paraId="3DA35BBE">
            <w:pPr>
              <w:widowControl/>
              <w:spacing w:line="360" w:lineRule="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lang w:val="en-US" w:eastAsia="zh-CN"/>
              </w:rPr>
              <w:t>对消防管理</w:t>
            </w:r>
            <w:r>
              <w:rPr>
                <w:rFonts w:hint="eastAsia" w:ascii="宋体" w:hAnsi="宋体" w:eastAsia="宋体" w:cs="宋体"/>
                <w:b w:val="0"/>
                <w:bCs w:val="0"/>
                <w:color w:val="auto"/>
                <w:kern w:val="0"/>
                <w:sz w:val="20"/>
                <w:szCs w:val="20"/>
                <w:highlight w:val="none"/>
              </w:rPr>
              <w:t>服务满意率</w:t>
            </w:r>
          </w:p>
        </w:tc>
        <w:tc>
          <w:tcPr>
            <w:tcW w:w="2475" w:type="dxa"/>
            <w:tcBorders>
              <w:top w:val="single" w:color="auto" w:sz="4" w:space="0"/>
              <w:left w:val="nil"/>
              <w:bottom w:val="single" w:color="auto" w:sz="4" w:space="0"/>
              <w:right w:val="single" w:color="auto" w:sz="8" w:space="0"/>
            </w:tcBorders>
            <w:noWrap w:val="0"/>
            <w:vAlign w:val="center"/>
          </w:tcPr>
          <w:p w14:paraId="75E6E951">
            <w:pPr>
              <w:widowControl/>
              <w:spacing w:line="360" w:lineRule="auto"/>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≥95%</w:t>
            </w:r>
          </w:p>
        </w:tc>
      </w:tr>
    </w:tbl>
    <w:p w14:paraId="70254174">
      <w:pPr>
        <w:bidi w:val="0"/>
        <w:rPr>
          <w:rFonts w:hint="eastAsia"/>
          <w:b/>
          <w:bCs/>
          <w:highlight w:val="none"/>
          <w:lang w:val="en-US" w:eastAsia="zh-CN"/>
        </w:rPr>
      </w:pPr>
    </w:p>
    <w:p w14:paraId="466428A5">
      <w:pPr>
        <w:bidi w:val="0"/>
        <w:rPr>
          <w:rFonts w:hint="eastAsia"/>
          <w:b/>
          <w:bCs/>
          <w:highlight w:val="none"/>
          <w:lang w:val="en-US" w:eastAsia="zh-CN"/>
        </w:rPr>
      </w:pPr>
      <w:r>
        <w:rPr>
          <w:rFonts w:hint="eastAsia"/>
          <w:b/>
          <w:bCs/>
          <w:highlight w:val="none"/>
          <w:lang w:val="en-US" w:eastAsia="zh-CN"/>
        </w:rPr>
        <w:t>3.具体工作要求</w:t>
      </w:r>
    </w:p>
    <w:p w14:paraId="6D7330F2">
      <w:pPr>
        <w:bidi w:val="0"/>
        <w:rPr>
          <w:rFonts w:hint="eastAsia"/>
          <w:highlight w:val="none"/>
          <w:lang w:val="en-US" w:eastAsia="zh-CN"/>
        </w:rPr>
      </w:pPr>
      <w:r>
        <w:rPr>
          <w:rFonts w:hint="eastAsia"/>
          <w:b/>
          <w:bCs/>
          <w:highlight w:val="none"/>
          <w:lang w:val="en-US" w:eastAsia="zh-CN"/>
        </w:rPr>
        <w:t>3.1物业管理服务具体工作要求</w:t>
      </w:r>
    </w:p>
    <w:bookmarkEnd w:id="64"/>
    <w:tbl>
      <w:tblPr>
        <w:tblStyle w:val="16"/>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368"/>
        <w:gridCol w:w="6411"/>
      </w:tblGrid>
      <w:tr w14:paraId="4CC0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blHeader/>
        </w:trPr>
        <w:tc>
          <w:tcPr>
            <w:tcW w:w="630" w:type="dxa"/>
            <w:vAlign w:val="center"/>
          </w:tcPr>
          <w:p w14:paraId="2791B23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bookmarkStart w:id="65" w:name="_Toc24354"/>
            <w:r>
              <w:rPr>
                <w:rFonts w:hint="eastAsia" w:ascii="宋体" w:hAnsi="宋体" w:eastAsia="宋体" w:cs="宋体"/>
                <w:b/>
                <w:i w:val="0"/>
                <w:color w:val="auto"/>
                <w:kern w:val="0"/>
                <w:sz w:val="20"/>
                <w:szCs w:val="20"/>
                <w:highlight w:val="none"/>
                <w:u w:val="none"/>
                <w:lang w:val="en-US" w:eastAsia="zh-CN" w:bidi="ar"/>
              </w:rPr>
              <w:t>序号</w:t>
            </w:r>
          </w:p>
        </w:tc>
        <w:tc>
          <w:tcPr>
            <w:tcW w:w="1368" w:type="dxa"/>
            <w:vAlign w:val="center"/>
          </w:tcPr>
          <w:p w14:paraId="0E50C3A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6411" w:type="dxa"/>
            <w:vAlign w:val="center"/>
          </w:tcPr>
          <w:p w14:paraId="4693D1E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7ACE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0507AD4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1368" w:type="dxa"/>
            <w:vMerge w:val="restart"/>
            <w:vAlign w:val="center"/>
          </w:tcPr>
          <w:p w14:paraId="262D8DD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基本要求</w:t>
            </w:r>
          </w:p>
        </w:tc>
        <w:tc>
          <w:tcPr>
            <w:tcW w:w="6411" w:type="dxa"/>
            <w:vAlign w:val="center"/>
          </w:tcPr>
          <w:p w14:paraId="26F85767">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（1）对物权的要求：物业服务商必须尊重</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的物权，保护</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的财产安全和合法权益。在物业管理过程中，不得擅自占用、使用、处分</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的财产。</w:t>
            </w:r>
          </w:p>
        </w:tc>
      </w:tr>
      <w:tr w14:paraId="13399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630" w:type="dxa"/>
            <w:vAlign w:val="center"/>
          </w:tcPr>
          <w:p w14:paraId="1E243EB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1368" w:type="dxa"/>
            <w:vMerge w:val="continue"/>
            <w:vAlign w:val="center"/>
          </w:tcPr>
          <w:p w14:paraId="241B740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8BA85D1">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（2）物业服务商必须妥善管理</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共有的公共设施、场所和物业服务专用设施等，确保其正常运转和维护保养，保证</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的共同利益。同时，物业服务商应建立完善的财务管理制度，确保物业服务费用的合理收支和使用。</w:t>
            </w:r>
          </w:p>
        </w:tc>
      </w:tr>
      <w:tr w14:paraId="77D19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6172E41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1368" w:type="dxa"/>
            <w:vMerge w:val="continue"/>
            <w:vAlign w:val="center"/>
          </w:tcPr>
          <w:p w14:paraId="6261A36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40C347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（3）对责任的要求：物业服务商必须履行管理职责，保障</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的生命财产安全。在物业管理中，如有过失或者违法行为，应当承担相应的法律责任。</w:t>
            </w:r>
          </w:p>
        </w:tc>
      </w:tr>
      <w:tr w14:paraId="2662B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1B34527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1368" w:type="dxa"/>
            <w:vMerge w:val="continue"/>
            <w:vAlign w:val="center"/>
          </w:tcPr>
          <w:p w14:paraId="0446A8E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78A5FF3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（4）不得擅自变更物业的用途，不得违反国家的规定进行违法建设。</w:t>
            </w:r>
          </w:p>
        </w:tc>
      </w:tr>
      <w:tr w14:paraId="11B97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5689ABC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1368" w:type="dxa"/>
            <w:vMerge w:val="continue"/>
            <w:vAlign w:val="center"/>
          </w:tcPr>
          <w:p w14:paraId="5DAFA0F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6D769061">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（5）应当定期对物业进行检查、维修和保养，并及时向</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报告相关情况。</w:t>
            </w:r>
          </w:p>
        </w:tc>
      </w:tr>
      <w:tr w14:paraId="3A599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7647EA2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1368" w:type="dxa"/>
            <w:vMerge w:val="continue"/>
            <w:vAlign w:val="center"/>
          </w:tcPr>
          <w:p w14:paraId="2AED32F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1CC779C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（6）应当听取</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的意见和建议，并按照</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的决定执行。</w:t>
            </w:r>
          </w:p>
        </w:tc>
      </w:tr>
      <w:tr w14:paraId="40AE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15529D0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1368" w:type="dxa"/>
            <w:vMerge w:val="restart"/>
            <w:vAlign w:val="center"/>
          </w:tcPr>
          <w:p w14:paraId="2A8178E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服务要求</w:t>
            </w:r>
          </w:p>
        </w:tc>
        <w:tc>
          <w:tcPr>
            <w:tcW w:w="6411" w:type="dxa"/>
            <w:vAlign w:val="center"/>
          </w:tcPr>
          <w:p w14:paraId="548A4B7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（1）制定各项管理制度、服务质量标准、工作岗位考核标准、奖惩办法并严格执行。</w:t>
            </w:r>
          </w:p>
        </w:tc>
      </w:tr>
      <w:tr w14:paraId="1420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3525CF0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1368" w:type="dxa"/>
            <w:vMerge w:val="continue"/>
            <w:vAlign w:val="center"/>
          </w:tcPr>
          <w:p w14:paraId="611459E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AF0F13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（2）配备物业服务所需各类专业技术人员，应持证上岗。</w:t>
            </w:r>
          </w:p>
        </w:tc>
      </w:tr>
      <w:tr w14:paraId="0FDF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78CD293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1368" w:type="dxa"/>
            <w:vMerge w:val="continue"/>
            <w:vAlign w:val="center"/>
          </w:tcPr>
          <w:p w14:paraId="5F26BB3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46E1E64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（3）建立健全员工培训机制，加强员工培训，不断提高员工工作技能。员工在工作时间应着装整齐，仪表、仪态端庄、热情大方，用语文明礼貌；服务做到坚持原则，严守采购方秘密。</w:t>
            </w:r>
          </w:p>
        </w:tc>
      </w:tr>
      <w:tr w14:paraId="4D1B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7F24F6D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1368" w:type="dxa"/>
            <w:vMerge w:val="continue"/>
            <w:vAlign w:val="center"/>
          </w:tcPr>
          <w:p w14:paraId="1DF0C59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47D9B74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（4）员工要掌握各相关专业物业情况，确保做到优质服务。</w:t>
            </w:r>
          </w:p>
        </w:tc>
      </w:tr>
      <w:tr w14:paraId="56915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2C17396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1368" w:type="dxa"/>
            <w:vMerge w:val="continue"/>
            <w:vAlign w:val="center"/>
          </w:tcPr>
          <w:p w14:paraId="415E890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D02D6BC">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（5）制定各类设备专人专管的岗位责任制，每日巡回检查，定期维修保养，保证物业安全运行，环境整洁。</w:t>
            </w:r>
          </w:p>
        </w:tc>
      </w:tr>
      <w:tr w14:paraId="06FB3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0CBE504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1368" w:type="dxa"/>
            <w:vMerge w:val="continue"/>
            <w:vAlign w:val="center"/>
          </w:tcPr>
          <w:p w14:paraId="2234B6D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2EB34FF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（6）制定各类应急预案，如遇突发事件，相关专业人员必须及时赶到现场，采取有效措施防止事态的扩大，并迅速报告采购方。</w:t>
            </w:r>
          </w:p>
        </w:tc>
      </w:tr>
      <w:tr w14:paraId="12C7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136DCE0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1368" w:type="dxa"/>
            <w:vMerge w:val="continue"/>
            <w:vAlign w:val="center"/>
          </w:tcPr>
          <w:p w14:paraId="12AF3A4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65D911E2">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（7）管理与物业相关的台帐、工程图纸、档案与竣工验收资料，参与物业范围内的非生产设备设施验收工作。</w:t>
            </w:r>
          </w:p>
        </w:tc>
      </w:tr>
      <w:tr w14:paraId="78BB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2107386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14</w:t>
            </w:r>
          </w:p>
        </w:tc>
        <w:tc>
          <w:tcPr>
            <w:tcW w:w="1368" w:type="dxa"/>
            <w:vMerge w:val="restart"/>
            <w:vAlign w:val="center"/>
          </w:tcPr>
          <w:p w14:paraId="1C0EEE3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工作要求</w:t>
            </w:r>
          </w:p>
        </w:tc>
        <w:tc>
          <w:tcPr>
            <w:tcW w:w="6411" w:type="dxa"/>
            <w:vAlign w:val="center"/>
          </w:tcPr>
          <w:p w14:paraId="6305C1C3">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（1）建立物业服务区域内建、构筑物及附属设施管理台账。</w:t>
            </w:r>
          </w:p>
        </w:tc>
      </w:tr>
      <w:tr w14:paraId="16C3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754EFC0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15</w:t>
            </w:r>
          </w:p>
        </w:tc>
        <w:tc>
          <w:tcPr>
            <w:tcW w:w="1368" w:type="dxa"/>
            <w:vMerge w:val="continue"/>
            <w:vAlign w:val="center"/>
          </w:tcPr>
          <w:p w14:paraId="766648D5">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677BC167">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（2）制订维修保养计划方案及费用预算。</w:t>
            </w:r>
          </w:p>
        </w:tc>
      </w:tr>
      <w:tr w14:paraId="74D6C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48F48A7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16</w:t>
            </w:r>
          </w:p>
        </w:tc>
        <w:tc>
          <w:tcPr>
            <w:tcW w:w="1368" w:type="dxa"/>
            <w:vMerge w:val="continue"/>
            <w:vAlign w:val="center"/>
          </w:tcPr>
          <w:p w14:paraId="6FBA4925">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EA310F8">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（3）负责维保项目施工管理，全过程把好质量、进度、安全关，确保项目高质量、低成本及施工安全，并做好项目资料归档工作。</w:t>
            </w:r>
          </w:p>
        </w:tc>
      </w:tr>
      <w:tr w14:paraId="48E3B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2826608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17</w:t>
            </w:r>
          </w:p>
        </w:tc>
        <w:tc>
          <w:tcPr>
            <w:tcW w:w="1368" w:type="dxa"/>
            <w:vMerge w:val="continue"/>
            <w:vAlign w:val="center"/>
          </w:tcPr>
          <w:p w14:paraId="2DB3870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7E320DE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（4）建筑物（包括天面、墙体、门窗、地面等）的维修、养护和管理。</w:t>
            </w:r>
          </w:p>
        </w:tc>
      </w:tr>
      <w:tr w14:paraId="0D5EF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3C28DF9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18</w:t>
            </w:r>
          </w:p>
        </w:tc>
        <w:tc>
          <w:tcPr>
            <w:tcW w:w="1368" w:type="dxa"/>
            <w:vMerge w:val="continue"/>
            <w:vAlign w:val="center"/>
          </w:tcPr>
          <w:p w14:paraId="779A889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63D960B5">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r>
              <w:rPr>
                <w:rFonts w:hint="eastAsia" w:ascii="宋体" w:hAnsi="宋体" w:cs="宋体"/>
                <w:color w:val="auto"/>
                <w:sz w:val="20"/>
                <w:szCs w:val="20"/>
                <w:highlight w:val="none"/>
                <w:lang w:val="en-US" w:eastAsia="zh-CN"/>
              </w:rPr>
              <w:t>房源</w:t>
            </w:r>
            <w:r>
              <w:rPr>
                <w:rFonts w:hint="eastAsia" w:ascii="宋体" w:hAnsi="宋体" w:eastAsia="宋体" w:cs="宋体"/>
                <w:color w:val="auto"/>
                <w:sz w:val="20"/>
                <w:szCs w:val="20"/>
                <w:highlight w:val="none"/>
                <w:lang w:val="en-US" w:eastAsia="zh-CN"/>
              </w:rPr>
              <w:t>建筑附属设施设备（包含给排水系统、加压供水设备、配电系统、照明等）的维修、养护、管理和运行服务，（消防系统、空调系统、电梯、安防系统）管理和运行服务，配合外委单位的维修服务。</w:t>
            </w:r>
          </w:p>
        </w:tc>
      </w:tr>
      <w:tr w14:paraId="6B25F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4AA1CF0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19</w:t>
            </w:r>
          </w:p>
        </w:tc>
        <w:tc>
          <w:tcPr>
            <w:tcW w:w="1368" w:type="dxa"/>
            <w:vMerge w:val="continue"/>
            <w:vAlign w:val="center"/>
          </w:tcPr>
          <w:p w14:paraId="492EE4C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48A6B2E3">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本物业规划红线内属物业管理范围的公用设施（道路、围墙、门、室内外上下水管道、电缆沟、化粪池、沟渠、蓄水池（箱）、水井、生活水泵房、路灯、园林景观灯、泛光灯、绿化设施、停车场（位）等）的维修、养护和管理。</w:t>
            </w:r>
          </w:p>
        </w:tc>
      </w:tr>
      <w:tr w14:paraId="4698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30" w:type="dxa"/>
            <w:vAlign w:val="center"/>
          </w:tcPr>
          <w:p w14:paraId="0FEA19D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20</w:t>
            </w:r>
          </w:p>
        </w:tc>
        <w:tc>
          <w:tcPr>
            <w:tcW w:w="1368" w:type="dxa"/>
            <w:vMerge w:val="continue"/>
            <w:vAlign w:val="center"/>
          </w:tcPr>
          <w:p w14:paraId="438CA4B5">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68A4023C">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（7）物业服务区域内的其他资产的养护维修。</w:t>
            </w:r>
          </w:p>
        </w:tc>
      </w:tr>
      <w:tr w14:paraId="34F29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7B4615C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21</w:t>
            </w:r>
          </w:p>
        </w:tc>
        <w:tc>
          <w:tcPr>
            <w:tcW w:w="1368" w:type="dxa"/>
            <w:vMerge w:val="restart"/>
            <w:vAlign w:val="center"/>
          </w:tcPr>
          <w:p w14:paraId="012C7A7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日常养护维修要求</w:t>
            </w:r>
          </w:p>
          <w:p w14:paraId="227E6CE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53E01A7">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（1）物业管理区域内地面、墙、台面、门窗、楼梯等的日常巡查和养护维修，确保建筑物处于完好状态，防止建筑物被侵蚀、损害事件发生。确保物业管理区域内</w:t>
            </w:r>
            <w:r>
              <w:rPr>
                <w:rFonts w:hint="eastAsia" w:ascii="宋体" w:hAnsi="宋体" w:cs="宋体"/>
                <w:color w:val="auto"/>
                <w:sz w:val="20"/>
                <w:szCs w:val="20"/>
                <w:highlight w:val="none"/>
                <w:lang w:val="en-US" w:eastAsia="zh-CN"/>
              </w:rPr>
              <w:t>房源</w:t>
            </w:r>
            <w:r>
              <w:rPr>
                <w:rFonts w:hint="eastAsia" w:ascii="宋体" w:hAnsi="宋体" w:eastAsia="宋体" w:cs="宋体"/>
                <w:color w:val="auto"/>
                <w:sz w:val="20"/>
                <w:szCs w:val="20"/>
                <w:highlight w:val="none"/>
                <w:lang w:val="en-US" w:eastAsia="zh-CN"/>
              </w:rPr>
              <w:t>及设施的完好等级和正常使用。</w:t>
            </w:r>
          </w:p>
        </w:tc>
      </w:tr>
      <w:tr w14:paraId="1377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6ACCEA3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22</w:t>
            </w:r>
          </w:p>
        </w:tc>
        <w:tc>
          <w:tcPr>
            <w:tcW w:w="1368" w:type="dxa"/>
            <w:vMerge w:val="continue"/>
            <w:vAlign w:val="center"/>
          </w:tcPr>
          <w:p w14:paraId="3BEFB80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1B36BFE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（2）玻璃无破裂，五金配件完好，门窗开闭灵活、密封性好。否则应及时修复或更换，不能立即修复的涉及安全性的应采取措施消除安全隐患。</w:t>
            </w:r>
          </w:p>
        </w:tc>
      </w:tr>
      <w:tr w14:paraId="504F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41D6FA3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23</w:t>
            </w:r>
          </w:p>
        </w:tc>
        <w:tc>
          <w:tcPr>
            <w:tcW w:w="1368" w:type="dxa"/>
            <w:vMerge w:val="continue"/>
            <w:vAlign w:val="center"/>
          </w:tcPr>
          <w:p w14:paraId="6FAE66C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046415D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（3）屋面排水沟、室内室外排水管保障畅通；雨前及时巡查，排除隐患。发现过滤网及管道破损及时修复或更换。</w:t>
            </w:r>
          </w:p>
        </w:tc>
      </w:tr>
      <w:tr w14:paraId="0E558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1736092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24</w:t>
            </w:r>
          </w:p>
        </w:tc>
        <w:tc>
          <w:tcPr>
            <w:tcW w:w="1368" w:type="dxa"/>
            <w:vMerge w:val="continue"/>
            <w:vAlign w:val="center"/>
          </w:tcPr>
          <w:p w14:paraId="18E891B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540797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（4）及时完成家具、设备等各项零星维修任务，一般维修任务确保不超过24小时，确保家具、设备维修合格率达到100%。</w:t>
            </w:r>
          </w:p>
        </w:tc>
      </w:tr>
      <w:tr w14:paraId="7E11C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59548CF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25</w:t>
            </w:r>
          </w:p>
        </w:tc>
        <w:tc>
          <w:tcPr>
            <w:tcW w:w="1368" w:type="dxa"/>
            <w:vMerge w:val="continue"/>
            <w:vAlign w:val="center"/>
          </w:tcPr>
          <w:p w14:paraId="2E00A9C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670ADEDB">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（5）楼内相关设施发现损坏应立即修复，安全标志等应清晰完整。保证各项设施、器材的正常使用。</w:t>
            </w:r>
          </w:p>
        </w:tc>
      </w:tr>
      <w:tr w14:paraId="49D97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1F11416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26</w:t>
            </w:r>
          </w:p>
        </w:tc>
        <w:tc>
          <w:tcPr>
            <w:tcW w:w="1368" w:type="dxa"/>
            <w:vMerge w:val="continue"/>
            <w:vAlign w:val="center"/>
          </w:tcPr>
          <w:p w14:paraId="1B4255A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68996F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（6）负责桌椅门锁简单修理。</w:t>
            </w:r>
          </w:p>
        </w:tc>
      </w:tr>
      <w:tr w14:paraId="73CD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vAlign w:val="center"/>
          </w:tcPr>
          <w:p w14:paraId="06EFE50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27</w:t>
            </w:r>
          </w:p>
        </w:tc>
        <w:tc>
          <w:tcPr>
            <w:tcW w:w="1368" w:type="dxa"/>
            <w:vMerge w:val="restart"/>
            <w:vAlign w:val="center"/>
          </w:tcPr>
          <w:p w14:paraId="761F3B1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用户侧用电系统养护维修要求</w:t>
            </w:r>
          </w:p>
        </w:tc>
        <w:tc>
          <w:tcPr>
            <w:tcW w:w="6411" w:type="dxa"/>
            <w:vAlign w:val="center"/>
          </w:tcPr>
          <w:p w14:paraId="6FD5FE87">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（1）对单位用户侧用电系统、照明设施设备、食堂用电设备等的运行管理和日常维修，确保各类设备设施的正常运行。</w:t>
            </w:r>
          </w:p>
        </w:tc>
      </w:tr>
      <w:tr w14:paraId="5535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vAlign w:val="center"/>
          </w:tcPr>
          <w:p w14:paraId="4360ECD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28</w:t>
            </w:r>
          </w:p>
        </w:tc>
        <w:tc>
          <w:tcPr>
            <w:tcW w:w="1368" w:type="dxa"/>
            <w:vMerge w:val="continue"/>
            <w:vAlign w:val="center"/>
          </w:tcPr>
          <w:p w14:paraId="1757D01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2BE2B25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（2）负责各类照明灯具、泛光照明系统、用电设备设施、食堂用电设备的日常管理和维护修理。</w:t>
            </w:r>
          </w:p>
        </w:tc>
      </w:tr>
      <w:tr w14:paraId="4B2DD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vAlign w:val="center"/>
          </w:tcPr>
          <w:p w14:paraId="115DFB6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29</w:t>
            </w:r>
          </w:p>
        </w:tc>
        <w:tc>
          <w:tcPr>
            <w:tcW w:w="1368" w:type="dxa"/>
            <w:vMerge w:val="continue"/>
            <w:vAlign w:val="center"/>
          </w:tcPr>
          <w:p w14:paraId="22CDFAA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9266E7C">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（3）定期检查各类用电设备分电表箱、配电箱、配电柜及每层管线分线盒的安全使用，及时消缺，确保各类用电设备运行正常，随时可用且安全可靠。</w:t>
            </w:r>
          </w:p>
        </w:tc>
      </w:tr>
      <w:tr w14:paraId="486E2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vAlign w:val="center"/>
          </w:tcPr>
          <w:p w14:paraId="376BB1F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30</w:t>
            </w:r>
          </w:p>
        </w:tc>
        <w:tc>
          <w:tcPr>
            <w:tcW w:w="1368" w:type="dxa"/>
            <w:vMerge w:val="continue"/>
            <w:vAlign w:val="center"/>
          </w:tcPr>
          <w:p w14:paraId="724CBAD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29F606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（4）配合做好各类用电设备的专项检查、维修工作。</w:t>
            </w:r>
          </w:p>
        </w:tc>
      </w:tr>
      <w:tr w14:paraId="4757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vAlign w:val="center"/>
          </w:tcPr>
          <w:p w14:paraId="7130130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31</w:t>
            </w:r>
          </w:p>
        </w:tc>
        <w:tc>
          <w:tcPr>
            <w:tcW w:w="1368" w:type="dxa"/>
            <w:vMerge w:val="continue"/>
            <w:vAlign w:val="center"/>
          </w:tcPr>
          <w:p w14:paraId="07E8F1F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134A4C74">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（5）通过有效的管理措施及技术措施，积极开展节能管理工作。</w:t>
            </w:r>
          </w:p>
        </w:tc>
      </w:tr>
      <w:tr w14:paraId="067F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5234D4A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32</w:t>
            </w:r>
          </w:p>
        </w:tc>
        <w:tc>
          <w:tcPr>
            <w:tcW w:w="1368" w:type="dxa"/>
            <w:vMerge w:val="restart"/>
            <w:vAlign w:val="center"/>
          </w:tcPr>
          <w:p w14:paraId="3E9B734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给排水系统日常养护要求 </w:t>
            </w:r>
          </w:p>
        </w:tc>
        <w:tc>
          <w:tcPr>
            <w:tcW w:w="6411" w:type="dxa"/>
            <w:vAlign w:val="center"/>
          </w:tcPr>
          <w:p w14:paraId="617D456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（1）对物业管理区域室内外给排水系统的设备、设施，如加压房、水泵、水箱、管道、管件、阀门、排水管、室外排水管、排污管及附属构筑物等进行日常巡视、养护维修，保持正常运行。</w:t>
            </w:r>
          </w:p>
        </w:tc>
      </w:tr>
      <w:tr w14:paraId="66EAA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59F1BAD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33</w:t>
            </w:r>
          </w:p>
        </w:tc>
        <w:tc>
          <w:tcPr>
            <w:tcW w:w="1368" w:type="dxa"/>
            <w:vMerge w:val="continue"/>
            <w:vAlign w:val="center"/>
          </w:tcPr>
          <w:p w14:paraId="1B329B8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5226A01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（2）对服务区域内的公共雨、污水管道、房顶进行巡视，保证畅通无堵；每月要定期检查、巡视、疏通排水沟及化粪池，使管道通畅，无堵塞外溢现象。</w:t>
            </w:r>
          </w:p>
        </w:tc>
      </w:tr>
      <w:tr w14:paraId="50F0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327D2E0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34</w:t>
            </w:r>
          </w:p>
        </w:tc>
        <w:tc>
          <w:tcPr>
            <w:tcW w:w="1368" w:type="dxa"/>
            <w:vMerge w:val="continue"/>
            <w:vAlign w:val="center"/>
          </w:tcPr>
          <w:p w14:paraId="7832F85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168513DC">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（3）配合外委单位做好给排水系统维修工作。</w:t>
            </w:r>
          </w:p>
        </w:tc>
      </w:tr>
      <w:tr w14:paraId="7D9B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285A8C1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35</w:t>
            </w:r>
          </w:p>
        </w:tc>
        <w:tc>
          <w:tcPr>
            <w:tcW w:w="1368" w:type="dxa"/>
            <w:vMerge w:val="restart"/>
            <w:vAlign w:val="center"/>
          </w:tcPr>
          <w:p w14:paraId="029699C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电梯日常巡视要求</w:t>
            </w:r>
          </w:p>
        </w:tc>
        <w:tc>
          <w:tcPr>
            <w:tcW w:w="6411" w:type="dxa"/>
            <w:vAlign w:val="center"/>
          </w:tcPr>
          <w:p w14:paraId="0EC0D598">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（1）按特种设备管理要求，每天做好电梯的日常巡视工作。</w:t>
            </w:r>
          </w:p>
        </w:tc>
      </w:tr>
      <w:tr w14:paraId="26226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4914701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36</w:t>
            </w:r>
          </w:p>
        </w:tc>
        <w:tc>
          <w:tcPr>
            <w:tcW w:w="1368" w:type="dxa"/>
            <w:vMerge w:val="continue"/>
            <w:vAlign w:val="center"/>
          </w:tcPr>
          <w:p w14:paraId="6319F90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5B5C6AB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（2）按特种设备管理要求，配合外委单位对电梯进行检查，确保电梯安全运行。</w:t>
            </w:r>
          </w:p>
        </w:tc>
      </w:tr>
      <w:tr w14:paraId="30A73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4AE3348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37</w:t>
            </w:r>
          </w:p>
        </w:tc>
        <w:tc>
          <w:tcPr>
            <w:tcW w:w="1368" w:type="dxa"/>
            <w:vMerge w:val="continue"/>
            <w:vAlign w:val="center"/>
          </w:tcPr>
          <w:p w14:paraId="3C9594A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1BDA75D5">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（3）配合相关部门对特种设备的电梯年检工作。</w:t>
            </w:r>
          </w:p>
        </w:tc>
      </w:tr>
      <w:tr w14:paraId="52CA4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vAlign w:val="center"/>
          </w:tcPr>
          <w:p w14:paraId="28A9308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38</w:t>
            </w:r>
          </w:p>
        </w:tc>
        <w:tc>
          <w:tcPr>
            <w:tcW w:w="1368" w:type="dxa"/>
            <w:vMerge w:val="restart"/>
            <w:vAlign w:val="center"/>
          </w:tcPr>
          <w:p w14:paraId="7907AA5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消防系统日常巡视要求</w:t>
            </w:r>
          </w:p>
        </w:tc>
        <w:tc>
          <w:tcPr>
            <w:tcW w:w="6411" w:type="dxa"/>
            <w:vAlign w:val="center"/>
          </w:tcPr>
          <w:p w14:paraId="311437D5">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（1）按特种设备管理要求，每天做好消防系统的日常巡视工作。</w:t>
            </w:r>
          </w:p>
        </w:tc>
      </w:tr>
      <w:tr w14:paraId="3084B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30" w:type="dxa"/>
            <w:vAlign w:val="center"/>
          </w:tcPr>
          <w:p w14:paraId="3DE7632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39</w:t>
            </w:r>
          </w:p>
        </w:tc>
        <w:tc>
          <w:tcPr>
            <w:tcW w:w="1368" w:type="dxa"/>
            <w:vMerge w:val="continue"/>
            <w:vAlign w:val="center"/>
          </w:tcPr>
          <w:p w14:paraId="2DA0928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758E36E1">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（2）按特种设备管理要求，配合外委单位对消防系统进行检查，确保消防系统安全运行。</w:t>
            </w:r>
          </w:p>
        </w:tc>
      </w:tr>
      <w:tr w14:paraId="3212A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630" w:type="dxa"/>
            <w:vAlign w:val="center"/>
          </w:tcPr>
          <w:p w14:paraId="4278CFE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40</w:t>
            </w:r>
          </w:p>
        </w:tc>
        <w:tc>
          <w:tcPr>
            <w:tcW w:w="1368" w:type="dxa"/>
            <w:vMerge w:val="continue"/>
            <w:vAlign w:val="center"/>
          </w:tcPr>
          <w:p w14:paraId="4B2C86F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2E29AA7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（3）配合相关部门对特种设备的年检工作。</w:t>
            </w:r>
          </w:p>
        </w:tc>
      </w:tr>
      <w:tr w14:paraId="2696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627B76E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41</w:t>
            </w:r>
          </w:p>
        </w:tc>
        <w:tc>
          <w:tcPr>
            <w:tcW w:w="1368" w:type="dxa"/>
            <w:vMerge w:val="restart"/>
            <w:vAlign w:val="center"/>
          </w:tcPr>
          <w:p w14:paraId="0FF7EDB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消防设备、器材日常维护和更换要求 </w:t>
            </w:r>
          </w:p>
        </w:tc>
        <w:tc>
          <w:tcPr>
            <w:tcW w:w="6411" w:type="dxa"/>
            <w:vAlign w:val="center"/>
          </w:tcPr>
          <w:p w14:paraId="5576FDA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（1）负责消防设施和器材台账的实时更新，形成完整有效的数据。每月按要求报送消防安全管理专责处。</w:t>
            </w:r>
          </w:p>
        </w:tc>
      </w:tr>
      <w:tr w14:paraId="7A83E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212A1B1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42</w:t>
            </w:r>
          </w:p>
        </w:tc>
        <w:tc>
          <w:tcPr>
            <w:tcW w:w="1368" w:type="dxa"/>
            <w:vMerge w:val="continue"/>
            <w:vAlign w:val="center"/>
          </w:tcPr>
          <w:p w14:paraId="1EF32D75">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01FFA3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（2）每月应对管辖区域进行一次防火检查，节假日和重大活动前进行专项防火检查。</w:t>
            </w:r>
          </w:p>
        </w:tc>
      </w:tr>
      <w:tr w14:paraId="2C43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13E733E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43</w:t>
            </w:r>
          </w:p>
        </w:tc>
        <w:tc>
          <w:tcPr>
            <w:tcW w:w="1368" w:type="dxa"/>
            <w:vMerge w:val="continue"/>
            <w:vAlign w:val="center"/>
          </w:tcPr>
          <w:p w14:paraId="5C7DD34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0B5D728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（3）每月应对管辖区域进行一次消防器材检查，并填写消防器材检查卡，确保信息准确无误。</w:t>
            </w:r>
          </w:p>
        </w:tc>
      </w:tr>
      <w:tr w14:paraId="540AB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45CF884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44</w:t>
            </w:r>
          </w:p>
        </w:tc>
        <w:tc>
          <w:tcPr>
            <w:tcW w:w="1368" w:type="dxa"/>
            <w:vMerge w:val="continue"/>
            <w:vAlign w:val="center"/>
          </w:tcPr>
          <w:p w14:paraId="020C34B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1BC44F6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（4）对于发现及上报的消防设施、器材的缺陷，配合外委单位做好维修工作，并按要求跟踪相关的处理和消缺情况。</w:t>
            </w:r>
          </w:p>
        </w:tc>
      </w:tr>
      <w:tr w14:paraId="02D9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30" w:type="dxa"/>
            <w:vAlign w:val="center"/>
          </w:tcPr>
          <w:p w14:paraId="46CFB75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45</w:t>
            </w:r>
          </w:p>
        </w:tc>
        <w:tc>
          <w:tcPr>
            <w:tcW w:w="1368" w:type="dxa"/>
            <w:vMerge w:val="continue"/>
            <w:vAlign w:val="center"/>
          </w:tcPr>
          <w:p w14:paraId="42519B4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0E5A530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（5）对于即将到期的灭火器材，要及时更换，确保消防器材合格率达到100%。</w:t>
            </w:r>
          </w:p>
        </w:tc>
      </w:tr>
      <w:tr w14:paraId="5418D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0828E66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46</w:t>
            </w:r>
          </w:p>
        </w:tc>
        <w:tc>
          <w:tcPr>
            <w:tcW w:w="1368" w:type="dxa"/>
            <w:vMerge w:val="continue"/>
            <w:vAlign w:val="center"/>
          </w:tcPr>
          <w:p w14:paraId="4DFE92E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560F8FB">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（6）做好消防器材仓库管理，库管员对常用物资要随时盘点，对库存物资每季度进行一次盘点，检查库存的余缺、帐物是否相符；做好出入库管理。</w:t>
            </w:r>
          </w:p>
        </w:tc>
      </w:tr>
      <w:tr w14:paraId="069FB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3B52645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47</w:t>
            </w:r>
          </w:p>
        </w:tc>
        <w:tc>
          <w:tcPr>
            <w:tcW w:w="1368" w:type="dxa"/>
            <w:vMerge w:val="continue"/>
            <w:vAlign w:val="center"/>
          </w:tcPr>
          <w:p w14:paraId="44AA84F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6834E071">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（7）确保消防设施器材台账完整有效，数据准确，账、卡、物一致。</w:t>
            </w:r>
          </w:p>
        </w:tc>
      </w:tr>
      <w:tr w14:paraId="4A2E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2E2C627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48</w:t>
            </w:r>
          </w:p>
        </w:tc>
        <w:tc>
          <w:tcPr>
            <w:tcW w:w="1368" w:type="dxa"/>
            <w:vMerge w:val="restart"/>
            <w:vAlign w:val="center"/>
          </w:tcPr>
          <w:p w14:paraId="0E0F31E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安防系统日常巡视检查要求</w:t>
            </w:r>
          </w:p>
          <w:p w14:paraId="29FF7E7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58F63CDB">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（1）安防系统（含门禁、视频监控系统）日常巡视检查：建立安防系统日常巡视检查记录。</w:t>
            </w:r>
          </w:p>
        </w:tc>
      </w:tr>
      <w:tr w14:paraId="62812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5ECC300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49</w:t>
            </w:r>
          </w:p>
        </w:tc>
        <w:tc>
          <w:tcPr>
            <w:tcW w:w="1368" w:type="dxa"/>
            <w:vMerge w:val="continue"/>
            <w:vAlign w:val="center"/>
          </w:tcPr>
          <w:p w14:paraId="0239145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20A5122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（2）负责物业服务区域内门禁系统、视频监控系统的日常巡视检查，配合外委单位维护保养，确保设备运行正常。</w:t>
            </w:r>
          </w:p>
        </w:tc>
      </w:tr>
      <w:tr w14:paraId="7F0ED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3540624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50</w:t>
            </w:r>
          </w:p>
        </w:tc>
        <w:tc>
          <w:tcPr>
            <w:tcW w:w="1368" w:type="dxa"/>
            <w:vMerge w:val="continue"/>
            <w:vAlign w:val="center"/>
          </w:tcPr>
          <w:p w14:paraId="75E33D3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578D884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（3）门禁设备开闭灵活可靠，运行正常；视频监控设备运行正常，图像清晰，存储时限符合要求。如发现问题，及时上报外委单位处理。</w:t>
            </w:r>
          </w:p>
        </w:tc>
      </w:tr>
      <w:tr w14:paraId="3B95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1BEE62D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51</w:t>
            </w:r>
          </w:p>
        </w:tc>
        <w:tc>
          <w:tcPr>
            <w:tcW w:w="1368" w:type="dxa"/>
            <w:vMerge w:val="continue"/>
            <w:vAlign w:val="center"/>
          </w:tcPr>
          <w:p w14:paraId="3950B67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A0239C4">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（4）督促并监督外委单位建立安防设备及器具技术档案，做好保养维护记录，做到资料完整。</w:t>
            </w:r>
          </w:p>
        </w:tc>
      </w:tr>
      <w:tr w14:paraId="27812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034BA2B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52</w:t>
            </w:r>
          </w:p>
        </w:tc>
        <w:tc>
          <w:tcPr>
            <w:tcW w:w="1368" w:type="dxa"/>
            <w:vMerge w:val="continue"/>
            <w:vAlign w:val="center"/>
          </w:tcPr>
          <w:p w14:paraId="158A071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7E05D70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（5）配合外委单位做好安防系统维修工作。</w:t>
            </w:r>
          </w:p>
        </w:tc>
      </w:tr>
      <w:tr w14:paraId="01F3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6D61012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53</w:t>
            </w:r>
          </w:p>
        </w:tc>
        <w:tc>
          <w:tcPr>
            <w:tcW w:w="1368" w:type="dxa"/>
            <w:vMerge w:val="restart"/>
            <w:vAlign w:val="center"/>
          </w:tcPr>
          <w:p w14:paraId="74228E1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空调系统日常巡视检查要求</w:t>
            </w:r>
          </w:p>
        </w:tc>
        <w:tc>
          <w:tcPr>
            <w:tcW w:w="6411" w:type="dxa"/>
            <w:vAlign w:val="center"/>
          </w:tcPr>
          <w:p w14:paraId="19B68B13">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（1）建立空调维保档案，档案资料完整齐全。包括中央空调和分体空调。</w:t>
            </w:r>
          </w:p>
        </w:tc>
      </w:tr>
      <w:tr w14:paraId="644A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228C23F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54</w:t>
            </w:r>
          </w:p>
        </w:tc>
        <w:tc>
          <w:tcPr>
            <w:tcW w:w="1368" w:type="dxa"/>
            <w:vMerge w:val="continue"/>
            <w:vAlign w:val="center"/>
          </w:tcPr>
          <w:p w14:paraId="0CFD69E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6C06AC22">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（2）做好空调系统设备日常巡视工作，检查是否运行正常，是否有超标噪音、滴漏等现象。</w:t>
            </w:r>
          </w:p>
        </w:tc>
      </w:tr>
      <w:tr w14:paraId="1048C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47631F1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55</w:t>
            </w:r>
          </w:p>
        </w:tc>
        <w:tc>
          <w:tcPr>
            <w:tcW w:w="1368" w:type="dxa"/>
            <w:vMerge w:val="continue"/>
            <w:vAlign w:val="center"/>
          </w:tcPr>
          <w:p w14:paraId="47D5CEA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025F4941">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（3）空调发生故障按相关流程通知外委单位到达现场检查。</w:t>
            </w:r>
          </w:p>
        </w:tc>
      </w:tr>
      <w:tr w14:paraId="41CF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108EE90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56</w:t>
            </w:r>
          </w:p>
        </w:tc>
        <w:tc>
          <w:tcPr>
            <w:tcW w:w="1368" w:type="dxa"/>
            <w:vMerge w:val="continue"/>
            <w:vAlign w:val="center"/>
          </w:tcPr>
          <w:p w14:paraId="718769B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4A616EB4">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（4）中央空调配合外委单位做好检查养护工作。</w:t>
            </w:r>
          </w:p>
        </w:tc>
      </w:tr>
      <w:tr w14:paraId="2DD61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6B9DCF2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57</w:t>
            </w:r>
          </w:p>
        </w:tc>
        <w:tc>
          <w:tcPr>
            <w:tcW w:w="1368" w:type="dxa"/>
            <w:vMerge w:val="continue"/>
            <w:vAlign w:val="center"/>
          </w:tcPr>
          <w:p w14:paraId="596169C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1FEE1ACD">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（5）分体空调配合外委单位做好检查养护工作。</w:t>
            </w:r>
          </w:p>
        </w:tc>
      </w:tr>
      <w:tr w14:paraId="639B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6F01AD7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58</w:t>
            </w:r>
          </w:p>
        </w:tc>
        <w:tc>
          <w:tcPr>
            <w:tcW w:w="1368" w:type="dxa"/>
            <w:vMerge w:val="continue"/>
            <w:vAlign w:val="center"/>
          </w:tcPr>
          <w:p w14:paraId="6024097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3F7047BC">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（6）跟踪故障处理情况，反馈信息到采购方管理员，实现闭环管理。</w:t>
            </w:r>
          </w:p>
        </w:tc>
      </w:tr>
      <w:tr w14:paraId="47489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7531D23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59</w:t>
            </w:r>
          </w:p>
        </w:tc>
        <w:tc>
          <w:tcPr>
            <w:tcW w:w="1368" w:type="dxa"/>
            <w:vMerge w:val="restart"/>
            <w:vAlign w:val="center"/>
          </w:tcPr>
          <w:p w14:paraId="2A350225">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安全标识检查要求</w:t>
            </w:r>
          </w:p>
        </w:tc>
        <w:tc>
          <w:tcPr>
            <w:tcW w:w="6411" w:type="dxa"/>
            <w:vAlign w:val="center"/>
          </w:tcPr>
          <w:p w14:paraId="45D19F1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（1）对安全标识、划线进行检查，保证标识划线的可视性、适用性。</w:t>
            </w:r>
          </w:p>
        </w:tc>
      </w:tr>
      <w:tr w14:paraId="026AB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465DF15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60</w:t>
            </w:r>
          </w:p>
        </w:tc>
        <w:tc>
          <w:tcPr>
            <w:tcW w:w="1368" w:type="dxa"/>
            <w:vMerge w:val="continue"/>
            <w:vAlign w:val="center"/>
          </w:tcPr>
          <w:p w14:paraId="299F4D8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206D46C8">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（2）对损坏的、变化的、磨损的划线及时进行维护。</w:t>
            </w:r>
          </w:p>
        </w:tc>
      </w:tr>
      <w:tr w14:paraId="1BAC3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6635EF6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61</w:t>
            </w:r>
          </w:p>
        </w:tc>
        <w:tc>
          <w:tcPr>
            <w:tcW w:w="1368" w:type="dxa"/>
            <w:vMerge w:val="restart"/>
            <w:vAlign w:val="center"/>
          </w:tcPr>
          <w:p w14:paraId="25B9EE7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其他要求</w:t>
            </w:r>
          </w:p>
        </w:tc>
        <w:tc>
          <w:tcPr>
            <w:tcW w:w="6411" w:type="dxa"/>
            <w:vAlign w:val="center"/>
          </w:tcPr>
          <w:p w14:paraId="3FC2C1EC">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（1）物业服务人员应在接到建筑物及各类设备报修后及时响应，及时处理。一般性维修不过夜，特殊情况应与采购方沟通协商。</w:t>
            </w:r>
          </w:p>
        </w:tc>
      </w:tr>
      <w:tr w14:paraId="5BFF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30" w:type="dxa"/>
            <w:vAlign w:val="center"/>
          </w:tcPr>
          <w:p w14:paraId="5ED00B1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62</w:t>
            </w:r>
          </w:p>
        </w:tc>
        <w:tc>
          <w:tcPr>
            <w:tcW w:w="1368" w:type="dxa"/>
            <w:vMerge w:val="continue"/>
            <w:vAlign w:val="center"/>
          </w:tcPr>
          <w:p w14:paraId="22C43DF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6411" w:type="dxa"/>
            <w:vAlign w:val="center"/>
          </w:tcPr>
          <w:p w14:paraId="493DFCA3">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(2)完成采购方交办的临时任务。</w:t>
            </w:r>
          </w:p>
        </w:tc>
      </w:tr>
      <w:tr w14:paraId="6F0A5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1E63747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63</w:t>
            </w:r>
          </w:p>
        </w:tc>
        <w:tc>
          <w:tcPr>
            <w:tcW w:w="1368" w:type="dxa"/>
            <w:vMerge w:val="restart"/>
            <w:vAlign w:val="center"/>
          </w:tcPr>
          <w:p w14:paraId="499FDC1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环境卫生清洁服务要求</w:t>
            </w:r>
          </w:p>
        </w:tc>
        <w:tc>
          <w:tcPr>
            <w:tcW w:w="6411" w:type="dxa"/>
            <w:vAlign w:val="center"/>
          </w:tcPr>
          <w:p w14:paraId="0A36B51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（1）服务区域内除采购方要求不予进入的特殊场所外的所有区域的清洁卫生和垃圾的收集、清运、普通病虫害消杀。</w:t>
            </w:r>
          </w:p>
        </w:tc>
      </w:tr>
      <w:tr w14:paraId="76100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30" w:type="dxa"/>
            <w:vAlign w:val="center"/>
          </w:tcPr>
          <w:p w14:paraId="5469033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64</w:t>
            </w:r>
          </w:p>
        </w:tc>
        <w:tc>
          <w:tcPr>
            <w:tcW w:w="1368" w:type="dxa"/>
            <w:vMerge w:val="continue"/>
            <w:vAlign w:val="center"/>
          </w:tcPr>
          <w:p w14:paraId="3E89150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6D180ABC">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（2）负责定期对天花板、吊顶、墙面、墙角、灯具进行清扫、擦拭。</w:t>
            </w:r>
          </w:p>
        </w:tc>
      </w:tr>
      <w:tr w14:paraId="4549B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18C0131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65</w:t>
            </w:r>
          </w:p>
        </w:tc>
        <w:tc>
          <w:tcPr>
            <w:tcW w:w="1368" w:type="dxa"/>
            <w:vMerge w:val="continue"/>
            <w:vAlign w:val="center"/>
          </w:tcPr>
          <w:p w14:paraId="6165412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2F8A9CE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（3）负责对服务区域内的内外走廊和公共场所进行清扫，在工作时间内检查，目视范围内地面无烟头、污渍、积水、纸屑、果皮。</w:t>
            </w:r>
          </w:p>
        </w:tc>
      </w:tr>
      <w:tr w14:paraId="48B7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07AAB47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66</w:t>
            </w:r>
          </w:p>
        </w:tc>
        <w:tc>
          <w:tcPr>
            <w:tcW w:w="1368" w:type="dxa"/>
            <w:vMerge w:val="continue"/>
            <w:vAlign w:val="center"/>
          </w:tcPr>
          <w:p w14:paraId="7EC8C8E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27F75B97">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（4）负责每日清理服务区域内的室内垃圾，确保室内无因垃圾清理不及时散发的异味、臭味。</w:t>
            </w:r>
          </w:p>
        </w:tc>
      </w:tr>
      <w:tr w14:paraId="41AC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310A3AB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67</w:t>
            </w:r>
          </w:p>
        </w:tc>
        <w:tc>
          <w:tcPr>
            <w:tcW w:w="1368" w:type="dxa"/>
            <w:vMerge w:val="continue"/>
            <w:vAlign w:val="center"/>
          </w:tcPr>
          <w:p w14:paraId="072D6B4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1D0FD791">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（5）负责每日对服务区域内的公共卫生间进行清理，确保大、小便器及隔板洁净，无黄渍，无脏物。</w:t>
            </w:r>
          </w:p>
        </w:tc>
      </w:tr>
      <w:tr w14:paraId="37464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47C5223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68</w:t>
            </w:r>
          </w:p>
        </w:tc>
        <w:tc>
          <w:tcPr>
            <w:tcW w:w="1368" w:type="dxa"/>
            <w:vMerge w:val="continue"/>
            <w:vAlign w:val="center"/>
          </w:tcPr>
          <w:p w14:paraId="30BC6F0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34E439A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（6）负责定期对服务区域内的公共卫生间便器冲水阀、门、烘干器等进行检查，确保使用正常。</w:t>
            </w:r>
          </w:p>
        </w:tc>
      </w:tr>
      <w:tr w14:paraId="4D5EE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7F3AFE5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69</w:t>
            </w:r>
          </w:p>
        </w:tc>
        <w:tc>
          <w:tcPr>
            <w:tcW w:w="1368" w:type="dxa"/>
            <w:vMerge w:val="continue"/>
            <w:vAlign w:val="center"/>
          </w:tcPr>
          <w:p w14:paraId="415B806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1D660514">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（7）负责巡视检查卫生间内洗手液、抽纸是否配备齐全，如缺少，需及时补足。</w:t>
            </w:r>
          </w:p>
        </w:tc>
      </w:tr>
      <w:tr w14:paraId="3BEB1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07D96D0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70</w:t>
            </w:r>
          </w:p>
        </w:tc>
        <w:tc>
          <w:tcPr>
            <w:tcW w:w="1368" w:type="dxa"/>
            <w:vMerge w:val="continue"/>
            <w:vAlign w:val="center"/>
          </w:tcPr>
          <w:p w14:paraId="668913D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140752E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（8）负责对服务区域内的楼层走廊、楼梯扶手、台阶、楼层走道地面、墙面等进行清理，保持干净整洁。</w:t>
            </w:r>
          </w:p>
        </w:tc>
      </w:tr>
      <w:tr w14:paraId="7567A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30" w:type="dxa"/>
            <w:vAlign w:val="center"/>
          </w:tcPr>
          <w:p w14:paraId="22586E6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71</w:t>
            </w:r>
          </w:p>
        </w:tc>
        <w:tc>
          <w:tcPr>
            <w:tcW w:w="1368" w:type="dxa"/>
            <w:vMerge w:val="continue"/>
            <w:vAlign w:val="center"/>
          </w:tcPr>
          <w:p w14:paraId="287E280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1F9B9CD0">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（9）负责在霉雨天气关上各楼层走廊及楼梯的门窗。</w:t>
            </w:r>
          </w:p>
        </w:tc>
      </w:tr>
      <w:tr w14:paraId="7D3A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3C01D74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72</w:t>
            </w:r>
          </w:p>
        </w:tc>
        <w:tc>
          <w:tcPr>
            <w:tcW w:w="1368" w:type="dxa"/>
            <w:vMerge w:val="continue"/>
            <w:vAlign w:val="center"/>
          </w:tcPr>
          <w:p w14:paraId="41DDFAB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5E6FA0ED">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（10）负责对服务区域内室外的路面、绿地进行清扫，清除地面、绿地的果皮、纸屑、树叶和烟头等杂物。</w:t>
            </w:r>
          </w:p>
        </w:tc>
      </w:tr>
      <w:tr w14:paraId="0D440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41688FA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73</w:t>
            </w:r>
          </w:p>
        </w:tc>
        <w:tc>
          <w:tcPr>
            <w:tcW w:w="1368" w:type="dxa"/>
            <w:vMerge w:val="continue"/>
            <w:vAlign w:val="center"/>
          </w:tcPr>
          <w:p w14:paraId="0ADDEB5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523C38A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（11）负责对服务区域内的玻璃门窗、防火门、木门、防盗门、不锈钢门框等进行擦拭，保持干净整洁。</w:t>
            </w:r>
          </w:p>
        </w:tc>
      </w:tr>
      <w:tr w14:paraId="6014B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4825813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74</w:t>
            </w:r>
          </w:p>
        </w:tc>
        <w:tc>
          <w:tcPr>
            <w:tcW w:w="1368" w:type="dxa"/>
            <w:vMerge w:val="continue"/>
            <w:vAlign w:val="center"/>
          </w:tcPr>
          <w:p w14:paraId="4E5C96D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0E8A55F3">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（12）</w:t>
            </w:r>
            <w:r>
              <w:rPr>
                <w:rFonts w:hint="eastAsia" w:ascii="宋体" w:hAnsi="宋体" w:cs="宋体"/>
                <w:color w:val="auto"/>
                <w:sz w:val="20"/>
                <w:szCs w:val="20"/>
                <w:highlight w:val="none"/>
                <w:lang w:val="en-US" w:eastAsia="zh-CN"/>
              </w:rPr>
              <w:t>负责</w:t>
            </w:r>
            <w:r>
              <w:rPr>
                <w:rFonts w:hint="eastAsia" w:ascii="宋体" w:hAnsi="宋体" w:eastAsia="宋体" w:cs="宋体"/>
                <w:color w:val="auto"/>
                <w:sz w:val="20"/>
                <w:szCs w:val="20"/>
                <w:highlight w:val="none"/>
                <w:lang w:val="en-US" w:eastAsia="zh-CN"/>
              </w:rPr>
              <w:t>清扫整理大会议室</w:t>
            </w:r>
            <w:r>
              <w:rPr>
                <w:rFonts w:hint="eastAsia" w:ascii="宋体" w:hAnsi="宋体" w:cs="宋体"/>
                <w:color w:val="auto"/>
                <w:sz w:val="20"/>
                <w:szCs w:val="20"/>
                <w:highlight w:val="none"/>
                <w:lang w:val="en-US" w:eastAsia="zh-CN"/>
              </w:rPr>
              <w:t>、</w:t>
            </w:r>
            <w:r>
              <w:rPr>
                <w:rFonts w:hint="eastAsia" w:ascii="宋体" w:hAnsi="宋体" w:eastAsia="宋体" w:cs="宋体"/>
                <w:color w:val="auto"/>
                <w:sz w:val="20"/>
                <w:szCs w:val="20"/>
                <w:highlight w:val="none"/>
                <w:lang w:val="en-US" w:eastAsia="zh-CN"/>
              </w:rPr>
              <w:t>其他会议室，</w:t>
            </w:r>
            <w:r>
              <w:rPr>
                <w:rFonts w:hint="eastAsia" w:ascii="宋体" w:hAnsi="宋体" w:cs="宋体"/>
                <w:color w:val="auto"/>
                <w:sz w:val="20"/>
                <w:szCs w:val="20"/>
                <w:highlight w:val="none"/>
                <w:lang w:val="en-US" w:eastAsia="zh-CN"/>
              </w:rPr>
              <w:t>在会前、会后及时清扫</w:t>
            </w:r>
            <w:r>
              <w:rPr>
                <w:rFonts w:hint="eastAsia" w:ascii="宋体" w:hAnsi="宋体" w:eastAsia="宋体" w:cs="宋体"/>
                <w:color w:val="auto"/>
                <w:sz w:val="20"/>
                <w:szCs w:val="20"/>
                <w:highlight w:val="none"/>
                <w:lang w:val="en-US" w:eastAsia="zh-CN"/>
              </w:rPr>
              <w:t>。保持会议室地面、沙发干净整洁；桌椅、门窗、天花板、灯具等无蜘蛛网。</w:t>
            </w:r>
          </w:p>
        </w:tc>
      </w:tr>
      <w:tr w14:paraId="0ED1C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05361AF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75</w:t>
            </w:r>
          </w:p>
        </w:tc>
        <w:tc>
          <w:tcPr>
            <w:tcW w:w="1368" w:type="dxa"/>
            <w:vMerge w:val="continue"/>
            <w:vAlign w:val="center"/>
          </w:tcPr>
          <w:p w14:paraId="461A69E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2A6A9DC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（13）负责对服务区域内的各办公室进行常态化清洁。由于特殊原因需要临时保洁时，电话通知后</w:t>
            </w:r>
            <w:r>
              <w:rPr>
                <w:rFonts w:hint="eastAsia" w:ascii="宋体" w:hAnsi="宋体" w:cs="宋体"/>
                <w:color w:val="auto"/>
                <w:sz w:val="20"/>
                <w:szCs w:val="20"/>
                <w:highlight w:val="none"/>
                <w:lang w:val="en-US" w:eastAsia="zh-CN"/>
              </w:rPr>
              <w:t>1小时</w:t>
            </w:r>
            <w:r>
              <w:rPr>
                <w:rFonts w:hint="eastAsia" w:ascii="宋体" w:hAnsi="宋体" w:eastAsia="宋体" w:cs="宋体"/>
                <w:color w:val="auto"/>
                <w:sz w:val="20"/>
                <w:szCs w:val="20"/>
                <w:highlight w:val="none"/>
                <w:lang w:val="en-US" w:eastAsia="zh-CN"/>
              </w:rPr>
              <w:t>内处理。</w:t>
            </w:r>
          </w:p>
        </w:tc>
      </w:tr>
      <w:tr w14:paraId="4C7A2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2334839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76</w:t>
            </w:r>
          </w:p>
        </w:tc>
        <w:tc>
          <w:tcPr>
            <w:tcW w:w="1368" w:type="dxa"/>
            <w:vMerge w:val="continue"/>
            <w:vAlign w:val="center"/>
          </w:tcPr>
          <w:p w14:paraId="0D43A20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1776B7B8">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（14）</w:t>
            </w:r>
            <w:r>
              <w:rPr>
                <w:rFonts w:hint="eastAsia" w:ascii="宋体" w:hAnsi="宋体" w:cs="宋体"/>
                <w:color w:val="auto"/>
                <w:sz w:val="20"/>
                <w:szCs w:val="20"/>
                <w:highlight w:val="none"/>
                <w:lang w:val="en-US" w:eastAsia="zh-CN"/>
              </w:rPr>
              <w:t>如采购方要求，可</w:t>
            </w:r>
            <w:r>
              <w:rPr>
                <w:rFonts w:hint="eastAsia" w:ascii="宋体" w:hAnsi="宋体" w:eastAsia="宋体" w:cs="宋体"/>
                <w:color w:val="auto"/>
                <w:sz w:val="20"/>
                <w:szCs w:val="20"/>
                <w:highlight w:val="none"/>
                <w:lang w:val="en-US" w:eastAsia="zh-CN"/>
              </w:rPr>
              <w:t>定期对办公室内地毯吸尘，搞好室内地面、墙面、桌椅、柜子、灯具、电脑等办公设备及办公家具清洁，保持整洁、无污渍；墙角、天花板无蜘蛛网。</w:t>
            </w:r>
          </w:p>
        </w:tc>
      </w:tr>
      <w:tr w14:paraId="75DF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364A9F2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77</w:t>
            </w:r>
          </w:p>
        </w:tc>
        <w:tc>
          <w:tcPr>
            <w:tcW w:w="1368" w:type="dxa"/>
            <w:vMerge w:val="continue"/>
            <w:vAlign w:val="center"/>
          </w:tcPr>
          <w:p w14:paraId="5DBEF76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0B9DBB85">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（15）负责定期对服务区域内的办公区“灭四害”，降低办公区内蚊、蝇、鼠、蟑螂密度。</w:t>
            </w:r>
          </w:p>
        </w:tc>
      </w:tr>
      <w:tr w14:paraId="1FA7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 w:type="dxa"/>
            <w:vAlign w:val="center"/>
          </w:tcPr>
          <w:p w14:paraId="2505291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78</w:t>
            </w:r>
          </w:p>
        </w:tc>
        <w:tc>
          <w:tcPr>
            <w:tcW w:w="1368" w:type="dxa"/>
            <w:vMerge w:val="continue"/>
            <w:vAlign w:val="center"/>
          </w:tcPr>
          <w:p w14:paraId="017C734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6411" w:type="dxa"/>
            <w:vAlign w:val="center"/>
          </w:tcPr>
          <w:p w14:paraId="67CF5FE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（16）负责对服务区域内的办公区消防栓柜（箱）、指示牌、窗台、内墙面等进行擦拭，保持干净整洁。</w:t>
            </w:r>
          </w:p>
        </w:tc>
      </w:tr>
      <w:bookmarkEnd w:id="65"/>
    </w:tbl>
    <w:p w14:paraId="78EDACCD">
      <w:pPr>
        <w:bidi w:val="0"/>
        <w:rPr>
          <w:rFonts w:hint="eastAsia" w:ascii="宋体" w:hAnsi="宋体" w:eastAsia="宋体" w:cs="宋体"/>
          <w:b/>
          <w:bCs/>
          <w:highlight w:val="none"/>
          <w:lang w:val="en-US" w:eastAsia="zh-CN"/>
        </w:rPr>
      </w:pPr>
    </w:p>
    <w:p w14:paraId="0F2C7368">
      <w:pPr>
        <w:bidi w:val="0"/>
        <w:rPr>
          <w:rFonts w:hint="eastAsia" w:ascii="宋体" w:hAnsi="宋体" w:eastAsia="宋体" w:cs="宋体"/>
          <w:b/>
          <w:bCs/>
          <w:highlight w:val="none"/>
          <w:lang w:val="en-US" w:eastAsia="zh-CN"/>
        </w:rPr>
      </w:pPr>
    </w:p>
    <w:p w14:paraId="43BFAD56">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3.2绿化维护</w:t>
      </w:r>
      <w:r>
        <w:rPr>
          <w:rFonts w:hint="eastAsia" w:ascii="宋体" w:hAnsi="宋体" w:cs="宋体"/>
          <w:b/>
          <w:bCs/>
          <w:highlight w:val="none"/>
          <w:lang w:val="en-US" w:eastAsia="zh-CN"/>
        </w:rPr>
        <w:t>服务</w:t>
      </w:r>
      <w:r>
        <w:rPr>
          <w:rFonts w:hint="eastAsia" w:ascii="宋体" w:hAnsi="宋体" w:eastAsia="宋体" w:cs="宋体"/>
          <w:b/>
          <w:bCs/>
          <w:highlight w:val="none"/>
          <w:lang w:val="en-US" w:eastAsia="zh-CN"/>
        </w:rPr>
        <w:t xml:space="preserve">具体工作要求 </w:t>
      </w:r>
    </w:p>
    <w:tbl>
      <w:tblPr>
        <w:tblStyle w:val="15"/>
        <w:tblW w:w="83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62"/>
        <w:gridCol w:w="1352"/>
        <w:gridCol w:w="6317"/>
      </w:tblGrid>
      <w:tr w14:paraId="21F48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97AA6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13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10D0B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BDB2F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59BD9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F6C7CE">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135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614625">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办公区域室内绿化维护</w:t>
            </w: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9FB6C4">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（1）对办公区域（含办公楼、供电所、营业厅等）的室内盆栽等绿植进行保养、维护，保证绿植的良好长势和美观。</w:t>
            </w:r>
          </w:p>
        </w:tc>
      </w:tr>
      <w:tr w14:paraId="1F6A9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5"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62E817">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5477A3">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ED8D22">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（2）对管理范围内的植物进行摆放管理，要求高低整齐。</w:t>
            </w:r>
          </w:p>
        </w:tc>
      </w:tr>
      <w:tr w14:paraId="2200D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35"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875B61">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E2D73B">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F8C4B6">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（3）保证植物长势良好，无黄叶，无折断、残留枝叶等，保持范围内的植物美观。</w:t>
            </w:r>
          </w:p>
        </w:tc>
      </w:tr>
      <w:tr w14:paraId="55865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7"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13440C">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7BE270">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4F19E0">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（4）植物出现病虫害，及时处理。</w:t>
            </w:r>
          </w:p>
        </w:tc>
      </w:tr>
      <w:tr w14:paraId="0147E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8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5835DE">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60EAB3">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B96FB5">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（5）每周对室内盆栽等绿植至少检查、维护一次，并记录。保证植物长势良好，无枯死、无黄叶，无折断、无残留枝叶等。</w:t>
            </w:r>
          </w:p>
        </w:tc>
      </w:tr>
      <w:tr w14:paraId="1998A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BB3AF8">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135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7F7298">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办公、生产区域室外绿化维护</w:t>
            </w: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E95D91">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（1）对办公、生产区域室外绿化带内的植物进行日常性绿化养护。包括浇水、除草松土、施肥、除尘、整形修剪、清除杂物杂草、补植、移植、防治病虫害、防风防汛、防人为损坏等。</w:t>
            </w:r>
          </w:p>
        </w:tc>
      </w:tr>
      <w:tr w14:paraId="31777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5"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56912A">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C92463">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97FD99">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（2）对管理范围内的植物进行摆放管理，要求高低整齐。</w:t>
            </w:r>
          </w:p>
        </w:tc>
      </w:tr>
      <w:tr w14:paraId="48C74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9"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9850E0">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FCE774">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B17DE8">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（3）保证植物长势良好，无黄叶，无折断、残留枝叶等，保持范围内的植物美观；发现杂草及时清除，按时对草坪进行修剪。</w:t>
            </w:r>
          </w:p>
        </w:tc>
      </w:tr>
      <w:tr w14:paraId="778B7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4FFA81">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62EA79">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1EA17F">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（4）植物出现病虫害，及时处理。</w:t>
            </w:r>
          </w:p>
        </w:tc>
      </w:tr>
      <w:tr w14:paraId="1B2ED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DCBC8D">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8EF210">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57F8AC">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（5）变电站围墙范围内无杂草杂物，保证植物长势良好，无黄叶，无折断、残留枝叶等，保持范围内的植物美观。</w:t>
            </w:r>
          </w:p>
        </w:tc>
      </w:tr>
      <w:tr w14:paraId="2F587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5E1A9D">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6F4754">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CC49C9">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（6）浇水（草坪、灌木）：保持植物良好长势，不出现缺水枯萎大于30㎡现象。</w:t>
            </w:r>
          </w:p>
        </w:tc>
      </w:tr>
      <w:tr w14:paraId="25136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A7DC6A">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D159F4">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4A8143">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（7）施肥：平均</w:t>
            </w:r>
            <w:r>
              <w:rPr>
                <w:rFonts w:hint="eastAsia" w:ascii="宋体" w:hAnsi="宋体" w:cs="宋体"/>
                <w:color w:val="auto"/>
                <w:sz w:val="20"/>
                <w:szCs w:val="20"/>
                <w:highlight w:val="none"/>
                <w:lang w:val="en-US" w:eastAsia="zh-CN"/>
              </w:rPr>
              <w:t>1</w:t>
            </w:r>
            <w:r>
              <w:rPr>
                <w:rFonts w:hint="eastAsia" w:ascii="宋体" w:hAnsi="宋体" w:eastAsia="宋体" w:cs="宋体"/>
                <w:color w:val="auto"/>
                <w:sz w:val="20"/>
                <w:szCs w:val="20"/>
                <w:highlight w:val="none"/>
                <w:lang w:val="en-US" w:eastAsia="zh-CN"/>
              </w:rPr>
              <w:t>-</w:t>
            </w:r>
            <w:r>
              <w:rPr>
                <w:rFonts w:hint="eastAsia" w:ascii="宋体" w:hAnsi="宋体" w:cs="宋体"/>
                <w:color w:val="auto"/>
                <w:sz w:val="20"/>
                <w:szCs w:val="20"/>
                <w:highlight w:val="none"/>
                <w:lang w:val="en-US" w:eastAsia="zh-CN"/>
              </w:rPr>
              <w:t>2</w:t>
            </w:r>
            <w:r>
              <w:rPr>
                <w:rFonts w:hint="eastAsia" w:ascii="宋体" w:hAnsi="宋体" w:eastAsia="宋体" w:cs="宋体"/>
                <w:color w:val="auto"/>
                <w:sz w:val="20"/>
                <w:szCs w:val="20"/>
                <w:highlight w:val="none"/>
                <w:lang w:val="en-US" w:eastAsia="zh-CN"/>
              </w:rPr>
              <w:t>次/年施肥一次，施肥均匀、充足、适度，保证绿化植物强壮、枝叶茂盛。</w:t>
            </w:r>
          </w:p>
        </w:tc>
      </w:tr>
      <w:tr w14:paraId="29FCC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9"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1FD6AF">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1A5E44">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EF4DCD">
            <w:pPr>
              <w:keepNext w:val="0"/>
              <w:keepLines w:val="0"/>
              <w:pageBreakBefore w:val="0"/>
              <w:widowControl w:val="0"/>
              <w:numPr>
                <w:ilvl w:val="0"/>
                <w:numId w:val="3"/>
              </w:numPr>
              <w:kinsoku/>
              <w:wordWrap/>
              <w:overflowPunct/>
              <w:topLinePunct w:val="0"/>
              <w:autoSpaceDE/>
              <w:autoSpaceDN/>
              <w:bidi w:val="0"/>
              <w:adjustRightInd/>
              <w:snapToGrid/>
              <w:spacing w:beforeLines="0" w:afterLines="0"/>
              <w:ind w:left="240" w:hanging="200" w:hangingChars="10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修剪整形：总体修剪整齐、养护到位。</w:t>
            </w:r>
          </w:p>
          <w:p w14:paraId="29989911">
            <w:pPr>
              <w:keepNext w:val="0"/>
              <w:keepLines w:val="0"/>
              <w:pageBreakBefore w:val="0"/>
              <w:widowControl w:val="0"/>
              <w:numPr>
                <w:ilvl w:val="0"/>
                <w:numId w:val="0"/>
              </w:numPr>
              <w:kinsoku/>
              <w:wordWrap/>
              <w:overflowPunct/>
              <w:topLinePunct w:val="0"/>
              <w:autoSpaceDE/>
              <w:autoSpaceDN/>
              <w:bidi w:val="0"/>
              <w:adjustRightInd/>
              <w:snapToGrid/>
              <w:spacing w:beforeLines="0" w:afterLines="0"/>
              <w:ind w:firstLine="200" w:firstLineChars="10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草坪：保持草坪的高度一致，整齐美观，无疯长现象，成片面积</w:t>
            </w:r>
            <w:r>
              <w:rPr>
                <w:rFonts w:hint="eastAsia" w:ascii="宋体" w:hAnsi="宋体" w:cs="宋体"/>
                <w:color w:val="auto"/>
                <w:sz w:val="20"/>
                <w:szCs w:val="20"/>
                <w:highlight w:val="none"/>
                <w:lang w:val="en-US" w:eastAsia="zh-CN"/>
              </w:rPr>
              <w:t>3</w:t>
            </w:r>
            <w:r>
              <w:rPr>
                <w:rFonts w:hint="eastAsia" w:ascii="宋体" w:hAnsi="宋体" w:eastAsia="宋体" w:cs="宋体"/>
                <w:color w:val="auto"/>
                <w:sz w:val="20"/>
                <w:szCs w:val="20"/>
                <w:highlight w:val="none"/>
                <w:lang w:val="en-US" w:eastAsia="zh-CN"/>
              </w:rPr>
              <w:t>0㎡及以上且高于1</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lang w:val="en-US" w:eastAsia="zh-CN"/>
              </w:rPr>
              <w:t>厘米为不合格，不遮挡巡视道路安全警示线；</w:t>
            </w:r>
          </w:p>
          <w:p w14:paraId="2BA9BB0E">
            <w:pPr>
              <w:keepNext w:val="0"/>
              <w:keepLines w:val="0"/>
              <w:pageBreakBefore w:val="0"/>
              <w:widowControl w:val="0"/>
              <w:numPr>
                <w:ilvl w:val="0"/>
                <w:numId w:val="0"/>
              </w:numPr>
              <w:kinsoku/>
              <w:wordWrap/>
              <w:overflowPunct/>
              <w:topLinePunct w:val="0"/>
              <w:autoSpaceDE/>
              <w:autoSpaceDN/>
              <w:bidi w:val="0"/>
              <w:adjustRightInd/>
              <w:snapToGrid/>
              <w:spacing w:beforeLines="0" w:afterLines="0"/>
              <w:ind w:firstLine="200" w:firstLineChars="10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灌木：每年至少修剪4次；</w:t>
            </w:r>
          </w:p>
          <w:p w14:paraId="4ABDF4A9">
            <w:pPr>
              <w:keepNext w:val="0"/>
              <w:keepLines w:val="0"/>
              <w:pageBreakBefore w:val="0"/>
              <w:widowControl w:val="0"/>
              <w:numPr>
                <w:ilvl w:val="0"/>
                <w:numId w:val="0"/>
              </w:numPr>
              <w:kinsoku/>
              <w:wordWrap/>
              <w:overflowPunct/>
              <w:topLinePunct w:val="0"/>
              <w:autoSpaceDE/>
              <w:autoSpaceDN/>
              <w:bidi w:val="0"/>
              <w:adjustRightInd/>
              <w:snapToGrid/>
              <w:spacing w:beforeLines="0" w:afterLines="0"/>
              <w:ind w:firstLine="200" w:firstLineChars="10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乔木：每年至少修剪1次、</w:t>
            </w:r>
            <w:r>
              <w:rPr>
                <w:rFonts w:hint="eastAsia" w:ascii="宋体" w:hAnsi="宋体" w:cs="宋体"/>
                <w:color w:val="auto"/>
                <w:sz w:val="20"/>
                <w:szCs w:val="20"/>
                <w:highlight w:val="none"/>
                <w:lang w:val="en-US" w:eastAsia="zh-CN"/>
              </w:rPr>
              <w:t>如采购方要求可每年</w:t>
            </w:r>
            <w:r>
              <w:rPr>
                <w:rFonts w:hint="eastAsia" w:ascii="宋体" w:hAnsi="宋体" w:eastAsia="宋体" w:cs="宋体"/>
                <w:color w:val="auto"/>
                <w:sz w:val="20"/>
                <w:szCs w:val="20"/>
                <w:highlight w:val="none"/>
                <w:lang w:val="en-US" w:eastAsia="zh-CN"/>
              </w:rPr>
              <w:t>涂石灰1次；</w:t>
            </w:r>
          </w:p>
          <w:p w14:paraId="2E78601F">
            <w:pPr>
              <w:keepNext w:val="0"/>
              <w:keepLines w:val="0"/>
              <w:pageBreakBefore w:val="0"/>
              <w:widowControl w:val="0"/>
              <w:numPr>
                <w:ilvl w:val="0"/>
                <w:numId w:val="0"/>
              </w:numPr>
              <w:kinsoku/>
              <w:wordWrap/>
              <w:overflowPunct/>
              <w:topLinePunct w:val="0"/>
              <w:autoSpaceDE/>
              <w:autoSpaceDN/>
              <w:bidi w:val="0"/>
              <w:adjustRightInd/>
              <w:snapToGrid/>
              <w:spacing w:beforeLines="0" w:afterLines="0"/>
              <w:ind w:firstLine="200" w:firstLineChars="10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树桩：每年至少修剪1次；</w:t>
            </w:r>
          </w:p>
        </w:tc>
      </w:tr>
      <w:tr w14:paraId="25CE0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2"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2A5AAD">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1352" w:type="dxa"/>
            <w:vMerge w:val="continue"/>
            <w:tcBorders>
              <w:top w:val="single" w:color="000000" w:sz="4" w:space="0"/>
              <w:left w:val="single" w:color="000000" w:sz="4" w:space="0"/>
              <w:right w:val="single" w:color="000000" w:sz="4" w:space="0"/>
            </w:tcBorders>
            <w:noWrap w:val="0"/>
            <w:tcMar>
              <w:top w:w="15" w:type="dxa"/>
              <w:left w:w="15" w:type="dxa"/>
              <w:right w:w="15" w:type="dxa"/>
            </w:tcMar>
            <w:vAlign w:val="center"/>
          </w:tcPr>
          <w:p w14:paraId="649A45F3">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1CF0FF">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（9）防治病虫害：防治病株、虫害，不能成片、成灾。</w:t>
            </w:r>
          </w:p>
        </w:tc>
      </w:tr>
      <w:tr w14:paraId="34079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74D5DB">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1352"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5FB60A7">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C18AB3">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（10）除杂草、松土：</w:t>
            </w:r>
            <w:r>
              <w:rPr>
                <w:rFonts w:hint="eastAsia" w:ascii="宋体" w:hAnsi="宋体" w:cs="宋体"/>
                <w:color w:val="auto"/>
                <w:sz w:val="20"/>
                <w:szCs w:val="20"/>
                <w:highlight w:val="none"/>
                <w:lang w:val="en-US" w:eastAsia="zh-CN"/>
              </w:rPr>
              <w:t>花圃、</w:t>
            </w:r>
            <w:r>
              <w:rPr>
                <w:rFonts w:hint="eastAsia" w:ascii="宋体" w:hAnsi="宋体" w:eastAsia="宋体" w:cs="宋体"/>
                <w:color w:val="auto"/>
                <w:sz w:val="20"/>
                <w:szCs w:val="20"/>
                <w:highlight w:val="none"/>
                <w:lang w:val="en-US" w:eastAsia="zh-CN"/>
              </w:rPr>
              <w:t>草坪</w:t>
            </w:r>
            <w:r>
              <w:rPr>
                <w:rFonts w:hint="eastAsia" w:ascii="宋体" w:hAnsi="宋体" w:cs="宋体"/>
                <w:color w:val="auto"/>
                <w:sz w:val="20"/>
                <w:szCs w:val="20"/>
                <w:highlight w:val="none"/>
                <w:lang w:val="en-US" w:eastAsia="zh-CN"/>
              </w:rPr>
              <w:t>及时清除</w:t>
            </w:r>
            <w:r>
              <w:rPr>
                <w:rFonts w:hint="eastAsia" w:ascii="宋体" w:hAnsi="宋体" w:eastAsia="宋体" w:cs="宋体"/>
                <w:color w:val="auto"/>
                <w:sz w:val="20"/>
                <w:szCs w:val="20"/>
                <w:highlight w:val="none"/>
                <w:lang w:val="en-US" w:eastAsia="zh-CN"/>
              </w:rPr>
              <w:t>杂草、</w:t>
            </w:r>
            <w:r>
              <w:rPr>
                <w:rFonts w:hint="eastAsia" w:ascii="宋体" w:hAnsi="宋体" w:cs="宋体"/>
                <w:color w:val="auto"/>
                <w:sz w:val="20"/>
                <w:szCs w:val="20"/>
                <w:highlight w:val="none"/>
                <w:lang w:val="en-US" w:eastAsia="zh-CN"/>
              </w:rPr>
              <w:t>每年至少</w:t>
            </w:r>
            <w:r>
              <w:rPr>
                <w:rFonts w:hint="eastAsia" w:ascii="宋体" w:hAnsi="宋体" w:eastAsia="宋体" w:cs="宋体"/>
                <w:color w:val="auto"/>
                <w:sz w:val="20"/>
                <w:szCs w:val="20"/>
                <w:highlight w:val="none"/>
                <w:lang w:val="en-US" w:eastAsia="zh-CN"/>
              </w:rPr>
              <w:t>松土1次，杂草成片面积</w:t>
            </w:r>
            <w:r>
              <w:rPr>
                <w:rFonts w:hint="eastAsia" w:ascii="宋体" w:hAnsi="宋体" w:cs="宋体"/>
                <w:color w:val="auto"/>
                <w:sz w:val="20"/>
                <w:szCs w:val="20"/>
                <w:highlight w:val="none"/>
                <w:lang w:val="en-US" w:eastAsia="zh-CN"/>
              </w:rPr>
              <w:t>3</w:t>
            </w:r>
            <w:r>
              <w:rPr>
                <w:rFonts w:hint="eastAsia" w:ascii="宋体" w:hAnsi="宋体" w:eastAsia="宋体" w:cs="宋体"/>
                <w:color w:val="auto"/>
                <w:sz w:val="20"/>
                <w:szCs w:val="20"/>
                <w:highlight w:val="none"/>
                <w:lang w:val="en-US" w:eastAsia="zh-CN"/>
              </w:rPr>
              <w:t>0㎡及以上为不合格，花丛下无杂草，树盘内无明显杂草（经运行部门检查合格的情况下，可以无需每月开展此项工作）</w:t>
            </w:r>
          </w:p>
        </w:tc>
      </w:tr>
      <w:tr w14:paraId="0D8C2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622E34">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16</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FB2D29">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0868FD">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（11）补植、移植：对枯死的植物、草坪及时补种，确保无裸露。根据</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要求对需要移植或砍伐的植物进行移植或砍伐</w:t>
            </w:r>
            <w:r>
              <w:rPr>
                <w:rFonts w:hint="eastAsia" w:ascii="宋体" w:hAnsi="宋体" w:cs="宋体"/>
                <w:color w:val="auto"/>
                <w:sz w:val="20"/>
                <w:szCs w:val="20"/>
                <w:highlight w:val="none"/>
                <w:lang w:val="en-US" w:eastAsia="zh-CN"/>
              </w:rPr>
              <w:t>。</w:t>
            </w:r>
          </w:p>
        </w:tc>
      </w:tr>
      <w:tr w14:paraId="317BD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D42A80">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17</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BCD54D">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07B3F0">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（12）清理绿化垃圾：对修剪或砍伐的树枝和杂草，当天清运，不准就地焚烧</w:t>
            </w:r>
            <w:r>
              <w:rPr>
                <w:rFonts w:hint="eastAsia" w:ascii="宋体" w:hAnsi="宋体" w:cs="宋体"/>
                <w:color w:val="auto"/>
                <w:sz w:val="20"/>
                <w:szCs w:val="20"/>
                <w:highlight w:val="none"/>
                <w:lang w:val="en-US" w:eastAsia="zh-CN"/>
              </w:rPr>
              <w:t>。</w:t>
            </w:r>
          </w:p>
        </w:tc>
      </w:tr>
      <w:tr w14:paraId="25C52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9145FE">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18</w:t>
            </w:r>
          </w:p>
        </w:tc>
        <w:tc>
          <w:tcPr>
            <w:tcW w:w="1352" w:type="dxa"/>
            <w:vMerge w:val="continue"/>
            <w:tcBorders>
              <w:top w:val="single" w:color="000000" w:sz="4" w:space="0"/>
              <w:left w:val="single" w:color="000000" w:sz="4" w:space="0"/>
              <w:right w:val="single" w:color="000000" w:sz="4" w:space="0"/>
            </w:tcBorders>
            <w:noWrap w:val="0"/>
            <w:tcMar>
              <w:top w:w="15" w:type="dxa"/>
              <w:left w:w="15" w:type="dxa"/>
              <w:right w:w="15" w:type="dxa"/>
            </w:tcMar>
            <w:vAlign w:val="center"/>
          </w:tcPr>
          <w:p w14:paraId="5F39C967">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B870BD">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（13）防风防汛：灾前积极预防，对树木加固，灾后及时清除倒树断枝、疏通道路，清理扶植</w:t>
            </w:r>
          </w:p>
        </w:tc>
      </w:tr>
      <w:tr w14:paraId="6C29F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0"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FEDB97">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19</w:t>
            </w:r>
          </w:p>
        </w:tc>
        <w:tc>
          <w:tcPr>
            <w:tcW w:w="1352"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5B9A95E8">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9668C2">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（14）保护措施：保护现有绿化完整，防止人为损坏，出现人为损坏时要及时修复</w:t>
            </w:r>
            <w:r>
              <w:rPr>
                <w:rFonts w:hint="eastAsia" w:ascii="宋体" w:hAnsi="宋体" w:cs="宋体"/>
                <w:color w:val="auto"/>
                <w:sz w:val="20"/>
                <w:szCs w:val="20"/>
                <w:highlight w:val="none"/>
                <w:lang w:val="en-US" w:eastAsia="zh-CN"/>
              </w:rPr>
              <w:t>。</w:t>
            </w:r>
          </w:p>
        </w:tc>
      </w:tr>
      <w:tr w14:paraId="2F32A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51"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3C9739">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20</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93F91A">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650EBD">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（15）养护档案：配置专职绿化管理人员，做好日常养护、检查和记录，建立绿化养护技术档案。</w:t>
            </w:r>
          </w:p>
        </w:tc>
      </w:tr>
      <w:tr w14:paraId="2CEA8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6" w:hRule="atLeast"/>
        </w:trPr>
        <w:tc>
          <w:tcPr>
            <w:tcW w:w="6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C29D17">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21</w:t>
            </w:r>
          </w:p>
        </w:tc>
        <w:tc>
          <w:tcPr>
            <w:tcW w:w="135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D6A64E">
            <w:pPr>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631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1E7CCB">
            <w:pPr>
              <w:keepNext w:val="0"/>
              <w:keepLines w:val="0"/>
              <w:pageBreakBefore w:val="0"/>
              <w:widowControl w:val="0"/>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（16）文明作业：工作人员统一穿工作服，佩戴工作牌；做到工作后清理现场、文明作业。</w:t>
            </w:r>
          </w:p>
        </w:tc>
      </w:tr>
    </w:tbl>
    <w:p w14:paraId="699156EA">
      <w:pPr>
        <w:bidi w:val="0"/>
        <w:rPr>
          <w:rFonts w:hint="eastAsia" w:ascii="宋体" w:hAnsi="宋体" w:eastAsia="宋体" w:cs="宋体"/>
          <w:b/>
          <w:bCs/>
          <w:highlight w:val="none"/>
          <w:lang w:val="en-US" w:eastAsia="zh-CN"/>
        </w:rPr>
      </w:pPr>
    </w:p>
    <w:p w14:paraId="77D79335">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3.3生产序维护</w:t>
      </w:r>
      <w:r>
        <w:rPr>
          <w:rFonts w:hint="eastAsia" w:ascii="宋体" w:hAnsi="宋体" w:cs="宋体"/>
          <w:b/>
          <w:bCs/>
          <w:highlight w:val="none"/>
          <w:lang w:val="en-US" w:eastAsia="zh-CN"/>
        </w:rPr>
        <w:t>服务</w:t>
      </w:r>
      <w:r>
        <w:rPr>
          <w:rFonts w:hint="eastAsia" w:ascii="宋体" w:hAnsi="宋体" w:eastAsia="宋体" w:cs="宋体"/>
          <w:b/>
          <w:bCs/>
          <w:highlight w:val="none"/>
          <w:lang w:val="en-US" w:eastAsia="zh-CN"/>
        </w:rPr>
        <w:t>具体工作要求</w:t>
      </w:r>
    </w:p>
    <w:tbl>
      <w:tblPr>
        <w:tblStyle w:val="16"/>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712"/>
        <w:gridCol w:w="5974"/>
      </w:tblGrid>
      <w:tr w14:paraId="091EA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blHeader/>
        </w:trPr>
        <w:tc>
          <w:tcPr>
            <w:tcW w:w="723" w:type="dxa"/>
            <w:vAlign w:val="center"/>
          </w:tcPr>
          <w:p w14:paraId="74E79EA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1712" w:type="dxa"/>
            <w:vAlign w:val="center"/>
          </w:tcPr>
          <w:p w14:paraId="359C56D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5974" w:type="dxa"/>
            <w:vAlign w:val="center"/>
          </w:tcPr>
          <w:p w14:paraId="54D8A63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0342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23" w:type="dxa"/>
            <w:vAlign w:val="center"/>
          </w:tcPr>
          <w:p w14:paraId="4BB3141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w:t>
            </w:r>
          </w:p>
        </w:tc>
        <w:tc>
          <w:tcPr>
            <w:tcW w:w="1712" w:type="dxa"/>
            <w:vAlign w:val="center"/>
          </w:tcPr>
          <w:p w14:paraId="12AF92A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值班岗设置</w:t>
            </w:r>
          </w:p>
        </w:tc>
        <w:tc>
          <w:tcPr>
            <w:tcW w:w="5974" w:type="dxa"/>
            <w:vAlign w:val="center"/>
          </w:tcPr>
          <w:p w14:paraId="7A96157F">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根据采购方要求，在</w:t>
            </w:r>
            <w:r>
              <w:rPr>
                <w:rFonts w:hint="eastAsia" w:ascii="宋体" w:hAnsi="宋体" w:eastAsia="宋体" w:cs="宋体"/>
                <w:color w:val="auto"/>
                <w:sz w:val="20"/>
                <w:szCs w:val="20"/>
                <w:highlight w:val="none"/>
              </w:rPr>
              <w:t>物业进出口</w:t>
            </w:r>
            <w:r>
              <w:rPr>
                <w:rFonts w:hint="eastAsia" w:ascii="宋体" w:hAnsi="宋体" w:eastAsia="宋体" w:cs="宋体"/>
                <w:color w:val="auto"/>
                <w:sz w:val="20"/>
                <w:szCs w:val="20"/>
                <w:highlight w:val="none"/>
                <w:lang w:val="en-US" w:eastAsia="zh-CN"/>
              </w:rPr>
              <w:t>等关键位置设置</w:t>
            </w:r>
            <w:r>
              <w:rPr>
                <w:rFonts w:hint="eastAsia" w:ascii="宋体" w:hAnsi="宋体" w:eastAsia="宋体" w:cs="宋体"/>
                <w:b w:val="0"/>
                <w:bCs/>
                <w:color w:val="auto"/>
                <w:sz w:val="20"/>
                <w:szCs w:val="20"/>
                <w:highlight w:val="none"/>
              </w:rPr>
              <w:t>值班岗</w:t>
            </w:r>
            <w:r>
              <w:rPr>
                <w:rFonts w:hint="eastAsia" w:ascii="宋体" w:hAnsi="宋体" w:eastAsia="宋体" w:cs="宋体"/>
                <w:color w:val="auto"/>
                <w:sz w:val="20"/>
                <w:szCs w:val="20"/>
                <w:highlight w:val="none"/>
              </w:rPr>
              <w:t>。</w:t>
            </w:r>
          </w:p>
        </w:tc>
      </w:tr>
      <w:tr w14:paraId="7223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1E27F9B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w:t>
            </w:r>
          </w:p>
        </w:tc>
        <w:tc>
          <w:tcPr>
            <w:tcW w:w="1712" w:type="dxa"/>
            <w:vAlign w:val="center"/>
          </w:tcPr>
          <w:p w14:paraId="695C3E1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来访登记</w:t>
            </w:r>
          </w:p>
        </w:tc>
        <w:tc>
          <w:tcPr>
            <w:tcW w:w="5974" w:type="dxa"/>
            <w:vAlign w:val="center"/>
          </w:tcPr>
          <w:p w14:paraId="592DC5A3">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对每个来访人员做好登记工作</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协助做好</w:t>
            </w:r>
            <w:r>
              <w:rPr>
                <w:rFonts w:hint="eastAsia" w:ascii="宋体" w:hAnsi="宋体" w:eastAsia="宋体" w:cs="宋体"/>
                <w:color w:val="auto"/>
                <w:sz w:val="20"/>
                <w:szCs w:val="20"/>
                <w:highlight w:val="none"/>
              </w:rPr>
              <w:t>人员、车辆、物品出入控制流程，管辖区域受控，秩序良好。</w:t>
            </w:r>
          </w:p>
        </w:tc>
      </w:tr>
      <w:tr w14:paraId="5F302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23" w:type="dxa"/>
            <w:vAlign w:val="center"/>
          </w:tcPr>
          <w:p w14:paraId="5252B5B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w:t>
            </w:r>
          </w:p>
        </w:tc>
        <w:tc>
          <w:tcPr>
            <w:tcW w:w="1712" w:type="dxa"/>
            <w:vAlign w:val="center"/>
          </w:tcPr>
          <w:p w14:paraId="1A6DF42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color w:val="auto"/>
                <w:kern w:val="0"/>
                <w:sz w:val="20"/>
                <w:szCs w:val="20"/>
                <w:highlight w:val="none"/>
                <w:u w:val="none"/>
                <w:lang w:val="en-US" w:eastAsia="zh-CN" w:bidi="ar"/>
              </w:rPr>
              <w:t>物品出门查验要求</w:t>
            </w:r>
          </w:p>
        </w:tc>
        <w:tc>
          <w:tcPr>
            <w:tcW w:w="5974" w:type="dxa"/>
            <w:vAlign w:val="center"/>
          </w:tcPr>
          <w:p w14:paraId="02C21C48">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left"/>
              <w:textAlignment w:val="auto"/>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highlight w:val="none"/>
                <w:u w:val="none"/>
                <w:lang w:val="en-US" w:eastAsia="zh-CN" w:bidi="ar"/>
              </w:rPr>
              <w:t>物品出门查验时，应按采购方提供的物资清单对出门物资进行查验核对，并按要求执行采购方物品出门查验制度。</w:t>
            </w:r>
          </w:p>
        </w:tc>
      </w:tr>
      <w:tr w14:paraId="772F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20E05EB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w:t>
            </w:r>
          </w:p>
        </w:tc>
        <w:tc>
          <w:tcPr>
            <w:tcW w:w="1712" w:type="dxa"/>
            <w:vAlign w:val="center"/>
          </w:tcPr>
          <w:p w14:paraId="7A316E6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车辆停放要求</w:t>
            </w:r>
          </w:p>
        </w:tc>
        <w:tc>
          <w:tcPr>
            <w:tcW w:w="5974" w:type="dxa"/>
            <w:vAlign w:val="center"/>
          </w:tcPr>
          <w:p w14:paraId="759D7F06">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i w:val="0"/>
                <w:color w:val="auto"/>
                <w:kern w:val="0"/>
                <w:sz w:val="20"/>
                <w:szCs w:val="20"/>
                <w:highlight w:val="none"/>
                <w:u w:val="none"/>
                <w:lang w:val="en-US" w:eastAsia="zh-CN" w:bidi="ar"/>
              </w:rPr>
              <w:t>维持车辆秩序，指挥、疏导车辆。</w:t>
            </w:r>
            <w:r>
              <w:rPr>
                <w:rFonts w:hint="eastAsia" w:ascii="宋体" w:hAnsi="宋体" w:eastAsia="宋体" w:cs="宋体"/>
                <w:color w:val="auto"/>
                <w:sz w:val="20"/>
                <w:szCs w:val="20"/>
                <w:highlight w:val="none"/>
              </w:rPr>
              <w:t>引导车辆有序通行、安排好车辆在指定位置停放</w:t>
            </w:r>
            <w:r>
              <w:rPr>
                <w:rFonts w:hint="eastAsia" w:ascii="宋体" w:hAnsi="宋体" w:eastAsia="宋体" w:cs="宋体"/>
                <w:color w:val="auto"/>
                <w:sz w:val="20"/>
                <w:szCs w:val="20"/>
                <w:highlight w:val="none"/>
                <w:lang w:eastAsia="zh-CN"/>
              </w:rPr>
              <w:t>。</w:t>
            </w:r>
          </w:p>
        </w:tc>
      </w:tr>
      <w:tr w14:paraId="221E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23" w:type="dxa"/>
            <w:vAlign w:val="center"/>
          </w:tcPr>
          <w:p w14:paraId="7817E1B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w:t>
            </w:r>
          </w:p>
        </w:tc>
        <w:tc>
          <w:tcPr>
            <w:tcW w:w="1712" w:type="dxa"/>
            <w:vAlign w:val="center"/>
          </w:tcPr>
          <w:p w14:paraId="0DB60D0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值班台账</w:t>
            </w:r>
            <w:r>
              <w:rPr>
                <w:rFonts w:hint="eastAsia" w:ascii="宋体" w:hAnsi="宋体" w:eastAsia="宋体" w:cs="宋体"/>
                <w:color w:val="auto"/>
                <w:sz w:val="20"/>
                <w:szCs w:val="20"/>
                <w:highlight w:val="none"/>
                <w:lang w:val="en-US" w:eastAsia="zh-CN"/>
              </w:rPr>
              <w:t>要求</w:t>
            </w:r>
          </w:p>
        </w:tc>
        <w:tc>
          <w:tcPr>
            <w:tcW w:w="5974" w:type="dxa"/>
            <w:vAlign w:val="center"/>
          </w:tcPr>
          <w:p w14:paraId="70787DB1">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值班台账完整，填写规范，填写的内容与实际相符。</w:t>
            </w:r>
          </w:p>
        </w:tc>
      </w:tr>
      <w:tr w14:paraId="0068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23" w:type="dxa"/>
            <w:vAlign w:val="center"/>
          </w:tcPr>
          <w:p w14:paraId="5DB2D00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6</w:t>
            </w:r>
          </w:p>
        </w:tc>
        <w:tc>
          <w:tcPr>
            <w:tcW w:w="1712" w:type="dxa"/>
            <w:vAlign w:val="center"/>
          </w:tcPr>
          <w:p w14:paraId="2A2EF59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交接班</w:t>
            </w:r>
            <w:r>
              <w:rPr>
                <w:rFonts w:hint="eastAsia" w:ascii="宋体" w:hAnsi="宋体" w:eastAsia="宋体" w:cs="宋体"/>
                <w:color w:val="auto"/>
                <w:sz w:val="20"/>
                <w:szCs w:val="20"/>
                <w:highlight w:val="none"/>
                <w:lang w:val="en-US" w:eastAsia="zh-CN"/>
              </w:rPr>
              <w:t>要求</w:t>
            </w:r>
          </w:p>
        </w:tc>
        <w:tc>
          <w:tcPr>
            <w:tcW w:w="5974" w:type="dxa"/>
            <w:vAlign w:val="center"/>
          </w:tcPr>
          <w:p w14:paraId="53A07105">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应建立</w:t>
            </w:r>
            <w:r>
              <w:rPr>
                <w:rFonts w:hint="eastAsia" w:ascii="宋体" w:hAnsi="宋体" w:eastAsia="宋体" w:cs="宋体"/>
                <w:color w:val="auto"/>
                <w:sz w:val="20"/>
                <w:szCs w:val="20"/>
                <w:highlight w:val="none"/>
              </w:rPr>
              <w:t>交接班</w:t>
            </w:r>
            <w:r>
              <w:rPr>
                <w:rFonts w:hint="eastAsia" w:ascii="宋体" w:hAnsi="宋体" w:eastAsia="宋体" w:cs="宋体"/>
                <w:color w:val="auto"/>
                <w:sz w:val="20"/>
                <w:szCs w:val="20"/>
                <w:highlight w:val="none"/>
                <w:lang w:val="en-US" w:eastAsia="zh-CN"/>
              </w:rPr>
              <w:t>制度</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有详细完整的交接班记录。</w:t>
            </w:r>
          </w:p>
        </w:tc>
      </w:tr>
      <w:tr w14:paraId="18D5F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563746E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7</w:t>
            </w:r>
          </w:p>
        </w:tc>
        <w:tc>
          <w:tcPr>
            <w:tcW w:w="1712" w:type="dxa"/>
            <w:vAlign w:val="center"/>
          </w:tcPr>
          <w:p w14:paraId="31F5CDC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无关人员要求</w:t>
            </w:r>
          </w:p>
        </w:tc>
        <w:tc>
          <w:tcPr>
            <w:tcW w:w="5974" w:type="dxa"/>
            <w:vAlign w:val="center"/>
          </w:tcPr>
          <w:p w14:paraId="79988D2D">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禁止无关人员(产品推销及收购废品等闲杂人员)进入。</w:t>
            </w:r>
          </w:p>
        </w:tc>
      </w:tr>
      <w:tr w14:paraId="72011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0BC0D5F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8</w:t>
            </w:r>
          </w:p>
        </w:tc>
        <w:tc>
          <w:tcPr>
            <w:tcW w:w="1712" w:type="dxa"/>
            <w:vAlign w:val="center"/>
          </w:tcPr>
          <w:p w14:paraId="31D5626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对上访人员的安置</w:t>
            </w:r>
          </w:p>
        </w:tc>
        <w:tc>
          <w:tcPr>
            <w:tcW w:w="5974" w:type="dxa"/>
            <w:vAlign w:val="center"/>
          </w:tcPr>
          <w:p w14:paraId="35829FD6">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协助相关部门处理上访人员的投诉</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并根据</w:t>
            </w:r>
            <w:r>
              <w:rPr>
                <w:rFonts w:hint="eastAsia" w:ascii="宋体" w:hAnsi="宋体" w:eastAsia="宋体" w:cs="宋体"/>
                <w:color w:val="auto"/>
                <w:sz w:val="20"/>
                <w:szCs w:val="20"/>
                <w:highlight w:val="none"/>
              </w:rPr>
              <w:t>相关部门</w:t>
            </w:r>
            <w:r>
              <w:rPr>
                <w:rFonts w:hint="eastAsia" w:ascii="宋体" w:hAnsi="宋体" w:eastAsia="宋体" w:cs="宋体"/>
                <w:color w:val="auto"/>
                <w:sz w:val="20"/>
                <w:szCs w:val="20"/>
                <w:highlight w:val="none"/>
                <w:lang w:val="en-US" w:eastAsia="zh-CN"/>
              </w:rPr>
              <w:t>的要求安置好上访人员，避免堵塞交通要道</w:t>
            </w:r>
            <w:r>
              <w:rPr>
                <w:rFonts w:hint="eastAsia" w:ascii="宋体" w:hAnsi="宋体" w:eastAsia="宋体" w:cs="宋体"/>
                <w:color w:val="auto"/>
                <w:sz w:val="20"/>
                <w:szCs w:val="20"/>
                <w:highlight w:val="none"/>
              </w:rPr>
              <w:t>。</w:t>
            </w:r>
          </w:p>
        </w:tc>
      </w:tr>
      <w:tr w14:paraId="488B5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23" w:type="dxa"/>
            <w:vAlign w:val="center"/>
          </w:tcPr>
          <w:p w14:paraId="19F7ED8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9</w:t>
            </w:r>
          </w:p>
        </w:tc>
        <w:tc>
          <w:tcPr>
            <w:tcW w:w="1712" w:type="dxa"/>
            <w:vAlign w:val="center"/>
          </w:tcPr>
          <w:p w14:paraId="0AEF860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秩序</w:t>
            </w:r>
            <w:r>
              <w:rPr>
                <w:rFonts w:hint="eastAsia" w:ascii="宋体" w:hAnsi="宋体" w:eastAsia="宋体" w:cs="宋体"/>
                <w:color w:val="auto"/>
                <w:sz w:val="20"/>
                <w:szCs w:val="20"/>
                <w:highlight w:val="none"/>
                <w:lang w:val="en-US" w:eastAsia="zh-CN"/>
              </w:rPr>
              <w:t>要求</w:t>
            </w:r>
          </w:p>
        </w:tc>
        <w:tc>
          <w:tcPr>
            <w:tcW w:w="5974" w:type="dxa"/>
            <w:vAlign w:val="center"/>
          </w:tcPr>
          <w:p w14:paraId="07AF9FE6">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保证生产办公场所及周边秩序井然。</w:t>
            </w:r>
          </w:p>
        </w:tc>
      </w:tr>
      <w:tr w14:paraId="65FD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23" w:type="dxa"/>
            <w:vAlign w:val="center"/>
          </w:tcPr>
          <w:p w14:paraId="4783036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10</w:t>
            </w:r>
          </w:p>
        </w:tc>
        <w:tc>
          <w:tcPr>
            <w:tcW w:w="1712" w:type="dxa"/>
            <w:vAlign w:val="center"/>
          </w:tcPr>
          <w:p w14:paraId="030C4305">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环境</w:t>
            </w:r>
            <w:r>
              <w:rPr>
                <w:rFonts w:hint="eastAsia" w:ascii="宋体" w:hAnsi="宋体" w:eastAsia="宋体" w:cs="宋体"/>
                <w:color w:val="auto"/>
                <w:sz w:val="20"/>
                <w:szCs w:val="20"/>
                <w:highlight w:val="none"/>
                <w:lang w:val="en-US" w:eastAsia="zh-CN"/>
              </w:rPr>
              <w:t>要求</w:t>
            </w:r>
          </w:p>
        </w:tc>
        <w:tc>
          <w:tcPr>
            <w:tcW w:w="5974" w:type="dxa"/>
            <w:vAlign w:val="center"/>
          </w:tcPr>
          <w:p w14:paraId="382AF0A6">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保持值班室、大门口环境整洁、有序</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道路畅通。</w:t>
            </w:r>
          </w:p>
        </w:tc>
      </w:tr>
      <w:tr w14:paraId="1C22C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54970A1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11</w:t>
            </w:r>
          </w:p>
        </w:tc>
        <w:tc>
          <w:tcPr>
            <w:tcW w:w="1712" w:type="dxa"/>
            <w:vAlign w:val="center"/>
          </w:tcPr>
          <w:p w14:paraId="10FEFDC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夜间</w:t>
            </w:r>
            <w:r>
              <w:rPr>
                <w:rFonts w:hint="eastAsia" w:ascii="宋体" w:hAnsi="宋体" w:eastAsia="宋体" w:cs="宋体"/>
                <w:color w:val="auto"/>
                <w:sz w:val="20"/>
                <w:szCs w:val="20"/>
                <w:highlight w:val="none"/>
                <w:lang w:val="en-US" w:eastAsia="zh-CN"/>
              </w:rPr>
              <w:t>要求</w:t>
            </w:r>
          </w:p>
        </w:tc>
        <w:tc>
          <w:tcPr>
            <w:tcW w:w="5974" w:type="dxa"/>
            <w:vAlign w:val="center"/>
          </w:tcPr>
          <w:p w14:paraId="66806228">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夜间：工作人员下班后关闭大门，对办公室门窗及楼道窗户关闭情况进行必要的安全检查。</w:t>
            </w:r>
          </w:p>
        </w:tc>
      </w:tr>
      <w:tr w14:paraId="7A9E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45E6570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12</w:t>
            </w:r>
          </w:p>
        </w:tc>
        <w:tc>
          <w:tcPr>
            <w:tcW w:w="1712" w:type="dxa"/>
            <w:vAlign w:val="center"/>
          </w:tcPr>
          <w:p w14:paraId="5F16BB7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保供电</w:t>
            </w:r>
            <w:r>
              <w:rPr>
                <w:rFonts w:hint="eastAsia" w:ascii="宋体" w:hAnsi="宋体" w:eastAsia="宋体" w:cs="宋体"/>
                <w:color w:val="auto"/>
                <w:sz w:val="20"/>
                <w:szCs w:val="20"/>
                <w:highlight w:val="none"/>
                <w:lang w:val="en-US" w:eastAsia="zh-CN"/>
              </w:rPr>
              <w:t>期间要求</w:t>
            </w:r>
          </w:p>
        </w:tc>
        <w:tc>
          <w:tcPr>
            <w:tcW w:w="5974" w:type="dxa"/>
            <w:vAlign w:val="center"/>
          </w:tcPr>
          <w:p w14:paraId="24B087E7">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在重大保供电期间，按</w:t>
            </w:r>
            <w:r>
              <w:rPr>
                <w:rFonts w:hint="eastAsia" w:ascii="宋体" w:hAnsi="宋体" w:eastAsia="宋体" w:cs="宋体"/>
                <w:color w:val="auto"/>
                <w:sz w:val="20"/>
                <w:szCs w:val="20"/>
                <w:highlight w:val="none"/>
                <w:lang w:val="en-US" w:eastAsia="zh-CN"/>
              </w:rPr>
              <w:t>采购</w:t>
            </w:r>
            <w:r>
              <w:rPr>
                <w:rFonts w:hint="eastAsia" w:ascii="宋体" w:hAnsi="宋体" w:eastAsia="宋体" w:cs="宋体"/>
                <w:color w:val="auto"/>
                <w:sz w:val="20"/>
                <w:szCs w:val="20"/>
                <w:highlight w:val="none"/>
              </w:rPr>
              <w:t>方要求加强重点场所安保力量。</w:t>
            </w:r>
          </w:p>
        </w:tc>
      </w:tr>
      <w:tr w14:paraId="229A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3FBCF25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13</w:t>
            </w:r>
          </w:p>
        </w:tc>
        <w:tc>
          <w:tcPr>
            <w:tcW w:w="1712" w:type="dxa"/>
            <w:vAlign w:val="center"/>
          </w:tcPr>
          <w:p w14:paraId="6D0AF90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巡逻</w:t>
            </w:r>
            <w:r>
              <w:rPr>
                <w:rFonts w:hint="eastAsia" w:ascii="宋体" w:hAnsi="宋体" w:eastAsia="宋体" w:cs="宋体"/>
                <w:color w:val="auto"/>
                <w:sz w:val="20"/>
                <w:szCs w:val="20"/>
                <w:highlight w:val="none"/>
                <w:lang w:val="en-US" w:eastAsia="zh-CN"/>
              </w:rPr>
              <w:t>问题上报要求</w:t>
            </w:r>
          </w:p>
        </w:tc>
        <w:tc>
          <w:tcPr>
            <w:tcW w:w="5974" w:type="dxa"/>
            <w:vAlign w:val="center"/>
          </w:tcPr>
          <w:p w14:paraId="53D9B206">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安保人员按规定时间巡逻，巡逻时能发现本岗点出现的明显问题。发现问题时能够逐级上报，跟踪处理。</w:t>
            </w:r>
          </w:p>
        </w:tc>
      </w:tr>
      <w:tr w14:paraId="37F15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23" w:type="dxa"/>
            <w:vAlign w:val="center"/>
          </w:tcPr>
          <w:p w14:paraId="7CD5710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14</w:t>
            </w:r>
          </w:p>
        </w:tc>
        <w:tc>
          <w:tcPr>
            <w:tcW w:w="1712" w:type="dxa"/>
            <w:vAlign w:val="center"/>
          </w:tcPr>
          <w:p w14:paraId="2C4B7C0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文明执勤</w:t>
            </w:r>
          </w:p>
        </w:tc>
        <w:tc>
          <w:tcPr>
            <w:tcW w:w="5974" w:type="dxa"/>
            <w:vAlign w:val="center"/>
          </w:tcPr>
          <w:p w14:paraId="5ECB2A8D">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上班时间文明执勤、遵纪守法。</w:t>
            </w:r>
          </w:p>
        </w:tc>
      </w:tr>
      <w:tr w14:paraId="7EB5A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08D29CE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15</w:t>
            </w:r>
          </w:p>
        </w:tc>
        <w:tc>
          <w:tcPr>
            <w:tcW w:w="1712" w:type="dxa"/>
            <w:vAlign w:val="center"/>
          </w:tcPr>
          <w:p w14:paraId="5657475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治安事件责任要求</w:t>
            </w:r>
          </w:p>
        </w:tc>
        <w:tc>
          <w:tcPr>
            <w:tcW w:w="5974" w:type="dxa"/>
            <w:vAlign w:val="center"/>
          </w:tcPr>
          <w:p w14:paraId="159FE1A6">
            <w:pPr>
              <w:keepNext w:val="0"/>
              <w:keepLines w:val="0"/>
              <w:pageBreakBefore w:val="0"/>
              <w:widowControl w:val="0"/>
              <w:tabs>
                <w:tab w:val="left" w:pos="754"/>
              </w:tabs>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不发生责任内治安事件和刑事案件。</w:t>
            </w:r>
          </w:p>
        </w:tc>
      </w:tr>
      <w:tr w14:paraId="38EF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08056F2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16</w:t>
            </w:r>
          </w:p>
        </w:tc>
        <w:tc>
          <w:tcPr>
            <w:tcW w:w="1712" w:type="dxa"/>
            <w:vAlign w:val="center"/>
          </w:tcPr>
          <w:p w14:paraId="772A808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事件上报要求</w:t>
            </w:r>
          </w:p>
        </w:tc>
        <w:tc>
          <w:tcPr>
            <w:tcW w:w="5974" w:type="dxa"/>
            <w:vAlign w:val="center"/>
          </w:tcPr>
          <w:p w14:paraId="7BFF2809">
            <w:pPr>
              <w:keepNext w:val="0"/>
              <w:keepLines w:val="0"/>
              <w:pageBreakBefore w:val="0"/>
              <w:widowControl w:val="0"/>
              <w:tabs>
                <w:tab w:val="left" w:pos="754"/>
              </w:tabs>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对</w:t>
            </w:r>
            <w:r>
              <w:rPr>
                <w:rFonts w:hint="eastAsia" w:ascii="宋体" w:hAnsi="宋体" w:eastAsia="宋体" w:cs="宋体"/>
                <w:color w:val="auto"/>
                <w:sz w:val="20"/>
                <w:szCs w:val="20"/>
                <w:highlight w:val="none"/>
              </w:rPr>
              <w:t>发生</w:t>
            </w:r>
            <w:r>
              <w:rPr>
                <w:rFonts w:hint="eastAsia" w:ascii="宋体" w:hAnsi="宋体" w:eastAsia="宋体" w:cs="宋体"/>
                <w:color w:val="auto"/>
                <w:sz w:val="20"/>
                <w:szCs w:val="20"/>
                <w:highlight w:val="none"/>
                <w:lang w:val="en-US" w:eastAsia="zh-CN"/>
              </w:rPr>
              <w:t>的</w:t>
            </w:r>
            <w:r>
              <w:rPr>
                <w:rFonts w:hint="eastAsia" w:ascii="宋体" w:hAnsi="宋体" w:eastAsia="宋体" w:cs="宋体"/>
                <w:color w:val="auto"/>
                <w:sz w:val="20"/>
                <w:szCs w:val="20"/>
                <w:highlight w:val="none"/>
              </w:rPr>
              <w:t>打架、斗殴、打砸抢事件</w:t>
            </w:r>
            <w:r>
              <w:rPr>
                <w:rFonts w:hint="eastAsia" w:ascii="宋体" w:hAnsi="宋体" w:eastAsia="宋体" w:cs="宋体"/>
                <w:color w:val="auto"/>
                <w:sz w:val="20"/>
                <w:szCs w:val="20"/>
                <w:highlight w:val="none"/>
                <w:lang w:val="en-US" w:eastAsia="zh-CN"/>
              </w:rPr>
              <w:t>应</w:t>
            </w:r>
            <w:r>
              <w:rPr>
                <w:rFonts w:hint="eastAsia" w:ascii="宋体" w:hAnsi="宋体" w:eastAsia="宋体" w:cs="宋体"/>
                <w:color w:val="auto"/>
                <w:sz w:val="20"/>
                <w:szCs w:val="20"/>
                <w:highlight w:val="none"/>
              </w:rPr>
              <w:t>及时制止和报告。</w:t>
            </w:r>
          </w:p>
        </w:tc>
      </w:tr>
      <w:tr w14:paraId="495F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7510660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17</w:t>
            </w:r>
          </w:p>
        </w:tc>
        <w:tc>
          <w:tcPr>
            <w:tcW w:w="1712" w:type="dxa"/>
            <w:vAlign w:val="center"/>
          </w:tcPr>
          <w:p w14:paraId="6EE8272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应急处置要求</w:t>
            </w:r>
          </w:p>
        </w:tc>
        <w:tc>
          <w:tcPr>
            <w:tcW w:w="5974" w:type="dxa"/>
            <w:vAlign w:val="center"/>
          </w:tcPr>
          <w:p w14:paraId="366DEDF7">
            <w:pPr>
              <w:keepNext w:val="0"/>
              <w:keepLines w:val="0"/>
              <w:pageBreakBefore w:val="0"/>
              <w:widowControl w:val="0"/>
              <w:tabs>
                <w:tab w:val="left" w:pos="754"/>
              </w:tabs>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安保</w:t>
            </w:r>
            <w:r>
              <w:rPr>
                <w:rFonts w:hint="eastAsia" w:ascii="宋体" w:hAnsi="宋体" w:eastAsia="宋体" w:cs="宋体"/>
                <w:color w:val="auto"/>
                <w:sz w:val="20"/>
                <w:szCs w:val="20"/>
                <w:highlight w:val="none"/>
              </w:rPr>
              <w:t>人员</w:t>
            </w:r>
            <w:r>
              <w:rPr>
                <w:rFonts w:hint="eastAsia" w:ascii="宋体" w:hAnsi="宋体" w:eastAsia="宋体" w:cs="宋体"/>
                <w:color w:val="auto"/>
                <w:sz w:val="20"/>
                <w:szCs w:val="20"/>
                <w:highlight w:val="none"/>
                <w:lang w:val="en-US" w:eastAsia="zh-CN"/>
              </w:rPr>
              <w:t>应经过相关的安保</w:t>
            </w:r>
            <w:r>
              <w:rPr>
                <w:rFonts w:hint="eastAsia" w:ascii="宋体" w:hAnsi="宋体" w:eastAsia="宋体" w:cs="宋体"/>
                <w:color w:val="auto"/>
                <w:sz w:val="20"/>
                <w:szCs w:val="20"/>
                <w:highlight w:val="none"/>
              </w:rPr>
              <w:t>应急处置知识</w:t>
            </w:r>
            <w:r>
              <w:rPr>
                <w:rFonts w:hint="eastAsia" w:ascii="宋体" w:hAnsi="宋体" w:eastAsia="宋体" w:cs="宋体"/>
                <w:color w:val="auto"/>
                <w:sz w:val="20"/>
                <w:szCs w:val="20"/>
                <w:highlight w:val="none"/>
                <w:lang w:val="en-US" w:eastAsia="zh-CN"/>
              </w:rPr>
              <w:t>的培训；</w:t>
            </w:r>
            <w:r>
              <w:rPr>
                <w:rFonts w:hint="eastAsia" w:ascii="宋体" w:hAnsi="宋体" w:eastAsia="宋体" w:cs="宋体"/>
                <w:color w:val="auto"/>
                <w:sz w:val="20"/>
                <w:szCs w:val="20"/>
                <w:highlight w:val="none"/>
              </w:rPr>
              <w:t>发生应急事故事件时处置得当</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并及时</w:t>
            </w:r>
            <w:r>
              <w:rPr>
                <w:rFonts w:hint="eastAsia" w:ascii="宋体" w:hAnsi="宋体" w:eastAsia="宋体" w:cs="宋体"/>
                <w:color w:val="auto"/>
                <w:sz w:val="20"/>
                <w:szCs w:val="20"/>
                <w:highlight w:val="none"/>
              </w:rPr>
              <w:t>逐级上报，跟踪处理。</w:t>
            </w:r>
          </w:p>
        </w:tc>
      </w:tr>
      <w:tr w14:paraId="7C82F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330E3D8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18</w:t>
            </w:r>
          </w:p>
        </w:tc>
        <w:tc>
          <w:tcPr>
            <w:tcW w:w="1712" w:type="dxa"/>
            <w:vAlign w:val="center"/>
          </w:tcPr>
          <w:p w14:paraId="59AABFC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防护器材</w:t>
            </w:r>
            <w:r>
              <w:rPr>
                <w:rFonts w:hint="eastAsia" w:ascii="宋体" w:hAnsi="宋体" w:eastAsia="宋体" w:cs="宋体"/>
                <w:color w:val="auto"/>
                <w:sz w:val="20"/>
                <w:szCs w:val="20"/>
                <w:highlight w:val="none"/>
                <w:lang w:val="en-US" w:eastAsia="zh-CN"/>
              </w:rPr>
              <w:t>使用要求</w:t>
            </w:r>
          </w:p>
        </w:tc>
        <w:tc>
          <w:tcPr>
            <w:tcW w:w="5974" w:type="dxa"/>
            <w:vAlign w:val="center"/>
          </w:tcPr>
          <w:p w14:paraId="4D74B935">
            <w:pPr>
              <w:keepNext w:val="0"/>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i w:val="0"/>
                <w:color w:val="auto"/>
                <w:kern w:val="0"/>
                <w:sz w:val="20"/>
                <w:szCs w:val="20"/>
                <w:highlight w:val="none"/>
                <w:u w:val="none"/>
                <w:lang w:val="en-US" w:eastAsia="zh-CN" w:bidi="ar"/>
              </w:rPr>
              <w:t>按照要求检查</w:t>
            </w:r>
            <w:r>
              <w:rPr>
                <w:rFonts w:hint="eastAsia" w:ascii="宋体" w:hAnsi="宋体" w:eastAsia="宋体" w:cs="宋体"/>
                <w:color w:val="auto"/>
                <w:sz w:val="20"/>
                <w:szCs w:val="20"/>
                <w:highlight w:val="none"/>
              </w:rPr>
              <w:t>防护器材功能正常</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防护器材</w:t>
            </w:r>
            <w:r>
              <w:rPr>
                <w:rFonts w:hint="eastAsia" w:ascii="宋体" w:hAnsi="宋体" w:eastAsia="宋体" w:cs="宋体"/>
                <w:color w:val="auto"/>
                <w:sz w:val="20"/>
                <w:szCs w:val="20"/>
                <w:highlight w:val="none"/>
                <w:lang w:val="en-US" w:eastAsia="zh-CN"/>
              </w:rPr>
              <w:t>及相关的</w:t>
            </w:r>
            <w:r>
              <w:rPr>
                <w:rFonts w:hint="eastAsia" w:ascii="宋体" w:hAnsi="宋体" w:eastAsia="宋体" w:cs="宋体"/>
                <w:color w:val="auto"/>
                <w:sz w:val="20"/>
                <w:szCs w:val="20"/>
                <w:highlight w:val="none"/>
              </w:rPr>
              <w:t>值班物品管理得当，帐卡物相符</w:t>
            </w:r>
            <w:r>
              <w:rPr>
                <w:rFonts w:hint="eastAsia" w:ascii="宋体" w:hAnsi="宋体" w:eastAsia="宋体" w:cs="宋体"/>
                <w:color w:val="auto"/>
                <w:sz w:val="20"/>
                <w:szCs w:val="20"/>
                <w:highlight w:val="none"/>
                <w:lang w:val="en-US" w:eastAsia="zh-CN"/>
              </w:rPr>
              <w:t>；熟练掌握和培训相关</w:t>
            </w:r>
            <w:r>
              <w:rPr>
                <w:rFonts w:hint="eastAsia" w:ascii="宋体" w:hAnsi="宋体" w:eastAsia="宋体" w:cs="宋体"/>
                <w:color w:val="auto"/>
                <w:sz w:val="20"/>
                <w:szCs w:val="20"/>
                <w:highlight w:val="none"/>
              </w:rPr>
              <w:t>防护器材</w:t>
            </w:r>
            <w:r>
              <w:rPr>
                <w:rFonts w:hint="eastAsia" w:ascii="宋体" w:hAnsi="宋体" w:eastAsia="宋体" w:cs="宋体"/>
                <w:color w:val="auto"/>
                <w:sz w:val="20"/>
                <w:szCs w:val="20"/>
                <w:highlight w:val="none"/>
                <w:lang w:val="en-US" w:eastAsia="zh-CN"/>
              </w:rPr>
              <w:t>的使用</w:t>
            </w:r>
            <w:r>
              <w:rPr>
                <w:rFonts w:hint="eastAsia" w:ascii="宋体" w:hAnsi="宋体" w:eastAsia="宋体" w:cs="宋体"/>
                <w:color w:val="auto"/>
                <w:sz w:val="20"/>
                <w:szCs w:val="20"/>
                <w:highlight w:val="none"/>
              </w:rPr>
              <w:t>。</w:t>
            </w:r>
          </w:p>
        </w:tc>
      </w:tr>
    </w:tbl>
    <w:p w14:paraId="3E84B3F8">
      <w:pPr>
        <w:keepNext/>
        <w:keepLines w:val="0"/>
        <w:pageBreakBefore w:val="0"/>
        <w:widowControl w:val="0"/>
        <w:kinsoku/>
        <w:wordWrap/>
        <w:overflowPunct/>
        <w:topLinePunct w:val="0"/>
        <w:autoSpaceDE/>
        <w:autoSpaceDN/>
        <w:bidi w:val="0"/>
        <w:adjustRightInd/>
        <w:snapToGrid/>
        <w:spacing w:line="560" w:lineRule="exact"/>
        <w:contextualSpacing/>
        <w:jc w:val="both"/>
        <w:textAlignment w:val="auto"/>
        <w:outlineLvl w:val="9"/>
        <w:rPr>
          <w:rFonts w:hint="eastAsia" w:ascii="宋体" w:hAnsi="宋体" w:eastAsia="宋体" w:cs="宋体"/>
          <w:b/>
          <w:bCs w:val="0"/>
          <w:color w:val="auto"/>
          <w:sz w:val="20"/>
          <w:szCs w:val="20"/>
          <w:highlight w:val="none"/>
          <w:lang w:val="en-US" w:eastAsia="zh-CN"/>
        </w:rPr>
      </w:pPr>
    </w:p>
    <w:p w14:paraId="4EB8105E">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3.4</w:t>
      </w:r>
      <w:r>
        <w:rPr>
          <w:rFonts w:hint="eastAsia" w:ascii="宋体" w:hAnsi="宋体" w:cs="宋体"/>
          <w:b/>
          <w:bCs/>
          <w:highlight w:val="none"/>
          <w:lang w:val="en-US" w:eastAsia="zh-CN"/>
        </w:rPr>
        <w:t>行政后勤服务</w:t>
      </w:r>
      <w:r>
        <w:rPr>
          <w:rFonts w:hint="eastAsia" w:ascii="宋体" w:hAnsi="宋体" w:eastAsia="宋体" w:cs="宋体"/>
          <w:b/>
          <w:bCs/>
          <w:highlight w:val="none"/>
          <w:lang w:val="en-US" w:eastAsia="zh-CN"/>
        </w:rPr>
        <w:t>工作要求</w:t>
      </w:r>
    </w:p>
    <w:tbl>
      <w:tblPr>
        <w:tblStyle w:val="15"/>
        <w:tblW w:w="8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4"/>
        <w:gridCol w:w="1364"/>
        <w:gridCol w:w="6180"/>
      </w:tblGrid>
      <w:tr w14:paraId="20D63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blHeader/>
        </w:trPr>
        <w:tc>
          <w:tcPr>
            <w:tcW w:w="80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81BEC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1364" w:type="dxa"/>
            <w:tcBorders>
              <w:top w:val="single" w:color="000000" w:sz="8" w:space="0"/>
              <w:left w:val="nil"/>
              <w:bottom w:val="single" w:color="000000" w:sz="8" w:space="0"/>
              <w:right w:val="single" w:color="000000" w:sz="8" w:space="0"/>
            </w:tcBorders>
            <w:shd w:val="clear" w:color="auto" w:fill="auto"/>
            <w:vAlign w:val="center"/>
          </w:tcPr>
          <w:p w14:paraId="20685A1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工作内容</w:t>
            </w:r>
          </w:p>
        </w:tc>
        <w:tc>
          <w:tcPr>
            <w:tcW w:w="6180" w:type="dxa"/>
            <w:tcBorders>
              <w:top w:val="single" w:color="000000" w:sz="8" w:space="0"/>
              <w:left w:val="nil"/>
              <w:bottom w:val="single" w:color="000000" w:sz="8" w:space="0"/>
              <w:right w:val="single" w:color="000000" w:sz="8" w:space="0"/>
            </w:tcBorders>
            <w:shd w:val="clear" w:color="auto" w:fill="auto"/>
            <w:vAlign w:val="center"/>
          </w:tcPr>
          <w:p w14:paraId="2FDBFAA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具体要求</w:t>
            </w:r>
          </w:p>
        </w:tc>
      </w:tr>
      <w:tr w14:paraId="1E600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30A7E9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364" w:type="dxa"/>
            <w:vMerge w:val="restart"/>
            <w:tcBorders>
              <w:top w:val="nil"/>
              <w:left w:val="nil"/>
              <w:bottom w:val="single" w:color="000000" w:sz="8" w:space="0"/>
              <w:right w:val="single" w:color="000000" w:sz="8" w:space="0"/>
            </w:tcBorders>
            <w:shd w:val="clear" w:color="auto" w:fill="auto"/>
            <w:vAlign w:val="center"/>
          </w:tcPr>
          <w:p w14:paraId="30AF01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人员服务要求</w:t>
            </w:r>
          </w:p>
        </w:tc>
        <w:tc>
          <w:tcPr>
            <w:tcW w:w="6180" w:type="dxa"/>
            <w:tcBorders>
              <w:top w:val="nil"/>
              <w:left w:val="nil"/>
              <w:bottom w:val="single" w:color="000000" w:sz="8" w:space="0"/>
              <w:right w:val="single" w:color="000000" w:sz="8" w:space="0"/>
            </w:tcBorders>
            <w:shd w:val="clear" w:color="auto" w:fill="auto"/>
            <w:vAlign w:val="center"/>
          </w:tcPr>
          <w:p w14:paraId="3436D4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（1）形象好，服务规范、到位、主动热情、亲和周到，统一着装上岗。</w:t>
            </w:r>
          </w:p>
        </w:tc>
      </w:tr>
      <w:tr w14:paraId="0E309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2F6BB6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364" w:type="dxa"/>
            <w:vMerge w:val="continue"/>
            <w:tcBorders>
              <w:top w:val="nil"/>
              <w:left w:val="nil"/>
              <w:bottom w:val="single" w:color="000000" w:sz="8" w:space="0"/>
              <w:right w:val="single" w:color="000000" w:sz="8" w:space="0"/>
            </w:tcBorders>
            <w:shd w:val="clear" w:color="auto" w:fill="auto"/>
            <w:vAlign w:val="center"/>
          </w:tcPr>
          <w:p w14:paraId="7BFCECB2">
            <w:pPr>
              <w:jc w:val="center"/>
              <w:rPr>
                <w:rFonts w:hint="eastAsia" w:ascii="宋体" w:hAnsi="宋体" w:eastAsia="宋体" w:cs="宋体"/>
                <w:i w:val="0"/>
                <w:iCs w:val="0"/>
                <w:color w:val="auto"/>
                <w:sz w:val="20"/>
                <w:szCs w:val="20"/>
                <w:highlight w:val="none"/>
                <w:u w:val="none"/>
              </w:rPr>
            </w:pPr>
          </w:p>
        </w:tc>
        <w:tc>
          <w:tcPr>
            <w:tcW w:w="6180" w:type="dxa"/>
            <w:tcBorders>
              <w:top w:val="nil"/>
              <w:left w:val="nil"/>
              <w:bottom w:val="single" w:color="000000" w:sz="8" w:space="0"/>
              <w:right w:val="single" w:color="000000" w:sz="8" w:space="0"/>
            </w:tcBorders>
            <w:shd w:val="clear" w:color="auto" w:fill="auto"/>
            <w:vAlign w:val="center"/>
          </w:tcPr>
          <w:p w14:paraId="6890E6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（2）熟悉使用会议室的设备，并能够解决基本简单的设备问题。</w:t>
            </w:r>
          </w:p>
        </w:tc>
      </w:tr>
      <w:tr w14:paraId="299DF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blHeader/>
        </w:trPr>
        <w:tc>
          <w:tcPr>
            <w:tcW w:w="804" w:type="dxa"/>
            <w:tcBorders>
              <w:top w:val="nil"/>
              <w:left w:val="single" w:color="000000" w:sz="8" w:space="0"/>
              <w:bottom w:val="single" w:color="auto" w:sz="4" w:space="0"/>
              <w:right w:val="single" w:color="000000" w:sz="8" w:space="0"/>
            </w:tcBorders>
            <w:shd w:val="clear" w:color="auto" w:fill="auto"/>
            <w:vAlign w:val="center"/>
          </w:tcPr>
          <w:p w14:paraId="6B2908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364" w:type="dxa"/>
            <w:vMerge w:val="continue"/>
            <w:tcBorders>
              <w:top w:val="nil"/>
              <w:left w:val="nil"/>
              <w:bottom w:val="single" w:color="auto" w:sz="4" w:space="0"/>
              <w:right w:val="single" w:color="000000" w:sz="8" w:space="0"/>
            </w:tcBorders>
            <w:shd w:val="clear" w:color="auto" w:fill="auto"/>
            <w:vAlign w:val="center"/>
          </w:tcPr>
          <w:p w14:paraId="72B83D63">
            <w:pPr>
              <w:jc w:val="center"/>
              <w:rPr>
                <w:rFonts w:hint="eastAsia" w:ascii="宋体" w:hAnsi="宋体" w:eastAsia="宋体" w:cs="宋体"/>
                <w:i w:val="0"/>
                <w:iCs w:val="0"/>
                <w:color w:val="auto"/>
                <w:sz w:val="20"/>
                <w:szCs w:val="20"/>
                <w:highlight w:val="none"/>
                <w:u w:val="none"/>
              </w:rPr>
            </w:pPr>
          </w:p>
        </w:tc>
        <w:tc>
          <w:tcPr>
            <w:tcW w:w="6180" w:type="dxa"/>
            <w:tcBorders>
              <w:top w:val="nil"/>
              <w:left w:val="nil"/>
              <w:bottom w:val="single" w:color="auto" w:sz="4" w:space="0"/>
              <w:right w:val="single" w:color="000000" w:sz="8" w:space="0"/>
            </w:tcBorders>
            <w:shd w:val="clear" w:color="auto" w:fill="auto"/>
            <w:vAlign w:val="center"/>
          </w:tcPr>
          <w:p w14:paraId="6975F5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（3）在重要接待时要给予来访或者办事一方必要的指引、介绍或者答疑等服务。</w:t>
            </w:r>
          </w:p>
        </w:tc>
      </w:tr>
      <w:tr w14:paraId="2E841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blHead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A8FE9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3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770EAFB">
            <w:pPr>
              <w:jc w:val="center"/>
              <w:rPr>
                <w:rFonts w:hint="eastAsia" w:ascii="宋体" w:hAnsi="宋体" w:eastAsia="宋体" w:cs="宋体"/>
                <w:i w:val="0"/>
                <w:iCs w:val="0"/>
                <w:color w:val="auto"/>
                <w:sz w:val="20"/>
                <w:szCs w:val="20"/>
                <w:highlight w:val="none"/>
                <w:u w:val="none"/>
              </w:rPr>
            </w:pPr>
          </w:p>
        </w:tc>
        <w:tc>
          <w:tcPr>
            <w:tcW w:w="6180" w:type="dxa"/>
            <w:tcBorders>
              <w:top w:val="single" w:color="auto" w:sz="4" w:space="0"/>
              <w:left w:val="single" w:color="auto" w:sz="4" w:space="0"/>
              <w:bottom w:val="single" w:color="auto" w:sz="4" w:space="0"/>
              <w:right w:val="single" w:color="auto" w:sz="4" w:space="0"/>
            </w:tcBorders>
            <w:shd w:val="clear" w:color="auto" w:fill="auto"/>
            <w:vAlign w:val="center"/>
          </w:tcPr>
          <w:p w14:paraId="5A9DB3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（4）开展会议会务服务时，会前提前到达做好准备，会中不离岗，会后不私自乱拿乱点会议物品。</w:t>
            </w:r>
          </w:p>
        </w:tc>
      </w:tr>
      <w:tr w14:paraId="03778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 w:hRule="atLeast"/>
          <w:tblHead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B96BA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36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DA275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会议会务服务要求</w:t>
            </w:r>
          </w:p>
        </w:tc>
        <w:tc>
          <w:tcPr>
            <w:tcW w:w="6180" w:type="dxa"/>
            <w:tcBorders>
              <w:top w:val="single" w:color="auto" w:sz="4" w:space="0"/>
              <w:left w:val="single" w:color="auto" w:sz="4" w:space="0"/>
              <w:bottom w:val="single" w:color="auto" w:sz="4" w:space="0"/>
              <w:right w:val="single" w:color="auto" w:sz="4" w:space="0"/>
            </w:tcBorders>
            <w:shd w:val="clear" w:color="auto" w:fill="auto"/>
            <w:vAlign w:val="center"/>
          </w:tcPr>
          <w:p w14:paraId="7D4DA2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（1）负责会议的会前准备工作和会间服务工作。</w:t>
            </w:r>
          </w:p>
        </w:tc>
      </w:tr>
      <w:tr w14:paraId="00596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blHead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260616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3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ED7861">
            <w:pPr>
              <w:jc w:val="center"/>
              <w:rPr>
                <w:rFonts w:hint="eastAsia" w:ascii="宋体" w:hAnsi="宋体" w:eastAsia="宋体" w:cs="宋体"/>
                <w:i w:val="0"/>
                <w:iCs w:val="0"/>
                <w:color w:val="auto"/>
                <w:sz w:val="20"/>
                <w:szCs w:val="20"/>
                <w:highlight w:val="none"/>
                <w:u w:val="none"/>
              </w:rPr>
            </w:pPr>
          </w:p>
        </w:tc>
        <w:tc>
          <w:tcPr>
            <w:tcW w:w="6180" w:type="dxa"/>
            <w:tcBorders>
              <w:top w:val="single" w:color="auto" w:sz="4" w:space="0"/>
              <w:left w:val="single" w:color="auto" w:sz="4" w:space="0"/>
              <w:bottom w:val="single" w:color="auto" w:sz="4" w:space="0"/>
              <w:right w:val="single" w:color="auto" w:sz="4" w:space="0"/>
            </w:tcBorders>
            <w:shd w:val="clear" w:color="auto" w:fill="auto"/>
            <w:vAlign w:val="center"/>
          </w:tcPr>
          <w:p w14:paraId="054332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（2）负责每个月月末汇总采购方月度会议室申请报采购方相关部门。</w:t>
            </w:r>
          </w:p>
        </w:tc>
      </w:tr>
      <w:tr w14:paraId="6A523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blHead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46446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36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C0BA1F">
            <w:pPr>
              <w:jc w:val="center"/>
              <w:rPr>
                <w:rFonts w:hint="eastAsia" w:ascii="宋体" w:hAnsi="宋体" w:eastAsia="宋体" w:cs="宋体"/>
                <w:i w:val="0"/>
                <w:iCs w:val="0"/>
                <w:color w:val="auto"/>
                <w:sz w:val="20"/>
                <w:szCs w:val="20"/>
                <w:highlight w:val="none"/>
                <w:u w:val="none"/>
              </w:rPr>
            </w:pPr>
          </w:p>
        </w:tc>
        <w:tc>
          <w:tcPr>
            <w:tcW w:w="6180" w:type="dxa"/>
            <w:tcBorders>
              <w:top w:val="single" w:color="auto" w:sz="4" w:space="0"/>
              <w:left w:val="single" w:color="auto" w:sz="4" w:space="0"/>
              <w:bottom w:val="single" w:color="auto" w:sz="4" w:space="0"/>
              <w:right w:val="single" w:color="auto" w:sz="4" w:space="0"/>
            </w:tcBorders>
            <w:shd w:val="clear" w:color="auto" w:fill="auto"/>
            <w:vAlign w:val="center"/>
          </w:tcPr>
          <w:p w14:paraId="537A50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（3）接到会务申请单通知要按照会议申请单的要求及时做好会前各项准备，并按照会议类型检查表检查会场。</w:t>
            </w:r>
          </w:p>
        </w:tc>
      </w:tr>
      <w:tr w14:paraId="66F0D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blHeader/>
        </w:trPr>
        <w:tc>
          <w:tcPr>
            <w:tcW w:w="804" w:type="dxa"/>
            <w:tcBorders>
              <w:top w:val="single" w:color="auto" w:sz="4" w:space="0"/>
              <w:left w:val="single" w:color="000000" w:sz="8" w:space="0"/>
              <w:bottom w:val="single" w:color="000000" w:sz="8" w:space="0"/>
              <w:right w:val="single" w:color="000000" w:sz="8" w:space="0"/>
            </w:tcBorders>
            <w:shd w:val="clear" w:color="auto" w:fill="auto"/>
            <w:vAlign w:val="center"/>
          </w:tcPr>
          <w:p w14:paraId="3C4EA2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364" w:type="dxa"/>
            <w:vMerge w:val="continue"/>
            <w:tcBorders>
              <w:top w:val="single" w:color="auto" w:sz="4" w:space="0"/>
              <w:left w:val="nil"/>
              <w:bottom w:val="single" w:color="000000" w:sz="8" w:space="0"/>
              <w:right w:val="single" w:color="000000" w:sz="8" w:space="0"/>
            </w:tcBorders>
            <w:shd w:val="clear" w:color="auto" w:fill="auto"/>
            <w:vAlign w:val="center"/>
          </w:tcPr>
          <w:p w14:paraId="7591FE29">
            <w:pPr>
              <w:jc w:val="center"/>
              <w:rPr>
                <w:rFonts w:hint="eastAsia" w:ascii="宋体" w:hAnsi="宋体" w:eastAsia="宋体" w:cs="宋体"/>
                <w:i w:val="0"/>
                <w:iCs w:val="0"/>
                <w:color w:val="auto"/>
                <w:sz w:val="20"/>
                <w:szCs w:val="20"/>
                <w:highlight w:val="none"/>
                <w:u w:val="none"/>
              </w:rPr>
            </w:pPr>
          </w:p>
        </w:tc>
        <w:tc>
          <w:tcPr>
            <w:tcW w:w="6180" w:type="dxa"/>
            <w:tcBorders>
              <w:top w:val="single" w:color="auto" w:sz="4" w:space="0"/>
              <w:left w:val="nil"/>
              <w:bottom w:val="single" w:color="000000" w:sz="8" w:space="0"/>
              <w:right w:val="single" w:color="000000" w:sz="8" w:space="0"/>
            </w:tcBorders>
            <w:shd w:val="clear" w:color="auto" w:fill="auto"/>
            <w:vAlign w:val="center"/>
          </w:tcPr>
          <w:p w14:paraId="336C0D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（4）会议结束后，及时恢复会场，检查仪器设备，空调和物品有无遗漏。</w:t>
            </w:r>
          </w:p>
        </w:tc>
      </w:tr>
      <w:tr w14:paraId="78750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5C0BC0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364" w:type="dxa"/>
            <w:vMerge w:val="continue"/>
            <w:tcBorders>
              <w:top w:val="nil"/>
              <w:left w:val="nil"/>
              <w:bottom w:val="single" w:color="000000" w:sz="8" w:space="0"/>
              <w:right w:val="single" w:color="000000" w:sz="8" w:space="0"/>
            </w:tcBorders>
            <w:shd w:val="clear" w:color="auto" w:fill="auto"/>
            <w:vAlign w:val="center"/>
          </w:tcPr>
          <w:p w14:paraId="76B7FD22">
            <w:pPr>
              <w:jc w:val="center"/>
              <w:rPr>
                <w:rFonts w:hint="eastAsia" w:ascii="宋体" w:hAnsi="宋体" w:eastAsia="宋体" w:cs="宋体"/>
                <w:i w:val="0"/>
                <w:iCs w:val="0"/>
                <w:color w:val="auto"/>
                <w:sz w:val="20"/>
                <w:szCs w:val="20"/>
                <w:highlight w:val="none"/>
                <w:u w:val="none"/>
              </w:rPr>
            </w:pPr>
          </w:p>
        </w:tc>
        <w:tc>
          <w:tcPr>
            <w:tcW w:w="6180" w:type="dxa"/>
            <w:tcBorders>
              <w:top w:val="nil"/>
              <w:left w:val="nil"/>
              <w:bottom w:val="single" w:color="000000" w:sz="8" w:space="0"/>
              <w:right w:val="single" w:color="000000" w:sz="8" w:space="0"/>
            </w:tcBorders>
            <w:shd w:val="clear" w:color="auto" w:fill="auto"/>
            <w:vAlign w:val="center"/>
          </w:tcPr>
          <w:p w14:paraId="579B92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（5）做好采购方办公大楼的广播系统、LED、各会议室会议系统的管理及使用工作。</w:t>
            </w:r>
          </w:p>
        </w:tc>
      </w:tr>
      <w:tr w14:paraId="00623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7E7B9E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364" w:type="dxa"/>
            <w:vMerge w:val="restart"/>
            <w:tcBorders>
              <w:top w:val="nil"/>
              <w:left w:val="nil"/>
              <w:bottom w:val="single" w:color="000000" w:sz="8" w:space="0"/>
              <w:right w:val="single" w:color="000000" w:sz="8" w:space="0"/>
            </w:tcBorders>
            <w:shd w:val="clear" w:color="auto" w:fill="auto"/>
            <w:vAlign w:val="center"/>
          </w:tcPr>
          <w:p w14:paraId="6568B8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前台接待与日常接待服务要求</w:t>
            </w:r>
          </w:p>
        </w:tc>
        <w:tc>
          <w:tcPr>
            <w:tcW w:w="6180" w:type="dxa"/>
            <w:tcBorders>
              <w:top w:val="nil"/>
              <w:left w:val="nil"/>
              <w:bottom w:val="single" w:color="000000" w:sz="8" w:space="0"/>
              <w:right w:val="single" w:color="000000" w:sz="8" w:space="0"/>
            </w:tcBorders>
            <w:shd w:val="clear" w:color="auto" w:fill="auto"/>
            <w:vAlign w:val="center"/>
          </w:tcPr>
          <w:p w14:paraId="0410E8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（1）在采购方的指导下，做好办公大楼前台来访接待工作。</w:t>
            </w:r>
          </w:p>
        </w:tc>
      </w:tr>
      <w:tr w14:paraId="425D4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48EDEF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364" w:type="dxa"/>
            <w:vMerge w:val="continue"/>
            <w:tcBorders>
              <w:top w:val="nil"/>
              <w:left w:val="nil"/>
              <w:bottom w:val="single" w:color="000000" w:sz="8" w:space="0"/>
              <w:right w:val="single" w:color="000000" w:sz="8" w:space="0"/>
            </w:tcBorders>
            <w:shd w:val="clear" w:color="auto" w:fill="auto"/>
            <w:vAlign w:val="center"/>
          </w:tcPr>
          <w:p w14:paraId="2868CE7C">
            <w:pPr>
              <w:jc w:val="center"/>
              <w:rPr>
                <w:rFonts w:hint="eastAsia" w:ascii="宋体" w:hAnsi="宋体" w:eastAsia="宋体" w:cs="宋体"/>
                <w:i w:val="0"/>
                <w:iCs w:val="0"/>
                <w:color w:val="auto"/>
                <w:sz w:val="20"/>
                <w:szCs w:val="20"/>
                <w:highlight w:val="none"/>
                <w:u w:val="none"/>
              </w:rPr>
            </w:pPr>
          </w:p>
        </w:tc>
        <w:tc>
          <w:tcPr>
            <w:tcW w:w="6180" w:type="dxa"/>
            <w:tcBorders>
              <w:top w:val="nil"/>
              <w:left w:val="nil"/>
              <w:bottom w:val="single" w:color="000000" w:sz="8" w:space="0"/>
              <w:right w:val="single" w:color="000000" w:sz="8" w:space="0"/>
            </w:tcBorders>
            <w:shd w:val="clear" w:color="auto" w:fill="auto"/>
            <w:vAlign w:val="center"/>
          </w:tcPr>
          <w:p w14:paraId="760E04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（2）负责大型会议及活动的礼仪服务。</w:t>
            </w:r>
          </w:p>
        </w:tc>
      </w:tr>
      <w:tr w14:paraId="10AA3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522D91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364" w:type="dxa"/>
            <w:vMerge w:val="continue"/>
            <w:tcBorders>
              <w:top w:val="nil"/>
              <w:left w:val="nil"/>
              <w:bottom w:val="single" w:color="000000" w:sz="8" w:space="0"/>
              <w:right w:val="single" w:color="000000" w:sz="8" w:space="0"/>
            </w:tcBorders>
            <w:shd w:val="clear" w:color="auto" w:fill="auto"/>
            <w:vAlign w:val="center"/>
          </w:tcPr>
          <w:p w14:paraId="64C4AABB">
            <w:pPr>
              <w:jc w:val="center"/>
              <w:rPr>
                <w:rFonts w:hint="eastAsia" w:ascii="宋体" w:hAnsi="宋体" w:eastAsia="宋体" w:cs="宋体"/>
                <w:i w:val="0"/>
                <w:iCs w:val="0"/>
                <w:color w:val="auto"/>
                <w:sz w:val="20"/>
                <w:szCs w:val="20"/>
                <w:highlight w:val="none"/>
                <w:u w:val="none"/>
              </w:rPr>
            </w:pPr>
          </w:p>
        </w:tc>
        <w:tc>
          <w:tcPr>
            <w:tcW w:w="6180" w:type="dxa"/>
            <w:tcBorders>
              <w:top w:val="nil"/>
              <w:left w:val="nil"/>
              <w:bottom w:val="single" w:color="000000" w:sz="8" w:space="0"/>
              <w:right w:val="single" w:color="000000" w:sz="8" w:space="0"/>
            </w:tcBorders>
            <w:shd w:val="clear" w:color="auto" w:fill="auto"/>
            <w:vAlign w:val="center"/>
          </w:tcPr>
          <w:p w14:paraId="654521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（3）协助采购方开展日常接待食宿安排、会客室引领及茶水服务。</w:t>
            </w:r>
          </w:p>
        </w:tc>
      </w:tr>
      <w:tr w14:paraId="3BA6B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5F130F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364" w:type="dxa"/>
            <w:vMerge w:val="restart"/>
            <w:tcBorders>
              <w:top w:val="nil"/>
              <w:left w:val="nil"/>
              <w:bottom w:val="single" w:color="000000" w:sz="8" w:space="0"/>
              <w:right w:val="single" w:color="000000" w:sz="8" w:space="0"/>
            </w:tcBorders>
            <w:shd w:val="clear" w:color="auto" w:fill="auto"/>
            <w:vAlign w:val="center"/>
          </w:tcPr>
          <w:p w14:paraId="272C68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行政后勤服务要求</w:t>
            </w:r>
          </w:p>
        </w:tc>
        <w:tc>
          <w:tcPr>
            <w:tcW w:w="6180" w:type="dxa"/>
            <w:tcBorders>
              <w:top w:val="nil"/>
              <w:left w:val="nil"/>
              <w:bottom w:val="single" w:color="000000" w:sz="8" w:space="0"/>
              <w:right w:val="single" w:color="000000" w:sz="8" w:space="0"/>
            </w:tcBorders>
            <w:shd w:val="clear" w:color="auto" w:fill="auto"/>
            <w:vAlign w:val="center"/>
          </w:tcPr>
          <w:p w14:paraId="566A28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（1）协助采购方开展办公用房、周转房管理、节能办公、员工体检服务工作。</w:t>
            </w:r>
          </w:p>
        </w:tc>
      </w:tr>
      <w:tr w14:paraId="754B2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4CDE66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364" w:type="dxa"/>
            <w:vMerge w:val="continue"/>
            <w:tcBorders>
              <w:top w:val="nil"/>
              <w:left w:val="nil"/>
              <w:bottom w:val="single" w:color="000000" w:sz="8" w:space="0"/>
              <w:right w:val="single" w:color="000000" w:sz="8" w:space="0"/>
            </w:tcBorders>
            <w:shd w:val="clear" w:color="auto" w:fill="auto"/>
            <w:vAlign w:val="center"/>
          </w:tcPr>
          <w:p w14:paraId="7DAFDDFD">
            <w:pPr>
              <w:jc w:val="left"/>
              <w:rPr>
                <w:rFonts w:hint="eastAsia" w:ascii="宋体" w:hAnsi="宋体" w:eastAsia="宋体" w:cs="宋体"/>
                <w:i w:val="0"/>
                <w:iCs w:val="0"/>
                <w:color w:val="auto"/>
                <w:sz w:val="20"/>
                <w:szCs w:val="20"/>
                <w:highlight w:val="none"/>
                <w:u w:val="none"/>
              </w:rPr>
            </w:pPr>
          </w:p>
        </w:tc>
        <w:tc>
          <w:tcPr>
            <w:tcW w:w="6180" w:type="dxa"/>
            <w:tcBorders>
              <w:top w:val="nil"/>
              <w:left w:val="nil"/>
              <w:bottom w:val="single" w:color="000000" w:sz="8" w:space="0"/>
              <w:right w:val="single" w:color="000000" w:sz="8" w:space="0"/>
            </w:tcBorders>
            <w:shd w:val="clear" w:color="auto" w:fill="auto"/>
            <w:vAlign w:val="center"/>
          </w:tcPr>
          <w:p w14:paraId="0FB246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（2）协助采购方开展离退休管理服务工作。</w:t>
            </w:r>
          </w:p>
        </w:tc>
      </w:tr>
      <w:tr w14:paraId="0E6C5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6DCC74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364" w:type="dxa"/>
            <w:vMerge w:val="continue"/>
            <w:tcBorders>
              <w:top w:val="nil"/>
              <w:left w:val="nil"/>
              <w:bottom w:val="single" w:color="000000" w:sz="8" w:space="0"/>
              <w:right w:val="single" w:color="000000" w:sz="8" w:space="0"/>
            </w:tcBorders>
            <w:shd w:val="clear" w:color="auto" w:fill="auto"/>
            <w:vAlign w:val="center"/>
          </w:tcPr>
          <w:p w14:paraId="02242C07">
            <w:pPr>
              <w:jc w:val="left"/>
              <w:rPr>
                <w:rFonts w:hint="eastAsia" w:ascii="宋体" w:hAnsi="宋体" w:eastAsia="宋体" w:cs="宋体"/>
                <w:i w:val="0"/>
                <w:iCs w:val="0"/>
                <w:color w:val="auto"/>
                <w:sz w:val="20"/>
                <w:szCs w:val="20"/>
                <w:highlight w:val="none"/>
                <w:u w:val="none"/>
              </w:rPr>
            </w:pPr>
          </w:p>
        </w:tc>
        <w:tc>
          <w:tcPr>
            <w:tcW w:w="6180" w:type="dxa"/>
            <w:tcBorders>
              <w:top w:val="nil"/>
              <w:left w:val="nil"/>
              <w:bottom w:val="single" w:color="000000" w:sz="8" w:space="0"/>
              <w:right w:val="single" w:color="000000" w:sz="8" w:space="0"/>
            </w:tcBorders>
            <w:shd w:val="clear" w:color="auto" w:fill="auto"/>
            <w:vAlign w:val="center"/>
          </w:tcPr>
          <w:p w14:paraId="31B295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（3）协助采购方开展行政办公资产管理、报废等相关工作。</w:t>
            </w:r>
          </w:p>
        </w:tc>
      </w:tr>
      <w:tr w14:paraId="44ECD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blHeader/>
        </w:trPr>
        <w:tc>
          <w:tcPr>
            <w:tcW w:w="804" w:type="dxa"/>
            <w:tcBorders>
              <w:top w:val="nil"/>
              <w:left w:val="single" w:color="000000" w:sz="8" w:space="0"/>
              <w:bottom w:val="single" w:color="000000" w:sz="8" w:space="0"/>
              <w:right w:val="single" w:color="000000" w:sz="8" w:space="0"/>
            </w:tcBorders>
            <w:shd w:val="clear" w:color="auto" w:fill="auto"/>
            <w:vAlign w:val="center"/>
          </w:tcPr>
          <w:p w14:paraId="3F9773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364" w:type="dxa"/>
            <w:vMerge w:val="continue"/>
            <w:tcBorders>
              <w:top w:val="nil"/>
              <w:left w:val="nil"/>
              <w:bottom w:val="single" w:color="000000" w:sz="8" w:space="0"/>
              <w:right w:val="single" w:color="000000" w:sz="8" w:space="0"/>
            </w:tcBorders>
            <w:shd w:val="clear" w:color="auto" w:fill="auto"/>
            <w:vAlign w:val="center"/>
          </w:tcPr>
          <w:p w14:paraId="30E029D8">
            <w:pPr>
              <w:jc w:val="left"/>
              <w:rPr>
                <w:rFonts w:hint="eastAsia" w:ascii="宋体" w:hAnsi="宋体" w:eastAsia="宋体" w:cs="宋体"/>
                <w:i w:val="0"/>
                <w:iCs w:val="0"/>
                <w:color w:val="auto"/>
                <w:sz w:val="20"/>
                <w:szCs w:val="20"/>
                <w:highlight w:val="none"/>
                <w:u w:val="none"/>
              </w:rPr>
            </w:pPr>
          </w:p>
        </w:tc>
        <w:tc>
          <w:tcPr>
            <w:tcW w:w="6180" w:type="dxa"/>
            <w:tcBorders>
              <w:top w:val="nil"/>
              <w:left w:val="nil"/>
              <w:bottom w:val="single" w:color="000000" w:sz="8" w:space="0"/>
              <w:right w:val="single" w:color="000000" w:sz="8" w:space="0"/>
            </w:tcBorders>
            <w:shd w:val="clear" w:color="auto" w:fill="auto"/>
            <w:vAlign w:val="center"/>
          </w:tcPr>
          <w:p w14:paraId="4CF4FE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（4）协助采购方做好办公用品管理(含音响、投影机、饮水机、碎纸机、办公家具的日常检查）及发放工作。</w:t>
            </w:r>
          </w:p>
        </w:tc>
      </w:tr>
      <w:tr w14:paraId="6AAF4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blHeader/>
        </w:trPr>
        <w:tc>
          <w:tcPr>
            <w:tcW w:w="804" w:type="dxa"/>
            <w:tcBorders>
              <w:top w:val="nil"/>
              <w:left w:val="single" w:color="000000" w:sz="8" w:space="0"/>
              <w:bottom w:val="single" w:color="auto" w:sz="4" w:space="0"/>
              <w:right w:val="single" w:color="000000" w:sz="8" w:space="0"/>
            </w:tcBorders>
            <w:shd w:val="clear" w:color="auto" w:fill="auto"/>
            <w:vAlign w:val="center"/>
          </w:tcPr>
          <w:p w14:paraId="23DFF0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364" w:type="dxa"/>
            <w:vMerge w:val="continue"/>
            <w:tcBorders>
              <w:top w:val="nil"/>
              <w:left w:val="nil"/>
              <w:bottom w:val="single" w:color="auto" w:sz="4" w:space="0"/>
              <w:right w:val="single" w:color="000000" w:sz="8" w:space="0"/>
            </w:tcBorders>
            <w:shd w:val="clear" w:color="auto" w:fill="auto"/>
            <w:vAlign w:val="center"/>
          </w:tcPr>
          <w:p w14:paraId="36995E1E">
            <w:pPr>
              <w:jc w:val="left"/>
              <w:rPr>
                <w:rFonts w:hint="eastAsia" w:ascii="宋体" w:hAnsi="宋体" w:eastAsia="宋体" w:cs="宋体"/>
                <w:i w:val="0"/>
                <w:iCs w:val="0"/>
                <w:color w:val="auto"/>
                <w:sz w:val="20"/>
                <w:szCs w:val="20"/>
                <w:highlight w:val="none"/>
                <w:u w:val="none"/>
              </w:rPr>
            </w:pPr>
          </w:p>
        </w:tc>
        <w:tc>
          <w:tcPr>
            <w:tcW w:w="6180" w:type="dxa"/>
            <w:tcBorders>
              <w:top w:val="nil"/>
              <w:left w:val="nil"/>
              <w:bottom w:val="single" w:color="auto" w:sz="4" w:space="0"/>
              <w:right w:val="single" w:color="000000" w:sz="8" w:space="0"/>
            </w:tcBorders>
            <w:shd w:val="clear" w:color="auto" w:fill="auto"/>
            <w:vAlign w:val="center"/>
          </w:tcPr>
          <w:p w14:paraId="0018D3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（5）协助采购方做好办公饮用水的管理工作，每季度盘点并做好记录。</w:t>
            </w:r>
          </w:p>
        </w:tc>
      </w:tr>
      <w:tr w14:paraId="6554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blHead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369EB1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364" w:type="dxa"/>
            <w:vMerge w:val="restart"/>
            <w:tcBorders>
              <w:top w:val="single" w:color="auto" w:sz="4" w:space="0"/>
              <w:left w:val="single" w:color="auto" w:sz="4" w:space="0"/>
              <w:right w:val="single" w:color="auto" w:sz="4" w:space="0"/>
            </w:tcBorders>
            <w:shd w:val="clear" w:color="auto" w:fill="auto"/>
            <w:vAlign w:val="center"/>
          </w:tcPr>
          <w:p w14:paraId="19940D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其他服务要求</w:t>
            </w:r>
          </w:p>
        </w:tc>
        <w:tc>
          <w:tcPr>
            <w:tcW w:w="6180" w:type="dxa"/>
            <w:tcBorders>
              <w:top w:val="single" w:color="auto" w:sz="4" w:space="0"/>
              <w:left w:val="single" w:color="auto" w:sz="4" w:space="0"/>
              <w:bottom w:val="single" w:color="auto" w:sz="4" w:space="0"/>
              <w:right w:val="single" w:color="auto" w:sz="4" w:space="0"/>
            </w:tcBorders>
            <w:shd w:val="clear" w:color="auto" w:fill="auto"/>
            <w:vAlign w:val="center"/>
          </w:tcPr>
          <w:p w14:paraId="487DB09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sz w:val="20"/>
                <w:szCs w:val="20"/>
                <w:highlight w:val="none"/>
                <w:lang w:val="en-US" w:eastAsia="zh-CN"/>
              </w:rPr>
              <w:t>（1）配合外委单位做好对办公用品（含音响、投影机、饮水机、碎纸机、办公家具）的服务。</w:t>
            </w:r>
          </w:p>
        </w:tc>
      </w:tr>
      <w:tr w14:paraId="7F159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blHead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09CF3A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364" w:type="dxa"/>
            <w:vMerge w:val="continue"/>
            <w:tcBorders>
              <w:left w:val="single" w:color="auto" w:sz="4" w:space="0"/>
              <w:right w:val="single" w:color="auto" w:sz="4" w:space="0"/>
            </w:tcBorders>
            <w:shd w:val="clear" w:color="auto" w:fill="auto"/>
            <w:vAlign w:val="center"/>
          </w:tcPr>
          <w:p w14:paraId="00BA4694">
            <w:pPr>
              <w:jc w:val="center"/>
              <w:rPr>
                <w:rFonts w:hint="eastAsia" w:ascii="宋体" w:hAnsi="宋体" w:eastAsia="宋体" w:cs="宋体"/>
                <w:i w:val="0"/>
                <w:iCs w:val="0"/>
                <w:color w:val="auto"/>
                <w:sz w:val="20"/>
                <w:szCs w:val="20"/>
                <w:highlight w:val="none"/>
                <w:u w:val="none"/>
              </w:rPr>
            </w:pPr>
          </w:p>
        </w:tc>
        <w:tc>
          <w:tcPr>
            <w:tcW w:w="6180" w:type="dxa"/>
            <w:tcBorders>
              <w:top w:val="single" w:color="auto" w:sz="4" w:space="0"/>
              <w:left w:val="single" w:color="auto" w:sz="4" w:space="0"/>
              <w:bottom w:val="single" w:color="auto" w:sz="4" w:space="0"/>
              <w:right w:val="single" w:color="auto" w:sz="4" w:space="0"/>
            </w:tcBorders>
            <w:shd w:val="clear" w:color="auto" w:fill="auto"/>
            <w:vAlign w:val="center"/>
          </w:tcPr>
          <w:p w14:paraId="3C8B6D1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sz w:val="20"/>
                <w:szCs w:val="20"/>
                <w:highlight w:val="none"/>
                <w:lang w:val="en-US" w:eastAsia="zh-CN"/>
              </w:rPr>
              <w:t>（2）建立办公用品（含音响、投影机、饮水机、碎纸机、办公家具）的台帐。</w:t>
            </w:r>
          </w:p>
        </w:tc>
      </w:tr>
      <w:tr w14:paraId="07FA4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blHead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B482EB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20</w:t>
            </w:r>
          </w:p>
        </w:tc>
        <w:tc>
          <w:tcPr>
            <w:tcW w:w="1364" w:type="dxa"/>
            <w:vMerge w:val="continue"/>
            <w:tcBorders>
              <w:left w:val="single" w:color="auto" w:sz="4" w:space="0"/>
              <w:right w:val="single" w:color="auto" w:sz="4" w:space="0"/>
            </w:tcBorders>
            <w:shd w:val="clear" w:color="auto" w:fill="auto"/>
            <w:vAlign w:val="center"/>
          </w:tcPr>
          <w:p w14:paraId="22E1BE32">
            <w:pPr>
              <w:jc w:val="center"/>
              <w:rPr>
                <w:rFonts w:hint="eastAsia" w:ascii="宋体" w:hAnsi="宋体" w:eastAsia="宋体" w:cs="宋体"/>
                <w:i w:val="0"/>
                <w:iCs w:val="0"/>
                <w:color w:val="auto"/>
                <w:sz w:val="20"/>
                <w:szCs w:val="20"/>
                <w:highlight w:val="none"/>
                <w:u w:val="none"/>
              </w:rPr>
            </w:pPr>
          </w:p>
        </w:tc>
        <w:tc>
          <w:tcPr>
            <w:tcW w:w="6180" w:type="dxa"/>
            <w:tcBorders>
              <w:top w:val="single" w:color="auto" w:sz="4" w:space="0"/>
              <w:left w:val="single" w:color="auto" w:sz="4" w:space="0"/>
              <w:bottom w:val="single" w:color="auto" w:sz="4" w:space="0"/>
              <w:right w:val="single" w:color="auto" w:sz="4" w:space="0"/>
            </w:tcBorders>
            <w:shd w:val="clear" w:color="auto" w:fill="auto"/>
            <w:vAlign w:val="center"/>
          </w:tcPr>
          <w:p w14:paraId="6ADC88BE">
            <w:pPr>
              <w:keepNext w:val="0"/>
              <w:keepLines w:val="0"/>
              <w:widowControl/>
              <w:suppressLineNumbers w:val="0"/>
              <w:jc w:val="both"/>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（3）对发现问题的相关的办公用品进行上报，配合外委单位做好维修工作，并跟踪和反馈处理情况。</w:t>
            </w:r>
          </w:p>
        </w:tc>
      </w:tr>
      <w:tr w14:paraId="57B79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 w:hRule="atLeast"/>
          <w:tblHead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468827E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21</w:t>
            </w:r>
          </w:p>
        </w:tc>
        <w:tc>
          <w:tcPr>
            <w:tcW w:w="1364" w:type="dxa"/>
            <w:vMerge w:val="continue"/>
            <w:tcBorders>
              <w:left w:val="single" w:color="auto" w:sz="4" w:space="0"/>
              <w:bottom w:val="single" w:color="auto" w:sz="4" w:space="0"/>
              <w:right w:val="single" w:color="auto" w:sz="4" w:space="0"/>
            </w:tcBorders>
            <w:shd w:val="clear" w:color="auto" w:fill="auto"/>
            <w:vAlign w:val="center"/>
          </w:tcPr>
          <w:p w14:paraId="1DB90CF5">
            <w:pPr>
              <w:jc w:val="center"/>
              <w:rPr>
                <w:rFonts w:hint="eastAsia" w:ascii="宋体" w:hAnsi="宋体" w:eastAsia="宋体" w:cs="宋体"/>
                <w:i w:val="0"/>
                <w:iCs w:val="0"/>
                <w:color w:val="auto"/>
                <w:sz w:val="20"/>
                <w:szCs w:val="20"/>
                <w:highlight w:val="none"/>
                <w:u w:val="none"/>
              </w:rPr>
            </w:pPr>
          </w:p>
        </w:tc>
        <w:tc>
          <w:tcPr>
            <w:tcW w:w="6180" w:type="dxa"/>
            <w:tcBorders>
              <w:top w:val="single" w:color="auto" w:sz="4" w:space="0"/>
              <w:left w:val="single" w:color="auto" w:sz="4" w:space="0"/>
              <w:bottom w:val="single" w:color="auto" w:sz="4" w:space="0"/>
              <w:right w:val="single" w:color="auto" w:sz="4" w:space="0"/>
            </w:tcBorders>
            <w:shd w:val="clear" w:color="auto" w:fill="auto"/>
            <w:vAlign w:val="center"/>
          </w:tcPr>
          <w:p w14:paraId="1EFC3E46">
            <w:pPr>
              <w:keepNext w:val="0"/>
              <w:keepLines w:val="0"/>
              <w:widowControl/>
              <w:suppressLineNumbers w:val="0"/>
              <w:jc w:val="both"/>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（4）协助采购方做好其他后勤服务工作。</w:t>
            </w:r>
          </w:p>
        </w:tc>
      </w:tr>
    </w:tbl>
    <w:p w14:paraId="19298A1A">
      <w:pPr>
        <w:bidi w:val="0"/>
        <w:rPr>
          <w:rFonts w:hint="eastAsia" w:ascii="宋体" w:hAnsi="宋体" w:eastAsia="宋体" w:cs="宋体"/>
          <w:b/>
          <w:bCs/>
          <w:highlight w:val="none"/>
          <w:lang w:val="en-US" w:eastAsia="zh-CN"/>
        </w:rPr>
      </w:pPr>
    </w:p>
    <w:p w14:paraId="5BAA0218">
      <w:pPr>
        <w:bidi w:val="0"/>
        <w:rPr>
          <w:rFonts w:hint="eastAsia" w:ascii="宋体" w:hAnsi="宋体" w:eastAsia="宋体" w:cs="宋体"/>
          <w:b/>
          <w:bCs/>
          <w:highlight w:val="none"/>
          <w:lang w:val="en-US" w:eastAsia="zh-CN"/>
        </w:rPr>
      </w:pPr>
    </w:p>
    <w:p w14:paraId="51672C71">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3.5食堂餐饮外委</w:t>
      </w:r>
      <w:r>
        <w:rPr>
          <w:rFonts w:hint="eastAsia" w:ascii="宋体" w:hAnsi="宋体" w:cs="宋体"/>
          <w:b/>
          <w:bCs/>
          <w:highlight w:val="none"/>
          <w:lang w:val="en-US" w:eastAsia="zh-CN"/>
        </w:rPr>
        <w:t>服务</w:t>
      </w:r>
      <w:r>
        <w:rPr>
          <w:rFonts w:hint="eastAsia" w:ascii="宋体" w:hAnsi="宋体" w:eastAsia="宋体" w:cs="宋体"/>
          <w:b/>
          <w:bCs/>
          <w:highlight w:val="none"/>
          <w:lang w:val="en-US" w:eastAsia="zh-CN"/>
        </w:rPr>
        <w:t>具体工作要求</w:t>
      </w:r>
    </w:p>
    <w:tbl>
      <w:tblPr>
        <w:tblStyle w:val="15"/>
        <w:tblW w:w="83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6"/>
        <w:gridCol w:w="1740"/>
        <w:gridCol w:w="5865"/>
      </w:tblGrid>
      <w:tr w14:paraId="44C86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24E56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序号</w:t>
            </w:r>
          </w:p>
        </w:tc>
        <w:tc>
          <w:tcPr>
            <w:tcW w:w="17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79001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工作内容</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F6796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具体要求</w:t>
            </w:r>
          </w:p>
        </w:tc>
      </w:tr>
      <w:tr w14:paraId="7BF0D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726"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E6D674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p>
        </w:tc>
        <w:tc>
          <w:tcPr>
            <w:tcW w:w="17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2438FB">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建立食堂相关管理制度、食材清洗流程、设备操作流程，并严格执行</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F18CE2">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（1）建立食堂食材验收、食品留样、应急报告和服务工作守则管理制度。</w:t>
            </w:r>
          </w:p>
        </w:tc>
      </w:tr>
      <w:tr w14:paraId="13A51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0"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04F332B">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34105B">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6C322C">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（2）建立食材清洗流程、设备操作流程。</w:t>
            </w:r>
          </w:p>
        </w:tc>
      </w:tr>
      <w:tr w14:paraId="77043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1"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CC3E24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FAE68F">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4DE1D5">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（3）严格执行各项制度及流程。</w:t>
            </w:r>
          </w:p>
        </w:tc>
      </w:tr>
      <w:tr w14:paraId="4B96C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0"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59C4B16">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4</w:t>
            </w:r>
          </w:p>
        </w:tc>
        <w:tc>
          <w:tcPr>
            <w:tcW w:w="17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0AA0D4">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实行食堂工作人员持健康证上岗制度，按餐饮从业人员卫生管理要求开展日常管理</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189E59">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（1）工作人员须持健康证上岗并上墙公示，对食堂工作人员的健康状况进行管控。</w:t>
            </w:r>
          </w:p>
        </w:tc>
      </w:tr>
      <w:tr w14:paraId="6CBCF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5" w:hRule="atLeast"/>
        </w:trPr>
        <w:tc>
          <w:tcPr>
            <w:tcW w:w="726" w:type="dxa"/>
            <w:vMerge w:val="restart"/>
            <w:tcBorders>
              <w:top w:val="single" w:color="auto" w:sz="4" w:space="0"/>
              <w:left w:val="single" w:color="000000" w:sz="4" w:space="0"/>
              <w:right w:val="single" w:color="000000" w:sz="4" w:space="0"/>
            </w:tcBorders>
            <w:noWrap w:val="0"/>
            <w:tcMar>
              <w:top w:w="15" w:type="dxa"/>
              <w:left w:w="15" w:type="dxa"/>
              <w:right w:w="15" w:type="dxa"/>
            </w:tcMar>
            <w:vAlign w:val="center"/>
          </w:tcPr>
          <w:p w14:paraId="3F014332">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4DA9B0">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B15885">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（2）食堂工作人员工作时穿工作服、戴工作帽和口罩，接触入口食品时戴一次性手套。</w:t>
            </w:r>
          </w:p>
        </w:tc>
      </w:tr>
      <w:tr w14:paraId="47AE1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726" w:type="dxa"/>
            <w:vMerge w:val="continue"/>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9A54548">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rPr>
            </w:pP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CD0DD2">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7F70F13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（3）食堂工作人员患有感冒等传染性疾病要主动报告并暂时离开工作岗位。</w:t>
            </w:r>
          </w:p>
        </w:tc>
      </w:tr>
      <w:tr w14:paraId="6117A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0"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5BFE0B7">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174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6CEFE4B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15CAD09D">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p>
        </w:tc>
      </w:tr>
      <w:tr w14:paraId="75FB5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D822862">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7</w:t>
            </w:r>
          </w:p>
        </w:tc>
        <w:tc>
          <w:tcPr>
            <w:tcW w:w="17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0459B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严格、规范执行食材验收、出入库管理。严禁接收腐烂变质的食材，保持菜肴的新鲜和卫生</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6C1FD4">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（1）设置专人做好每日食材管控，开展验收、出入库管理，做到账物一致。</w:t>
            </w:r>
          </w:p>
        </w:tc>
      </w:tr>
      <w:tr w14:paraId="1BC70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80"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A9CD12F">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D59653">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FAE02B">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（2）至少有2人参与食材验收，检查供应商提供的食材合格证，通过对食材进行看、闻、触摸等外观检查合格及核对数量、单价后方可进入出入库管理环节，严禁接收腐烂变质食材，保持菜肴的新鲜和卫生。</w:t>
            </w:r>
          </w:p>
        </w:tc>
      </w:tr>
      <w:tr w14:paraId="4B056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18E7E40">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9</w:t>
            </w:r>
          </w:p>
        </w:tc>
        <w:tc>
          <w:tcPr>
            <w:tcW w:w="174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0CF3E2C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严格实施果蔬二次安全检测工作</w:t>
            </w:r>
          </w:p>
        </w:tc>
        <w:tc>
          <w:tcPr>
            <w:tcW w:w="5865"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3B3C1BA">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（1）设置专人每日对经过验收合格后的果蔬进行农药残留安全检测并记录，检测合格后方可进行清洗加工。</w:t>
            </w:r>
          </w:p>
        </w:tc>
      </w:tr>
      <w:tr w14:paraId="1DEF3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726" w:type="dxa"/>
            <w:tcBorders>
              <w:top w:val="single" w:color="auto" w:sz="4" w:space="0"/>
              <w:left w:val="single" w:color="000000" w:sz="4" w:space="0"/>
              <w:right w:val="single" w:color="000000" w:sz="4" w:space="0"/>
            </w:tcBorders>
            <w:noWrap w:val="0"/>
            <w:tcMar>
              <w:top w:w="15" w:type="dxa"/>
              <w:left w:w="15" w:type="dxa"/>
              <w:right w:w="15" w:type="dxa"/>
            </w:tcMar>
            <w:vAlign w:val="center"/>
          </w:tcPr>
          <w:p w14:paraId="49366450">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174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64234462">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auto" w:sz="4" w:space="0"/>
              <w:left w:val="single" w:color="000000" w:sz="4" w:space="0"/>
              <w:right w:val="single" w:color="000000" w:sz="4" w:space="0"/>
            </w:tcBorders>
            <w:noWrap w:val="0"/>
            <w:tcMar>
              <w:top w:w="15" w:type="dxa"/>
              <w:left w:w="15" w:type="dxa"/>
              <w:right w:w="15" w:type="dxa"/>
            </w:tcMar>
            <w:vAlign w:val="center"/>
          </w:tcPr>
          <w:p w14:paraId="2C1C3B57">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（2）每日在餐厅公示当日供应商食材检测合格证、食堂果蔬农药残留检测合格记录。</w:t>
            </w:r>
          </w:p>
        </w:tc>
      </w:tr>
      <w:tr w14:paraId="76C48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04C854C">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eastAsia="zh-CN"/>
              </w:rPr>
              <w:t>11</w:t>
            </w:r>
          </w:p>
        </w:tc>
        <w:tc>
          <w:tcPr>
            <w:tcW w:w="1740"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53170947">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严格执行食材清洗加工和存放标准</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12D5D9">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（1）严格按流程对食材清洗、加工。</w:t>
            </w:r>
          </w:p>
        </w:tc>
      </w:tr>
      <w:tr w14:paraId="63CF3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ADCECCB">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1740"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6629E52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67F56C">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（2）实施食材生熟分离存放，避免食材二次污染。</w:t>
            </w:r>
          </w:p>
        </w:tc>
      </w:tr>
      <w:tr w14:paraId="79851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5E9308D8">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1740"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0D9DA373">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5251A5">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（3）粮油、干杂、辅佐配料等储存在阴凉、干燥的专用储存间。</w:t>
            </w:r>
          </w:p>
        </w:tc>
      </w:tr>
      <w:tr w14:paraId="25FF1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726"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C5FCF9">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eastAsia="zh-CN"/>
              </w:rPr>
              <w:t>14</w:t>
            </w:r>
          </w:p>
        </w:tc>
        <w:tc>
          <w:tcPr>
            <w:tcW w:w="1740"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63A45754">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实施成品的食品留样和记录</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481B2A">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（1）设置专人每餐对成品的食品进行48小时留样并记录。</w:t>
            </w:r>
          </w:p>
        </w:tc>
      </w:tr>
      <w:tr w14:paraId="024F8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0" w:hRule="atLeast"/>
        </w:trPr>
        <w:tc>
          <w:tcPr>
            <w:tcW w:w="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69CC67">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eastAsia="zh-CN"/>
              </w:rPr>
              <w:t>15</w:t>
            </w:r>
          </w:p>
        </w:tc>
        <w:tc>
          <w:tcPr>
            <w:tcW w:w="17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D483D3">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保证供应的饭菜新鲜、干净卫生，每餐按时按质为采购方员工供应饭菜，保证饭菜质量及份量</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D00430">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（1）每餐按时供应饭菜，早、午、晚餐品种不少于采购方要求。</w:t>
            </w:r>
          </w:p>
        </w:tc>
      </w:tr>
      <w:tr w14:paraId="23E3B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7" w:hRule="atLeast"/>
        </w:trPr>
        <w:tc>
          <w:tcPr>
            <w:tcW w:w="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56CF14">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16</w:t>
            </w: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10D8FB">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FE57BD">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（2）米饭软硬适中，不供应夹生饭菜或隔天剩饭剩菜，保证饭热菜热。</w:t>
            </w:r>
          </w:p>
        </w:tc>
      </w:tr>
      <w:tr w14:paraId="4B377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3898C6">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17</w:t>
            </w: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869A98">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9FDDE6">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（3）不供应有沙子等杂物的饭菜。</w:t>
            </w:r>
          </w:p>
        </w:tc>
      </w:tr>
      <w:tr w14:paraId="40235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0" w:hRule="atLeast"/>
        </w:trPr>
        <w:tc>
          <w:tcPr>
            <w:tcW w:w="726"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DF9D055">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18</w:t>
            </w:r>
          </w:p>
        </w:tc>
        <w:tc>
          <w:tcPr>
            <w:tcW w:w="1740" w:type="dxa"/>
            <w:vMerge w:val="continue"/>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D210462">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71AFDD2">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（4）准时开餐率达100%。</w:t>
            </w:r>
          </w:p>
        </w:tc>
      </w:tr>
      <w:tr w14:paraId="054E6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4" w:hRule="atLeast"/>
        </w:trPr>
        <w:tc>
          <w:tcPr>
            <w:tcW w:w="726"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9327318">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eastAsia="zh-CN"/>
              </w:rPr>
              <w:t>19</w:t>
            </w:r>
          </w:p>
        </w:tc>
        <w:tc>
          <w:tcPr>
            <w:tcW w:w="174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31C52FF">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建立环境卫生机制，确保场所、物品干净整洁，防止环境造成食品污染</w:t>
            </w:r>
          </w:p>
        </w:tc>
        <w:tc>
          <w:tcPr>
            <w:tcW w:w="58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15AB0D4">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（1）每日对食堂各场所、物品清洁，无污迹、无油迹污渍、无蜘蛛网，厨余垃圾做到日产日清。</w:t>
            </w:r>
          </w:p>
        </w:tc>
      </w:tr>
      <w:tr w14:paraId="65010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72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F3A1BE9">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rPr>
            </w:pPr>
          </w:p>
        </w:tc>
        <w:tc>
          <w:tcPr>
            <w:tcW w:w="174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EE7F2D9">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3C69EE8">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（2）食堂内做到无“四害”。</w:t>
            </w:r>
          </w:p>
        </w:tc>
      </w:tr>
      <w:tr w14:paraId="33131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2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92B5800">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20</w:t>
            </w:r>
          </w:p>
        </w:tc>
        <w:tc>
          <w:tcPr>
            <w:tcW w:w="174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23F0BCB">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D57A4C0">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p>
        </w:tc>
      </w:tr>
      <w:tr w14:paraId="09D95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72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012732A">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eastAsia="zh-CN"/>
              </w:rPr>
              <w:t>21</w:t>
            </w:r>
          </w:p>
        </w:tc>
        <w:tc>
          <w:tcPr>
            <w:tcW w:w="174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A6BB9A2">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实施食堂设备设施、餐具、工具日常管理</w:t>
            </w:r>
          </w:p>
        </w:tc>
        <w:tc>
          <w:tcPr>
            <w:tcW w:w="58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6F0A1B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（1）建立食堂设备设施台账。</w:t>
            </w:r>
          </w:p>
        </w:tc>
      </w:tr>
      <w:tr w14:paraId="2424C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72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466BDBE9">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22</w:t>
            </w:r>
          </w:p>
        </w:tc>
        <w:tc>
          <w:tcPr>
            <w:tcW w:w="174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0128F16D">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40F82A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（2）每日对食堂设备设施进行清洁、检查维护，严禁人为损坏或丢失。</w:t>
            </w:r>
          </w:p>
        </w:tc>
      </w:tr>
      <w:tr w14:paraId="3B655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rPr>
        <w:tc>
          <w:tcPr>
            <w:tcW w:w="726" w:type="dxa"/>
            <w:vMerge w:val="restart"/>
            <w:tcBorders>
              <w:top w:val="single" w:color="auto" w:sz="4" w:space="0"/>
              <w:left w:val="single" w:color="000000" w:sz="4" w:space="0"/>
              <w:right w:val="single" w:color="000000" w:sz="4" w:space="0"/>
            </w:tcBorders>
            <w:noWrap w:val="0"/>
            <w:tcMar>
              <w:top w:w="15" w:type="dxa"/>
              <w:left w:w="15" w:type="dxa"/>
              <w:right w:w="15" w:type="dxa"/>
            </w:tcMar>
            <w:vAlign w:val="center"/>
          </w:tcPr>
          <w:p w14:paraId="5D9E4D7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23</w:t>
            </w:r>
          </w:p>
        </w:tc>
        <w:tc>
          <w:tcPr>
            <w:tcW w:w="1740" w:type="dxa"/>
            <w:vMerge w:val="continue"/>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2F739B">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87CFE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（3）对餐具实行洗涤、消毒后存放。</w:t>
            </w:r>
          </w:p>
        </w:tc>
      </w:tr>
      <w:tr w14:paraId="0D441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726" w:type="dxa"/>
            <w:vMerge w:val="continue"/>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7F22924">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rPr>
            </w:pP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DC68F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3883C9D">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（4）对使用后的烹饪设备、工具及时清洁。</w:t>
            </w:r>
          </w:p>
        </w:tc>
      </w:tr>
      <w:tr w14:paraId="3E022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26"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CF0E86">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24</w:t>
            </w:r>
          </w:p>
        </w:tc>
        <w:tc>
          <w:tcPr>
            <w:tcW w:w="174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16E16424">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193CDAF7">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p>
        </w:tc>
      </w:tr>
      <w:tr w14:paraId="4CB78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trPr>
        <w:tc>
          <w:tcPr>
            <w:tcW w:w="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DA3219">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eastAsia="zh-CN"/>
              </w:rPr>
              <w:t>25</w:t>
            </w:r>
          </w:p>
        </w:tc>
        <w:tc>
          <w:tcPr>
            <w:tcW w:w="174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6F2F0C3">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对食堂进行日常安全管理，确保食堂设备、人员、食品安全</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6F8A8C">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（1）（1）结合工作实际，每日对食堂门、窗、天花板、墙体、电器、燃气管道等所有设备设施进行安全检查和记录，发现安全隐患及时报修处理。</w:t>
            </w:r>
          </w:p>
        </w:tc>
      </w:tr>
      <w:tr w14:paraId="6CC06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99" w:hRule="atLeast"/>
        </w:trPr>
        <w:tc>
          <w:tcPr>
            <w:tcW w:w="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BF6AAC">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26</w:t>
            </w:r>
          </w:p>
        </w:tc>
        <w:tc>
          <w:tcPr>
            <w:tcW w:w="1740" w:type="dxa"/>
            <w:vMerge w:val="continue"/>
            <w:tcBorders>
              <w:left w:val="single" w:color="000000" w:sz="4" w:space="0"/>
              <w:right w:val="single" w:color="000000" w:sz="4" w:space="0"/>
            </w:tcBorders>
            <w:noWrap w:val="0"/>
            <w:tcMar>
              <w:top w:w="15" w:type="dxa"/>
              <w:left w:w="15" w:type="dxa"/>
              <w:right w:w="15" w:type="dxa"/>
            </w:tcMar>
            <w:vAlign w:val="center"/>
          </w:tcPr>
          <w:p w14:paraId="310141AC">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356E32D5">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（2）设备使用完毕，应将电源断开，搞好清洁工作，下班前操作人员应对电源</w:t>
            </w:r>
            <w:r>
              <w:rPr>
                <w:rFonts w:hint="eastAsia" w:ascii="宋体" w:hAnsi="宋体" w:cs="宋体"/>
                <w:color w:val="auto"/>
                <w:sz w:val="20"/>
                <w:szCs w:val="20"/>
                <w:highlight w:val="none"/>
                <w:lang w:val="en-US" w:eastAsia="zh-CN"/>
              </w:rPr>
              <w:t>进行</w:t>
            </w:r>
            <w:r>
              <w:rPr>
                <w:rFonts w:hint="eastAsia" w:ascii="宋体" w:hAnsi="宋体" w:eastAsia="宋体" w:cs="宋体"/>
                <w:color w:val="auto"/>
                <w:sz w:val="20"/>
                <w:szCs w:val="20"/>
                <w:highlight w:val="none"/>
                <w:lang w:val="en-US" w:eastAsia="zh-CN"/>
              </w:rPr>
              <w:t>检查。严禁冲洗电器设备，严禁湿手触摸电器设备，预防触电。</w:t>
            </w:r>
          </w:p>
        </w:tc>
      </w:tr>
      <w:tr w14:paraId="644F1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00" w:hRule="atLeast"/>
        </w:trPr>
        <w:tc>
          <w:tcPr>
            <w:tcW w:w="726"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FF76148">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27</w:t>
            </w:r>
          </w:p>
        </w:tc>
        <w:tc>
          <w:tcPr>
            <w:tcW w:w="1740" w:type="dxa"/>
            <w:vMerge w:val="continue"/>
            <w:tcBorders>
              <w:left w:val="single" w:color="000000" w:sz="4" w:space="0"/>
              <w:right w:val="single" w:color="000000" w:sz="4" w:space="0"/>
            </w:tcBorders>
            <w:noWrap w:val="0"/>
            <w:tcMar>
              <w:top w:w="15" w:type="dxa"/>
              <w:left w:w="15" w:type="dxa"/>
              <w:right w:w="15" w:type="dxa"/>
            </w:tcMar>
            <w:vAlign w:val="center"/>
          </w:tcPr>
          <w:p w14:paraId="235721C8">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BE4D06">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（3）根据采购方安全生产工作要求，结合工作实际，每年修编食物中毒现场应急处置方案、燃气中毒和爆炸现场处置方案，并开展演练。配合做好公共卫生突发事件应急演练。</w:t>
            </w:r>
          </w:p>
        </w:tc>
      </w:tr>
      <w:tr w14:paraId="6939E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40" w:hRule="atLeast"/>
        </w:trPr>
        <w:tc>
          <w:tcPr>
            <w:tcW w:w="726"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CBA9A7">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28</w:t>
            </w:r>
          </w:p>
        </w:tc>
        <w:tc>
          <w:tcPr>
            <w:tcW w:w="174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753E4D46">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AA6EF9">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（4）每年组织食堂工作人员开展安全知识、健康知识、服务礼仪、技能、制度及应急处置的培训，并建立培训档案资料。</w:t>
            </w:r>
          </w:p>
        </w:tc>
      </w:tr>
      <w:tr w14:paraId="3EE53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 w:hRule="atLeast"/>
        </w:trPr>
        <w:tc>
          <w:tcPr>
            <w:tcW w:w="726"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673731A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29</w:t>
            </w:r>
          </w:p>
        </w:tc>
        <w:tc>
          <w:tcPr>
            <w:tcW w:w="17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7287B7">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为采购方提供高质量的餐饮服务，最大限度地满足采购方的服务要求</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A60CA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（1）工作人员要遵守职业道德，做到礼貌待人，热情服务，文明用语，最大限度地满足采购方的服务要求。</w:t>
            </w:r>
          </w:p>
        </w:tc>
      </w:tr>
      <w:tr w14:paraId="561B8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04BEDB5C">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w:t>
            </w: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8008E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BE99C0A">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（2）对采购方员工的投诉（经采购方核实确实存在的），要在规定的时限内处理，做到有记录、有处理结果，及时对处理结果进行回访并汇报采购方。</w:t>
            </w:r>
          </w:p>
        </w:tc>
      </w:tr>
      <w:tr w14:paraId="3EBDF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726" w:type="dxa"/>
            <w:vMerge w:val="restart"/>
            <w:tcBorders>
              <w:top w:val="single" w:color="auto" w:sz="4" w:space="0"/>
              <w:left w:val="single" w:color="000000" w:sz="4" w:space="0"/>
              <w:right w:val="single" w:color="000000" w:sz="4" w:space="0"/>
            </w:tcBorders>
            <w:noWrap w:val="0"/>
            <w:tcMar>
              <w:top w:w="15" w:type="dxa"/>
              <w:left w:w="15" w:type="dxa"/>
              <w:right w:w="15" w:type="dxa"/>
            </w:tcMar>
            <w:vAlign w:val="center"/>
          </w:tcPr>
          <w:p w14:paraId="2F45DC0B">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31</w:t>
            </w: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BF7413">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1B46C00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p>
        </w:tc>
      </w:tr>
      <w:tr w14:paraId="22089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0" w:hRule="atLeast"/>
        </w:trPr>
        <w:tc>
          <w:tcPr>
            <w:tcW w:w="72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0C6D76">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rPr>
            </w:pPr>
          </w:p>
        </w:tc>
        <w:tc>
          <w:tcPr>
            <w:tcW w:w="17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B69705">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0DC709">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（3）对采购方检查发现的问题，在规定期限内完成整改。</w:t>
            </w:r>
          </w:p>
        </w:tc>
      </w:tr>
      <w:tr w14:paraId="2737B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726"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C707A00">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32</w:t>
            </w:r>
          </w:p>
        </w:tc>
        <w:tc>
          <w:tcPr>
            <w:tcW w:w="174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08792A00">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做好其他方面的服务工作</w:t>
            </w: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DEF272">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r>
              <w:rPr>
                <w:rFonts w:hint="eastAsia" w:ascii="宋体" w:hAnsi="宋体" w:cs="宋体"/>
                <w:color w:val="auto"/>
                <w:sz w:val="20"/>
                <w:szCs w:val="20"/>
                <w:highlight w:val="none"/>
                <w:lang w:val="en-US" w:eastAsia="zh-CN"/>
              </w:rPr>
              <w:t>服务商</w:t>
            </w:r>
            <w:r>
              <w:rPr>
                <w:rFonts w:hint="eastAsia" w:ascii="宋体" w:hAnsi="宋体" w:eastAsia="宋体" w:cs="宋体"/>
                <w:color w:val="auto"/>
                <w:sz w:val="20"/>
                <w:szCs w:val="20"/>
                <w:highlight w:val="none"/>
                <w:lang w:val="en-US" w:eastAsia="zh-CN"/>
              </w:rPr>
              <w:t>按采购方下达的指标要求做好成本管控。</w:t>
            </w:r>
          </w:p>
        </w:tc>
      </w:tr>
      <w:tr w14:paraId="6C49B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trPr>
        <w:tc>
          <w:tcPr>
            <w:tcW w:w="726"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7522584">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33</w:t>
            </w:r>
          </w:p>
        </w:tc>
        <w:tc>
          <w:tcPr>
            <w:tcW w:w="1740" w:type="dxa"/>
            <w:vMerge w:val="continue"/>
            <w:tcBorders>
              <w:left w:val="single" w:color="000000" w:sz="4" w:space="0"/>
              <w:right w:val="single" w:color="000000" w:sz="4" w:space="0"/>
            </w:tcBorders>
            <w:noWrap w:val="0"/>
            <w:tcMar>
              <w:top w:w="15" w:type="dxa"/>
              <w:left w:w="15" w:type="dxa"/>
              <w:right w:w="15" w:type="dxa"/>
            </w:tcMar>
            <w:vAlign w:val="center"/>
          </w:tcPr>
          <w:p w14:paraId="6E037216">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5865"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2D08D658">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（2）按时完成采购方临时布置的食堂工作任务。</w:t>
            </w:r>
          </w:p>
        </w:tc>
      </w:tr>
      <w:tr w14:paraId="6CA04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726" w:type="dxa"/>
            <w:vMerge w:val="restart"/>
            <w:tcBorders>
              <w:top w:val="single" w:color="auto" w:sz="4" w:space="0"/>
              <w:left w:val="single" w:color="000000" w:sz="4" w:space="0"/>
              <w:right w:val="single" w:color="000000" w:sz="4" w:space="0"/>
            </w:tcBorders>
            <w:noWrap w:val="0"/>
            <w:tcMar>
              <w:top w:w="15" w:type="dxa"/>
              <w:left w:w="15" w:type="dxa"/>
              <w:right w:w="15" w:type="dxa"/>
            </w:tcMar>
            <w:vAlign w:val="center"/>
          </w:tcPr>
          <w:p w14:paraId="7BC99785">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34</w:t>
            </w:r>
          </w:p>
        </w:tc>
        <w:tc>
          <w:tcPr>
            <w:tcW w:w="1740" w:type="dxa"/>
            <w:vMerge w:val="continue"/>
            <w:tcBorders>
              <w:left w:val="single" w:color="000000" w:sz="4" w:space="0"/>
              <w:right w:val="single" w:color="000000" w:sz="4" w:space="0"/>
            </w:tcBorders>
            <w:noWrap w:val="0"/>
            <w:tcMar>
              <w:top w:w="15" w:type="dxa"/>
              <w:left w:w="15" w:type="dxa"/>
              <w:right w:w="15" w:type="dxa"/>
            </w:tcMar>
            <w:vAlign w:val="center"/>
          </w:tcPr>
          <w:p w14:paraId="7D292D3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5865"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0C1FD827">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r>
      <w:tr w14:paraId="6A7DB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726" w:type="dxa"/>
            <w:vMerge w:val="continue"/>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D2BE324">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1740" w:type="dxa"/>
            <w:vMerge w:val="continue"/>
            <w:tcBorders>
              <w:left w:val="single" w:color="000000" w:sz="4" w:space="0"/>
              <w:right w:val="single" w:color="000000" w:sz="4" w:space="0"/>
            </w:tcBorders>
            <w:noWrap w:val="0"/>
            <w:tcMar>
              <w:top w:w="15" w:type="dxa"/>
              <w:left w:w="15" w:type="dxa"/>
              <w:right w:w="15" w:type="dxa"/>
            </w:tcMar>
            <w:vAlign w:val="center"/>
          </w:tcPr>
          <w:p w14:paraId="48123DB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5865"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ECF91D0">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（3）做好食堂场所安全管控，避免非工作人员随意出入。</w:t>
            </w:r>
          </w:p>
        </w:tc>
      </w:tr>
      <w:tr w14:paraId="534F5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atLeast"/>
        </w:trPr>
        <w:tc>
          <w:tcPr>
            <w:tcW w:w="726" w:type="dxa"/>
            <w:vMerge w:val="restart"/>
            <w:tcBorders>
              <w:top w:val="single" w:color="auto" w:sz="4" w:space="0"/>
              <w:left w:val="single" w:color="000000" w:sz="4" w:space="0"/>
              <w:right w:val="single" w:color="000000" w:sz="4" w:space="0"/>
            </w:tcBorders>
            <w:noWrap w:val="0"/>
            <w:tcMar>
              <w:top w:w="15" w:type="dxa"/>
              <w:left w:w="15" w:type="dxa"/>
              <w:right w:w="15" w:type="dxa"/>
            </w:tcMar>
            <w:vAlign w:val="center"/>
          </w:tcPr>
          <w:p w14:paraId="6AF4938A">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35</w:t>
            </w:r>
          </w:p>
        </w:tc>
        <w:tc>
          <w:tcPr>
            <w:tcW w:w="1740" w:type="dxa"/>
            <w:vMerge w:val="continue"/>
            <w:tcBorders>
              <w:left w:val="single" w:color="000000" w:sz="4" w:space="0"/>
              <w:right w:val="single" w:color="000000" w:sz="4" w:space="0"/>
            </w:tcBorders>
            <w:noWrap w:val="0"/>
            <w:tcMar>
              <w:top w:w="15" w:type="dxa"/>
              <w:left w:w="15" w:type="dxa"/>
              <w:right w:w="15" w:type="dxa"/>
            </w:tcMar>
            <w:vAlign w:val="center"/>
          </w:tcPr>
          <w:p w14:paraId="7CD45DE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5865"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4E76D36E">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r>
      <w:tr w14:paraId="7459B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rPr>
        <w:tc>
          <w:tcPr>
            <w:tcW w:w="72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98D09D">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174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6B92F95A">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center"/>
              <w:textAlignment w:val="auto"/>
              <w:rPr>
                <w:rFonts w:hint="eastAsia" w:ascii="宋体" w:hAnsi="宋体" w:eastAsia="宋体" w:cs="宋体"/>
                <w:color w:val="auto"/>
                <w:sz w:val="20"/>
                <w:szCs w:val="20"/>
                <w:highlight w:val="none"/>
                <w:lang w:val="en-US" w:eastAsia="zh-CN"/>
              </w:rPr>
            </w:pPr>
          </w:p>
        </w:tc>
        <w:tc>
          <w:tcPr>
            <w:tcW w:w="5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D34A41">
            <w:pPr>
              <w:keepNext w:val="0"/>
              <w:keepLines w:val="0"/>
              <w:pageBreakBefore w:val="0"/>
              <w:widowControl w:val="0"/>
              <w:numPr>
                <w:ilvl w:val="0"/>
                <w:numId w:val="0"/>
              </w:numPr>
              <w:kinsoku/>
              <w:wordWrap/>
              <w:overflowPunct/>
              <w:topLinePunct w:val="0"/>
              <w:autoSpaceDE/>
              <w:autoSpaceDN/>
              <w:bidi w:val="0"/>
              <w:adjustRightInd/>
              <w:snapToGrid/>
              <w:spacing w:beforeLines="0" w:afterLine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（4）维护采购方形象，不得有损害采购方形象的行为。</w:t>
            </w:r>
          </w:p>
        </w:tc>
      </w:tr>
    </w:tbl>
    <w:p w14:paraId="7A378A16">
      <w:pPr>
        <w:bidi w:val="0"/>
        <w:rPr>
          <w:rFonts w:hint="eastAsia" w:ascii="宋体" w:hAnsi="宋体" w:eastAsia="宋体" w:cs="宋体"/>
          <w:b/>
          <w:bCs/>
          <w:highlight w:val="none"/>
          <w:lang w:val="en-US" w:eastAsia="zh-CN"/>
        </w:rPr>
      </w:pPr>
    </w:p>
    <w:p w14:paraId="0A1E55A6">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3.6食堂物业管理服务具体工作要求</w:t>
      </w:r>
    </w:p>
    <w:tbl>
      <w:tblPr>
        <w:tblStyle w:val="16"/>
        <w:tblpPr w:leftFromText="180" w:rightFromText="180" w:vertAnchor="text" w:horzAnchor="page" w:tblpX="1915" w:tblpY="560"/>
        <w:tblOverlap w:val="never"/>
        <w:tblW w:w="8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755"/>
        <w:gridCol w:w="5880"/>
      </w:tblGrid>
      <w:tr w14:paraId="1D2A6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blHeader/>
        </w:trPr>
        <w:tc>
          <w:tcPr>
            <w:tcW w:w="690" w:type="dxa"/>
            <w:vAlign w:val="center"/>
          </w:tcPr>
          <w:p w14:paraId="0624604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1755" w:type="dxa"/>
            <w:vAlign w:val="center"/>
          </w:tcPr>
          <w:p w14:paraId="20B3BDE9">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5880" w:type="dxa"/>
            <w:vAlign w:val="center"/>
          </w:tcPr>
          <w:p w14:paraId="1B412F21">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08F9F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1F96ACCB">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1755" w:type="dxa"/>
            <w:vMerge w:val="restart"/>
            <w:vAlign w:val="center"/>
          </w:tcPr>
          <w:p w14:paraId="025845F8">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基本要求</w:t>
            </w:r>
          </w:p>
        </w:tc>
        <w:tc>
          <w:tcPr>
            <w:tcW w:w="5880" w:type="dxa"/>
            <w:vAlign w:val="center"/>
          </w:tcPr>
          <w:p w14:paraId="4454D7F8">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（1）对物权的要求：物业</w:t>
            </w:r>
            <w:r>
              <w:rPr>
                <w:rFonts w:hint="eastAsia" w:ascii="宋体" w:hAnsi="宋体" w:cs="宋体"/>
                <w:color w:val="auto"/>
                <w:sz w:val="20"/>
                <w:szCs w:val="20"/>
                <w:highlight w:val="none"/>
                <w:lang w:val="en-US" w:eastAsia="zh-CN"/>
              </w:rPr>
              <w:t>服务商</w:t>
            </w:r>
            <w:r>
              <w:rPr>
                <w:rFonts w:hint="eastAsia" w:ascii="宋体" w:hAnsi="宋体" w:eastAsia="宋体" w:cs="宋体"/>
                <w:color w:val="auto"/>
                <w:sz w:val="20"/>
                <w:szCs w:val="20"/>
                <w:highlight w:val="none"/>
                <w:lang w:val="en-US" w:eastAsia="zh-CN"/>
              </w:rPr>
              <w:t>必须尊重</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的物权，保护</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的财产安全和合法权益。在物业管理过程中，不得擅自占用、使用、处分</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的财产。</w:t>
            </w:r>
          </w:p>
        </w:tc>
      </w:tr>
      <w:tr w14:paraId="34972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281776AB">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1755" w:type="dxa"/>
            <w:vMerge w:val="continue"/>
            <w:vAlign w:val="center"/>
          </w:tcPr>
          <w:p w14:paraId="1F201193">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306647CB">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（2）物业</w:t>
            </w:r>
            <w:r>
              <w:rPr>
                <w:rFonts w:hint="eastAsia" w:ascii="宋体" w:hAnsi="宋体" w:cs="宋体"/>
                <w:color w:val="auto"/>
                <w:sz w:val="20"/>
                <w:szCs w:val="20"/>
                <w:highlight w:val="none"/>
                <w:lang w:val="en-US" w:eastAsia="zh-CN"/>
              </w:rPr>
              <w:t>服务商</w:t>
            </w:r>
            <w:r>
              <w:rPr>
                <w:rFonts w:hint="eastAsia" w:ascii="宋体" w:hAnsi="宋体" w:eastAsia="宋体" w:cs="宋体"/>
                <w:color w:val="auto"/>
                <w:sz w:val="20"/>
                <w:szCs w:val="20"/>
                <w:highlight w:val="none"/>
                <w:lang w:val="en-US" w:eastAsia="zh-CN"/>
              </w:rPr>
              <w:t>必须妥善管理</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共有的公共设施、场所和物业服务专用设施等，确保其正常运转和维护保养，保证</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的共同利益。同时，物业</w:t>
            </w:r>
            <w:r>
              <w:rPr>
                <w:rFonts w:hint="eastAsia" w:ascii="宋体" w:hAnsi="宋体" w:cs="宋体"/>
                <w:color w:val="auto"/>
                <w:sz w:val="20"/>
                <w:szCs w:val="20"/>
                <w:highlight w:val="none"/>
                <w:lang w:val="en-US" w:eastAsia="zh-CN"/>
              </w:rPr>
              <w:t>服务商</w:t>
            </w:r>
            <w:r>
              <w:rPr>
                <w:rFonts w:hint="eastAsia" w:ascii="宋体" w:hAnsi="宋体" w:eastAsia="宋体" w:cs="宋体"/>
                <w:color w:val="auto"/>
                <w:sz w:val="20"/>
                <w:szCs w:val="20"/>
                <w:highlight w:val="none"/>
                <w:lang w:val="en-US" w:eastAsia="zh-CN"/>
              </w:rPr>
              <w:t>应建立完善的财务管理制度，确保物业服务费用的合理收支和使用。</w:t>
            </w:r>
          </w:p>
        </w:tc>
      </w:tr>
      <w:tr w14:paraId="16C63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90" w:type="dxa"/>
            <w:vAlign w:val="center"/>
          </w:tcPr>
          <w:p w14:paraId="53E1DE75">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1755" w:type="dxa"/>
            <w:vMerge w:val="continue"/>
            <w:vAlign w:val="center"/>
          </w:tcPr>
          <w:p w14:paraId="2016FC20">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5B414924">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（3）对责任的要求：物业</w:t>
            </w:r>
            <w:r>
              <w:rPr>
                <w:rFonts w:hint="eastAsia" w:ascii="宋体" w:hAnsi="宋体" w:cs="宋体"/>
                <w:color w:val="auto"/>
                <w:sz w:val="20"/>
                <w:szCs w:val="20"/>
                <w:highlight w:val="none"/>
                <w:lang w:val="en-US" w:eastAsia="zh-CN"/>
              </w:rPr>
              <w:t>服务商</w:t>
            </w:r>
            <w:r>
              <w:rPr>
                <w:rFonts w:hint="eastAsia" w:ascii="宋体" w:hAnsi="宋体" w:eastAsia="宋体" w:cs="宋体"/>
                <w:color w:val="auto"/>
                <w:sz w:val="20"/>
                <w:szCs w:val="20"/>
                <w:highlight w:val="none"/>
                <w:lang w:val="en-US" w:eastAsia="zh-CN"/>
              </w:rPr>
              <w:t>必须履行管理职责，保障</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的生命财产安全。在物业管理中，如有过失或者违法行为，应当承担相应的法律责任。</w:t>
            </w:r>
          </w:p>
        </w:tc>
      </w:tr>
      <w:tr w14:paraId="56F98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68FAD046">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1755" w:type="dxa"/>
            <w:vMerge w:val="continue"/>
            <w:vAlign w:val="center"/>
          </w:tcPr>
          <w:p w14:paraId="58A32025">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675A66C2">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（4）不得擅自变更物业的用途，不得违反国家的规定进行违法建设。</w:t>
            </w:r>
          </w:p>
        </w:tc>
      </w:tr>
      <w:tr w14:paraId="376A0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0FD8F934">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1755" w:type="dxa"/>
            <w:vMerge w:val="continue"/>
            <w:vAlign w:val="center"/>
          </w:tcPr>
          <w:p w14:paraId="3EF7D719">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675791D3">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（5）应当定期对物业进行检查、维修和保养，并及时向</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报告相关情况。</w:t>
            </w:r>
          </w:p>
        </w:tc>
      </w:tr>
      <w:tr w14:paraId="55538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37FC2C84">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1755" w:type="dxa"/>
            <w:vMerge w:val="continue"/>
            <w:vAlign w:val="center"/>
          </w:tcPr>
          <w:p w14:paraId="13B3D458">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6CD12352">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（6）应当听取</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的意见和建议，并按照</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的决定执行。</w:t>
            </w:r>
          </w:p>
        </w:tc>
      </w:tr>
      <w:tr w14:paraId="5905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3C745299">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1755" w:type="dxa"/>
            <w:vMerge w:val="restart"/>
            <w:vAlign w:val="center"/>
          </w:tcPr>
          <w:p w14:paraId="7DF59AD6">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服务要求</w:t>
            </w:r>
          </w:p>
        </w:tc>
        <w:tc>
          <w:tcPr>
            <w:tcW w:w="5880" w:type="dxa"/>
            <w:vAlign w:val="center"/>
          </w:tcPr>
          <w:p w14:paraId="4DF8DBFC">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（1）制定各项管理制度、服务质量标准、工作岗位考核标准、奖惩办法并严格执行。</w:t>
            </w:r>
          </w:p>
        </w:tc>
      </w:tr>
      <w:tr w14:paraId="3996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71D64C30">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1755" w:type="dxa"/>
            <w:vMerge w:val="continue"/>
            <w:vAlign w:val="center"/>
          </w:tcPr>
          <w:p w14:paraId="258F5510">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1463BC51">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（2）配备物业服务所需各类专业技术人员，应持证上岗。</w:t>
            </w:r>
          </w:p>
        </w:tc>
      </w:tr>
      <w:tr w14:paraId="6286A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68538EAD">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1755" w:type="dxa"/>
            <w:vMerge w:val="continue"/>
            <w:vAlign w:val="center"/>
          </w:tcPr>
          <w:p w14:paraId="1D9629DA">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1671816C">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（3）建立健全员工培训机制，加强员工培训，不断提高员工工作技能。员工在工作时间应着装整齐，仪表、仪态端庄、热情大方，用语文明礼貌；服务做到坚持原则，严守</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秘密。</w:t>
            </w:r>
          </w:p>
        </w:tc>
      </w:tr>
      <w:tr w14:paraId="24BA8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4" w:hRule="atLeast"/>
        </w:trPr>
        <w:tc>
          <w:tcPr>
            <w:tcW w:w="690" w:type="dxa"/>
            <w:vAlign w:val="center"/>
          </w:tcPr>
          <w:p w14:paraId="58BE9280">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1755" w:type="dxa"/>
            <w:vMerge w:val="continue"/>
            <w:vAlign w:val="center"/>
          </w:tcPr>
          <w:p w14:paraId="40882B1E">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116B1D2D">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（4）员工要掌握各相关专业物业情况，确保做到优质服务。</w:t>
            </w:r>
          </w:p>
        </w:tc>
      </w:tr>
      <w:tr w14:paraId="47D05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7EBDFC61">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1755" w:type="dxa"/>
            <w:vMerge w:val="continue"/>
            <w:vAlign w:val="center"/>
          </w:tcPr>
          <w:p w14:paraId="3E304E34">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4C475CB5">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（5）制定各类设备专人专管的岗位责任制，每日巡回检查，定期维修保养，保证物业安全运行，环境整洁。</w:t>
            </w:r>
          </w:p>
        </w:tc>
      </w:tr>
      <w:tr w14:paraId="4BFE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4" w:hRule="atLeast"/>
        </w:trPr>
        <w:tc>
          <w:tcPr>
            <w:tcW w:w="690" w:type="dxa"/>
            <w:vAlign w:val="center"/>
          </w:tcPr>
          <w:p w14:paraId="4F1DAAF3">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1755" w:type="dxa"/>
            <w:vMerge w:val="continue"/>
            <w:vAlign w:val="center"/>
          </w:tcPr>
          <w:p w14:paraId="55D45FAC">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1125AFC3">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（6）制定各类应急预案，如遇突发事件，相关专业人员必须及时赶到现场，采取有效措施防止事态的扩大，并迅速报告</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w:t>
            </w:r>
          </w:p>
        </w:tc>
      </w:tr>
      <w:tr w14:paraId="59E43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7EFCF633">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1755" w:type="dxa"/>
            <w:vMerge w:val="continue"/>
            <w:vAlign w:val="center"/>
          </w:tcPr>
          <w:p w14:paraId="3B4F3EA1">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5BF40C33">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（7）管理与物业相关的台帐、工程图纸、档案与竣工验收资料，参与物业范围内的非生产设备设施验收工作。</w:t>
            </w:r>
          </w:p>
        </w:tc>
      </w:tr>
      <w:tr w14:paraId="39FDE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49E4500F">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14</w:t>
            </w:r>
          </w:p>
        </w:tc>
        <w:tc>
          <w:tcPr>
            <w:tcW w:w="1755" w:type="dxa"/>
            <w:vMerge w:val="restart"/>
            <w:vAlign w:val="center"/>
          </w:tcPr>
          <w:p w14:paraId="2C5E3A2C">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工作要求</w:t>
            </w:r>
          </w:p>
        </w:tc>
        <w:tc>
          <w:tcPr>
            <w:tcW w:w="5880" w:type="dxa"/>
            <w:vAlign w:val="center"/>
          </w:tcPr>
          <w:p w14:paraId="6973E654">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（1）建立物业服务区域内建、构筑物及附属设施管理台账。</w:t>
            </w:r>
          </w:p>
        </w:tc>
      </w:tr>
      <w:tr w14:paraId="6A6C4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7861D54A">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15</w:t>
            </w:r>
          </w:p>
        </w:tc>
        <w:tc>
          <w:tcPr>
            <w:tcW w:w="1755" w:type="dxa"/>
            <w:vMerge w:val="continue"/>
            <w:vAlign w:val="center"/>
          </w:tcPr>
          <w:p w14:paraId="008C484A">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222259A6">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（2）制订维修保养计划方案及费用预算。</w:t>
            </w:r>
          </w:p>
        </w:tc>
      </w:tr>
      <w:tr w14:paraId="35F0D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4E0675E7">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16</w:t>
            </w:r>
          </w:p>
        </w:tc>
        <w:tc>
          <w:tcPr>
            <w:tcW w:w="1755" w:type="dxa"/>
            <w:vMerge w:val="continue"/>
            <w:vAlign w:val="center"/>
          </w:tcPr>
          <w:p w14:paraId="22D66631">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5C8DA459">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（3）负责维保项目施工管理，全过程把好质量、进度、安全关，确保项目高质量、低成本及施工安全，并做好项目资料归档工作。</w:t>
            </w:r>
          </w:p>
        </w:tc>
      </w:tr>
      <w:tr w14:paraId="497D5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45232E8D">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17</w:t>
            </w:r>
          </w:p>
        </w:tc>
        <w:tc>
          <w:tcPr>
            <w:tcW w:w="1755" w:type="dxa"/>
            <w:vMerge w:val="continue"/>
            <w:vAlign w:val="center"/>
          </w:tcPr>
          <w:p w14:paraId="140A9844">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58E74DF6">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（4）建筑物（包括天面、墙体、门窗、地面等）的维修、养护和管理。</w:t>
            </w:r>
          </w:p>
        </w:tc>
      </w:tr>
      <w:tr w14:paraId="4ABC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05735C93">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18</w:t>
            </w:r>
          </w:p>
        </w:tc>
        <w:tc>
          <w:tcPr>
            <w:tcW w:w="1755" w:type="dxa"/>
            <w:vMerge w:val="continue"/>
            <w:vAlign w:val="center"/>
          </w:tcPr>
          <w:p w14:paraId="164E42EC">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40FF3F6C">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r>
              <w:rPr>
                <w:rFonts w:hint="eastAsia" w:ascii="宋体" w:hAnsi="宋体" w:cs="宋体"/>
                <w:color w:val="auto"/>
                <w:sz w:val="20"/>
                <w:szCs w:val="20"/>
                <w:highlight w:val="none"/>
                <w:lang w:val="en-US" w:eastAsia="zh-CN"/>
              </w:rPr>
              <w:t>房源</w:t>
            </w:r>
            <w:r>
              <w:rPr>
                <w:rFonts w:hint="eastAsia" w:ascii="宋体" w:hAnsi="宋体" w:eastAsia="宋体" w:cs="宋体"/>
                <w:color w:val="auto"/>
                <w:sz w:val="20"/>
                <w:szCs w:val="20"/>
                <w:highlight w:val="none"/>
                <w:lang w:val="en-US" w:eastAsia="zh-CN"/>
              </w:rPr>
              <w:t>建筑附属设施设备（包含给排水系统、加压供水设备、配电系统、照明等）的维修、养护、管理和运行服务，（消防系统、空调系统、电梯、安防系统）管理和运行服务，配合外委单位的维修服务。</w:t>
            </w:r>
          </w:p>
        </w:tc>
      </w:tr>
      <w:tr w14:paraId="4EE8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703693FD">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19</w:t>
            </w:r>
          </w:p>
        </w:tc>
        <w:tc>
          <w:tcPr>
            <w:tcW w:w="1755" w:type="dxa"/>
            <w:vMerge w:val="continue"/>
            <w:vAlign w:val="center"/>
          </w:tcPr>
          <w:p w14:paraId="5647BE0B">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71CD7D25">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本物业规划红线内属物业管理范围的公用设施（道路、围墙、门、室内外上下水管道、电缆沟、化粪池、沟渠、蓄水池（箱）、水井、生活水泵房、路灯、园林景观灯、泛光灯、绿化设施、停车场（位）等）的维修、养护和管理。</w:t>
            </w:r>
          </w:p>
        </w:tc>
      </w:tr>
      <w:tr w14:paraId="3821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90" w:type="dxa"/>
            <w:vAlign w:val="center"/>
          </w:tcPr>
          <w:p w14:paraId="045DB724">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20</w:t>
            </w:r>
          </w:p>
        </w:tc>
        <w:tc>
          <w:tcPr>
            <w:tcW w:w="1755" w:type="dxa"/>
            <w:vMerge w:val="continue"/>
            <w:vAlign w:val="center"/>
          </w:tcPr>
          <w:p w14:paraId="52E747B3">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1EE88FDC">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（7）物业服务区域内的其他资产的养护维修。</w:t>
            </w:r>
          </w:p>
        </w:tc>
      </w:tr>
      <w:tr w14:paraId="5479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17DBB5AC">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21</w:t>
            </w:r>
          </w:p>
        </w:tc>
        <w:tc>
          <w:tcPr>
            <w:tcW w:w="1755" w:type="dxa"/>
            <w:vMerge w:val="restart"/>
            <w:vAlign w:val="center"/>
          </w:tcPr>
          <w:p w14:paraId="6E3B1472">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日常养护维修要求</w:t>
            </w:r>
          </w:p>
          <w:p w14:paraId="34E1954A">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7EC89227">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（1）物业管理区域内地面、墙、台面、门窗、楼梯等的日常巡查和养护维修，确保建筑物处于完好状态，防止建筑物被侵蚀、损害事件发生。确保物业管理区域内</w:t>
            </w:r>
            <w:r>
              <w:rPr>
                <w:rFonts w:hint="eastAsia" w:ascii="宋体" w:hAnsi="宋体" w:cs="宋体"/>
                <w:color w:val="auto"/>
                <w:sz w:val="20"/>
                <w:szCs w:val="20"/>
                <w:highlight w:val="none"/>
                <w:lang w:val="en-US" w:eastAsia="zh-CN"/>
              </w:rPr>
              <w:t>房源</w:t>
            </w:r>
            <w:r>
              <w:rPr>
                <w:rFonts w:hint="eastAsia" w:ascii="宋体" w:hAnsi="宋体" w:eastAsia="宋体" w:cs="宋体"/>
                <w:color w:val="auto"/>
                <w:sz w:val="20"/>
                <w:szCs w:val="20"/>
                <w:highlight w:val="none"/>
                <w:lang w:val="en-US" w:eastAsia="zh-CN"/>
              </w:rPr>
              <w:t>及设施的完好等级和正常使用。</w:t>
            </w:r>
          </w:p>
        </w:tc>
      </w:tr>
      <w:tr w14:paraId="14F92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566111C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22</w:t>
            </w:r>
          </w:p>
        </w:tc>
        <w:tc>
          <w:tcPr>
            <w:tcW w:w="1755" w:type="dxa"/>
            <w:vMerge w:val="continue"/>
            <w:vAlign w:val="center"/>
          </w:tcPr>
          <w:p w14:paraId="7A0A39C0">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7813DE6F">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（2）玻璃无破裂，五金配件完好，门窗开闭灵活、密封性好。否则应及时修复或更换，不能立即修复的涉及安全性的应采取措施消除安全隐患。</w:t>
            </w:r>
          </w:p>
        </w:tc>
      </w:tr>
      <w:tr w14:paraId="010A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32E1C8BC">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23</w:t>
            </w:r>
          </w:p>
        </w:tc>
        <w:tc>
          <w:tcPr>
            <w:tcW w:w="1755" w:type="dxa"/>
            <w:vMerge w:val="continue"/>
            <w:vAlign w:val="center"/>
          </w:tcPr>
          <w:p w14:paraId="02FF095B">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7CE0C2F9">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（3）屋面排水沟、室内室外排水管保障畅通；雨前及时巡查，排除隐患。发现过滤网及管道破损及时修复或更换。</w:t>
            </w:r>
          </w:p>
        </w:tc>
      </w:tr>
      <w:tr w14:paraId="7119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446E85F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24</w:t>
            </w:r>
          </w:p>
        </w:tc>
        <w:tc>
          <w:tcPr>
            <w:tcW w:w="1755" w:type="dxa"/>
            <w:vMerge w:val="continue"/>
            <w:vAlign w:val="center"/>
          </w:tcPr>
          <w:p w14:paraId="22DF5E96">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71D66386">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（4）及时完成家具、设备等各项零星维修任务，一般维修任务确保不超过24小时，确保家具、设备维修合格率达到100%。</w:t>
            </w:r>
          </w:p>
        </w:tc>
      </w:tr>
      <w:tr w14:paraId="1053C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7C3FE2FE">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25</w:t>
            </w:r>
          </w:p>
        </w:tc>
        <w:tc>
          <w:tcPr>
            <w:tcW w:w="1755" w:type="dxa"/>
            <w:vMerge w:val="continue"/>
            <w:vAlign w:val="center"/>
          </w:tcPr>
          <w:p w14:paraId="56BA5751">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28AF92BF">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（5）楼内相关设施发现损坏应立即修复，安全标志等应清晰完整。保证各项设施、器材的正常使用。</w:t>
            </w:r>
          </w:p>
        </w:tc>
      </w:tr>
      <w:tr w14:paraId="6B09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053CCE1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26</w:t>
            </w:r>
          </w:p>
        </w:tc>
        <w:tc>
          <w:tcPr>
            <w:tcW w:w="1755" w:type="dxa"/>
            <w:vMerge w:val="continue"/>
            <w:vAlign w:val="center"/>
          </w:tcPr>
          <w:p w14:paraId="78569B8D">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31928DCF">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（6）负责桌椅门锁简单修理。</w:t>
            </w:r>
          </w:p>
        </w:tc>
      </w:tr>
      <w:tr w14:paraId="1BFF2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0" w:type="dxa"/>
            <w:vAlign w:val="center"/>
          </w:tcPr>
          <w:p w14:paraId="62CC5101">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27</w:t>
            </w:r>
          </w:p>
        </w:tc>
        <w:tc>
          <w:tcPr>
            <w:tcW w:w="1755" w:type="dxa"/>
            <w:vMerge w:val="restart"/>
            <w:vAlign w:val="center"/>
          </w:tcPr>
          <w:p w14:paraId="4D9BC89C">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用户侧用电系统养护维修要求</w:t>
            </w:r>
          </w:p>
        </w:tc>
        <w:tc>
          <w:tcPr>
            <w:tcW w:w="5880" w:type="dxa"/>
            <w:vAlign w:val="center"/>
          </w:tcPr>
          <w:p w14:paraId="6086C074">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（1）对单位用户侧用电系统、照明设施设备、食堂用电设备等的运行管理和日常维修，确保各类设备设施的正常运行。</w:t>
            </w:r>
          </w:p>
        </w:tc>
      </w:tr>
      <w:tr w14:paraId="07024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0" w:type="dxa"/>
            <w:vAlign w:val="center"/>
          </w:tcPr>
          <w:p w14:paraId="21E17EA3">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28</w:t>
            </w:r>
          </w:p>
        </w:tc>
        <w:tc>
          <w:tcPr>
            <w:tcW w:w="1755" w:type="dxa"/>
            <w:vMerge w:val="continue"/>
            <w:vAlign w:val="center"/>
          </w:tcPr>
          <w:p w14:paraId="6CC1CB51">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40572221">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（2）负责各类照明灯具、泛光照明系统、用电设备设施、食堂用电设备的日常管理和维护修理。</w:t>
            </w:r>
          </w:p>
        </w:tc>
      </w:tr>
      <w:tr w14:paraId="5EF87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0" w:type="dxa"/>
            <w:vAlign w:val="center"/>
          </w:tcPr>
          <w:p w14:paraId="20832EB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29</w:t>
            </w:r>
          </w:p>
        </w:tc>
        <w:tc>
          <w:tcPr>
            <w:tcW w:w="1755" w:type="dxa"/>
            <w:vMerge w:val="continue"/>
            <w:vAlign w:val="center"/>
          </w:tcPr>
          <w:p w14:paraId="41907042">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3A1EF11E">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（3）定期检查各类用电设备分电表箱、配电箱、配电柜及每层管线分线盒的安全使用，及时消缺，确保各类用电设备运行正常，随时可用且安全可靠。</w:t>
            </w:r>
          </w:p>
        </w:tc>
      </w:tr>
      <w:tr w14:paraId="3A11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0" w:type="dxa"/>
            <w:vAlign w:val="center"/>
          </w:tcPr>
          <w:p w14:paraId="272DE502">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30</w:t>
            </w:r>
          </w:p>
        </w:tc>
        <w:tc>
          <w:tcPr>
            <w:tcW w:w="1755" w:type="dxa"/>
            <w:vMerge w:val="continue"/>
            <w:vAlign w:val="center"/>
          </w:tcPr>
          <w:p w14:paraId="4E0D385A">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430EC9F9">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（4）配合做好各类用电设备的专项检查、维修工作。</w:t>
            </w:r>
          </w:p>
        </w:tc>
      </w:tr>
      <w:tr w14:paraId="77FBC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0" w:type="dxa"/>
            <w:vAlign w:val="center"/>
          </w:tcPr>
          <w:p w14:paraId="01E741D3">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31</w:t>
            </w:r>
          </w:p>
        </w:tc>
        <w:tc>
          <w:tcPr>
            <w:tcW w:w="1755" w:type="dxa"/>
            <w:vMerge w:val="continue"/>
            <w:vAlign w:val="center"/>
          </w:tcPr>
          <w:p w14:paraId="251F8056">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09D03F62">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（5）通过有效的管理措施及技术措施，积极开展节能管理工作。</w:t>
            </w:r>
          </w:p>
        </w:tc>
      </w:tr>
      <w:tr w14:paraId="4B0BA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6896629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32</w:t>
            </w:r>
          </w:p>
        </w:tc>
        <w:tc>
          <w:tcPr>
            <w:tcW w:w="1755" w:type="dxa"/>
            <w:vMerge w:val="restart"/>
            <w:vAlign w:val="center"/>
          </w:tcPr>
          <w:p w14:paraId="6CB8F01E">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给排水系统日常养护要求 </w:t>
            </w:r>
          </w:p>
        </w:tc>
        <w:tc>
          <w:tcPr>
            <w:tcW w:w="5880" w:type="dxa"/>
            <w:vAlign w:val="center"/>
          </w:tcPr>
          <w:p w14:paraId="474111C1">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（1）对物业管理区域室内外给排水系统的设备、设施，如加压房、水泵、水箱、管道、管件、阀门、排水管、室外排水管、排污管及附属构筑物等进行日常巡视、养护维修，保持正常运行。</w:t>
            </w:r>
          </w:p>
        </w:tc>
      </w:tr>
      <w:tr w14:paraId="7900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1A072F11">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33</w:t>
            </w:r>
          </w:p>
        </w:tc>
        <w:tc>
          <w:tcPr>
            <w:tcW w:w="1755" w:type="dxa"/>
            <w:vMerge w:val="continue"/>
            <w:vAlign w:val="center"/>
          </w:tcPr>
          <w:p w14:paraId="6650EE89">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3F57BBB6">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（2）对服务区域内的公共雨、污水管道、房顶进行巡视，保证畅通无堵；每月要定期检查、巡视、疏通排水沟及化粪池，使管道通畅，无堵塞外溢现象。</w:t>
            </w:r>
          </w:p>
        </w:tc>
      </w:tr>
      <w:tr w14:paraId="3BC4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00EA14C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34</w:t>
            </w:r>
          </w:p>
        </w:tc>
        <w:tc>
          <w:tcPr>
            <w:tcW w:w="1755" w:type="dxa"/>
            <w:vMerge w:val="continue"/>
            <w:vAlign w:val="center"/>
          </w:tcPr>
          <w:p w14:paraId="6581E418">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371947F6">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（3）配合外委单位做好给排水系统维修工作。</w:t>
            </w:r>
          </w:p>
        </w:tc>
      </w:tr>
      <w:tr w14:paraId="751FB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2A88551C">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35</w:t>
            </w:r>
          </w:p>
        </w:tc>
        <w:tc>
          <w:tcPr>
            <w:tcW w:w="1755" w:type="dxa"/>
            <w:vMerge w:val="restart"/>
            <w:vAlign w:val="center"/>
          </w:tcPr>
          <w:p w14:paraId="3D778745">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安全标识检查要求</w:t>
            </w:r>
          </w:p>
        </w:tc>
        <w:tc>
          <w:tcPr>
            <w:tcW w:w="5880" w:type="dxa"/>
            <w:vAlign w:val="center"/>
          </w:tcPr>
          <w:p w14:paraId="0C1E61D8">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（1）对安全标识、划线进行检查，保证标识划线的可视性、适用性。</w:t>
            </w:r>
          </w:p>
        </w:tc>
      </w:tr>
      <w:tr w14:paraId="2C189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37E0A310">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36</w:t>
            </w:r>
          </w:p>
        </w:tc>
        <w:tc>
          <w:tcPr>
            <w:tcW w:w="1755" w:type="dxa"/>
            <w:vMerge w:val="continue"/>
            <w:vAlign w:val="center"/>
          </w:tcPr>
          <w:p w14:paraId="3E450E21">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220EAA6C">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（2）对损坏的、变化的、磨损的划线及时进行维护。</w:t>
            </w:r>
          </w:p>
        </w:tc>
      </w:tr>
      <w:tr w14:paraId="4C43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0AD885C9">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37</w:t>
            </w:r>
          </w:p>
        </w:tc>
        <w:tc>
          <w:tcPr>
            <w:tcW w:w="1755" w:type="dxa"/>
            <w:vMerge w:val="restart"/>
            <w:vAlign w:val="center"/>
          </w:tcPr>
          <w:p w14:paraId="12D98055">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其他要求</w:t>
            </w:r>
          </w:p>
        </w:tc>
        <w:tc>
          <w:tcPr>
            <w:tcW w:w="5880" w:type="dxa"/>
            <w:vAlign w:val="center"/>
          </w:tcPr>
          <w:p w14:paraId="20A2F9C5">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（1）物业服务人员应在接到建筑物及各类设备报修后及时响应，及时处理。一般性维修不过夜，特殊情况应与</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沟通协商。</w:t>
            </w:r>
          </w:p>
        </w:tc>
      </w:tr>
      <w:tr w14:paraId="32F90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690" w:type="dxa"/>
            <w:vAlign w:val="center"/>
          </w:tcPr>
          <w:p w14:paraId="0D522E22">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38</w:t>
            </w:r>
          </w:p>
        </w:tc>
        <w:tc>
          <w:tcPr>
            <w:tcW w:w="1755" w:type="dxa"/>
            <w:vMerge w:val="continue"/>
            <w:vAlign w:val="center"/>
          </w:tcPr>
          <w:p w14:paraId="6F3ED523">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80" w:type="dxa"/>
            <w:vAlign w:val="center"/>
          </w:tcPr>
          <w:p w14:paraId="7F0661E5">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(2)完成</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交办的临时任务。</w:t>
            </w:r>
          </w:p>
        </w:tc>
      </w:tr>
      <w:tr w14:paraId="05D5B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739C3517">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39</w:t>
            </w:r>
          </w:p>
        </w:tc>
        <w:tc>
          <w:tcPr>
            <w:tcW w:w="1755" w:type="dxa"/>
            <w:vMerge w:val="restart"/>
            <w:vAlign w:val="center"/>
          </w:tcPr>
          <w:p w14:paraId="49BE8EED">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环境卫生清洁服务要求</w:t>
            </w:r>
          </w:p>
        </w:tc>
        <w:tc>
          <w:tcPr>
            <w:tcW w:w="5880" w:type="dxa"/>
            <w:vAlign w:val="center"/>
          </w:tcPr>
          <w:p w14:paraId="2886492C">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（1）服务区域内除</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要求不予进入的特殊场所外的所有区域的清洁卫生和垃圾的收集、清运、普通病虫害消杀。</w:t>
            </w:r>
          </w:p>
        </w:tc>
      </w:tr>
      <w:tr w14:paraId="37C1C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67800345">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40</w:t>
            </w:r>
          </w:p>
        </w:tc>
        <w:tc>
          <w:tcPr>
            <w:tcW w:w="1755" w:type="dxa"/>
            <w:vMerge w:val="continue"/>
            <w:vAlign w:val="center"/>
          </w:tcPr>
          <w:p w14:paraId="206F8B2F">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1B6B54A1">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（2）负责定期对天花板、吊顶、墙面、墙角、灯具进行清扫、擦拭。</w:t>
            </w:r>
          </w:p>
        </w:tc>
      </w:tr>
      <w:tr w14:paraId="7401D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582430DD">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41</w:t>
            </w:r>
          </w:p>
        </w:tc>
        <w:tc>
          <w:tcPr>
            <w:tcW w:w="1755" w:type="dxa"/>
            <w:vMerge w:val="continue"/>
            <w:vAlign w:val="center"/>
          </w:tcPr>
          <w:p w14:paraId="2FD78165">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485A483F">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（3）负责对服务区域内的内外走廊和公共场所进行清扫，在工作时间内检查，目视范围内地面无烟头、污渍、积水、纸屑、果皮。</w:t>
            </w:r>
          </w:p>
        </w:tc>
      </w:tr>
      <w:tr w14:paraId="321EF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3A44EB9E">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42</w:t>
            </w:r>
          </w:p>
        </w:tc>
        <w:tc>
          <w:tcPr>
            <w:tcW w:w="1755" w:type="dxa"/>
            <w:vMerge w:val="continue"/>
            <w:vAlign w:val="center"/>
          </w:tcPr>
          <w:p w14:paraId="20EDEAEE">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529D39E3">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（4）负责每日清理服务区域内的室内垃圾，确保室内无因垃圾清理不及时散发的异味、臭味。</w:t>
            </w:r>
          </w:p>
        </w:tc>
      </w:tr>
      <w:tr w14:paraId="3E07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148281AF">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43</w:t>
            </w:r>
          </w:p>
        </w:tc>
        <w:tc>
          <w:tcPr>
            <w:tcW w:w="1755" w:type="dxa"/>
            <w:vMerge w:val="continue"/>
            <w:vAlign w:val="center"/>
          </w:tcPr>
          <w:p w14:paraId="7F159CF8">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59B8B8DB">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（5）负责每日对服务区域内的公共卫生间进行清理，确保大、小便器及隔板洁净，无黄渍，无脏物。</w:t>
            </w:r>
          </w:p>
        </w:tc>
      </w:tr>
      <w:tr w14:paraId="5122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7A50E8C0">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44</w:t>
            </w:r>
          </w:p>
        </w:tc>
        <w:tc>
          <w:tcPr>
            <w:tcW w:w="1755" w:type="dxa"/>
            <w:vMerge w:val="continue"/>
            <w:vAlign w:val="center"/>
          </w:tcPr>
          <w:p w14:paraId="2DC3B7AE">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566BC51F">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（6）负责定期对服务区域内的公共卫生间便器冲水阀、门、烘干器等进行检查，确保使用正常。</w:t>
            </w:r>
          </w:p>
        </w:tc>
      </w:tr>
      <w:tr w14:paraId="1682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2E5C952C">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45</w:t>
            </w:r>
          </w:p>
        </w:tc>
        <w:tc>
          <w:tcPr>
            <w:tcW w:w="1755" w:type="dxa"/>
            <w:vMerge w:val="continue"/>
            <w:vAlign w:val="center"/>
          </w:tcPr>
          <w:p w14:paraId="2B1DEA4B">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5A8EA937">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（7）负责巡视检查卫生间内洗手液、抽纸是否配备齐全，如缺少，需及时补足。</w:t>
            </w:r>
          </w:p>
        </w:tc>
      </w:tr>
      <w:tr w14:paraId="4BB1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17685125">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46</w:t>
            </w:r>
          </w:p>
        </w:tc>
        <w:tc>
          <w:tcPr>
            <w:tcW w:w="1755" w:type="dxa"/>
            <w:vMerge w:val="continue"/>
            <w:vAlign w:val="center"/>
          </w:tcPr>
          <w:p w14:paraId="5623AB74">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15A01B35">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（8）负责对服务区域内的楼层走廊、楼梯扶手、台阶、楼层走道地面、墙面等进行清理，保持干净整洁。</w:t>
            </w:r>
          </w:p>
        </w:tc>
      </w:tr>
      <w:tr w14:paraId="2C96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52AC9B43">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47</w:t>
            </w:r>
          </w:p>
        </w:tc>
        <w:tc>
          <w:tcPr>
            <w:tcW w:w="1755" w:type="dxa"/>
            <w:vMerge w:val="continue"/>
            <w:vAlign w:val="center"/>
          </w:tcPr>
          <w:p w14:paraId="708B7B2A">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2FED2FBE">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（9）负责在霉雨天气关上各楼层走廊及楼梯的门窗。</w:t>
            </w:r>
          </w:p>
        </w:tc>
      </w:tr>
      <w:tr w14:paraId="52C0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179B4331">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48</w:t>
            </w:r>
          </w:p>
        </w:tc>
        <w:tc>
          <w:tcPr>
            <w:tcW w:w="1755" w:type="dxa"/>
            <w:vMerge w:val="continue"/>
            <w:vAlign w:val="center"/>
          </w:tcPr>
          <w:p w14:paraId="743E8D9C">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09A0DCFA">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（10）负责对服务区域内室外的路面、绿地进行清扫，清除地面、绿地的果皮、纸屑、树叶和烟头等杂物。</w:t>
            </w:r>
          </w:p>
        </w:tc>
      </w:tr>
      <w:tr w14:paraId="60F96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6BED1C18">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49</w:t>
            </w:r>
          </w:p>
        </w:tc>
        <w:tc>
          <w:tcPr>
            <w:tcW w:w="1755" w:type="dxa"/>
            <w:vMerge w:val="continue"/>
            <w:vAlign w:val="center"/>
          </w:tcPr>
          <w:p w14:paraId="70C2C98F">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754C9DD2">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（11）负责对服务区域内的玻璃门窗、防火门、木门、防盗门、不锈钢门框等进行擦拭，保持干净整洁。</w:t>
            </w:r>
          </w:p>
        </w:tc>
      </w:tr>
      <w:tr w14:paraId="32DD9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39851227">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50</w:t>
            </w:r>
          </w:p>
        </w:tc>
        <w:tc>
          <w:tcPr>
            <w:tcW w:w="1755" w:type="dxa"/>
            <w:vMerge w:val="continue"/>
            <w:vAlign w:val="center"/>
          </w:tcPr>
          <w:p w14:paraId="3D0BE646">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0B65C26C">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（12）</w:t>
            </w:r>
            <w:r>
              <w:rPr>
                <w:rFonts w:hint="eastAsia" w:ascii="宋体" w:hAnsi="宋体" w:cs="宋体"/>
                <w:color w:val="auto"/>
                <w:sz w:val="20"/>
                <w:szCs w:val="20"/>
                <w:highlight w:val="none"/>
                <w:lang w:val="en-US" w:eastAsia="zh-CN"/>
              </w:rPr>
              <w:t>负责</w:t>
            </w:r>
            <w:r>
              <w:rPr>
                <w:rFonts w:hint="eastAsia" w:ascii="宋体" w:hAnsi="宋体" w:eastAsia="宋体" w:cs="宋体"/>
                <w:color w:val="auto"/>
                <w:sz w:val="20"/>
                <w:szCs w:val="20"/>
                <w:highlight w:val="none"/>
                <w:lang w:val="en-US" w:eastAsia="zh-CN"/>
              </w:rPr>
              <w:t>清扫整理大会议室</w:t>
            </w:r>
            <w:r>
              <w:rPr>
                <w:rFonts w:hint="eastAsia" w:ascii="宋体" w:hAnsi="宋体" w:cs="宋体"/>
                <w:color w:val="auto"/>
                <w:sz w:val="20"/>
                <w:szCs w:val="20"/>
                <w:highlight w:val="none"/>
                <w:lang w:val="en-US" w:eastAsia="zh-CN"/>
              </w:rPr>
              <w:t>、</w:t>
            </w:r>
            <w:r>
              <w:rPr>
                <w:rFonts w:hint="eastAsia" w:ascii="宋体" w:hAnsi="宋体" w:eastAsia="宋体" w:cs="宋体"/>
                <w:color w:val="auto"/>
                <w:sz w:val="20"/>
                <w:szCs w:val="20"/>
                <w:highlight w:val="none"/>
                <w:lang w:val="en-US" w:eastAsia="zh-CN"/>
              </w:rPr>
              <w:t>其他会议室，</w:t>
            </w:r>
            <w:r>
              <w:rPr>
                <w:rFonts w:hint="eastAsia" w:ascii="宋体" w:hAnsi="宋体" w:cs="宋体"/>
                <w:color w:val="auto"/>
                <w:sz w:val="20"/>
                <w:szCs w:val="20"/>
                <w:highlight w:val="none"/>
                <w:lang w:val="en-US" w:eastAsia="zh-CN"/>
              </w:rPr>
              <w:t>在会前、会后及时清扫</w:t>
            </w:r>
            <w:r>
              <w:rPr>
                <w:rFonts w:hint="eastAsia" w:ascii="宋体" w:hAnsi="宋体" w:eastAsia="宋体" w:cs="宋体"/>
                <w:color w:val="auto"/>
                <w:sz w:val="20"/>
                <w:szCs w:val="20"/>
                <w:highlight w:val="none"/>
                <w:lang w:val="en-US" w:eastAsia="zh-CN"/>
              </w:rPr>
              <w:t>。保持会议室地面、沙发干净整洁；桌椅、门窗、天花板、灯具等无蜘蛛网。</w:t>
            </w:r>
          </w:p>
        </w:tc>
      </w:tr>
      <w:tr w14:paraId="0EBD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00DB227D">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51</w:t>
            </w:r>
          </w:p>
        </w:tc>
        <w:tc>
          <w:tcPr>
            <w:tcW w:w="1755" w:type="dxa"/>
            <w:vMerge w:val="continue"/>
            <w:vAlign w:val="center"/>
          </w:tcPr>
          <w:p w14:paraId="579FCBEF">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56027382">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（13）负责对服务区域内的各办公室进行常态化清洁。由于特殊原因需要临时保洁时，电话通知后30分钟内处理。</w:t>
            </w:r>
          </w:p>
        </w:tc>
      </w:tr>
      <w:tr w14:paraId="697A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57B666EF">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52</w:t>
            </w:r>
          </w:p>
        </w:tc>
        <w:tc>
          <w:tcPr>
            <w:tcW w:w="1755" w:type="dxa"/>
            <w:vMerge w:val="continue"/>
            <w:vAlign w:val="center"/>
          </w:tcPr>
          <w:p w14:paraId="36D1E36D">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4D9CDBD9">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（14）负责定期对办公室内地毯吸尘，搞好室内地面、墙面、桌椅、柜子、灯具、电脑等办公设备及办公家具清洁，保持整洁、无污渍；墙角、天花板无蜘蛛网。</w:t>
            </w:r>
          </w:p>
        </w:tc>
      </w:tr>
      <w:tr w14:paraId="39CE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01D0D764">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53</w:t>
            </w:r>
          </w:p>
        </w:tc>
        <w:tc>
          <w:tcPr>
            <w:tcW w:w="1755" w:type="dxa"/>
            <w:vMerge w:val="continue"/>
            <w:vAlign w:val="center"/>
          </w:tcPr>
          <w:p w14:paraId="2AEFE023">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378F97FC">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（15）负责定期对服务区域内的办公区“灭四害”，降低办公区内蚊、蝇、鼠、蟑螂密度。</w:t>
            </w:r>
          </w:p>
        </w:tc>
      </w:tr>
      <w:tr w14:paraId="30BE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90" w:type="dxa"/>
            <w:vAlign w:val="center"/>
          </w:tcPr>
          <w:p w14:paraId="6329A4DC">
            <w:pPr>
              <w:keepNext/>
              <w:keepLines w:val="0"/>
              <w:pageBreakBefore w:val="0"/>
              <w:widowControl w:val="0"/>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54</w:t>
            </w:r>
          </w:p>
        </w:tc>
        <w:tc>
          <w:tcPr>
            <w:tcW w:w="1755" w:type="dxa"/>
            <w:vMerge w:val="continue"/>
            <w:vAlign w:val="center"/>
          </w:tcPr>
          <w:p w14:paraId="5FCECBB6">
            <w:pPr>
              <w:keepNext/>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80" w:type="dxa"/>
            <w:vAlign w:val="center"/>
          </w:tcPr>
          <w:p w14:paraId="22808B59">
            <w:pPr>
              <w:keepNext/>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（16）负责对服务区域内的办公区消防栓柜（箱）、指示牌、窗台、内墙面等进行擦拭，保持干净整洁。</w:t>
            </w:r>
          </w:p>
        </w:tc>
      </w:tr>
    </w:tbl>
    <w:p w14:paraId="60121676">
      <w:pPr>
        <w:keepNext/>
        <w:keepLines w:val="0"/>
        <w:pageBreakBefore w:val="0"/>
        <w:widowControl w:val="0"/>
        <w:kinsoku/>
        <w:wordWrap/>
        <w:overflowPunct/>
        <w:topLinePunct w:val="0"/>
        <w:autoSpaceDE/>
        <w:autoSpaceDN/>
        <w:bidi w:val="0"/>
        <w:adjustRightInd/>
        <w:snapToGrid/>
        <w:spacing w:line="560" w:lineRule="exact"/>
        <w:ind w:firstLine="402" w:firstLineChars="200"/>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3.7周转房（员工宿舍等）生活场所管理服务具体工作要求</w:t>
      </w:r>
    </w:p>
    <w:tbl>
      <w:tblPr>
        <w:tblStyle w:val="16"/>
        <w:tblW w:w="8354"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765"/>
        <w:gridCol w:w="5861"/>
      </w:tblGrid>
      <w:tr w14:paraId="0F43D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blHeader/>
        </w:trPr>
        <w:tc>
          <w:tcPr>
            <w:tcW w:w="728" w:type="dxa"/>
            <w:vAlign w:val="center"/>
          </w:tcPr>
          <w:p w14:paraId="225B475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1765" w:type="dxa"/>
            <w:vAlign w:val="center"/>
          </w:tcPr>
          <w:p w14:paraId="62A0F69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5861" w:type="dxa"/>
            <w:vAlign w:val="center"/>
          </w:tcPr>
          <w:p w14:paraId="0FE9EE8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7D78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063C095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1765" w:type="dxa"/>
            <w:vMerge w:val="restart"/>
            <w:vAlign w:val="center"/>
          </w:tcPr>
          <w:p w14:paraId="56F6640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基本要求</w:t>
            </w:r>
          </w:p>
        </w:tc>
        <w:tc>
          <w:tcPr>
            <w:tcW w:w="5861" w:type="dxa"/>
            <w:vAlign w:val="center"/>
          </w:tcPr>
          <w:p w14:paraId="2EBF68F1">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（1）对物权的要求：物业</w:t>
            </w:r>
            <w:r>
              <w:rPr>
                <w:rFonts w:hint="eastAsia" w:ascii="宋体" w:hAnsi="宋体" w:cs="宋体"/>
                <w:color w:val="auto"/>
                <w:sz w:val="20"/>
                <w:szCs w:val="20"/>
                <w:highlight w:val="none"/>
                <w:lang w:val="en-US" w:eastAsia="zh-CN"/>
              </w:rPr>
              <w:t>服务商</w:t>
            </w:r>
            <w:r>
              <w:rPr>
                <w:rFonts w:hint="eastAsia" w:ascii="宋体" w:hAnsi="宋体" w:eastAsia="宋体" w:cs="宋体"/>
                <w:color w:val="auto"/>
                <w:sz w:val="20"/>
                <w:szCs w:val="20"/>
                <w:highlight w:val="none"/>
                <w:lang w:val="en-US" w:eastAsia="zh-CN"/>
              </w:rPr>
              <w:t>必须尊重</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的物权，保护</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的财产安全和合法权益。在物业管理过程中，不得擅自占用、使用、处分</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的财产。</w:t>
            </w:r>
          </w:p>
        </w:tc>
      </w:tr>
      <w:tr w14:paraId="145BB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24A5C4A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1765" w:type="dxa"/>
            <w:vMerge w:val="continue"/>
            <w:vAlign w:val="center"/>
          </w:tcPr>
          <w:p w14:paraId="1555CBF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4AC0C2A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（2）物业</w:t>
            </w:r>
            <w:r>
              <w:rPr>
                <w:rFonts w:hint="eastAsia" w:ascii="宋体" w:hAnsi="宋体" w:cs="宋体"/>
                <w:color w:val="auto"/>
                <w:sz w:val="20"/>
                <w:szCs w:val="20"/>
                <w:highlight w:val="none"/>
                <w:lang w:val="en-US" w:eastAsia="zh-CN"/>
              </w:rPr>
              <w:t>服务商</w:t>
            </w:r>
            <w:r>
              <w:rPr>
                <w:rFonts w:hint="eastAsia" w:ascii="宋体" w:hAnsi="宋体" w:eastAsia="宋体" w:cs="宋体"/>
                <w:color w:val="auto"/>
                <w:sz w:val="20"/>
                <w:szCs w:val="20"/>
                <w:highlight w:val="none"/>
                <w:lang w:val="en-US" w:eastAsia="zh-CN"/>
              </w:rPr>
              <w:t>必须妥善管理</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共有的公共设施、场所和物业服务专用设施等，确保其正常运转和维护保养，保证</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的共同利益。同时，物业</w:t>
            </w:r>
            <w:r>
              <w:rPr>
                <w:rFonts w:hint="eastAsia" w:ascii="宋体" w:hAnsi="宋体" w:cs="宋体"/>
                <w:color w:val="auto"/>
                <w:sz w:val="20"/>
                <w:szCs w:val="20"/>
                <w:highlight w:val="none"/>
                <w:lang w:val="en-US" w:eastAsia="zh-CN"/>
              </w:rPr>
              <w:t>服务商</w:t>
            </w:r>
            <w:r>
              <w:rPr>
                <w:rFonts w:hint="eastAsia" w:ascii="宋体" w:hAnsi="宋体" w:eastAsia="宋体" w:cs="宋体"/>
                <w:color w:val="auto"/>
                <w:sz w:val="20"/>
                <w:szCs w:val="20"/>
                <w:highlight w:val="none"/>
                <w:lang w:val="en-US" w:eastAsia="zh-CN"/>
              </w:rPr>
              <w:t>应建立完善的财务管理制度，确保物业服务费用的合理收支和使用。</w:t>
            </w:r>
          </w:p>
        </w:tc>
      </w:tr>
      <w:tr w14:paraId="753B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728" w:type="dxa"/>
            <w:vAlign w:val="center"/>
          </w:tcPr>
          <w:p w14:paraId="47C9068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1765" w:type="dxa"/>
            <w:vMerge w:val="continue"/>
            <w:vAlign w:val="center"/>
          </w:tcPr>
          <w:p w14:paraId="1C78793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69C46CB2">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（3）对责任的要求：物业</w:t>
            </w:r>
            <w:r>
              <w:rPr>
                <w:rFonts w:hint="eastAsia" w:ascii="宋体" w:hAnsi="宋体" w:cs="宋体"/>
                <w:color w:val="auto"/>
                <w:sz w:val="20"/>
                <w:szCs w:val="20"/>
                <w:highlight w:val="none"/>
                <w:lang w:val="en-US" w:eastAsia="zh-CN"/>
              </w:rPr>
              <w:t>服务商</w:t>
            </w:r>
            <w:r>
              <w:rPr>
                <w:rFonts w:hint="eastAsia" w:ascii="宋体" w:hAnsi="宋体" w:eastAsia="宋体" w:cs="宋体"/>
                <w:color w:val="auto"/>
                <w:sz w:val="20"/>
                <w:szCs w:val="20"/>
                <w:highlight w:val="none"/>
                <w:lang w:val="en-US" w:eastAsia="zh-CN"/>
              </w:rPr>
              <w:t>必须履行管理职责，保障</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的生命财产安全。在物业管理中，如有过失或者违法行为，应当承担相应的法律责任。</w:t>
            </w:r>
          </w:p>
        </w:tc>
      </w:tr>
      <w:tr w14:paraId="7BF41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66060BA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1765" w:type="dxa"/>
            <w:vMerge w:val="continue"/>
            <w:vAlign w:val="center"/>
          </w:tcPr>
          <w:p w14:paraId="27F0100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41EAAF6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（4）不得擅自变更物业的用途，不得违反国家的规定进行违法建设。</w:t>
            </w:r>
          </w:p>
        </w:tc>
      </w:tr>
      <w:tr w14:paraId="6A28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7E563A4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1765" w:type="dxa"/>
            <w:vMerge w:val="continue"/>
            <w:vAlign w:val="center"/>
          </w:tcPr>
          <w:p w14:paraId="31617C1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5AA043F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（5）应当定期对物业进行检查、维修和保养，并及时向</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报告相关情况。</w:t>
            </w:r>
          </w:p>
        </w:tc>
      </w:tr>
      <w:tr w14:paraId="69505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53D1EDC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1765" w:type="dxa"/>
            <w:vMerge w:val="continue"/>
            <w:vAlign w:val="center"/>
          </w:tcPr>
          <w:p w14:paraId="525F5BE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4E541977">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（6）应当听取</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的意见和建议，并按照</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的决定执行。</w:t>
            </w:r>
          </w:p>
        </w:tc>
      </w:tr>
      <w:tr w14:paraId="5A0A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69A4DFC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1765" w:type="dxa"/>
            <w:vMerge w:val="restart"/>
            <w:vAlign w:val="center"/>
          </w:tcPr>
          <w:p w14:paraId="6CDF78F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服务要求</w:t>
            </w:r>
          </w:p>
        </w:tc>
        <w:tc>
          <w:tcPr>
            <w:tcW w:w="5861" w:type="dxa"/>
            <w:vAlign w:val="center"/>
          </w:tcPr>
          <w:p w14:paraId="3DCA835C">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（1）制定各项管理制度、服务质量标准、工作岗位考核标准、奖惩办法并严格执行。</w:t>
            </w:r>
          </w:p>
        </w:tc>
      </w:tr>
      <w:tr w14:paraId="6D851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6440859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1765" w:type="dxa"/>
            <w:vMerge w:val="continue"/>
            <w:vAlign w:val="center"/>
          </w:tcPr>
          <w:p w14:paraId="74F1F20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343ACF74">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（2）配备物业服务所需各类专业技术人员，应持证上岗。</w:t>
            </w:r>
          </w:p>
        </w:tc>
      </w:tr>
      <w:tr w14:paraId="19FFA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1559E9D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1765" w:type="dxa"/>
            <w:vMerge w:val="continue"/>
            <w:vAlign w:val="center"/>
          </w:tcPr>
          <w:p w14:paraId="583B17B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3D07A05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（3）建立健全员工培训机制，加强员工培训，不断提高员工工作技能。员工在工作时间应着装整齐，仪表、仪态端庄、热情大方，用语文明礼貌；服务做到坚持原则，严守</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秘密。</w:t>
            </w:r>
          </w:p>
        </w:tc>
      </w:tr>
      <w:tr w14:paraId="00804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0F3F9B4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1765" w:type="dxa"/>
            <w:vMerge w:val="continue"/>
            <w:vAlign w:val="center"/>
          </w:tcPr>
          <w:p w14:paraId="1827B98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4F6276F8">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（4）员工要掌握各相关专业物业情况，确保做到优质服务。</w:t>
            </w:r>
          </w:p>
        </w:tc>
      </w:tr>
      <w:tr w14:paraId="21A22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0A9C478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1765" w:type="dxa"/>
            <w:vMerge w:val="continue"/>
            <w:vAlign w:val="center"/>
          </w:tcPr>
          <w:p w14:paraId="01C7C76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377B4970">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（5）制定各类设备岗位责任制，巡回检查，定期维修保养，保证物业安全运行，环境整洁。</w:t>
            </w:r>
          </w:p>
        </w:tc>
      </w:tr>
      <w:tr w14:paraId="61E3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32AFF08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1765" w:type="dxa"/>
            <w:vMerge w:val="continue"/>
            <w:vAlign w:val="center"/>
          </w:tcPr>
          <w:p w14:paraId="54F455E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3E248D10">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（6）制定各类应急预案，如遇突发事件，相关专业人员必须及时赶到现场，采取有效措施防止事态的扩大，并迅速报告</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w:t>
            </w:r>
          </w:p>
        </w:tc>
      </w:tr>
      <w:tr w14:paraId="20AB2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466ECF9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1765" w:type="dxa"/>
            <w:vMerge w:val="continue"/>
            <w:vAlign w:val="center"/>
          </w:tcPr>
          <w:p w14:paraId="0593022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29AD22CD">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（7）管理与物业相关的台帐、工程图纸、档案与竣工验收资料，参与物业范围内的非生产设备设施验收工作。</w:t>
            </w:r>
          </w:p>
        </w:tc>
      </w:tr>
      <w:tr w14:paraId="47522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6A24563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14</w:t>
            </w:r>
          </w:p>
        </w:tc>
        <w:tc>
          <w:tcPr>
            <w:tcW w:w="1765" w:type="dxa"/>
            <w:vMerge w:val="restart"/>
            <w:vAlign w:val="center"/>
          </w:tcPr>
          <w:p w14:paraId="253858C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工作要求</w:t>
            </w:r>
          </w:p>
        </w:tc>
        <w:tc>
          <w:tcPr>
            <w:tcW w:w="5861" w:type="dxa"/>
            <w:vAlign w:val="center"/>
          </w:tcPr>
          <w:p w14:paraId="28B9DBA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（1）建立物业服务区域内建、构筑物及附属设施管理台账。</w:t>
            </w:r>
          </w:p>
        </w:tc>
      </w:tr>
      <w:tr w14:paraId="06509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1CC2A63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15</w:t>
            </w:r>
          </w:p>
        </w:tc>
        <w:tc>
          <w:tcPr>
            <w:tcW w:w="1765" w:type="dxa"/>
            <w:vMerge w:val="continue"/>
            <w:vAlign w:val="center"/>
          </w:tcPr>
          <w:p w14:paraId="536545E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64BD8DE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（2）制订维修保养计划及费用预算。</w:t>
            </w:r>
          </w:p>
        </w:tc>
      </w:tr>
      <w:tr w14:paraId="03E3B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77B6348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16</w:t>
            </w:r>
          </w:p>
        </w:tc>
        <w:tc>
          <w:tcPr>
            <w:tcW w:w="1765" w:type="dxa"/>
            <w:vMerge w:val="continue"/>
            <w:vAlign w:val="center"/>
          </w:tcPr>
          <w:p w14:paraId="79FAB42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5ECE4BC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（3）负责维保项目施工管理，全过程把好质量、进度、安全关，确保项目高质量、低成本及施工安全，并做好项目资料归档工作。</w:t>
            </w:r>
          </w:p>
        </w:tc>
      </w:tr>
      <w:tr w14:paraId="38A5E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0E8A159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17</w:t>
            </w:r>
          </w:p>
        </w:tc>
        <w:tc>
          <w:tcPr>
            <w:tcW w:w="1765" w:type="dxa"/>
            <w:vMerge w:val="continue"/>
            <w:vAlign w:val="center"/>
          </w:tcPr>
          <w:p w14:paraId="4817F8B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179DA66B">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（4）建筑物（包括天面、墙体、门窗、地面等）的维修、养护和管理。</w:t>
            </w:r>
          </w:p>
        </w:tc>
      </w:tr>
      <w:tr w14:paraId="07E0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2DA0D9D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18</w:t>
            </w:r>
          </w:p>
        </w:tc>
        <w:tc>
          <w:tcPr>
            <w:tcW w:w="1765" w:type="dxa"/>
            <w:vMerge w:val="continue"/>
            <w:vAlign w:val="center"/>
          </w:tcPr>
          <w:p w14:paraId="231AD69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shd w:val="clear" w:color="auto" w:fill="auto"/>
            <w:vAlign w:val="center"/>
          </w:tcPr>
          <w:p w14:paraId="05318390">
            <w:pPr>
              <w:pStyle w:val="14"/>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2"/>
                <w:sz w:val="20"/>
                <w:szCs w:val="20"/>
                <w:highlight w:val="none"/>
                <w:lang w:val="en-US" w:eastAsia="zh-CN"/>
              </w:rPr>
              <w:t>（5）</w:t>
            </w:r>
            <w:r>
              <w:rPr>
                <w:rFonts w:hint="eastAsia" w:cs="宋体"/>
                <w:color w:val="auto"/>
                <w:kern w:val="2"/>
                <w:sz w:val="20"/>
                <w:szCs w:val="20"/>
                <w:highlight w:val="none"/>
                <w:lang w:val="en-US" w:eastAsia="zh-CN" w:bidi="ar-SA"/>
              </w:rPr>
              <w:t>房源</w:t>
            </w:r>
            <w:r>
              <w:rPr>
                <w:rFonts w:hint="eastAsia" w:ascii="宋体" w:hAnsi="宋体" w:eastAsia="宋体" w:cs="宋体"/>
                <w:color w:val="auto"/>
                <w:kern w:val="2"/>
                <w:sz w:val="20"/>
                <w:szCs w:val="20"/>
                <w:highlight w:val="none"/>
                <w:lang w:val="en-US" w:eastAsia="zh-CN" w:bidi="ar-SA"/>
              </w:rPr>
              <w:t>建筑附属设施设备（包含给排水系统、加压供水设备、配电系统、照明等）的维修、养护、管理和运行服务。消防系统、空调系统、电梯、安防系统的管理和运行服务，配合外委单位的维修服务。</w:t>
            </w:r>
          </w:p>
        </w:tc>
      </w:tr>
      <w:tr w14:paraId="0A2F2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3F2A76D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19</w:t>
            </w:r>
          </w:p>
        </w:tc>
        <w:tc>
          <w:tcPr>
            <w:tcW w:w="1765" w:type="dxa"/>
            <w:vMerge w:val="continue"/>
            <w:vAlign w:val="center"/>
          </w:tcPr>
          <w:p w14:paraId="70F01A5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4541EE9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本物业规划红线内属物业管理范围的公用设施（道路、围墙、门、室内外上下水管道、电缆沟、化粪池、沟渠、蓄水池（箱）、水井、生活水泵房、路灯、园林景观灯、泛光灯、绿化设施、停车场（位）等）的维修、养护和管理。</w:t>
            </w:r>
          </w:p>
        </w:tc>
      </w:tr>
      <w:tr w14:paraId="2733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8" w:type="dxa"/>
            <w:vAlign w:val="center"/>
          </w:tcPr>
          <w:p w14:paraId="192FE54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20</w:t>
            </w:r>
          </w:p>
        </w:tc>
        <w:tc>
          <w:tcPr>
            <w:tcW w:w="1765" w:type="dxa"/>
            <w:vMerge w:val="continue"/>
            <w:vAlign w:val="center"/>
          </w:tcPr>
          <w:p w14:paraId="08C228E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7729449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（7）物业服务区域内的其他资产的养护维修。</w:t>
            </w:r>
          </w:p>
        </w:tc>
      </w:tr>
      <w:tr w14:paraId="4BF55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66C3166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21</w:t>
            </w:r>
          </w:p>
        </w:tc>
        <w:tc>
          <w:tcPr>
            <w:tcW w:w="1765" w:type="dxa"/>
            <w:vMerge w:val="restart"/>
            <w:vAlign w:val="center"/>
          </w:tcPr>
          <w:p w14:paraId="129EE68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日常养护维修要求</w:t>
            </w:r>
          </w:p>
          <w:p w14:paraId="042D0DB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0AAD95A2">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highlight w:val="none"/>
                <w:lang w:val="en-US" w:eastAsia="zh-CN"/>
              </w:rPr>
              <w:t>（1）物业管理区域内地面、墙、台面、门窗、楼梯等的日常巡查和养护维修，确保建筑物处于完好状态，防止建筑物被侵蚀、损害事件发生。确保物业管理区域内</w:t>
            </w:r>
            <w:r>
              <w:rPr>
                <w:rFonts w:hint="eastAsia" w:ascii="宋体" w:hAnsi="宋体" w:cs="宋体"/>
                <w:color w:val="auto"/>
                <w:sz w:val="20"/>
                <w:szCs w:val="20"/>
                <w:highlight w:val="none"/>
                <w:lang w:val="en-US" w:eastAsia="zh-CN"/>
              </w:rPr>
              <w:t>房源</w:t>
            </w:r>
            <w:r>
              <w:rPr>
                <w:rFonts w:hint="eastAsia" w:ascii="宋体" w:hAnsi="宋体" w:eastAsia="宋体" w:cs="宋体"/>
                <w:color w:val="auto"/>
                <w:sz w:val="20"/>
                <w:szCs w:val="20"/>
                <w:highlight w:val="none"/>
                <w:lang w:val="en-US" w:eastAsia="zh-CN"/>
              </w:rPr>
              <w:t>及设施的完好等级和正常使用。</w:t>
            </w:r>
          </w:p>
        </w:tc>
      </w:tr>
      <w:tr w14:paraId="0A4F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561AA82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22</w:t>
            </w:r>
          </w:p>
        </w:tc>
        <w:tc>
          <w:tcPr>
            <w:tcW w:w="1765" w:type="dxa"/>
            <w:vMerge w:val="continue"/>
            <w:vAlign w:val="center"/>
          </w:tcPr>
          <w:p w14:paraId="7D670FB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4CFD92E3">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（2）玻璃无破裂，五金配件完好，门窗开闭灵活、密封性好。否则应及时修复或更换，不能立即修复的涉及安全性的应采取措施消除安全隐患。</w:t>
            </w:r>
          </w:p>
        </w:tc>
      </w:tr>
      <w:tr w14:paraId="1C17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52FD2CD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23</w:t>
            </w:r>
          </w:p>
        </w:tc>
        <w:tc>
          <w:tcPr>
            <w:tcW w:w="1765" w:type="dxa"/>
            <w:vMerge w:val="continue"/>
            <w:vAlign w:val="center"/>
          </w:tcPr>
          <w:p w14:paraId="0856A60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44D1A6D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（3）屋面排水沟、室外排水管保障畅通；雨前及时巡查，排除隐患。发现过滤网及管道破损及时修复或更换。</w:t>
            </w:r>
          </w:p>
        </w:tc>
      </w:tr>
      <w:tr w14:paraId="089F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28C7090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24</w:t>
            </w:r>
          </w:p>
        </w:tc>
        <w:tc>
          <w:tcPr>
            <w:tcW w:w="1765" w:type="dxa"/>
            <w:vMerge w:val="continue"/>
            <w:vAlign w:val="center"/>
          </w:tcPr>
          <w:p w14:paraId="1A88F3F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6126677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（4）及时完成家具、设备等各项零星维修任务，一般维修任务确保不超过24小时，确保家具、设备维修合格率达到100%。</w:t>
            </w:r>
          </w:p>
        </w:tc>
      </w:tr>
      <w:tr w14:paraId="22CF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3F24EDE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25</w:t>
            </w:r>
          </w:p>
        </w:tc>
        <w:tc>
          <w:tcPr>
            <w:tcW w:w="1765" w:type="dxa"/>
            <w:vMerge w:val="continue"/>
            <w:vAlign w:val="center"/>
          </w:tcPr>
          <w:p w14:paraId="6D66B73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59E558C8">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（5）楼内相关设施发现损坏应立即修复，安全标志等应清晰完整。保证各项设施、器材的正常使用。</w:t>
            </w:r>
          </w:p>
        </w:tc>
      </w:tr>
      <w:tr w14:paraId="6E72D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020252B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26</w:t>
            </w:r>
          </w:p>
        </w:tc>
        <w:tc>
          <w:tcPr>
            <w:tcW w:w="1765" w:type="dxa"/>
            <w:vMerge w:val="continue"/>
            <w:vAlign w:val="center"/>
          </w:tcPr>
          <w:p w14:paraId="505F581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465059EB">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（6）负责桌椅门锁简单修理。</w:t>
            </w:r>
          </w:p>
        </w:tc>
      </w:tr>
      <w:tr w14:paraId="4B232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8" w:type="dxa"/>
            <w:vAlign w:val="center"/>
          </w:tcPr>
          <w:p w14:paraId="4528533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27</w:t>
            </w:r>
          </w:p>
        </w:tc>
        <w:tc>
          <w:tcPr>
            <w:tcW w:w="1765" w:type="dxa"/>
            <w:vMerge w:val="restart"/>
            <w:vAlign w:val="center"/>
          </w:tcPr>
          <w:p w14:paraId="454DC61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用户侧用电系统养护维修要求</w:t>
            </w:r>
          </w:p>
        </w:tc>
        <w:tc>
          <w:tcPr>
            <w:tcW w:w="5861" w:type="dxa"/>
            <w:vAlign w:val="center"/>
          </w:tcPr>
          <w:p w14:paraId="49EDBE4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（1）对单位用户侧用电系统、照明设施设备、食堂用电设备等的运行管理和日常维修，确保各类设备设施的正常运行。</w:t>
            </w:r>
          </w:p>
        </w:tc>
      </w:tr>
      <w:tr w14:paraId="7145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8" w:type="dxa"/>
            <w:vAlign w:val="center"/>
          </w:tcPr>
          <w:p w14:paraId="5614AD6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28</w:t>
            </w:r>
          </w:p>
        </w:tc>
        <w:tc>
          <w:tcPr>
            <w:tcW w:w="1765" w:type="dxa"/>
            <w:vMerge w:val="continue"/>
            <w:vAlign w:val="center"/>
          </w:tcPr>
          <w:p w14:paraId="00683E3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7508A3C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（2）负责各类照明灯具、泛光照明系统、用电设备设施、食堂用电设备的日常管理和维护修理。</w:t>
            </w:r>
          </w:p>
        </w:tc>
      </w:tr>
      <w:tr w14:paraId="3A90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8" w:type="dxa"/>
            <w:vAlign w:val="center"/>
          </w:tcPr>
          <w:p w14:paraId="51DCBFC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29</w:t>
            </w:r>
          </w:p>
        </w:tc>
        <w:tc>
          <w:tcPr>
            <w:tcW w:w="1765" w:type="dxa"/>
            <w:vMerge w:val="continue"/>
            <w:vAlign w:val="center"/>
          </w:tcPr>
          <w:p w14:paraId="5712C4E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7D843C50">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（3）定期检查各类用电设备分电表箱、配电箱、配电柜及每层管线分线盒的安全使用，及时消缺，确保各类用电设备运行正常，随时可用且安全可靠。</w:t>
            </w:r>
          </w:p>
        </w:tc>
      </w:tr>
      <w:tr w14:paraId="2D05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8" w:type="dxa"/>
            <w:vAlign w:val="center"/>
          </w:tcPr>
          <w:p w14:paraId="54652B7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30</w:t>
            </w:r>
          </w:p>
        </w:tc>
        <w:tc>
          <w:tcPr>
            <w:tcW w:w="1765" w:type="dxa"/>
            <w:vMerge w:val="continue"/>
            <w:vAlign w:val="center"/>
          </w:tcPr>
          <w:p w14:paraId="7843AE45">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09BDBDB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（4）配合做好各类用电设备的专项检查、维修工作。</w:t>
            </w:r>
          </w:p>
        </w:tc>
      </w:tr>
      <w:tr w14:paraId="0CAF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8" w:type="dxa"/>
            <w:vAlign w:val="center"/>
          </w:tcPr>
          <w:p w14:paraId="762A816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31</w:t>
            </w:r>
          </w:p>
        </w:tc>
        <w:tc>
          <w:tcPr>
            <w:tcW w:w="1765" w:type="dxa"/>
            <w:vMerge w:val="continue"/>
            <w:vAlign w:val="center"/>
          </w:tcPr>
          <w:p w14:paraId="7B0C3CF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2878EED3">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（5）通过有效的管理措施及技术措施，积极开展节能管理工作。</w:t>
            </w:r>
          </w:p>
        </w:tc>
      </w:tr>
      <w:tr w14:paraId="7E61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21BA381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32</w:t>
            </w:r>
          </w:p>
        </w:tc>
        <w:tc>
          <w:tcPr>
            <w:tcW w:w="1765" w:type="dxa"/>
            <w:vMerge w:val="restart"/>
            <w:vAlign w:val="center"/>
          </w:tcPr>
          <w:p w14:paraId="7A1DC23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给排水系统日常养护要求 </w:t>
            </w:r>
          </w:p>
        </w:tc>
        <w:tc>
          <w:tcPr>
            <w:tcW w:w="5861" w:type="dxa"/>
            <w:vAlign w:val="center"/>
          </w:tcPr>
          <w:p w14:paraId="5B9ECC74">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（1）对物业管理区域室内外给排水系统的设备、设施，如加压房、水泵、水箱、管道、管件、阀门、排水管、室外排水管、排污管及附属构筑物等进行日常巡视、养护维修，保持正常运行。</w:t>
            </w:r>
          </w:p>
        </w:tc>
      </w:tr>
      <w:tr w14:paraId="192C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2F797A9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33</w:t>
            </w:r>
          </w:p>
        </w:tc>
        <w:tc>
          <w:tcPr>
            <w:tcW w:w="1765" w:type="dxa"/>
            <w:vMerge w:val="continue"/>
            <w:vAlign w:val="center"/>
          </w:tcPr>
          <w:p w14:paraId="2C8CE78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29C15BB4">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（2）对服务区域内的公共雨、污水管道、房顶进行巡视，保证畅通无堵；定期检查巡视排水沟及化粪池，发现堵塞及时疏通，使管道通畅，无堵塞外溢现象。</w:t>
            </w:r>
          </w:p>
        </w:tc>
      </w:tr>
      <w:tr w14:paraId="00369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5A01641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34</w:t>
            </w:r>
          </w:p>
        </w:tc>
        <w:tc>
          <w:tcPr>
            <w:tcW w:w="1765" w:type="dxa"/>
            <w:vMerge w:val="continue"/>
            <w:vAlign w:val="center"/>
          </w:tcPr>
          <w:p w14:paraId="6474CF1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5D6EC42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（3）配合外委单位做好给排水系统维修工作。</w:t>
            </w:r>
          </w:p>
        </w:tc>
      </w:tr>
      <w:tr w14:paraId="14794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23EB329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35</w:t>
            </w:r>
          </w:p>
        </w:tc>
        <w:tc>
          <w:tcPr>
            <w:tcW w:w="1765" w:type="dxa"/>
            <w:vMerge w:val="restart"/>
            <w:vAlign w:val="center"/>
          </w:tcPr>
          <w:p w14:paraId="0D427CFB">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安全标识检查要求</w:t>
            </w:r>
          </w:p>
        </w:tc>
        <w:tc>
          <w:tcPr>
            <w:tcW w:w="5861" w:type="dxa"/>
            <w:vAlign w:val="center"/>
          </w:tcPr>
          <w:p w14:paraId="24DACC2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（1）对安全标识、划线进行检查，保证标识划线的可视性、适用性。</w:t>
            </w:r>
          </w:p>
        </w:tc>
      </w:tr>
      <w:tr w14:paraId="12E0D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352C6B9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36</w:t>
            </w:r>
          </w:p>
        </w:tc>
        <w:tc>
          <w:tcPr>
            <w:tcW w:w="1765" w:type="dxa"/>
            <w:vMerge w:val="continue"/>
            <w:vAlign w:val="center"/>
          </w:tcPr>
          <w:p w14:paraId="024F6C4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6AF9A76D">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（2）对损坏的、变化的、磨损的划线及时进行维护。</w:t>
            </w:r>
          </w:p>
        </w:tc>
      </w:tr>
      <w:tr w14:paraId="7E53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109E7C4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37</w:t>
            </w:r>
          </w:p>
        </w:tc>
        <w:tc>
          <w:tcPr>
            <w:tcW w:w="1765" w:type="dxa"/>
            <w:vMerge w:val="restart"/>
            <w:vAlign w:val="center"/>
          </w:tcPr>
          <w:p w14:paraId="2528678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其他要求</w:t>
            </w:r>
          </w:p>
        </w:tc>
        <w:tc>
          <w:tcPr>
            <w:tcW w:w="5861" w:type="dxa"/>
            <w:vAlign w:val="center"/>
          </w:tcPr>
          <w:p w14:paraId="7D4FF01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（1）物业服务人员应在接到建筑物及各类设备报修后及时响应，及时处理。</w:t>
            </w:r>
          </w:p>
        </w:tc>
      </w:tr>
      <w:tr w14:paraId="5CD2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28" w:type="dxa"/>
            <w:vAlign w:val="center"/>
          </w:tcPr>
          <w:p w14:paraId="0DD2E89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38</w:t>
            </w:r>
          </w:p>
        </w:tc>
        <w:tc>
          <w:tcPr>
            <w:tcW w:w="1765" w:type="dxa"/>
            <w:vMerge w:val="continue"/>
            <w:vAlign w:val="center"/>
          </w:tcPr>
          <w:p w14:paraId="1997733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p>
        </w:tc>
        <w:tc>
          <w:tcPr>
            <w:tcW w:w="5861" w:type="dxa"/>
            <w:vAlign w:val="center"/>
          </w:tcPr>
          <w:p w14:paraId="07CB554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(2)完成</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交办的临时任务。</w:t>
            </w:r>
          </w:p>
        </w:tc>
      </w:tr>
      <w:tr w14:paraId="36BF4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8" w:type="dxa"/>
            <w:vAlign w:val="center"/>
          </w:tcPr>
          <w:p w14:paraId="0D8797C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39</w:t>
            </w:r>
          </w:p>
        </w:tc>
        <w:tc>
          <w:tcPr>
            <w:tcW w:w="1765" w:type="dxa"/>
            <w:vMerge w:val="restart"/>
            <w:vAlign w:val="center"/>
          </w:tcPr>
          <w:p w14:paraId="5A1B2AA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环境卫生清洁服务要求</w:t>
            </w:r>
          </w:p>
        </w:tc>
        <w:tc>
          <w:tcPr>
            <w:tcW w:w="5861" w:type="dxa"/>
            <w:vAlign w:val="center"/>
          </w:tcPr>
          <w:p w14:paraId="333C02C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（1）服务区域内除</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要求不予进入的特殊场所外的所有区域的清洁卫生和垃圾的收集、清运、普通病虫害消杀。</w:t>
            </w:r>
          </w:p>
        </w:tc>
      </w:tr>
      <w:tr w14:paraId="4B80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8" w:type="dxa"/>
            <w:vAlign w:val="center"/>
          </w:tcPr>
          <w:p w14:paraId="39C2524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40</w:t>
            </w:r>
          </w:p>
        </w:tc>
        <w:tc>
          <w:tcPr>
            <w:tcW w:w="1765" w:type="dxa"/>
            <w:vMerge w:val="continue"/>
            <w:vAlign w:val="center"/>
          </w:tcPr>
          <w:p w14:paraId="3237603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61" w:type="dxa"/>
            <w:vAlign w:val="center"/>
          </w:tcPr>
          <w:p w14:paraId="1CC4227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（2）负责定期对天花板、吊顶、墙面、墙角、灯具进行清扫、擦拭。</w:t>
            </w:r>
          </w:p>
        </w:tc>
      </w:tr>
      <w:tr w14:paraId="47BCC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8" w:type="dxa"/>
            <w:vAlign w:val="center"/>
          </w:tcPr>
          <w:p w14:paraId="0C82ED7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41</w:t>
            </w:r>
          </w:p>
        </w:tc>
        <w:tc>
          <w:tcPr>
            <w:tcW w:w="1765" w:type="dxa"/>
            <w:vMerge w:val="continue"/>
            <w:vAlign w:val="center"/>
          </w:tcPr>
          <w:p w14:paraId="5CD7BB4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highlight w:val="none"/>
                <w:u w:val="none"/>
                <w:lang w:val="en-US" w:eastAsia="zh-CN" w:bidi="ar"/>
              </w:rPr>
            </w:pPr>
          </w:p>
        </w:tc>
        <w:tc>
          <w:tcPr>
            <w:tcW w:w="5861" w:type="dxa"/>
            <w:vAlign w:val="center"/>
          </w:tcPr>
          <w:p w14:paraId="001CF6F1">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（3）负责对服务区域内的内外走廊和公共场所进行清扫，在工作时间内检查，目视范围内地面无烟头、污渍、积水、纸屑、果皮。</w:t>
            </w:r>
          </w:p>
        </w:tc>
      </w:tr>
      <w:tr w14:paraId="4AE41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8" w:type="dxa"/>
            <w:vAlign w:val="center"/>
          </w:tcPr>
          <w:p w14:paraId="6D5FE73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42</w:t>
            </w:r>
          </w:p>
        </w:tc>
        <w:tc>
          <w:tcPr>
            <w:tcW w:w="1765" w:type="dxa"/>
            <w:vMerge w:val="continue"/>
            <w:vAlign w:val="center"/>
          </w:tcPr>
          <w:p w14:paraId="4102EBD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u w:val="none"/>
                <w:lang w:val="en-US" w:eastAsia="zh-CN" w:bidi="ar"/>
              </w:rPr>
            </w:pPr>
          </w:p>
        </w:tc>
        <w:tc>
          <w:tcPr>
            <w:tcW w:w="5861" w:type="dxa"/>
            <w:vAlign w:val="center"/>
          </w:tcPr>
          <w:p w14:paraId="64B8D59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（4）负责清理服务区域内的垃圾，确保无因垃圾清理不及时散发的异味、臭味。</w:t>
            </w:r>
          </w:p>
        </w:tc>
      </w:tr>
      <w:tr w14:paraId="499B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8" w:type="dxa"/>
            <w:vAlign w:val="center"/>
          </w:tcPr>
          <w:p w14:paraId="51E513D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43</w:t>
            </w:r>
          </w:p>
        </w:tc>
        <w:tc>
          <w:tcPr>
            <w:tcW w:w="1765" w:type="dxa"/>
            <w:vMerge w:val="continue"/>
            <w:vAlign w:val="center"/>
          </w:tcPr>
          <w:p w14:paraId="3B74FB2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u w:val="none"/>
                <w:lang w:val="en-US" w:eastAsia="zh-CN" w:bidi="ar"/>
              </w:rPr>
            </w:pPr>
          </w:p>
        </w:tc>
        <w:tc>
          <w:tcPr>
            <w:tcW w:w="5861" w:type="dxa"/>
            <w:vAlign w:val="center"/>
          </w:tcPr>
          <w:p w14:paraId="0511CDA0">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（5）负责对服务区域内的楼层走廊、楼梯扶手、台阶、楼层走道地面、墙面等进行清理，保持干净整洁。</w:t>
            </w:r>
          </w:p>
        </w:tc>
      </w:tr>
      <w:tr w14:paraId="1457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8" w:type="dxa"/>
            <w:vAlign w:val="center"/>
          </w:tcPr>
          <w:p w14:paraId="468F21A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44</w:t>
            </w:r>
          </w:p>
        </w:tc>
        <w:tc>
          <w:tcPr>
            <w:tcW w:w="1765" w:type="dxa"/>
            <w:vMerge w:val="continue"/>
            <w:vAlign w:val="center"/>
          </w:tcPr>
          <w:p w14:paraId="7F9DD9F9">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u w:val="none"/>
                <w:lang w:val="en-US" w:eastAsia="zh-CN" w:bidi="ar"/>
              </w:rPr>
            </w:pPr>
          </w:p>
        </w:tc>
        <w:tc>
          <w:tcPr>
            <w:tcW w:w="5861" w:type="dxa"/>
            <w:vAlign w:val="center"/>
          </w:tcPr>
          <w:p w14:paraId="54F4066C">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（6）负责在霉雨天气关上各楼层走廊及楼梯的门窗。</w:t>
            </w:r>
          </w:p>
        </w:tc>
      </w:tr>
      <w:tr w14:paraId="63153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8" w:type="dxa"/>
            <w:vAlign w:val="center"/>
          </w:tcPr>
          <w:p w14:paraId="65608CA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45</w:t>
            </w:r>
          </w:p>
        </w:tc>
        <w:tc>
          <w:tcPr>
            <w:tcW w:w="1765" w:type="dxa"/>
            <w:vMerge w:val="continue"/>
            <w:vAlign w:val="center"/>
          </w:tcPr>
          <w:p w14:paraId="39D2C8C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u w:val="none"/>
                <w:lang w:val="en-US" w:eastAsia="zh-CN" w:bidi="ar"/>
              </w:rPr>
            </w:pPr>
          </w:p>
        </w:tc>
        <w:tc>
          <w:tcPr>
            <w:tcW w:w="5861" w:type="dxa"/>
            <w:vAlign w:val="center"/>
          </w:tcPr>
          <w:p w14:paraId="0F600E87">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（7）负责对服务区域内室外的路面、绿地进行清扫，清除地面、绿地的果皮、纸屑、树叶和烟头等杂物。</w:t>
            </w:r>
          </w:p>
        </w:tc>
      </w:tr>
      <w:tr w14:paraId="5327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8" w:type="dxa"/>
            <w:vAlign w:val="center"/>
          </w:tcPr>
          <w:p w14:paraId="7BC69CD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46</w:t>
            </w:r>
          </w:p>
        </w:tc>
        <w:tc>
          <w:tcPr>
            <w:tcW w:w="1765" w:type="dxa"/>
            <w:vMerge w:val="continue"/>
            <w:vAlign w:val="center"/>
          </w:tcPr>
          <w:p w14:paraId="22AA7C0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u w:val="none"/>
                <w:lang w:val="en-US" w:eastAsia="zh-CN" w:bidi="ar"/>
              </w:rPr>
            </w:pPr>
          </w:p>
        </w:tc>
        <w:tc>
          <w:tcPr>
            <w:tcW w:w="5861" w:type="dxa"/>
            <w:vAlign w:val="center"/>
          </w:tcPr>
          <w:p w14:paraId="6F83749E">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（8）负责对服务区域内的玻璃门窗、防火门、木门、防盗门、不锈钢门框等进行擦拭，保持干净整洁。</w:t>
            </w:r>
          </w:p>
        </w:tc>
      </w:tr>
      <w:tr w14:paraId="78EF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28" w:type="dxa"/>
            <w:vAlign w:val="center"/>
          </w:tcPr>
          <w:p w14:paraId="6E7202F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47</w:t>
            </w:r>
          </w:p>
        </w:tc>
        <w:tc>
          <w:tcPr>
            <w:tcW w:w="1765" w:type="dxa"/>
            <w:vMerge w:val="continue"/>
            <w:vAlign w:val="center"/>
          </w:tcPr>
          <w:p w14:paraId="5C370EB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i w:val="0"/>
                <w:iCs w:val="0"/>
                <w:color w:val="auto"/>
                <w:kern w:val="0"/>
                <w:sz w:val="20"/>
                <w:szCs w:val="20"/>
                <w:u w:val="none"/>
                <w:lang w:val="en-US" w:eastAsia="zh-CN" w:bidi="ar"/>
              </w:rPr>
            </w:pPr>
          </w:p>
        </w:tc>
        <w:tc>
          <w:tcPr>
            <w:tcW w:w="5861" w:type="dxa"/>
            <w:vAlign w:val="center"/>
          </w:tcPr>
          <w:p w14:paraId="5114AB23">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（9）需要临时保洁时，电话通知后30分钟内处理。</w:t>
            </w:r>
          </w:p>
        </w:tc>
      </w:tr>
    </w:tbl>
    <w:p w14:paraId="40473BC8">
      <w:pPr>
        <w:keepNext/>
        <w:keepLines w:val="0"/>
        <w:pageBreakBefore w:val="0"/>
        <w:widowControl w:val="0"/>
        <w:kinsoku/>
        <w:wordWrap/>
        <w:overflowPunct/>
        <w:topLinePunct w:val="0"/>
        <w:autoSpaceDE/>
        <w:autoSpaceDN/>
        <w:bidi w:val="0"/>
        <w:adjustRightInd/>
        <w:snapToGrid/>
        <w:spacing w:line="560" w:lineRule="exact"/>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3.8职工活动场所委托服务具体工作要求</w:t>
      </w:r>
    </w:p>
    <w:tbl>
      <w:tblPr>
        <w:tblStyle w:val="16"/>
        <w:tblW w:w="83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747"/>
        <w:gridCol w:w="5865"/>
      </w:tblGrid>
      <w:tr w14:paraId="576D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blHeader/>
        </w:trPr>
        <w:tc>
          <w:tcPr>
            <w:tcW w:w="719" w:type="dxa"/>
            <w:noWrap w:val="0"/>
            <w:vAlign w:val="center"/>
          </w:tcPr>
          <w:p w14:paraId="11AC9AB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1747" w:type="dxa"/>
            <w:noWrap w:val="0"/>
            <w:vAlign w:val="center"/>
          </w:tcPr>
          <w:p w14:paraId="7B24C01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5865" w:type="dxa"/>
            <w:noWrap w:val="0"/>
            <w:vAlign w:val="center"/>
          </w:tcPr>
          <w:p w14:paraId="2FB0A46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6C408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19" w:type="dxa"/>
            <w:noWrap w:val="0"/>
            <w:vAlign w:val="center"/>
          </w:tcPr>
          <w:p w14:paraId="2EFD6DE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1747" w:type="dxa"/>
            <w:vMerge w:val="restart"/>
            <w:noWrap w:val="0"/>
            <w:vAlign w:val="center"/>
          </w:tcPr>
          <w:p w14:paraId="287C09AA">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人员服务要求</w:t>
            </w:r>
          </w:p>
        </w:tc>
        <w:tc>
          <w:tcPr>
            <w:tcW w:w="5865" w:type="dxa"/>
            <w:noWrap w:val="0"/>
            <w:vAlign w:val="center"/>
          </w:tcPr>
          <w:p w14:paraId="10F83366">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（1）面带笑容，热情服务，统一着装上岗。</w:t>
            </w:r>
          </w:p>
        </w:tc>
      </w:tr>
      <w:tr w14:paraId="050AD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19" w:type="dxa"/>
            <w:noWrap w:val="0"/>
            <w:vAlign w:val="center"/>
          </w:tcPr>
          <w:p w14:paraId="6A26DD9A">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1747" w:type="dxa"/>
            <w:vMerge w:val="continue"/>
            <w:noWrap w:val="0"/>
            <w:vAlign w:val="center"/>
          </w:tcPr>
          <w:p w14:paraId="4A3A3155">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p>
        </w:tc>
        <w:tc>
          <w:tcPr>
            <w:tcW w:w="5865" w:type="dxa"/>
            <w:noWrap w:val="0"/>
            <w:vAlign w:val="center"/>
          </w:tcPr>
          <w:p w14:paraId="6ED48D3E">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按照采购方规定时间上岗，未到闭馆时间不得催促人员离开。</w:t>
            </w:r>
          </w:p>
        </w:tc>
      </w:tr>
      <w:tr w14:paraId="26BD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19" w:type="dxa"/>
            <w:noWrap w:val="0"/>
            <w:vAlign w:val="center"/>
          </w:tcPr>
          <w:p w14:paraId="0BBF163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1747" w:type="dxa"/>
            <w:vMerge w:val="restart"/>
            <w:noWrap w:val="0"/>
            <w:vAlign w:val="center"/>
          </w:tcPr>
          <w:p w14:paraId="4DE05096">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球馆</w:t>
            </w:r>
            <w:r>
              <w:rPr>
                <w:rFonts w:hint="eastAsia" w:ascii="宋体" w:hAnsi="宋体" w:eastAsia="宋体" w:cs="宋体"/>
                <w:strike w:val="0"/>
                <w:dstrike w:val="0"/>
                <w:color w:val="auto"/>
                <w:sz w:val="20"/>
                <w:szCs w:val="20"/>
                <w:highlight w:val="none"/>
                <w:lang w:val="en-US" w:eastAsia="zh-CN"/>
              </w:rPr>
              <w:t>及书屋</w:t>
            </w:r>
            <w:r>
              <w:rPr>
                <w:rFonts w:hint="eastAsia" w:ascii="宋体" w:hAnsi="宋体" w:eastAsia="宋体" w:cs="宋体"/>
                <w:color w:val="auto"/>
                <w:sz w:val="20"/>
                <w:szCs w:val="20"/>
                <w:highlight w:val="none"/>
                <w:lang w:val="en-US" w:eastAsia="zh-CN"/>
              </w:rPr>
              <w:t>服务要求</w:t>
            </w:r>
          </w:p>
        </w:tc>
        <w:tc>
          <w:tcPr>
            <w:tcW w:w="5865" w:type="dxa"/>
            <w:noWrap w:val="0"/>
            <w:vAlign w:val="center"/>
          </w:tcPr>
          <w:p w14:paraId="243640AC">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（1）负责球馆</w:t>
            </w:r>
            <w:r>
              <w:rPr>
                <w:rFonts w:hint="eastAsia" w:ascii="宋体" w:hAnsi="宋体" w:eastAsia="宋体" w:cs="宋体"/>
                <w:strike w:val="0"/>
                <w:dstrike w:val="0"/>
                <w:color w:val="auto"/>
                <w:sz w:val="20"/>
                <w:szCs w:val="20"/>
                <w:highlight w:val="none"/>
                <w:lang w:val="en-US" w:eastAsia="zh-CN"/>
              </w:rPr>
              <w:t>和书屋</w:t>
            </w:r>
            <w:r>
              <w:rPr>
                <w:rFonts w:hint="eastAsia" w:ascii="宋体" w:hAnsi="宋体" w:eastAsia="宋体" w:cs="宋体"/>
                <w:color w:val="auto"/>
                <w:sz w:val="20"/>
                <w:szCs w:val="20"/>
                <w:highlight w:val="none"/>
                <w:lang w:val="en-US" w:eastAsia="zh-CN"/>
              </w:rPr>
              <w:t>内设施、设备及其他物品的检查和维护，保证正常使用、摆放有序。</w:t>
            </w:r>
          </w:p>
        </w:tc>
      </w:tr>
      <w:tr w14:paraId="3ADD6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19" w:type="dxa"/>
            <w:noWrap w:val="0"/>
            <w:vAlign w:val="center"/>
          </w:tcPr>
          <w:p w14:paraId="1888EA59">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1747" w:type="dxa"/>
            <w:vMerge w:val="continue"/>
            <w:noWrap w:val="0"/>
            <w:vAlign w:val="center"/>
          </w:tcPr>
          <w:p w14:paraId="6EBB9012">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p>
        </w:tc>
        <w:tc>
          <w:tcPr>
            <w:tcW w:w="5865" w:type="dxa"/>
            <w:noWrap w:val="0"/>
            <w:vAlign w:val="center"/>
          </w:tcPr>
          <w:p w14:paraId="53260C7D">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负责在球馆</w:t>
            </w:r>
            <w:r>
              <w:rPr>
                <w:rFonts w:hint="eastAsia" w:ascii="宋体" w:hAnsi="宋体" w:eastAsia="宋体" w:cs="宋体"/>
                <w:strike w:val="0"/>
                <w:dstrike w:val="0"/>
                <w:color w:val="auto"/>
                <w:sz w:val="20"/>
                <w:szCs w:val="20"/>
                <w:highlight w:val="none"/>
                <w:lang w:val="en-US" w:eastAsia="zh-CN"/>
              </w:rPr>
              <w:t>及书屋</w:t>
            </w:r>
            <w:r>
              <w:rPr>
                <w:rFonts w:hint="eastAsia" w:ascii="宋体" w:hAnsi="宋体" w:eastAsia="宋体" w:cs="宋体"/>
                <w:color w:val="auto"/>
                <w:sz w:val="20"/>
                <w:szCs w:val="20"/>
                <w:highlight w:val="none"/>
                <w:lang w:val="en-US" w:eastAsia="zh-CN"/>
              </w:rPr>
              <w:t>开放前做好各方面的准备，提前10分钟开门通风，做好空调、照明的开启工作。</w:t>
            </w:r>
          </w:p>
        </w:tc>
      </w:tr>
      <w:tr w14:paraId="2314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719" w:type="dxa"/>
            <w:noWrap w:val="0"/>
            <w:vAlign w:val="center"/>
          </w:tcPr>
          <w:p w14:paraId="4DBC9FB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1747" w:type="dxa"/>
            <w:vMerge w:val="continue"/>
            <w:noWrap w:val="0"/>
            <w:vAlign w:val="center"/>
          </w:tcPr>
          <w:p w14:paraId="7924469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p>
        </w:tc>
        <w:tc>
          <w:tcPr>
            <w:tcW w:w="5865" w:type="dxa"/>
            <w:noWrap w:val="0"/>
            <w:vAlign w:val="center"/>
          </w:tcPr>
          <w:p w14:paraId="4278A4C9">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（3）负责做好球馆</w:t>
            </w:r>
            <w:r>
              <w:rPr>
                <w:rFonts w:hint="eastAsia" w:ascii="宋体" w:hAnsi="宋体" w:eastAsia="宋体" w:cs="宋体"/>
                <w:strike w:val="0"/>
                <w:dstrike w:val="0"/>
                <w:color w:val="auto"/>
                <w:sz w:val="20"/>
                <w:szCs w:val="20"/>
                <w:highlight w:val="none"/>
                <w:lang w:val="en-US" w:eastAsia="zh-CN"/>
              </w:rPr>
              <w:t>和书屋内</w:t>
            </w:r>
            <w:r>
              <w:rPr>
                <w:rFonts w:hint="eastAsia" w:ascii="宋体" w:hAnsi="宋体" w:eastAsia="宋体" w:cs="宋体"/>
                <w:color w:val="auto"/>
                <w:sz w:val="20"/>
                <w:szCs w:val="20"/>
                <w:highlight w:val="none"/>
                <w:lang w:val="en-US" w:eastAsia="zh-CN"/>
              </w:rPr>
              <w:t>的卫生(保持地面、墙面、桌面的清洁)，提醒入场人员保持好环境的卫生，并在下班前打扫卫生。定期擦拭玻璃。</w:t>
            </w:r>
          </w:p>
        </w:tc>
      </w:tr>
      <w:tr w14:paraId="1BEBC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719" w:type="dxa"/>
            <w:noWrap w:val="0"/>
            <w:vAlign w:val="center"/>
          </w:tcPr>
          <w:p w14:paraId="5574BBA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1747" w:type="dxa"/>
            <w:vMerge w:val="continue"/>
            <w:noWrap w:val="0"/>
            <w:vAlign w:val="center"/>
          </w:tcPr>
          <w:p w14:paraId="25510DC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p>
        </w:tc>
        <w:tc>
          <w:tcPr>
            <w:tcW w:w="5865" w:type="dxa"/>
            <w:noWrap w:val="0"/>
            <w:vAlign w:val="center"/>
          </w:tcPr>
          <w:p w14:paraId="0E3B7C98">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（4）负责在下班前关闭电源与门窗，检查球馆更衣室及卫生间、</w:t>
            </w:r>
            <w:r>
              <w:rPr>
                <w:rFonts w:hint="eastAsia" w:ascii="宋体" w:hAnsi="宋体" w:eastAsia="宋体" w:cs="宋体"/>
                <w:strike w:val="0"/>
                <w:dstrike w:val="0"/>
                <w:color w:val="auto"/>
                <w:sz w:val="20"/>
                <w:szCs w:val="20"/>
                <w:highlight w:val="none"/>
                <w:lang w:val="en-US" w:eastAsia="zh-CN"/>
              </w:rPr>
              <w:t>书屋内</w:t>
            </w:r>
            <w:r>
              <w:rPr>
                <w:rFonts w:hint="eastAsia" w:ascii="宋体" w:hAnsi="宋体" w:eastAsia="宋体" w:cs="宋体"/>
                <w:color w:val="auto"/>
                <w:sz w:val="20"/>
                <w:szCs w:val="20"/>
                <w:highlight w:val="none"/>
                <w:lang w:val="en-US" w:eastAsia="zh-CN"/>
              </w:rPr>
              <w:t>是否留有人，保证电源与门窗已完全关闭。</w:t>
            </w:r>
          </w:p>
        </w:tc>
      </w:tr>
      <w:tr w14:paraId="3126F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19" w:type="dxa"/>
            <w:noWrap w:val="0"/>
            <w:vAlign w:val="center"/>
          </w:tcPr>
          <w:p w14:paraId="1136B9B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1747" w:type="dxa"/>
            <w:vMerge w:val="continue"/>
            <w:noWrap w:val="0"/>
            <w:vAlign w:val="center"/>
          </w:tcPr>
          <w:p w14:paraId="2A04FD16">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p>
        </w:tc>
        <w:tc>
          <w:tcPr>
            <w:tcW w:w="5865" w:type="dxa"/>
            <w:noWrap w:val="0"/>
            <w:vAlign w:val="center"/>
          </w:tcPr>
          <w:p w14:paraId="4A8EADA1">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定期对球馆</w:t>
            </w:r>
            <w:r>
              <w:rPr>
                <w:rFonts w:hint="eastAsia" w:ascii="宋体" w:hAnsi="宋体" w:eastAsia="宋体" w:cs="宋体"/>
                <w:strike w:val="0"/>
                <w:dstrike w:val="0"/>
                <w:color w:val="auto"/>
                <w:sz w:val="20"/>
                <w:szCs w:val="20"/>
                <w:highlight w:val="none"/>
                <w:lang w:val="en-US" w:eastAsia="zh-CN"/>
              </w:rPr>
              <w:t>及书屋</w:t>
            </w:r>
            <w:r>
              <w:rPr>
                <w:rFonts w:hint="eastAsia" w:ascii="宋体" w:hAnsi="宋体" w:eastAsia="宋体" w:cs="宋体"/>
                <w:color w:val="auto"/>
                <w:sz w:val="20"/>
                <w:szCs w:val="20"/>
                <w:highlight w:val="none"/>
                <w:lang w:val="en-US" w:eastAsia="zh-CN"/>
              </w:rPr>
              <w:t>的安全隐患进行排查，确保球馆</w:t>
            </w:r>
            <w:r>
              <w:rPr>
                <w:rFonts w:hint="eastAsia" w:ascii="宋体" w:hAnsi="宋体" w:eastAsia="宋体" w:cs="宋体"/>
                <w:strike w:val="0"/>
                <w:dstrike w:val="0"/>
                <w:color w:val="auto"/>
                <w:sz w:val="20"/>
                <w:szCs w:val="20"/>
                <w:highlight w:val="none"/>
                <w:lang w:val="en-US" w:eastAsia="zh-CN"/>
              </w:rPr>
              <w:t>与书屋</w:t>
            </w:r>
            <w:r>
              <w:rPr>
                <w:rFonts w:hint="eastAsia" w:ascii="宋体" w:hAnsi="宋体" w:eastAsia="宋体" w:cs="宋体"/>
                <w:color w:val="auto"/>
                <w:sz w:val="20"/>
                <w:szCs w:val="20"/>
                <w:highlight w:val="none"/>
                <w:lang w:val="en-US" w:eastAsia="zh-CN"/>
              </w:rPr>
              <w:t>的安全。</w:t>
            </w:r>
          </w:p>
        </w:tc>
      </w:tr>
      <w:tr w14:paraId="43A57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19" w:type="dxa"/>
            <w:noWrap w:val="0"/>
            <w:vAlign w:val="center"/>
          </w:tcPr>
          <w:p w14:paraId="2DDFAA9C">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1747" w:type="dxa"/>
            <w:vMerge w:val="restart"/>
            <w:noWrap w:val="0"/>
            <w:vAlign w:val="center"/>
          </w:tcPr>
          <w:p w14:paraId="49D2A42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球馆管理要求</w:t>
            </w:r>
          </w:p>
        </w:tc>
        <w:tc>
          <w:tcPr>
            <w:tcW w:w="5865" w:type="dxa"/>
            <w:noWrap w:val="0"/>
            <w:vAlign w:val="center"/>
          </w:tcPr>
          <w:p w14:paraId="548BB7DD">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val="en-US" w:eastAsia="zh-CN"/>
              </w:rPr>
            </w:pPr>
            <w:r>
              <w:rPr>
                <w:rFonts w:hint="eastAsia" w:ascii="宋体" w:hAnsi="宋体" w:eastAsia="宋体" w:cs="宋体"/>
                <w:strike w:val="0"/>
                <w:dstrike w:val="0"/>
                <w:color w:val="auto"/>
                <w:sz w:val="20"/>
                <w:szCs w:val="20"/>
                <w:highlight w:val="none"/>
                <w:lang w:eastAsia="zh-CN"/>
              </w:rPr>
              <w:t>（</w:t>
            </w:r>
            <w:r>
              <w:rPr>
                <w:rFonts w:hint="eastAsia" w:ascii="宋体" w:hAnsi="宋体" w:eastAsia="宋体" w:cs="宋体"/>
                <w:strike w:val="0"/>
                <w:dstrike w:val="0"/>
                <w:color w:val="auto"/>
                <w:sz w:val="20"/>
                <w:szCs w:val="20"/>
                <w:highlight w:val="none"/>
                <w:lang w:val="en-US" w:eastAsia="zh-CN"/>
              </w:rPr>
              <w:t>1</w:t>
            </w:r>
            <w:r>
              <w:rPr>
                <w:rFonts w:hint="eastAsia" w:ascii="宋体" w:hAnsi="宋体" w:eastAsia="宋体" w:cs="宋体"/>
                <w:strike w:val="0"/>
                <w:dstrike w:val="0"/>
                <w:color w:val="auto"/>
                <w:sz w:val="20"/>
                <w:szCs w:val="20"/>
                <w:highlight w:val="none"/>
                <w:lang w:eastAsia="zh-CN"/>
              </w:rPr>
              <w:t>）</w:t>
            </w:r>
            <w:r>
              <w:rPr>
                <w:rFonts w:hint="eastAsia" w:ascii="宋体" w:hAnsi="宋体" w:eastAsia="宋体" w:cs="宋体"/>
                <w:strike w:val="0"/>
                <w:dstrike w:val="0"/>
                <w:color w:val="auto"/>
                <w:sz w:val="20"/>
                <w:szCs w:val="20"/>
                <w:highlight w:val="none"/>
                <w:lang w:val="en-US" w:eastAsia="zh-CN"/>
              </w:rPr>
              <w:t>负责对进入球馆活动的外来人员进行审查，必须凭相关部门审批的申请单进入，如无审批，不予进入。</w:t>
            </w:r>
          </w:p>
        </w:tc>
      </w:tr>
      <w:tr w14:paraId="1360D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19" w:type="dxa"/>
            <w:noWrap w:val="0"/>
            <w:vAlign w:val="center"/>
          </w:tcPr>
          <w:p w14:paraId="7E2F9B12">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1747" w:type="dxa"/>
            <w:vMerge w:val="continue"/>
            <w:noWrap w:val="0"/>
            <w:vAlign w:val="center"/>
          </w:tcPr>
          <w:p w14:paraId="3218E46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p>
        </w:tc>
        <w:tc>
          <w:tcPr>
            <w:tcW w:w="5865" w:type="dxa"/>
            <w:noWrap w:val="0"/>
            <w:vAlign w:val="center"/>
          </w:tcPr>
          <w:p w14:paraId="6BD2F1D7">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配合采购方做好球馆内的接待服务和大型活动开展的相关工作（前期准备、中期开展、后期收尾）。</w:t>
            </w:r>
          </w:p>
        </w:tc>
      </w:tr>
      <w:tr w14:paraId="63323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719" w:type="dxa"/>
            <w:noWrap w:val="0"/>
            <w:vAlign w:val="center"/>
          </w:tcPr>
          <w:p w14:paraId="604DC75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1747" w:type="dxa"/>
            <w:vMerge w:val="continue"/>
            <w:noWrap w:val="0"/>
            <w:vAlign w:val="center"/>
          </w:tcPr>
          <w:p w14:paraId="425BCD5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p>
        </w:tc>
        <w:tc>
          <w:tcPr>
            <w:tcW w:w="5865" w:type="dxa"/>
            <w:noWrap w:val="0"/>
            <w:vAlign w:val="center"/>
          </w:tcPr>
          <w:p w14:paraId="513217FE">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负责维持球馆内的秩序，协调好场地、器材的准备工作，确保球馆内的设施、器材随时保持良好待用状态。</w:t>
            </w:r>
          </w:p>
        </w:tc>
      </w:tr>
      <w:tr w14:paraId="6E320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719" w:type="dxa"/>
            <w:noWrap w:val="0"/>
            <w:vAlign w:val="center"/>
          </w:tcPr>
          <w:p w14:paraId="0BD1CB3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1747" w:type="dxa"/>
            <w:vMerge w:val="restart"/>
            <w:noWrap w:val="0"/>
            <w:vAlign w:val="center"/>
          </w:tcPr>
          <w:p w14:paraId="6D433146">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strike w:val="0"/>
                <w:dstrike w:val="0"/>
                <w:color w:val="auto"/>
                <w:sz w:val="20"/>
                <w:szCs w:val="20"/>
                <w:highlight w:val="none"/>
                <w:lang w:val="en-US" w:eastAsia="zh-CN"/>
              </w:rPr>
              <w:t>书屋管理要求</w:t>
            </w:r>
          </w:p>
        </w:tc>
        <w:tc>
          <w:tcPr>
            <w:tcW w:w="5865" w:type="dxa"/>
            <w:noWrap w:val="0"/>
            <w:vAlign w:val="center"/>
          </w:tcPr>
          <w:p w14:paraId="18BB5BC7">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strike w:val="0"/>
                <w:color w:val="auto"/>
                <w:sz w:val="20"/>
                <w:szCs w:val="20"/>
                <w:highlight w:val="none"/>
                <w:lang w:eastAsia="zh-CN"/>
              </w:rPr>
            </w:pPr>
            <w:r>
              <w:rPr>
                <w:rFonts w:hint="eastAsia" w:ascii="宋体" w:hAnsi="宋体" w:eastAsia="宋体" w:cs="宋体"/>
                <w:strike w:val="0"/>
                <w:dstrike w:val="0"/>
                <w:color w:val="auto"/>
                <w:sz w:val="20"/>
                <w:szCs w:val="20"/>
                <w:highlight w:val="none"/>
                <w:lang w:eastAsia="zh-CN"/>
              </w:rPr>
              <w:t>（</w:t>
            </w:r>
            <w:r>
              <w:rPr>
                <w:rFonts w:hint="eastAsia" w:ascii="宋体" w:hAnsi="宋体" w:eastAsia="宋体" w:cs="宋体"/>
                <w:strike w:val="0"/>
                <w:dstrike w:val="0"/>
                <w:color w:val="auto"/>
                <w:sz w:val="20"/>
                <w:szCs w:val="20"/>
                <w:highlight w:val="none"/>
                <w:lang w:val="en-US" w:eastAsia="zh-CN"/>
              </w:rPr>
              <w:t>1</w:t>
            </w:r>
            <w:r>
              <w:rPr>
                <w:rFonts w:hint="eastAsia" w:ascii="宋体" w:hAnsi="宋体" w:eastAsia="宋体" w:cs="宋体"/>
                <w:strike w:val="0"/>
                <w:dstrike w:val="0"/>
                <w:color w:val="auto"/>
                <w:sz w:val="20"/>
                <w:szCs w:val="20"/>
                <w:highlight w:val="none"/>
                <w:lang w:eastAsia="zh-CN"/>
              </w:rPr>
              <w:t>）</w:t>
            </w:r>
            <w:r>
              <w:rPr>
                <w:rFonts w:hint="eastAsia" w:ascii="宋体" w:hAnsi="宋体" w:eastAsia="宋体" w:cs="宋体"/>
                <w:strike w:val="0"/>
                <w:dstrike w:val="0"/>
                <w:color w:val="auto"/>
                <w:sz w:val="20"/>
                <w:szCs w:val="20"/>
                <w:highlight w:val="none"/>
                <w:lang w:val="en-US" w:eastAsia="zh-CN"/>
              </w:rPr>
              <w:t>负责将书屋内的图书按类别进行分类整理与编号，贴标签进行归档登记，编制书籍目录。</w:t>
            </w:r>
          </w:p>
        </w:tc>
      </w:tr>
      <w:tr w14:paraId="596AC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9" w:type="dxa"/>
            <w:noWrap w:val="0"/>
            <w:vAlign w:val="center"/>
          </w:tcPr>
          <w:p w14:paraId="089BD46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13</w:t>
            </w:r>
          </w:p>
        </w:tc>
        <w:tc>
          <w:tcPr>
            <w:tcW w:w="1747" w:type="dxa"/>
            <w:vMerge w:val="continue"/>
            <w:noWrap w:val="0"/>
            <w:vAlign w:val="center"/>
          </w:tcPr>
          <w:p w14:paraId="3D5988D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p>
        </w:tc>
        <w:tc>
          <w:tcPr>
            <w:tcW w:w="5865" w:type="dxa"/>
            <w:noWrap w:val="0"/>
            <w:vAlign w:val="center"/>
          </w:tcPr>
          <w:p w14:paraId="11D9A46B">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（2）负责书屋内图书的借阅及归还管理登记，每月查询借阅登记表，督促书籍续借、到期归还。</w:t>
            </w:r>
          </w:p>
        </w:tc>
      </w:tr>
      <w:tr w14:paraId="5F003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719" w:type="dxa"/>
            <w:noWrap w:val="0"/>
            <w:vAlign w:val="center"/>
          </w:tcPr>
          <w:p w14:paraId="0A87516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1747" w:type="dxa"/>
            <w:vMerge w:val="continue"/>
            <w:noWrap w:val="0"/>
            <w:vAlign w:val="center"/>
          </w:tcPr>
          <w:p w14:paraId="5C65564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5865" w:type="dxa"/>
            <w:noWrap w:val="0"/>
            <w:vAlign w:val="center"/>
          </w:tcPr>
          <w:p w14:paraId="4826F239">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strike w:val="0"/>
                <w:dstrike w:val="0"/>
                <w:color w:val="auto"/>
                <w:sz w:val="20"/>
                <w:szCs w:val="20"/>
                <w:highlight w:val="none"/>
                <w:lang w:val="en-US" w:eastAsia="zh-CN"/>
              </w:rPr>
              <w:t>（3）负责对损坏的图书进行修补、保证其完整性。</w:t>
            </w:r>
          </w:p>
        </w:tc>
      </w:tr>
    </w:tbl>
    <w:p w14:paraId="0EF2B85C">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bCs w:val="0"/>
          <w:color w:val="auto"/>
          <w:sz w:val="20"/>
          <w:szCs w:val="20"/>
          <w:highlight w:val="none"/>
          <w:lang w:val="en-US" w:eastAsia="zh-CN"/>
        </w:rPr>
      </w:pPr>
    </w:p>
    <w:p w14:paraId="29AD1350">
      <w:pPr>
        <w:keepNext w:val="0"/>
        <w:keepLines w:val="0"/>
        <w:pageBreakBefore w:val="0"/>
        <w:widowControl w:val="0"/>
        <w:kinsoku/>
        <w:wordWrap/>
        <w:overflowPunct/>
        <w:topLinePunct w:val="0"/>
        <w:autoSpaceDE/>
        <w:autoSpaceDN/>
        <w:bidi w:val="0"/>
        <w:adjustRightInd/>
        <w:snapToGrid/>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3.9消防管理服务具体工作要求</w:t>
      </w:r>
    </w:p>
    <w:p w14:paraId="777572F3">
      <w:pPr>
        <w:keepNext w:val="0"/>
        <w:keepLines w:val="0"/>
        <w:pageBreakBefore w:val="0"/>
        <w:widowControl w:val="0"/>
        <w:kinsoku/>
        <w:wordWrap/>
        <w:overflowPunct/>
        <w:topLinePunct w:val="0"/>
        <w:autoSpaceDE/>
        <w:autoSpaceDN/>
        <w:bidi w:val="0"/>
        <w:adjustRightInd/>
        <w:snapToGrid/>
        <w:spacing w:line="560" w:lineRule="exact"/>
        <w:ind w:firstLine="402" w:firstLineChars="200"/>
        <w:contextualSpacing/>
        <w:jc w:val="both"/>
        <w:textAlignment w:val="auto"/>
        <w:outlineLvl w:val="9"/>
        <w:rPr>
          <w:rFonts w:hint="eastAsia" w:ascii="宋体" w:hAnsi="宋体" w:eastAsia="宋体" w:cs="宋体"/>
          <w:b/>
          <w:bCs w:val="0"/>
          <w:color w:val="auto"/>
          <w:sz w:val="20"/>
          <w:szCs w:val="20"/>
          <w:highlight w:val="none"/>
          <w:lang w:val="en-US" w:eastAsia="zh-CN"/>
        </w:rPr>
      </w:pPr>
    </w:p>
    <w:tbl>
      <w:tblPr>
        <w:tblStyle w:val="16"/>
        <w:tblW w:w="8343"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290"/>
        <w:gridCol w:w="5348"/>
      </w:tblGrid>
      <w:tr w14:paraId="39AA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blHeader/>
        </w:trPr>
        <w:tc>
          <w:tcPr>
            <w:tcW w:w="705" w:type="dxa"/>
            <w:vAlign w:val="center"/>
          </w:tcPr>
          <w:p w14:paraId="7FE772D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2290" w:type="dxa"/>
            <w:vAlign w:val="center"/>
          </w:tcPr>
          <w:p w14:paraId="32FDDEC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5348" w:type="dxa"/>
            <w:vAlign w:val="center"/>
          </w:tcPr>
          <w:p w14:paraId="0221FD8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016B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05" w:type="dxa"/>
            <w:vAlign w:val="center"/>
          </w:tcPr>
          <w:p w14:paraId="7840C37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2290" w:type="dxa"/>
            <w:vAlign w:val="center"/>
          </w:tcPr>
          <w:p w14:paraId="1B6FD17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资质要求</w:t>
            </w:r>
          </w:p>
        </w:tc>
        <w:tc>
          <w:tcPr>
            <w:tcW w:w="5348" w:type="dxa"/>
            <w:vAlign w:val="center"/>
          </w:tcPr>
          <w:p w14:paraId="795B5252">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服务人员应具备消防工程相关资格证书和经验，熟悉消防设施的操作和维护，确保服务人员具有从事消防监控、巡视、操作等工作的能力。</w:t>
            </w:r>
          </w:p>
        </w:tc>
      </w:tr>
      <w:tr w14:paraId="7338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05" w:type="dxa"/>
            <w:vAlign w:val="center"/>
          </w:tcPr>
          <w:p w14:paraId="1872D8C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2290" w:type="dxa"/>
            <w:vAlign w:val="center"/>
          </w:tcPr>
          <w:p w14:paraId="24F3B1C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培训考核</w:t>
            </w:r>
          </w:p>
        </w:tc>
        <w:tc>
          <w:tcPr>
            <w:tcW w:w="5348" w:type="dxa"/>
            <w:vAlign w:val="center"/>
          </w:tcPr>
          <w:p w14:paraId="7F2DE981">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供应商应对服务人员对消防监盘知识进行必要的培训和考核，确保其服务人员了解消防监盘系统的使用和维护要求，掌握操作规程和应急预案。</w:t>
            </w:r>
          </w:p>
        </w:tc>
      </w:tr>
      <w:tr w14:paraId="2B8FA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59" w:hRule="atLeast"/>
        </w:trPr>
        <w:tc>
          <w:tcPr>
            <w:tcW w:w="705" w:type="dxa"/>
            <w:vAlign w:val="center"/>
          </w:tcPr>
          <w:p w14:paraId="10B0778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2290" w:type="dxa"/>
            <w:vAlign w:val="center"/>
          </w:tcPr>
          <w:p w14:paraId="3153A50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保密安全</w:t>
            </w:r>
          </w:p>
        </w:tc>
        <w:tc>
          <w:tcPr>
            <w:tcW w:w="5348" w:type="dxa"/>
            <w:vAlign w:val="center"/>
          </w:tcPr>
          <w:p w14:paraId="34D47F9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供应商应对消防监控、巡视、操作等工作涉及到机密信息和安全要求，服务人员要签订保密协议，保证信息安全和保密性。</w:t>
            </w:r>
          </w:p>
        </w:tc>
      </w:tr>
      <w:tr w14:paraId="2EB2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05" w:type="dxa"/>
            <w:vAlign w:val="center"/>
          </w:tcPr>
          <w:p w14:paraId="21DBD5A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2290" w:type="dxa"/>
            <w:vAlign w:val="center"/>
          </w:tcPr>
          <w:p w14:paraId="759190A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岗前培训</w:t>
            </w:r>
          </w:p>
        </w:tc>
        <w:tc>
          <w:tcPr>
            <w:tcW w:w="5348" w:type="dxa"/>
            <w:vAlign w:val="center"/>
          </w:tcPr>
          <w:p w14:paraId="52803DA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供应商应对服务人员对采购方消防设备的操作、维护等方面开展岗前培训，确保其掌握消防监盘系统的具体操作方法。</w:t>
            </w:r>
          </w:p>
        </w:tc>
      </w:tr>
      <w:tr w14:paraId="3B3B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05" w:type="dxa"/>
            <w:vAlign w:val="center"/>
          </w:tcPr>
          <w:p w14:paraId="5DA5AF0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2290" w:type="dxa"/>
            <w:vAlign w:val="center"/>
          </w:tcPr>
          <w:p w14:paraId="5D38C5B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定期巡查</w:t>
            </w:r>
          </w:p>
        </w:tc>
        <w:tc>
          <w:tcPr>
            <w:tcW w:w="5348" w:type="dxa"/>
            <w:vAlign w:val="center"/>
          </w:tcPr>
          <w:p w14:paraId="6A101E2A">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供应商要定期对消防监盘设备监控、巡视和操作，及时发现并处理监盘设备故障，确保消防监盘设备的正常运行。</w:t>
            </w:r>
          </w:p>
        </w:tc>
      </w:tr>
      <w:tr w14:paraId="0AA9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05" w:type="dxa"/>
            <w:vAlign w:val="center"/>
          </w:tcPr>
          <w:p w14:paraId="3FA2A1E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2290" w:type="dxa"/>
            <w:vAlign w:val="center"/>
          </w:tcPr>
          <w:p w14:paraId="094F6F9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常规的检查疏散指示设施</w:t>
            </w:r>
          </w:p>
        </w:tc>
        <w:tc>
          <w:tcPr>
            <w:tcW w:w="5348" w:type="dxa"/>
            <w:vAlign w:val="center"/>
          </w:tcPr>
          <w:p w14:paraId="06279758">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供应商应开展常规的检查疏散的安全指示标志和应急照明设施是否完好有效，是否清晰明确。</w:t>
            </w:r>
          </w:p>
        </w:tc>
      </w:tr>
      <w:tr w14:paraId="34226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6" w:hRule="atLeast"/>
        </w:trPr>
        <w:tc>
          <w:tcPr>
            <w:tcW w:w="705" w:type="dxa"/>
            <w:vAlign w:val="center"/>
          </w:tcPr>
          <w:p w14:paraId="42DF37E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2290" w:type="dxa"/>
            <w:vAlign w:val="center"/>
          </w:tcPr>
          <w:p w14:paraId="51CF4A1F">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常规的检查消防通道</w:t>
            </w:r>
          </w:p>
        </w:tc>
        <w:tc>
          <w:tcPr>
            <w:tcW w:w="5348" w:type="dxa"/>
            <w:vAlign w:val="center"/>
          </w:tcPr>
          <w:p w14:paraId="0FFA877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供应商应开展常规的检查消防通道是否畅通，是否有杂物堆放或者堵塞现象。</w:t>
            </w:r>
          </w:p>
        </w:tc>
      </w:tr>
      <w:tr w14:paraId="2B4E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05" w:type="dxa"/>
            <w:vAlign w:val="center"/>
          </w:tcPr>
          <w:p w14:paraId="0BA4CE1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2290" w:type="dxa"/>
            <w:vAlign w:val="center"/>
          </w:tcPr>
          <w:p w14:paraId="45763AC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常规的检查消防照明电源</w:t>
            </w:r>
          </w:p>
        </w:tc>
        <w:tc>
          <w:tcPr>
            <w:tcW w:w="5348" w:type="dxa"/>
            <w:vAlign w:val="center"/>
          </w:tcPr>
          <w:p w14:paraId="1A85D715">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供应商应开展常规的检查消防照明和消防电源设施的正常工作情况。</w:t>
            </w:r>
          </w:p>
        </w:tc>
      </w:tr>
      <w:tr w14:paraId="2DC54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05" w:type="dxa"/>
            <w:vAlign w:val="center"/>
          </w:tcPr>
          <w:p w14:paraId="12B3BA1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2290" w:type="dxa"/>
            <w:vAlign w:val="center"/>
          </w:tcPr>
          <w:p w14:paraId="442A87E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报警信息管理</w:t>
            </w:r>
          </w:p>
        </w:tc>
        <w:tc>
          <w:tcPr>
            <w:tcW w:w="5348" w:type="dxa"/>
            <w:vAlign w:val="center"/>
          </w:tcPr>
          <w:p w14:paraId="41ABB132">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供应商应对消防报警信息进行管理，包括信息的接收、记录、分析、统计和归档等工作。</w:t>
            </w:r>
          </w:p>
        </w:tc>
      </w:tr>
      <w:tr w14:paraId="4CFF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4" w:hRule="atLeast"/>
        </w:trPr>
        <w:tc>
          <w:tcPr>
            <w:tcW w:w="705" w:type="dxa"/>
            <w:vAlign w:val="center"/>
          </w:tcPr>
          <w:p w14:paraId="08198CD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2290" w:type="dxa"/>
            <w:vAlign w:val="center"/>
          </w:tcPr>
          <w:p w14:paraId="2999E0BA">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应急处理</w:t>
            </w:r>
          </w:p>
        </w:tc>
        <w:tc>
          <w:tcPr>
            <w:tcW w:w="5348" w:type="dxa"/>
            <w:vAlign w:val="center"/>
          </w:tcPr>
          <w:p w14:paraId="2CD63E4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处理应急事件：服务人员要熟知应急处理流程，掌握相应的应急技能和应急设备的使用方法，能够及时有效地应对突发事件。能够按照要求制定和执行消防应急预案，掌握应急处置技能和方法，及时有效地应对突发事件。</w:t>
            </w:r>
          </w:p>
        </w:tc>
      </w:tr>
      <w:tr w14:paraId="2B5CC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05" w:type="dxa"/>
            <w:vAlign w:val="center"/>
          </w:tcPr>
          <w:p w14:paraId="464D768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2290" w:type="dxa"/>
            <w:vAlign w:val="center"/>
          </w:tcPr>
          <w:p w14:paraId="2D816021">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火灾报警处理</w:t>
            </w:r>
          </w:p>
        </w:tc>
        <w:tc>
          <w:tcPr>
            <w:tcW w:w="5348" w:type="dxa"/>
            <w:vAlign w:val="center"/>
          </w:tcPr>
          <w:p w14:paraId="0BF1C9F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供应商应在火灾发生后，应及时对火灾报警系统进行处理，确定火灾地点和火势大小等级，同时通知消防队伍前来扑灭火势。</w:t>
            </w:r>
          </w:p>
        </w:tc>
      </w:tr>
      <w:tr w14:paraId="5F1B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05" w:type="dxa"/>
            <w:vAlign w:val="center"/>
          </w:tcPr>
          <w:p w14:paraId="03099184">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2290" w:type="dxa"/>
            <w:vAlign w:val="center"/>
          </w:tcPr>
          <w:p w14:paraId="7DEC1B6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熟练操作消火栓设备</w:t>
            </w:r>
          </w:p>
        </w:tc>
        <w:tc>
          <w:tcPr>
            <w:tcW w:w="5348" w:type="dxa"/>
            <w:vAlign w:val="center"/>
          </w:tcPr>
          <w:p w14:paraId="583DC20F">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供应商应熟练操作消火栓设备。在消防水源充足的情况下，应及时找到最近的消火栓并将其开启，将水流引入灭火器材进行灭火。</w:t>
            </w:r>
          </w:p>
        </w:tc>
      </w:tr>
      <w:tr w14:paraId="4341D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05" w:type="dxa"/>
            <w:vAlign w:val="center"/>
          </w:tcPr>
          <w:p w14:paraId="54A470F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2290" w:type="dxa"/>
            <w:vAlign w:val="center"/>
          </w:tcPr>
          <w:p w14:paraId="5236336E">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熟练操作灭火器设备</w:t>
            </w:r>
          </w:p>
        </w:tc>
        <w:tc>
          <w:tcPr>
            <w:tcW w:w="5348" w:type="dxa"/>
            <w:vAlign w:val="center"/>
          </w:tcPr>
          <w:p w14:paraId="3D4935CB">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供应商应熟练操作灭火器设备。在火灾初期，应使用灭火器迅速控制火势。</w:t>
            </w:r>
          </w:p>
        </w:tc>
      </w:tr>
      <w:tr w14:paraId="7947C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05" w:type="dxa"/>
            <w:vAlign w:val="center"/>
          </w:tcPr>
          <w:p w14:paraId="68CAC303">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2290" w:type="dxa"/>
            <w:vAlign w:val="center"/>
          </w:tcPr>
          <w:p w14:paraId="5AD8E2C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熟练操作喷水灭火系统</w:t>
            </w:r>
          </w:p>
        </w:tc>
        <w:tc>
          <w:tcPr>
            <w:tcW w:w="5348" w:type="dxa"/>
            <w:vAlign w:val="center"/>
          </w:tcPr>
          <w:p w14:paraId="63155825">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供应商应熟练操作喷水灭火系统设备设施。建筑物内部有自动喷水灭火系统的，在火灾发生时应通过手动开启系统，使水流迅速灭火。</w:t>
            </w:r>
          </w:p>
        </w:tc>
      </w:tr>
      <w:tr w14:paraId="0AA1B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6" w:hRule="atLeast"/>
        </w:trPr>
        <w:tc>
          <w:tcPr>
            <w:tcW w:w="705" w:type="dxa"/>
            <w:vAlign w:val="center"/>
          </w:tcPr>
          <w:p w14:paraId="3E115AD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2290" w:type="dxa"/>
            <w:vAlign w:val="center"/>
          </w:tcPr>
          <w:p w14:paraId="0FAFAB02">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组织疏散</w:t>
            </w:r>
          </w:p>
        </w:tc>
        <w:tc>
          <w:tcPr>
            <w:tcW w:w="5348" w:type="dxa"/>
            <w:vAlign w:val="center"/>
          </w:tcPr>
          <w:p w14:paraId="0B597729">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在火灾发生时，供应商操作员应及时组织人员疏散，确保人员安全，并协助消防队员进行灭火。</w:t>
            </w:r>
          </w:p>
        </w:tc>
      </w:tr>
      <w:tr w14:paraId="0A37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05" w:type="dxa"/>
            <w:vAlign w:val="center"/>
          </w:tcPr>
          <w:p w14:paraId="6DE0EF55">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16</w:t>
            </w:r>
          </w:p>
        </w:tc>
        <w:tc>
          <w:tcPr>
            <w:tcW w:w="2290" w:type="dxa"/>
            <w:vAlign w:val="center"/>
          </w:tcPr>
          <w:p w14:paraId="7926D4D8">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熟悉常用消防器材</w:t>
            </w:r>
          </w:p>
        </w:tc>
        <w:tc>
          <w:tcPr>
            <w:tcW w:w="5348" w:type="dxa"/>
            <w:vAlign w:val="center"/>
          </w:tcPr>
          <w:p w14:paraId="459AA8D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服务人员应熟悉常用的消防设备和器材，能够正确使用和保养消防设备，保障消防设施的正常运行。</w:t>
            </w:r>
          </w:p>
        </w:tc>
      </w:tr>
      <w:tr w14:paraId="361D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05" w:type="dxa"/>
            <w:vAlign w:val="center"/>
          </w:tcPr>
          <w:p w14:paraId="0D2C42DC">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17</w:t>
            </w:r>
          </w:p>
        </w:tc>
        <w:tc>
          <w:tcPr>
            <w:tcW w:w="2290" w:type="dxa"/>
            <w:vAlign w:val="center"/>
          </w:tcPr>
          <w:p w14:paraId="7AADB97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安全意识</w:t>
            </w:r>
          </w:p>
        </w:tc>
        <w:tc>
          <w:tcPr>
            <w:tcW w:w="5348" w:type="dxa"/>
            <w:vAlign w:val="center"/>
          </w:tcPr>
          <w:p w14:paraId="278235D2">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服务人员应具备较强的责任心和安全意识，能够积极主动地参与消防安全工作，确保消防设施的安全运行。</w:t>
            </w:r>
          </w:p>
        </w:tc>
      </w:tr>
      <w:tr w14:paraId="70BF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05" w:type="dxa"/>
            <w:vAlign w:val="center"/>
          </w:tcPr>
          <w:p w14:paraId="1987B1BD">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18</w:t>
            </w:r>
          </w:p>
        </w:tc>
        <w:tc>
          <w:tcPr>
            <w:tcW w:w="2290" w:type="dxa"/>
            <w:vAlign w:val="center"/>
          </w:tcPr>
          <w:p w14:paraId="6AA3CD8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录像存储</w:t>
            </w:r>
          </w:p>
        </w:tc>
        <w:tc>
          <w:tcPr>
            <w:tcW w:w="5348" w:type="dxa"/>
            <w:vAlign w:val="center"/>
          </w:tcPr>
          <w:p w14:paraId="0E23B0C6">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服务人员应需要定期备份监控录像，确保监控数据的安全性和完整性，同时要加强信息安全保护，防止数据泄露。</w:t>
            </w:r>
          </w:p>
        </w:tc>
      </w:tr>
      <w:tr w14:paraId="25B97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05" w:type="dxa"/>
            <w:vAlign w:val="center"/>
          </w:tcPr>
          <w:p w14:paraId="1F869306">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19</w:t>
            </w:r>
          </w:p>
        </w:tc>
        <w:tc>
          <w:tcPr>
            <w:tcW w:w="2290" w:type="dxa"/>
            <w:vAlign w:val="center"/>
          </w:tcPr>
          <w:p w14:paraId="40D0E517">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检查和监督</w:t>
            </w:r>
          </w:p>
        </w:tc>
        <w:tc>
          <w:tcPr>
            <w:tcW w:w="5348" w:type="dxa"/>
            <w:vAlign w:val="center"/>
          </w:tcPr>
          <w:p w14:paraId="16F229C5">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服务人员应定期对建筑物、场所等开展相关的消防安全检查和监督。</w:t>
            </w:r>
          </w:p>
        </w:tc>
      </w:tr>
      <w:tr w14:paraId="3C9C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05" w:type="dxa"/>
            <w:vAlign w:val="center"/>
          </w:tcPr>
          <w:p w14:paraId="464C987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20</w:t>
            </w:r>
          </w:p>
        </w:tc>
        <w:tc>
          <w:tcPr>
            <w:tcW w:w="2290" w:type="dxa"/>
            <w:vAlign w:val="center"/>
          </w:tcPr>
          <w:p w14:paraId="76F16DD0">
            <w:pPr>
              <w:keepNext w:val="0"/>
              <w:keepLines w:val="0"/>
              <w:pageBreakBefore w:val="0"/>
              <w:widowControl w:val="0"/>
              <w:kinsoku/>
              <w:wordWrap/>
              <w:overflowPunct/>
              <w:topLinePunct w:val="0"/>
              <w:autoSpaceDE/>
              <w:autoSpaceDN/>
              <w:bidi w:val="0"/>
              <w:adjustRightInd/>
              <w:snapToGrid/>
              <w:spacing w:beforeLines="0" w:afterLines="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人员值班要求</w:t>
            </w:r>
          </w:p>
        </w:tc>
        <w:tc>
          <w:tcPr>
            <w:tcW w:w="5348" w:type="dxa"/>
            <w:vAlign w:val="center"/>
          </w:tcPr>
          <w:p w14:paraId="3BAE7C72">
            <w:pPr>
              <w:keepNext w:val="0"/>
              <w:keepLines w:val="0"/>
              <w:pageBreakBefore w:val="0"/>
              <w:widowControl w:val="0"/>
              <w:kinsoku/>
              <w:wordWrap/>
              <w:overflowPunct/>
              <w:topLinePunct w:val="0"/>
              <w:autoSpaceDE/>
              <w:autoSpaceDN/>
              <w:bidi w:val="0"/>
              <w:adjustRightInd/>
              <w:snapToGrid/>
              <w:spacing w:beforeLines="0" w:afterLines="0"/>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保证消防控制室24小时有人在岗值班，并按要求做好值班记录。</w:t>
            </w:r>
          </w:p>
        </w:tc>
      </w:tr>
    </w:tbl>
    <w:p w14:paraId="0CA56A94">
      <w:pPr>
        <w:pStyle w:val="18"/>
        <w:rPr>
          <w:rFonts w:hint="eastAsia"/>
          <w:sz w:val="20"/>
          <w:szCs w:val="20"/>
          <w:highlight w:val="none"/>
          <w:lang w:val="en-US" w:eastAsia="zh-CN"/>
        </w:rPr>
      </w:pPr>
    </w:p>
    <w:p w14:paraId="49446297">
      <w:pPr>
        <w:bidi w:val="0"/>
        <w:ind w:firstLine="402" w:firstLineChars="20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4.</w:t>
      </w:r>
      <w:r>
        <w:rPr>
          <w:rFonts w:hint="eastAsia" w:ascii="宋体" w:hAnsi="宋体" w:eastAsia="宋体" w:cs="宋体"/>
          <w:b/>
          <w:bCs/>
          <w:highlight w:val="none"/>
        </w:rPr>
        <w:t>服务履约考核</w:t>
      </w:r>
      <w:bookmarkEnd w:id="58"/>
      <w:bookmarkEnd w:id="59"/>
      <w:bookmarkEnd w:id="60"/>
      <w:bookmarkEnd w:id="61"/>
      <w:bookmarkEnd w:id="62"/>
      <w:bookmarkEnd w:id="63"/>
    </w:p>
    <w:p w14:paraId="3BC95247">
      <w:pPr>
        <w:keepNext/>
        <w:keepLines w:val="0"/>
        <w:pageBreakBefore w:val="0"/>
        <w:widowControl w:val="0"/>
        <w:shd w:val="clear"/>
        <w:kinsoku/>
        <w:wordWrap/>
        <w:overflowPunct/>
        <w:topLinePunct w:val="0"/>
        <w:autoSpaceDE/>
        <w:autoSpaceDN/>
        <w:bidi w:val="0"/>
        <w:adjustRightInd/>
        <w:snapToGrid/>
        <w:spacing w:line="560" w:lineRule="exact"/>
        <w:ind w:firstLine="400" w:firstLineChars="200"/>
        <w:contextualSpacing/>
        <w:textAlignment w:val="auto"/>
        <w:rPr>
          <w:rFonts w:hint="default" w:ascii="宋体" w:hAnsi="宋体" w:eastAsia="宋体" w:cs="宋体"/>
          <w:bCs/>
          <w:color w:val="auto"/>
          <w:sz w:val="20"/>
          <w:szCs w:val="20"/>
          <w:highlight w:val="none"/>
          <w:lang w:val="en-US" w:eastAsia="zh-CN"/>
        </w:rPr>
      </w:pPr>
      <w:bookmarkStart w:id="66" w:name="_Toc4048"/>
      <w:bookmarkStart w:id="67" w:name="_Toc26193"/>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b/>
          <w:bCs w:val="0"/>
          <w:color w:val="auto"/>
          <w:sz w:val="20"/>
          <w:szCs w:val="20"/>
          <w:highlight w:val="none"/>
          <w:lang w:val="en-US" w:eastAsia="zh-CN"/>
        </w:rPr>
        <w:t>其中物业管理服务、绿化维护服务、生产区域秩序维护服务、食堂餐饮服务外委</w:t>
      </w:r>
      <w:r>
        <w:rPr>
          <w:rFonts w:hint="eastAsia" w:ascii="宋体" w:hAnsi="宋体" w:cs="宋体"/>
          <w:b/>
          <w:bCs w:val="0"/>
          <w:color w:val="auto"/>
          <w:sz w:val="20"/>
          <w:szCs w:val="20"/>
          <w:highlight w:val="none"/>
          <w:lang w:val="en-US" w:eastAsia="zh-CN"/>
        </w:rPr>
        <w:t>、食堂物业管理服务</w:t>
      </w:r>
      <w:r>
        <w:rPr>
          <w:rFonts w:hint="eastAsia" w:ascii="宋体" w:hAnsi="宋体" w:eastAsia="宋体" w:cs="宋体"/>
          <w:b/>
          <w:bCs w:val="0"/>
          <w:color w:val="auto"/>
          <w:sz w:val="20"/>
          <w:szCs w:val="20"/>
          <w:highlight w:val="none"/>
          <w:lang w:val="en-US" w:eastAsia="zh-CN"/>
        </w:rPr>
        <w:t>每扣0.1分折合人民币100元；周转房</w:t>
      </w:r>
      <w:r>
        <w:rPr>
          <w:rFonts w:hint="eastAsia" w:ascii="宋体" w:hAnsi="宋体" w:cs="宋体"/>
          <w:b/>
          <w:bCs w:val="0"/>
          <w:color w:val="auto"/>
          <w:sz w:val="20"/>
          <w:szCs w:val="20"/>
          <w:highlight w:val="none"/>
          <w:lang w:val="en-US" w:eastAsia="zh-CN"/>
        </w:rPr>
        <w:t>（员工宿舍）生活场所管理服务</w:t>
      </w:r>
      <w:r>
        <w:rPr>
          <w:rFonts w:hint="eastAsia" w:ascii="宋体" w:hAnsi="宋体" w:eastAsia="宋体" w:cs="宋体"/>
          <w:b/>
          <w:bCs w:val="0"/>
          <w:color w:val="auto"/>
          <w:sz w:val="20"/>
          <w:szCs w:val="20"/>
          <w:highlight w:val="none"/>
          <w:lang w:val="en-US" w:eastAsia="zh-CN"/>
        </w:rPr>
        <w:t>、</w:t>
      </w:r>
      <w:r>
        <w:rPr>
          <w:rFonts w:hint="eastAsia" w:ascii="宋体" w:hAnsi="宋体" w:cs="宋体"/>
          <w:b/>
          <w:bCs w:val="0"/>
          <w:color w:val="auto"/>
          <w:sz w:val="20"/>
          <w:szCs w:val="20"/>
          <w:highlight w:val="none"/>
          <w:lang w:val="en-US" w:eastAsia="zh-CN"/>
        </w:rPr>
        <w:t>职工活动场所委托服务、消防管理服务、</w:t>
      </w:r>
      <w:r>
        <w:rPr>
          <w:rFonts w:hint="eastAsia" w:ascii="宋体" w:hAnsi="宋体" w:eastAsia="宋体" w:cs="宋体"/>
          <w:b/>
          <w:bCs w:val="0"/>
          <w:color w:val="auto"/>
          <w:sz w:val="20"/>
          <w:szCs w:val="20"/>
          <w:highlight w:val="none"/>
          <w:lang w:val="en-US" w:eastAsia="zh-CN"/>
        </w:rPr>
        <w:t>行政</w:t>
      </w:r>
      <w:r>
        <w:rPr>
          <w:rFonts w:hint="eastAsia" w:ascii="宋体" w:hAnsi="宋体" w:cs="宋体"/>
          <w:b/>
          <w:bCs w:val="0"/>
          <w:color w:val="auto"/>
          <w:sz w:val="20"/>
          <w:szCs w:val="20"/>
          <w:highlight w:val="none"/>
          <w:lang w:val="en-US" w:eastAsia="zh-CN"/>
        </w:rPr>
        <w:t>后勤</w:t>
      </w:r>
      <w:r>
        <w:rPr>
          <w:rFonts w:hint="eastAsia" w:ascii="宋体" w:hAnsi="宋体" w:eastAsia="宋体" w:cs="宋体"/>
          <w:b/>
          <w:bCs w:val="0"/>
          <w:color w:val="auto"/>
          <w:sz w:val="20"/>
          <w:szCs w:val="20"/>
          <w:highlight w:val="none"/>
          <w:lang w:val="en-US" w:eastAsia="zh-CN"/>
        </w:rPr>
        <w:t>服务扣1分折合人民币100元</w:t>
      </w:r>
      <w:r>
        <w:rPr>
          <w:rFonts w:hint="eastAsia" w:ascii="宋体" w:hAnsi="宋体" w:eastAsia="宋体" w:cs="宋体"/>
          <w:bCs/>
          <w:color w:val="auto"/>
          <w:sz w:val="20"/>
          <w:szCs w:val="20"/>
          <w:highlight w:val="none"/>
          <w:lang w:val="en-US" w:eastAsia="zh-CN"/>
        </w:rPr>
        <w:t>。</w:t>
      </w:r>
    </w:p>
    <w:p w14:paraId="70C2D022">
      <w:pPr>
        <w:keepNext/>
        <w:keepLines w:val="0"/>
        <w:pageBreakBefore w:val="0"/>
        <w:widowControl w:val="0"/>
        <w:shd w:val="clear"/>
        <w:kinsoku/>
        <w:wordWrap/>
        <w:overflowPunct/>
        <w:topLinePunct w:val="0"/>
        <w:autoSpaceDE/>
        <w:autoSpaceDN/>
        <w:bidi w:val="0"/>
        <w:adjustRightInd/>
        <w:snapToGrid/>
        <w:spacing w:line="560" w:lineRule="exact"/>
        <w:ind w:firstLine="402" w:firstLineChars="200"/>
        <w:contextualSpacing/>
        <w:jc w:val="both"/>
        <w:textAlignment w:val="auto"/>
        <w:outlineLvl w:val="9"/>
        <w:rPr>
          <w:rFonts w:hint="default" w:ascii="宋体" w:hAnsi="宋体" w:eastAsia="宋体" w:cs="宋体"/>
          <w:b/>
          <w:bCs w:val="0"/>
          <w:color w:val="auto"/>
          <w:sz w:val="20"/>
          <w:szCs w:val="20"/>
          <w:highlight w:val="none"/>
          <w:lang w:val="en-US" w:eastAsia="zh-CN"/>
        </w:rPr>
      </w:pPr>
      <w:bookmarkStart w:id="68" w:name="_Toc20798"/>
      <w:bookmarkStart w:id="69" w:name="_Toc29625"/>
      <w:bookmarkStart w:id="70" w:name="_Toc20975"/>
      <w:bookmarkStart w:id="71" w:name="_Toc26865"/>
      <w:r>
        <w:rPr>
          <w:rFonts w:hint="eastAsia" w:ascii="宋体" w:hAnsi="宋体" w:eastAsia="宋体" w:cs="宋体"/>
          <w:b/>
          <w:bCs w:val="0"/>
          <w:color w:val="auto"/>
          <w:sz w:val="20"/>
          <w:szCs w:val="20"/>
          <w:highlight w:val="none"/>
          <w:lang w:val="en-US" w:eastAsia="zh-CN"/>
        </w:rPr>
        <w:t>4.1物业管理服务内容及标准（100分）</w:t>
      </w:r>
    </w:p>
    <w:tbl>
      <w:tblPr>
        <w:tblStyle w:val="15"/>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2610"/>
        <w:gridCol w:w="918"/>
        <w:gridCol w:w="2280"/>
        <w:gridCol w:w="1185"/>
        <w:gridCol w:w="690"/>
        <w:gridCol w:w="855"/>
      </w:tblGrid>
      <w:tr w14:paraId="3F17E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03" w:type="dxa"/>
            <w:gridSpan w:val="7"/>
            <w:vAlign w:val="center"/>
          </w:tcPr>
          <w:p w14:paraId="3FC45C76">
            <w:pPr>
              <w:pStyle w:val="18"/>
              <w:shd w:val="clear"/>
              <w:jc w:val="center"/>
              <w:rPr>
                <w:rFonts w:ascii="宋体" w:hAnsi="宋体" w:cs="宋体"/>
                <w:b/>
                <w:bCs/>
                <w:color w:val="auto"/>
                <w:sz w:val="20"/>
                <w:szCs w:val="20"/>
                <w:highlight w:val="none"/>
              </w:rPr>
            </w:pPr>
            <w:r>
              <w:rPr>
                <w:rFonts w:hint="eastAsia"/>
                <w:b/>
                <w:bCs/>
                <w:color w:val="auto"/>
                <w:sz w:val="20"/>
                <w:szCs w:val="20"/>
                <w:highlight w:val="none"/>
              </w:rPr>
              <w:t>第一章  综合服务内容及标准</w:t>
            </w:r>
            <w:r>
              <w:rPr>
                <w:rFonts w:hint="eastAsia" w:ascii="宋体" w:hAnsi="宋体" w:cs="宋体"/>
                <w:b/>
                <w:bCs/>
                <w:color w:val="auto"/>
                <w:sz w:val="20"/>
                <w:szCs w:val="20"/>
                <w:highlight w:val="none"/>
              </w:rPr>
              <w:t>（</w:t>
            </w:r>
            <w:r>
              <w:rPr>
                <w:rFonts w:hint="eastAsia" w:ascii="宋体" w:hAnsi="宋体" w:cs="宋体"/>
                <w:b/>
                <w:bCs/>
                <w:color w:val="auto"/>
                <w:sz w:val="20"/>
                <w:szCs w:val="20"/>
                <w:highlight w:val="none"/>
                <w:lang w:val="en-US" w:eastAsia="zh-CN"/>
              </w:rPr>
              <w:t>20</w:t>
            </w:r>
            <w:r>
              <w:rPr>
                <w:rFonts w:hint="eastAsia" w:ascii="宋体" w:hAnsi="宋体" w:cs="宋体"/>
                <w:b/>
                <w:bCs/>
                <w:color w:val="auto"/>
                <w:sz w:val="20"/>
                <w:szCs w:val="20"/>
                <w:highlight w:val="none"/>
              </w:rPr>
              <w:t>分）</w:t>
            </w:r>
          </w:p>
        </w:tc>
      </w:tr>
      <w:tr w14:paraId="59E7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5" w:type="dxa"/>
            <w:vAlign w:val="center"/>
          </w:tcPr>
          <w:p w14:paraId="3F3E37D7">
            <w:pPr>
              <w:shd w:val="clear"/>
              <w:jc w:val="center"/>
              <w:rPr>
                <w:rFonts w:hint="eastAsia" w:ascii="宋体" w:hAnsi="宋体" w:cs="宋体" w:eastAsiaTheme="minorEastAsia"/>
                <w:b/>
                <w:bCs/>
                <w:color w:val="auto"/>
                <w:kern w:val="2"/>
                <w:sz w:val="20"/>
                <w:szCs w:val="20"/>
                <w:highlight w:val="none"/>
                <w:lang w:val="en-US" w:eastAsia="zh-CN" w:bidi="ar-SA"/>
              </w:rPr>
            </w:pPr>
            <w:r>
              <w:rPr>
                <w:rFonts w:hint="eastAsia"/>
                <w:b/>
                <w:bCs/>
                <w:color w:val="auto"/>
                <w:sz w:val="20"/>
                <w:szCs w:val="20"/>
                <w:highlight w:val="none"/>
              </w:rPr>
              <w:t>序号</w:t>
            </w:r>
          </w:p>
        </w:tc>
        <w:tc>
          <w:tcPr>
            <w:tcW w:w="2610" w:type="dxa"/>
            <w:vAlign w:val="center"/>
          </w:tcPr>
          <w:p w14:paraId="024FAC88">
            <w:pPr>
              <w:shd w:val="clear"/>
              <w:jc w:val="center"/>
              <w:rPr>
                <w:rFonts w:hint="eastAsia" w:ascii="宋体" w:hAnsi="宋体" w:cs="宋体" w:eastAsiaTheme="minorEastAsia"/>
                <w:b/>
                <w:bCs/>
                <w:color w:val="auto"/>
                <w:kern w:val="2"/>
                <w:sz w:val="20"/>
                <w:szCs w:val="20"/>
                <w:highlight w:val="none"/>
                <w:lang w:val="en-US" w:eastAsia="zh-CN" w:bidi="ar-SA"/>
              </w:rPr>
            </w:pPr>
            <w:r>
              <w:rPr>
                <w:rFonts w:hint="eastAsia"/>
                <w:b/>
                <w:bCs/>
                <w:color w:val="auto"/>
                <w:sz w:val="20"/>
                <w:szCs w:val="20"/>
                <w:highlight w:val="none"/>
              </w:rPr>
              <w:t>服务内容及标准要求</w:t>
            </w:r>
          </w:p>
        </w:tc>
        <w:tc>
          <w:tcPr>
            <w:tcW w:w="918" w:type="dxa"/>
            <w:vAlign w:val="center"/>
          </w:tcPr>
          <w:p w14:paraId="3D3FB868">
            <w:pPr>
              <w:shd w:val="clea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标准分</w:t>
            </w:r>
          </w:p>
        </w:tc>
        <w:tc>
          <w:tcPr>
            <w:tcW w:w="2280" w:type="dxa"/>
            <w:vAlign w:val="center"/>
          </w:tcPr>
          <w:p w14:paraId="5A32E68E">
            <w:pPr>
              <w:shd w:val="clear"/>
              <w:jc w:val="center"/>
              <w:rPr>
                <w:rFonts w:hint="eastAsia" w:ascii="宋体" w:hAnsi="宋体" w:cs="宋体" w:eastAsiaTheme="minorEastAsia"/>
                <w:b/>
                <w:bCs/>
                <w:color w:val="auto"/>
                <w:kern w:val="2"/>
                <w:sz w:val="20"/>
                <w:szCs w:val="20"/>
                <w:highlight w:val="none"/>
                <w:lang w:val="en-US" w:eastAsia="zh-CN" w:bidi="ar-SA"/>
              </w:rPr>
            </w:pPr>
            <w:r>
              <w:rPr>
                <w:rFonts w:hint="eastAsia"/>
                <w:b/>
                <w:bCs/>
                <w:color w:val="auto"/>
                <w:sz w:val="20"/>
                <w:szCs w:val="20"/>
                <w:highlight w:val="none"/>
              </w:rPr>
              <w:t>检查内容</w:t>
            </w:r>
          </w:p>
        </w:tc>
        <w:tc>
          <w:tcPr>
            <w:tcW w:w="1185" w:type="dxa"/>
            <w:vAlign w:val="center"/>
          </w:tcPr>
          <w:p w14:paraId="01A18BB5">
            <w:pPr>
              <w:shd w:val="clear"/>
              <w:jc w:val="center"/>
              <w:rPr>
                <w:b/>
                <w:bCs/>
                <w:color w:val="auto"/>
                <w:sz w:val="20"/>
                <w:szCs w:val="20"/>
                <w:highlight w:val="none"/>
              </w:rPr>
            </w:pPr>
            <w:r>
              <w:rPr>
                <w:rFonts w:hint="eastAsia"/>
                <w:b/>
                <w:bCs/>
                <w:color w:val="auto"/>
                <w:sz w:val="20"/>
                <w:szCs w:val="20"/>
                <w:highlight w:val="none"/>
              </w:rPr>
              <w:t>扣分</w:t>
            </w:r>
          </w:p>
          <w:p w14:paraId="7B29C63A">
            <w:pPr>
              <w:shd w:val="clear"/>
              <w:jc w:val="center"/>
              <w:rPr>
                <w:rFonts w:hint="eastAsia" w:ascii="宋体" w:hAnsi="宋体" w:cs="宋体" w:eastAsiaTheme="minorEastAsia"/>
                <w:b/>
                <w:bCs/>
                <w:color w:val="auto"/>
                <w:kern w:val="2"/>
                <w:sz w:val="20"/>
                <w:szCs w:val="20"/>
                <w:highlight w:val="none"/>
                <w:lang w:val="en-US" w:eastAsia="zh-CN" w:bidi="ar-SA"/>
              </w:rPr>
            </w:pPr>
            <w:r>
              <w:rPr>
                <w:rFonts w:hint="eastAsia"/>
                <w:b/>
                <w:bCs/>
                <w:color w:val="auto"/>
                <w:sz w:val="20"/>
                <w:szCs w:val="20"/>
                <w:highlight w:val="none"/>
              </w:rPr>
              <w:t>标准</w:t>
            </w:r>
          </w:p>
        </w:tc>
        <w:tc>
          <w:tcPr>
            <w:tcW w:w="690" w:type="dxa"/>
            <w:vAlign w:val="center"/>
          </w:tcPr>
          <w:p w14:paraId="569AB41B">
            <w:pPr>
              <w:shd w:val="clear"/>
              <w:jc w:val="center"/>
              <w:rPr>
                <w:b/>
                <w:bCs/>
                <w:color w:val="auto"/>
                <w:sz w:val="20"/>
                <w:szCs w:val="20"/>
                <w:highlight w:val="none"/>
              </w:rPr>
            </w:pPr>
            <w:r>
              <w:rPr>
                <w:rFonts w:hint="eastAsia"/>
                <w:b/>
                <w:bCs/>
                <w:color w:val="auto"/>
                <w:sz w:val="20"/>
                <w:szCs w:val="20"/>
                <w:highlight w:val="none"/>
              </w:rPr>
              <w:t>实际</w:t>
            </w:r>
          </w:p>
          <w:p w14:paraId="6E4D6DE1">
            <w:pPr>
              <w:shd w:val="clear"/>
              <w:jc w:val="center"/>
              <w:rPr>
                <w:rFonts w:hint="eastAsia" w:ascii="宋体" w:hAnsi="宋体" w:cs="宋体" w:eastAsiaTheme="minorEastAsia"/>
                <w:b/>
                <w:bCs/>
                <w:color w:val="auto"/>
                <w:kern w:val="2"/>
                <w:sz w:val="20"/>
                <w:szCs w:val="20"/>
                <w:highlight w:val="none"/>
                <w:lang w:val="en-US" w:eastAsia="zh-CN" w:bidi="ar-SA"/>
              </w:rPr>
            </w:pPr>
            <w:r>
              <w:rPr>
                <w:rFonts w:hint="eastAsia"/>
                <w:b/>
                <w:bCs/>
                <w:color w:val="auto"/>
                <w:sz w:val="20"/>
                <w:szCs w:val="20"/>
                <w:highlight w:val="none"/>
              </w:rPr>
              <w:t>扣分</w:t>
            </w:r>
          </w:p>
        </w:tc>
        <w:tc>
          <w:tcPr>
            <w:tcW w:w="855" w:type="dxa"/>
            <w:vAlign w:val="center"/>
          </w:tcPr>
          <w:p w14:paraId="0DB68DF5">
            <w:pPr>
              <w:shd w:val="clear"/>
              <w:ind w:firstLine="201" w:firstLineChars="100"/>
              <w:jc w:val="center"/>
              <w:rPr>
                <w:rFonts w:hint="eastAsia" w:ascii="宋体" w:hAnsi="宋体" w:cs="宋体" w:eastAsiaTheme="minorEastAsia"/>
                <w:b/>
                <w:bCs/>
                <w:color w:val="auto"/>
                <w:kern w:val="2"/>
                <w:sz w:val="20"/>
                <w:szCs w:val="20"/>
                <w:highlight w:val="none"/>
                <w:lang w:val="en-US" w:eastAsia="zh-CN" w:bidi="ar-SA"/>
              </w:rPr>
            </w:pPr>
            <w:r>
              <w:rPr>
                <w:rFonts w:hint="eastAsia"/>
                <w:b/>
                <w:bCs/>
                <w:color w:val="auto"/>
                <w:sz w:val="20"/>
                <w:szCs w:val="20"/>
                <w:highlight w:val="none"/>
              </w:rPr>
              <w:t>备注</w:t>
            </w:r>
          </w:p>
        </w:tc>
      </w:tr>
      <w:tr w14:paraId="46AD9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tcBorders>
              <w:bottom w:val="single" w:color="auto" w:sz="4" w:space="0"/>
            </w:tcBorders>
            <w:vAlign w:val="center"/>
          </w:tcPr>
          <w:p w14:paraId="31B102A3">
            <w:pPr>
              <w:shd w:val="clear"/>
              <w:jc w:val="center"/>
              <w:rPr>
                <w:rFonts w:ascii="宋体" w:hAnsi="宋体" w:cs="宋体"/>
                <w:color w:val="auto"/>
                <w:sz w:val="20"/>
                <w:szCs w:val="20"/>
                <w:highlight w:val="none"/>
              </w:rPr>
            </w:pPr>
            <w:r>
              <w:rPr>
                <w:rFonts w:hint="eastAsia" w:ascii="宋体" w:hAnsi="宋体" w:cs="宋体"/>
                <w:color w:val="auto"/>
                <w:sz w:val="20"/>
                <w:szCs w:val="20"/>
                <w:highlight w:val="none"/>
              </w:rPr>
              <w:t>1</w:t>
            </w:r>
          </w:p>
        </w:tc>
        <w:tc>
          <w:tcPr>
            <w:tcW w:w="2610" w:type="dxa"/>
            <w:tcBorders>
              <w:bottom w:val="single" w:color="auto" w:sz="4" w:space="0"/>
            </w:tcBorders>
            <w:vAlign w:val="center"/>
          </w:tcPr>
          <w:p w14:paraId="5BF20ED3">
            <w:pPr>
              <w:shd w:val="clear"/>
              <w:adjustRightInd w:val="0"/>
              <w:snapToGrid w:val="0"/>
              <w:rPr>
                <w:rFonts w:ascii="宋体" w:hAnsi="宋体" w:cs="宋体"/>
                <w:color w:val="auto"/>
                <w:sz w:val="20"/>
                <w:szCs w:val="20"/>
                <w:highlight w:val="none"/>
              </w:rPr>
            </w:pPr>
            <w:r>
              <w:rPr>
                <w:rFonts w:hint="eastAsia" w:ascii="宋体" w:hAnsi="宋体" w:cs="宋体"/>
                <w:color w:val="auto"/>
                <w:sz w:val="20"/>
                <w:szCs w:val="20"/>
                <w:highlight w:val="none"/>
              </w:rPr>
              <w:t>12月20日前，</w:t>
            </w:r>
            <w:r>
              <w:rPr>
                <w:rFonts w:hint="eastAsia" w:ascii="宋体" w:hAnsi="宋体" w:cs="宋体"/>
                <w:color w:val="auto"/>
                <w:sz w:val="20"/>
                <w:szCs w:val="20"/>
                <w:highlight w:val="none"/>
                <w:lang w:eastAsia="zh-CN"/>
              </w:rPr>
              <w:t>服务商</w:t>
            </w:r>
            <w:r>
              <w:rPr>
                <w:rFonts w:hint="eastAsia" w:ascii="宋体" w:hAnsi="宋体" w:cs="宋体"/>
                <w:color w:val="auto"/>
                <w:sz w:val="20"/>
                <w:szCs w:val="20"/>
                <w:highlight w:val="none"/>
              </w:rPr>
              <w:t>向</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报送本年物业服务工作总结。</w:t>
            </w:r>
          </w:p>
        </w:tc>
        <w:tc>
          <w:tcPr>
            <w:tcW w:w="918" w:type="dxa"/>
            <w:tcBorders>
              <w:bottom w:val="single" w:color="auto" w:sz="4" w:space="0"/>
            </w:tcBorders>
            <w:vAlign w:val="center"/>
          </w:tcPr>
          <w:p w14:paraId="1E3CCC48">
            <w:pPr>
              <w:shd w:val="clea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2</w:t>
            </w:r>
          </w:p>
        </w:tc>
        <w:tc>
          <w:tcPr>
            <w:tcW w:w="2280" w:type="dxa"/>
            <w:tcBorders>
              <w:bottom w:val="single" w:color="auto" w:sz="4" w:space="0"/>
            </w:tcBorders>
            <w:vAlign w:val="center"/>
          </w:tcPr>
          <w:p w14:paraId="146008B7">
            <w:pPr>
              <w:shd w:val="clear"/>
              <w:rPr>
                <w:rFonts w:hint="eastAsia" w:ascii="宋体" w:hAnsi="宋体" w:cs="宋体" w:eastAsiaTheme="minorEastAsia"/>
                <w:color w:val="auto"/>
                <w:sz w:val="20"/>
                <w:szCs w:val="20"/>
                <w:highlight w:val="none"/>
                <w:u w:val="single"/>
                <w:lang w:eastAsia="zh-CN"/>
              </w:rPr>
            </w:pPr>
            <w:r>
              <w:rPr>
                <w:rFonts w:hint="eastAsia" w:ascii="宋体" w:hAnsi="宋体" w:cs="宋体"/>
                <w:color w:val="auto"/>
                <w:sz w:val="20"/>
                <w:szCs w:val="20"/>
                <w:highlight w:val="none"/>
              </w:rPr>
              <w:t>不按时报送，每缺一项</w:t>
            </w:r>
            <w:r>
              <w:rPr>
                <w:rFonts w:hint="eastAsia" w:ascii="宋体" w:hAnsi="宋体" w:cs="宋体"/>
                <w:color w:val="auto"/>
                <w:sz w:val="20"/>
                <w:szCs w:val="20"/>
                <w:highlight w:val="none"/>
                <w:lang w:eastAsia="zh-CN"/>
              </w:rPr>
              <w:t>。</w:t>
            </w:r>
          </w:p>
        </w:tc>
        <w:tc>
          <w:tcPr>
            <w:tcW w:w="1185" w:type="dxa"/>
            <w:tcBorders>
              <w:bottom w:val="single" w:color="auto" w:sz="4" w:space="0"/>
            </w:tcBorders>
            <w:vAlign w:val="center"/>
          </w:tcPr>
          <w:p w14:paraId="465195AA">
            <w:pPr>
              <w:shd w:val="clea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4</w:t>
            </w:r>
            <w:r>
              <w:rPr>
                <w:rFonts w:hint="eastAsia" w:ascii="宋体" w:hAnsi="宋体" w:cs="宋体"/>
                <w:color w:val="auto"/>
                <w:sz w:val="20"/>
                <w:szCs w:val="20"/>
                <w:highlight w:val="none"/>
              </w:rPr>
              <w:t>分/次</w:t>
            </w:r>
          </w:p>
        </w:tc>
        <w:tc>
          <w:tcPr>
            <w:tcW w:w="690" w:type="dxa"/>
            <w:tcBorders>
              <w:bottom w:val="single" w:color="auto" w:sz="4" w:space="0"/>
            </w:tcBorders>
            <w:vAlign w:val="top"/>
          </w:tcPr>
          <w:p w14:paraId="1E7957A9">
            <w:pPr>
              <w:shd w:val="clear"/>
              <w:jc w:val="center"/>
              <w:rPr>
                <w:rFonts w:ascii="宋体" w:hAnsi="宋体" w:cs="宋体"/>
                <w:color w:val="auto"/>
                <w:sz w:val="20"/>
                <w:szCs w:val="20"/>
                <w:highlight w:val="none"/>
              </w:rPr>
            </w:pPr>
          </w:p>
        </w:tc>
        <w:tc>
          <w:tcPr>
            <w:tcW w:w="855" w:type="dxa"/>
            <w:tcBorders>
              <w:bottom w:val="single" w:color="auto" w:sz="4" w:space="0"/>
            </w:tcBorders>
            <w:vAlign w:val="center"/>
          </w:tcPr>
          <w:p w14:paraId="18480A54">
            <w:pPr>
              <w:shd w:val="clear"/>
              <w:jc w:val="center"/>
              <w:rPr>
                <w:rFonts w:hint="eastAsia" w:ascii="宋体" w:hAnsi="宋体" w:eastAsia="宋体" w:cs="宋体"/>
                <w:color w:val="auto"/>
                <w:sz w:val="20"/>
                <w:szCs w:val="20"/>
                <w:highlight w:val="none"/>
                <w:lang w:eastAsia="zh-CN"/>
              </w:rPr>
            </w:pPr>
          </w:p>
        </w:tc>
      </w:tr>
      <w:tr w14:paraId="0EF7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65" w:type="dxa"/>
            <w:vMerge w:val="restart"/>
            <w:vAlign w:val="center"/>
          </w:tcPr>
          <w:p w14:paraId="522CEAAE">
            <w:pPr>
              <w:shd w:val="clear"/>
              <w:jc w:val="center"/>
              <w:rPr>
                <w:rFonts w:hint="eastAsia" w:ascii="宋体" w:hAnsi="宋体" w:eastAsia="宋体" w:cs="宋体"/>
                <w:color w:val="auto"/>
                <w:sz w:val="20"/>
                <w:szCs w:val="20"/>
                <w:highlight w:val="none"/>
                <w:lang w:eastAsia="zh-CN"/>
              </w:rPr>
            </w:pPr>
            <w:bookmarkStart w:id="72" w:name="OLE_LINK120" w:colFirst="3" w:colLast="4"/>
            <w:r>
              <w:rPr>
                <w:rFonts w:hint="eastAsia" w:ascii="宋体" w:hAnsi="宋体" w:cs="宋体"/>
                <w:color w:val="auto"/>
                <w:sz w:val="20"/>
                <w:szCs w:val="20"/>
                <w:highlight w:val="none"/>
                <w:lang w:val="en-US" w:eastAsia="zh-CN"/>
              </w:rPr>
              <w:t>2</w:t>
            </w:r>
          </w:p>
        </w:tc>
        <w:tc>
          <w:tcPr>
            <w:tcW w:w="2610" w:type="dxa"/>
            <w:vMerge w:val="restart"/>
            <w:vAlign w:val="center"/>
          </w:tcPr>
          <w:p w14:paraId="0EE9C0B3">
            <w:pPr>
              <w:shd w:val="clear"/>
              <w:rPr>
                <w:rFonts w:ascii="宋体" w:hAnsi="宋体" w:cs="宋体"/>
                <w:color w:val="auto"/>
                <w:sz w:val="20"/>
                <w:szCs w:val="20"/>
                <w:highlight w:val="none"/>
              </w:rPr>
            </w:pPr>
            <w:r>
              <w:rPr>
                <w:rFonts w:hint="eastAsia" w:ascii="宋体" w:hAnsi="宋体" w:cs="宋体"/>
                <w:color w:val="auto"/>
                <w:sz w:val="20"/>
                <w:szCs w:val="20"/>
                <w:highlight w:val="none"/>
                <w:lang w:eastAsia="zh-CN"/>
              </w:rPr>
              <w:t>服务商</w:t>
            </w:r>
            <w:r>
              <w:rPr>
                <w:rFonts w:hint="eastAsia" w:ascii="宋体" w:hAnsi="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布置的工作要求、任务有落实，有反馈。</w:t>
            </w:r>
          </w:p>
        </w:tc>
        <w:tc>
          <w:tcPr>
            <w:tcW w:w="918" w:type="dxa"/>
            <w:vMerge w:val="restart"/>
            <w:vAlign w:val="center"/>
          </w:tcPr>
          <w:p w14:paraId="05E842C1">
            <w:pPr>
              <w:shd w:val="clear"/>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5</w:t>
            </w:r>
          </w:p>
        </w:tc>
        <w:tc>
          <w:tcPr>
            <w:tcW w:w="2280" w:type="dxa"/>
            <w:vAlign w:val="center"/>
          </w:tcPr>
          <w:p w14:paraId="585F0991">
            <w:pPr>
              <w:shd w:val="clea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1185" w:type="dxa"/>
            <w:vAlign w:val="center"/>
          </w:tcPr>
          <w:p w14:paraId="4B598157">
            <w:pPr>
              <w:shd w:val="clea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690" w:type="dxa"/>
            <w:vAlign w:val="top"/>
          </w:tcPr>
          <w:p w14:paraId="01E426B4">
            <w:pPr>
              <w:shd w:val="clear"/>
              <w:jc w:val="center"/>
              <w:rPr>
                <w:rFonts w:ascii="宋体" w:hAnsi="宋体" w:cs="宋体"/>
                <w:color w:val="auto"/>
                <w:sz w:val="20"/>
                <w:szCs w:val="20"/>
                <w:highlight w:val="none"/>
              </w:rPr>
            </w:pPr>
          </w:p>
        </w:tc>
        <w:tc>
          <w:tcPr>
            <w:tcW w:w="855" w:type="dxa"/>
            <w:vMerge w:val="restart"/>
            <w:vAlign w:val="center"/>
          </w:tcPr>
          <w:p w14:paraId="1CD5869A">
            <w:pPr>
              <w:shd w:val="clear"/>
              <w:jc w:val="center"/>
              <w:rPr>
                <w:rFonts w:ascii="宋体" w:hAnsi="宋体" w:cs="宋体"/>
                <w:color w:val="auto"/>
                <w:sz w:val="20"/>
                <w:szCs w:val="20"/>
                <w:highlight w:val="none"/>
              </w:rPr>
            </w:pPr>
          </w:p>
        </w:tc>
      </w:tr>
      <w:tr w14:paraId="2EA7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vAlign w:val="center"/>
          </w:tcPr>
          <w:p w14:paraId="6CEA83F8">
            <w:pPr>
              <w:jc w:val="center"/>
              <w:rPr>
                <w:rFonts w:hint="eastAsia" w:ascii="宋体" w:hAnsi="宋体" w:cs="宋体"/>
                <w:color w:val="auto"/>
                <w:sz w:val="20"/>
                <w:szCs w:val="20"/>
                <w:highlight w:val="none"/>
              </w:rPr>
            </w:pPr>
          </w:p>
        </w:tc>
        <w:tc>
          <w:tcPr>
            <w:tcW w:w="2610" w:type="dxa"/>
            <w:vMerge w:val="continue"/>
            <w:vAlign w:val="center"/>
          </w:tcPr>
          <w:p w14:paraId="1111DAD5">
            <w:pPr>
              <w:rPr>
                <w:rFonts w:hint="eastAsia" w:ascii="宋体" w:hAnsi="宋体" w:cs="宋体"/>
                <w:color w:val="auto"/>
                <w:sz w:val="20"/>
                <w:szCs w:val="20"/>
                <w:highlight w:val="none"/>
              </w:rPr>
            </w:pPr>
          </w:p>
        </w:tc>
        <w:tc>
          <w:tcPr>
            <w:tcW w:w="918" w:type="dxa"/>
            <w:vMerge w:val="continue"/>
            <w:vAlign w:val="center"/>
          </w:tcPr>
          <w:p w14:paraId="77BB6ACF">
            <w:pPr>
              <w:jc w:val="center"/>
              <w:rPr>
                <w:rFonts w:hint="eastAsia" w:ascii="宋体" w:hAnsi="宋体" w:cs="宋体"/>
                <w:color w:val="auto"/>
                <w:sz w:val="20"/>
                <w:szCs w:val="20"/>
                <w:highlight w:val="none"/>
                <w:lang w:val="en-US" w:eastAsia="zh-CN"/>
              </w:rPr>
            </w:pPr>
          </w:p>
        </w:tc>
        <w:tc>
          <w:tcPr>
            <w:tcW w:w="2280" w:type="dxa"/>
            <w:vAlign w:val="center"/>
          </w:tcPr>
          <w:p w14:paraId="35EFCC48">
            <w:pPr>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1185" w:type="dxa"/>
            <w:vAlign w:val="center"/>
          </w:tcPr>
          <w:p w14:paraId="1AFE688B">
            <w:pPr>
              <w:jc w:val="cente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0.5</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690" w:type="dxa"/>
            <w:vAlign w:val="top"/>
          </w:tcPr>
          <w:p w14:paraId="29970C78">
            <w:pPr>
              <w:jc w:val="center"/>
              <w:rPr>
                <w:rFonts w:ascii="宋体" w:hAnsi="宋体" w:cs="宋体"/>
                <w:color w:val="auto"/>
                <w:sz w:val="20"/>
                <w:szCs w:val="20"/>
                <w:highlight w:val="none"/>
              </w:rPr>
            </w:pPr>
          </w:p>
        </w:tc>
        <w:tc>
          <w:tcPr>
            <w:tcW w:w="855" w:type="dxa"/>
            <w:vMerge w:val="continue"/>
            <w:vAlign w:val="center"/>
          </w:tcPr>
          <w:p w14:paraId="3DC815F0">
            <w:pPr>
              <w:jc w:val="center"/>
              <w:rPr>
                <w:rFonts w:ascii="宋体" w:hAnsi="宋体" w:cs="宋体"/>
                <w:color w:val="auto"/>
                <w:sz w:val="20"/>
                <w:szCs w:val="20"/>
                <w:highlight w:val="none"/>
              </w:rPr>
            </w:pPr>
          </w:p>
        </w:tc>
      </w:tr>
      <w:tr w14:paraId="5142A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vAlign w:val="center"/>
          </w:tcPr>
          <w:p w14:paraId="1784FFE5">
            <w:pPr>
              <w:jc w:val="center"/>
              <w:rPr>
                <w:rFonts w:ascii="宋体" w:hAnsi="宋体" w:cs="宋体"/>
                <w:color w:val="auto"/>
                <w:sz w:val="20"/>
                <w:szCs w:val="20"/>
                <w:highlight w:val="none"/>
              </w:rPr>
            </w:pPr>
            <w:bookmarkStart w:id="73" w:name="OLE_LINK242" w:colFirst="4" w:colLast="5"/>
          </w:p>
        </w:tc>
        <w:tc>
          <w:tcPr>
            <w:tcW w:w="2610" w:type="dxa"/>
            <w:vMerge w:val="continue"/>
            <w:vAlign w:val="center"/>
          </w:tcPr>
          <w:p w14:paraId="07150F26">
            <w:pPr>
              <w:rPr>
                <w:rFonts w:ascii="宋体" w:hAnsi="宋体" w:cs="宋体"/>
                <w:color w:val="auto"/>
                <w:sz w:val="20"/>
                <w:szCs w:val="20"/>
                <w:highlight w:val="none"/>
              </w:rPr>
            </w:pPr>
          </w:p>
        </w:tc>
        <w:tc>
          <w:tcPr>
            <w:tcW w:w="918" w:type="dxa"/>
            <w:vMerge w:val="continue"/>
            <w:tcBorders>
              <w:left w:val="nil"/>
              <w:right w:val="nil"/>
            </w:tcBorders>
            <w:vAlign w:val="center"/>
          </w:tcPr>
          <w:p w14:paraId="661D8113">
            <w:pPr>
              <w:jc w:val="center"/>
              <w:rPr>
                <w:rFonts w:hint="eastAsia" w:ascii="宋体" w:hAnsi="宋体" w:eastAsia="宋体" w:cs="宋体"/>
                <w:color w:val="auto"/>
                <w:sz w:val="20"/>
                <w:szCs w:val="20"/>
                <w:highlight w:val="none"/>
                <w:lang w:eastAsia="zh-CN"/>
              </w:rPr>
            </w:pPr>
          </w:p>
        </w:tc>
        <w:tc>
          <w:tcPr>
            <w:tcW w:w="2280" w:type="dxa"/>
            <w:vAlign w:val="center"/>
          </w:tcPr>
          <w:p w14:paraId="5BFBBF3E">
            <w:pPr>
              <w:rPr>
                <w:rFonts w:hint="default" w:ascii="宋体" w:hAnsi="宋体" w:cs="宋体" w:eastAsiaTheme="minorEastAsia"/>
                <w:color w:val="auto"/>
                <w:sz w:val="20"/>
                <w:szCs w:val="20"/>
                <w:highlight w:val="none"/>
                <w:lang w:val="en-US" w:eastAsia="zh-CN"/>
              </w:rPr>
            </w:pPr>
            <w:r>
              <w:rPr>
                <w:rFonts w:hint="eastAsia" w:ascii="宋体" w:hAnsi="宋体" w:cs="宋体"/>
                <w:color w:val="auto"/>
                <w:sz w:val="20"/>
                <w:szCs w:val="20"/>
                <w:highlight w:val="none"/>
                <w:lang w:val="en-US" w:eastAsia="zh-CN"/>
              </w:rPr>
              <w:t>因工作执行不到位，对采购方照成重大不良影响，每出现一项。</w:t>
            </w:r>
          </w:p>
        </w:tc>
        <w:tc>
          <w:tcPr>
            <w:tcW w:w="1185" w:type="dxa"/>
            <w:vAlign w:val="center"/>
          </w:tcPr>
          <w:p w14:paraId="47C9CFF8">
            <w:pPr>
              <w:jc w:val="center"/>
              <w:rPr>
                <w:rFonts w:hint="default" w:ascii="宋体" w:hAnsi="宋体" w:cs="宋体" w:eastAsiaTheme="minorEastAsia"/>
                <w:color w:val="auto"/>
                <w:sz w:val="20"/>
                <w:szCs w:val="20"/>
                <w:highlight w:val="none"/>
                <w:lang w:val="en-US" w:eastAsia="zh-CN"/>
              </w:rPr>
            </w:pPr>
            <w:bookmarkStart w:id="74" w:name="OLE_LINK269"/>
            <w:r>
              <w:rPr>
                <w:rFonts w:hint="eastAsia" w:ascii="宋体" w:hAnsi="宋体" w:eastAsia="宋体" w:cs="宋体"/>
                <w:b w:val="0"/>
                <w:bCs w:val="0"/>
                <w:color w:val="auto"/>
                <w:kern w:val="2"/>
                <w:sz w:val="20"/>
                <w:szCs w:val="20"/>
                <w:highlight w:val="none"/>
                <w:lang w:val="en-US" w:eastAsia="zh-CN" w:bidi="ar-SA"/>
              </w:rPr>
              <w:t>-1</w:t>
            </w:r>
            <w:bookmarkStart w:id="75" w:name="OLE_LINK4"/>
            <w:r>
              <w:rPr>
                <w:rFonts w:hint="eastAsia" w:ascii="宋体" w:hAnsi="宋体" w:eastAsia="宋体" w:cs="宋体"/>
                <w:b w:val="0"/>
                <w:bCs w:val="0"/>
                <w:color w:val="auto"/>
                <w:kern w:val="2"/>
                <w:sz w:val="20"/>
                <w:szCs w:val="20"/>
                <w:highlight w:val="none"/>
                <w:lang w:val="en-US" w:eastAsia="zh-CN" w:bidi="ar-SA"/>
              </w:rPr>
              <w:t>至</w:t>
            </w:r>
            <w:bookmarkEnd w:id="75"/>
            <w:r>
              <w:rPr>
                <w:rFonts w:hint="eastAsia" w:ascii="宋体" w:hAnsi="宋体" w:eastAsia="宋体" w:cs="宋体"/>
                <w:b w:val="0"/>
                <w:bCs w:val="0"/>
                <w:color w:val="auto"/>
                <w:kern w:val="2"/>
                <w:sz w:val="20"/>
                <w:szCs w:val="20"/>
                <w:highlight w:val="none"/>
                <w:lang w:val="en-US" w:eastAsia="zh-CN" w:bidi="ar-SA"/>
              </w:rPr>
              <w:t>-5分/项</w:t>
            </w:r>
            <w:bookmarkEnd w:id="74"/>
          </w:p>
        </w:tc>
        <w:tc>
          <w:tcPr>
            <w:tcW w:w="690" w:type="dxa"/>
            <w:vAlign w:val="top"/>
          </w:tcPr>
          <w:p w14:paraId="71C77C29">
            <w:pPr>
              <w:jc w:val="center"/>
              <w:rPr>
                <w:rFonts w:ascii="宋体" w:hAnsi="宋体" w:cs="宋体"/>
                <w:color w:val="1D41D5"/>
                <w:sz w:val="20"/>
                <w:szCs w:val="20"/>
                <w:highlight w:val="none"/>
              </w:rPr>
            </w:pPr>
          </w:p>
        </w:tc>
        <w:tc>
          <w:tcPr>
            <w:tcW w:w="855" w:type="dxa"/>
            <w:vMerge w:val="continue"/>
            <w:vAlign w:val="center"/>
          </w:tcPr>
          <w:p w14:paraId="4FD51237">
            <w:pPr>
              <w:jc w:val="center"/>
              <w:rPr>
                <w:rFonts w:ascii="宋体" w:hAnsi="宋体" w:cs="宋体"/>
                <w:color w:val="auto"/>
                <w:sz w:val="20"/>
                <w:szCs w:val="20"/>
                <w:highlight w:val="none"/>
              </w:rPr>
            </w:pPr>
          </w:p>
        </w:tc>
      </w:tr>
      <w:bookmarkEnd w:id="72"/>
      <w:bookmarkEnd w:id="73"/>
      <w:tr w14:paraId="0211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232641B6">
            <w:pPr>
              <w:jc w:val="center"/>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3</w:t>
            </w:r>
          </w:p>
        </w:tc>
        <w:tc>
          <w:tcPr>
            <w:tcW w:w="2610" w:type="dxa"/>
            <w:vMerge w:val="restart"/>
            <w:vAlign w:val="center"/>
          </w:tcPr>
          <w:p w14:paraId="75EA1275">
            <w:pPr>
              <w:rPr>
                <w:rFonts w:ascii="宋体" w:hAnsi="宋体" w:cs="宋体"/>
                <w:color w:val="auto"/>
                <w:sz w:val="20"/>
                <w:szCs w:val="20"/>
                <w:highlight w:val="none"/>
              </w:rPr>
            </w:pPr>
            <w:r>
              <w:rPr>
                <w:rFonts w:hint="eastAsia" w:ascii="宋体" w:hAnsi="宋体" w:cs="宋体"/>
                <w:color w:val="auto"/>
                <w:sz w:val="20"/>
                <w:szCs w:val="20"/>
                <w:highlight w:val="none"/>
              </w:rPr>
              <w:t>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提出的意见、要求及职工的各种投诉，</w:t>
            </w:r>
            <w:r>
              <w:rPr>
                <w:rFonts w:hint="eastAsia" w:ascii="宋体" w:hAnsi="宋体" w:cs="宋体"/>
                <w:color w:val="auto"/>
                <w:sz w:val="20"/>
                <w:szCs w:val="20"/>
                <w:highlight w:val="none"/>
                <w:lang w:eastAsia="zh-CN"/>
              </w:rPr>
              <w:t>服务商</w:t>
            </w:r>
            <w:r>
              <w:rPr>
                <w:rFonts w:hint="eastAsia" w:ascii="宋体" w:hAnsi="宋体" w:cs="宋体"/>
                <w:color w:val="auto"/>
                <w:sz w:val="20"/>
                <w:szCs w:val="20"/>
                <w:highlight w:val="none"/>
              </w:rPr>
              <w:t>要在规定的时限内处理，做到有记录、有布置、有处理结果，并及时对处理结果进行反馈及回访。</w:t>
            </w:r>
          </w:p>
        </w:tc>
        <w:tc>
          <w:tcPr>
            <w:tcW w:w="918" w:type="dxa"/>
            <w:vMerge w:val="restart"/>
            <w:vAlign w:val="center"/>
          </w:tcPr>
          <w:p w14:paraId="58C16A02">
            <w:pPr>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3</w:t>
            </w:r>
          </w:p>
        </w:tc>
        <w:tc>
          <w:tcPr>
            <w:tcW w:w="2280" w:type="dxa"/>
            <w:vAlign w:val="center"/>
          </w:tcPr>
          <w:p w14:paraId="7C5E103F">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对各种要求和投诉不及时处理，每出现一项</w:t>
            </w:r>
            <w:r>
              <w:rPr>
                <w:rFonts w:hint="eastAsia" w:ascii="宋体" w:hAnsi="宋体" w:cs="宋体"/>
                <w:color w:val="auto"/>
                <w:sz w:val="20"/>
                <w:szCs w:val="20"/>
                <w:highlight w:val="none"/>
                <w:lang w:eastAsia="zh-CN"/>
              </w:rPr>
              <w:t>。</w:t>
            </w:r>
          </w:p>
        </w:tc>
        <w:tc>
          <w:tcPr>
            <w:tcW w:w="1185" w:type="dxa"/>
            <w:vAlign w:val="center"/>
          </w:tcPr>
          <w:p w14:paraId="01D50AED">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vAlign w:val="top"/>
          </w:tcPr>
          <w:p w14:paraId="69624AC6">
            <w:pPr>
              <w:jc w:val="center"/>
              <w:rPr>
                <w:rFonts w:ascii="宋体" w:hAnsi="宋体" w:cs="宋体"/>
                <w:color w:val="auto"/>
                <w:sz w:val="20"/>
                <w:szCs w:val="20"/>
                <w:highlight w:val="none"/>
              </w:rPr>
            </w:pPr>
          </w:p>
        </w:tc>
        <w:tc>
          <w:tcPr>
            <w:tcW w:w="855" w:type="dxa"/>
            <w:vAlign w:val="center"/>
          </w:tcPr>
          <w:p w14:paraId="039D34FE">
            <w:pPr>
              <w:jc w:val="center"/>
              <w:rPr>
                <w:rFonts w:ascii="宋体" w:hAnsi="宋体" w:cs="宋体"/>
                <w:color w:val="auto"/>
                <w:sz w:val="20"/>
                <w:szCs w:val="20"/>
                <w:highlight w:val="none"/>
              </w:rPr>
            </w:pPr>
          </w:p>
        </w:tc>
      </w:tr>
      <w:tr w14:paraId="077BA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vAlign w:val="center"/>
          </w:tcPr>
          <w:p w14:paraId="1AED77A0">
            <w:pPr>
              <w:jc w:val="center"/>
              <w:rPr>
                <w:rFonts w:ascii="宋体" w:hAnsi="宋体" w:cs="宋体"/>
                <w:color w:val="auto"/>
                <w:sz w:val="20"/>
                <w:szCs w:val="20"/>
                <w:highlight w:val="none"/>
              </w:rPr>
            </w:pPr>
          </w:p>
        </w:tc>
        <w:tc>
          <w:tcPr>
            <w:tcW w:w="2610" w:type="dxa"/>
            <w:vMerge w:val="continue"/>
            <w:vAlign w:val="center"/>
          </w:tcPr>
          <w:p w14:paraId="650C3F05">
            <w:pPr>
              <w:rPr>
                <w:rFonts w:ascii="宋体" w:hAnsi="宋体" w:cs="宋体"/>
                <w:color w:val="auto"/>
                <w:sz w:val="20"/>
                <w:szCs w:val="20"/>
                <w:highlight w:val="none"/>
              </w:rPr>
            </w:pPr>
          </w:p>
        </w:tc>
        <w:tc>
          <w:tcPr>
            <w:tcW w:w="918" w:type="dxa"/>
            <w:vMerge w:val="continue"/>
            <w:tcBorders>
              <w:left w:val="nil"/>
              <w:right w:val="nil"/>
            </w:tcBorders>
            <w:vAlign w:val="center"/>
          </w:tcPr>
          <w:p w14:paraId="11BD53C3">
            <w:pPr>
              <w:jc w:val="center"/>
              <w:rPr>
                <w:rFonts w:hint="eastAsia" w:ascii="宋体" w:hAnsi="宋体" w:eastAsia="宋体" w:cs="宋体"/>
                <w:color w:val="auto"/>
                <w:sz w:val="20"/>
                <w:szCs w:val="20"/>
                <w:highlight w:val="none"/>
                <w:lang w:eastAsia="zh-CN"/>
              </w:rPr>
            </w:pPr>
          </w:p>
        </w:tc>
        <w:tc>
          <w:tcPr>
            <w:tcW w:w="2280" w:type="dxa"/>
            <w:vAlign w:val="center"/>
          </w:tcPr>
          <w:p w14:paraId="2D8CD444">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对处理结果不进行回访</w:t>
            </w:r>
            <w:r>
              <w:rPr>
                <w:rFonts w:hint="eastAsia" w:ascii="宋体" w:hAnsi="宋体" w:cs="宋体"/>
                <w:color w:val="auto"/>
                <w:sz w:val="20"/>
                <w:szCs w:val="20"/>
                <w:highlight w:val="none"/>
                <w:lang w:eastAsia="zh-CN"/>
              </w:rPr>
              <w:t>。</w:t>
            </w:r>
          </w:p>
        </w:tc>
        <w:tc>
          <w:tcPr>
            <w:tcW w:w="1185" w:type="dxa"/>
            <w:vAlign w:val="center"/>
          </w:tcPr>
          <w:p w14:paraId="0B1AA73E">
            <w:pPr>
              <w:jc w:val="center"/>
              <w:rPr>
                <w:rFonts w:ascii="宋体" w:hAnsi="宋体" w:cs="宋体"/>
                <w:color w:val="auto"/>
                <w:sz w:val="20"/>
                <w:szCs w:val="20"/>
                <w:highlight w:val="none"/>
              </w:rPr>
            </w:pPr>
            <w:r>
              <w:rPr>
                <w:rFonts w:hint="eastAsia" w:ascii="宋体" w:hAnsi="宋体" w:cs="宋体"/>
                <w:color w:val="auto"/>
                <w:sz w:val="20"/>
                <w:szCs w:val="20"/>
                <w:highlight w:val="none"/>
              </w:rPr>
              <w:t>-0.1分/次</w:t>
            </w:r>
          </w:p>
        </w:tc>
        <w:tc>
          <w:tcPr>
            <w:tcW w:w="690" w:type="dxa"/>
            <w:vAlign w:val="top"/>
          </w:tcPr>
          <w:p w14:paraId="6AD7AAEA">
            <w:pPr>
              <w:jc w:val="center"/>
              <w:rPr>
                <w:rFonts w:ascii="宋体" w:hAnsi="宋体" w:cs="宋体"/>
                <w:color w:val="auto"/>
                <w:sz w:val="20"/>
                <w:szCs w:val="20"/>
                <w:highlight w:val="none"/>
              </w:rPr>
            </w:pPr>
          </w:p>
        </w:tc>
        <w:tc>
          <w:tcPr>
            <w:tcW w:w="855" w:type="dxa"/>
            <w:vAlign w:val="center"/>
          </w:tcPr>
          <w:p w14:paraId="1E811CE1">
            <w:pPr>
              <w:jc w:val="center"/>
              <w:rPr>
                <w:rFonts w:ascii="宋体" w:hAnsi="宋体" w:cs="宋体"/>
                <w:color w:val="auto"/>
                <w:sz w:val="20"/>
                <w:szCs w:val="20"/>
                <w:highlight w:val="none"/>
              </w:rPr>
            </w:pPr>
          </w:p>
        </w:tc>
      </w:tr>
      <w:tr w14:paraId="4FCCF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42C1A806">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4</w:t>
            </w:r>
          </w:p>
        </w:tc>
        <w:tc>
          <w:tcPr>
            <w:tcW w:w="2610" w:type="dxa"/>
            <w:vMerge w:val="restart"/>
            <w:vAlign w:val="center"/>
          </w:tcPr>
          <w:p w14:paraId="46FE457D">
            <w:pPr>
              <w:pStyle w:val="8"/>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服务期内，服务商对职工进行不少于1次的服务满意度调查</w:t>
            </w:r>
            <w:r>
              <w:rPr>
                <w:rFonts w:hint="eastAsia" w:ascii="宋体" w:hAnsi="宋体" w:cs="宋体"/>
                <w:color w:val="auto"/>
                <w:sz w:val="20"/>
                <w:szCs w:val="20"/>
                <w:highlight w:val="none"/>
              </w:rPr>
              <w:t>，并将满意</w:t>
            </w:r>
            <w:r>
              <w:rPr>
                <w:rFonts w:hint="eastAsia" w:ascii="宋体" w:hAnsi="宋体" w:cs="宋体"/>
                <w:color w:val="auto"/>
                <w:sz w:val="20"/>
                <w:szCs w:val="20"/>
                <w:highlight w:val="none"/>
                <w:lang w:eastAsia="zh-CN"/>
              </w:rPr>
              <w:t>度</w:t>
            </w:r>
            <w:r>
              <w:rPr>
                <w:rFonts w:hint="eastAsia" w:ascii="宋体" w:hAnsi="宋体" w:cs="宋体"/>
                <w:color w:val="auto"/>
                <w:sz w:val="20"/>
                <w:szCs w:val="20"/>
                <w:highlight w:val="none"/>
              </w:rPr>
              <w:t>调查结果报送</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。调查内容包括服务态度、公用设施、环境卫生、投诉处理等；满意率要求达到90%以上。</w:t>
            </w:r>
          </w:p>
        </w:tc>
        <w:tc>
          <w:tcPr>
            <w:tcW w:w="918" w:type="dxa"/>
            <w:vMerge w:val="restart"/>
            <w:vAlign w:val="center"/>
          </w:tcPr>
          <w:p w14:paraId="72493647">
            <w:pPr>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3</w:t>
            </w:r>
          </w:p>
        </w:tc>
        <w:tc>
          <w:tcPr>
            <w:tcW w:w="2280" w:type="dxa"/>
            <w:vAlign w:val="center"/>
          </w:tcPr>
          <w:p w14:paraId="1D4CBDF0">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不进行满意</w:t>
            </w:r>
            <w:r>
              <w:rPr>
                <w:rFonts w:hint="eastAsia" w:ascii="宋体" w:hAnsi="宋体" w:cs="宋体"/>
                <w:color w:val="auto"/>
                <w:sz w:val="20"/>
                <w:szCs w:val="20"/>
                <w:highlight w:val="none"/>
                <w:lang w:eastAsia="zh-CN"/>
              </w:rPr>
              <w:t>度</w:t>
            </w:r>
            <w:r>
              <w:rPr>
                <w:rFonts w:hint="eastAsia" w:ascii="宋体" w:hAnsi="宋体" w:cs="宋体"/>
                <w:color w:val="auto"/>
                <w:sz w:val="20"/>
                <w:szCs w:val="20"/>
                <w:highlight w:val="none"/>
              </w:rPr>
              <w:t>调查、不报送调查结果的，每一项</w:t>
            </w:r>
            <w:r>
              <w:rPr>
                <w:rFonts w:hint="eastAsia" w:ascii="宋体" w:hAnsi="宋体" w:cs="宋体"/>
                <w:color w:val="auto"/>
                <w:sz w:val="20"/>
                <w:szCs w:val="20"/>
                <w:highlight w:val="none"/>
                <w:lang w:eastAsia="zh-CN"/>
              </w:rPr>
              <w:t>。</w:t>
            </w:r>
          </w:p>
        </w:tc>
        <w:tc>
          <w:tcPr>
            <w:tcW w:w="1185" w:type="dxa"/>
            <w:vAlign w:val="center"/>
          </w:tcPr>
          <w:p w14:paraId="5C586423">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vAlign w:val="top"/>
          </w:tcPr>
          <w:p w14:paraId="08185A73">
            <w:pPr>
              <w:jc w:val="center"/>
              <w:rPr>
                <w:rFonts w:ascii="宋体" w:hAnsi="宋体" w:cs="宋体"/>
                <w:color w:val="auto"/>
                <w:sz w:val="20"/>
                <w:szCs w:val="20"/>
                <w:highlight w:val="none"/>
              </w:rPr>
            </w:pPr>
          </w:p>
        </w:tc>
        <w:tc>
          <w:tcPr>
            <w:tcW w:w="855" w:type="dxa"/>
            <w:vAlign w:val="center"/>
          </w:tcPr>
          <w:p w14:paraId="7DDE4F18">
            <w:pPr>
              <w:jc w:val="center"/>
              <w:rPr>
                <w:rFonts w:ascii="宋体" w:hAnsi="宋体" w:cs="宋体"/>
                <w:color w:val="auto"/>
                <w:sz w:val="20"/>
                <w:szCs w:val="20"/>
                <w:highlight w:val="none"/>
              </w:rPr>
            </w:pPr>
          </w:p>
        </w:tc>
      </w:tr>
      <w:tr w14:paraId="54CEC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vAlign w:val="center"/>
          </w:tcPr>
          <w:p w14:paraId="2706E21A">
            <w:pPr>
              <w:jc w:val="center"/>
              <w:rPr>
                <w:rFonts w:ascii="宋体" w:hAnsi="宋体" w:cs="宋体"/>
                <w:color w:val="auto"/>
                <w:sz w:val="20"/>
                <w:szCs w:val="20"/>
                <w:highlight w:val="none"/>
              </w:rPr>
            </w:pPr>
          </w:p>
        </w:tc>
        <w:tc>
          <w:tcPr>
            <w:tcW w:w="2610" w:type="dxa"/>
            <w:vMerge w:val="continue"/>
            <w:vAlign w:val="center"/>
          </w:tcPr>
          <w:p w14:paraId="035F6F9A">
            <w:pPr>
              <w:rPr>
                <w:rFonts w:ascii="宋体" w:hAnsi="宋体" w:cs="宋体"/>
                <w:color w:val="auto"/>
                <w:sz w:val="20"/>
                <w:szCs w:val="20"/>
                <w:highlight w:val="none"/>
              </w:rPr>
            </w:pPr>
          </w:p>
        </w:tc>
        <w:tc>
          <w:tcPr>
            <w:tcW w:w="918" w:type="dxa"/>
            <w:vMerge w:val="continue"/>
            <w:tcBorders>
              <w:left w:val="nil"/>
              <w:right w:val="nil"/>
            </w:tcBorders>
            <w:vAlign w:val="center"/>
          </w:tcPr>
          <w:p w14:paraId="68A1FE23">
            <w:pPr>
              <w:jc w:val="center"/>
              <w:rPr>
                <w:rFonts w:hint="eastAsia" w:ascii="宋体" w:hAnsi="宋体" w:eastAsia="宋体" w:cs="宋体"/>
                <w:color w:val="auto"/>
                <w:sz w:val="20"/>
                <w:szCs w:val="20"/>
                <w:highlight w:val="none"/>
                <w:lang w:eastAsia="zh-CN"/>
              </w:rPr>
            </w:pPr>
          </w:p>
        </w:tc>
        <w:tc>
          <w:tcPr>
            <w:tcW w:w="2280" w:type="dxa"/>
            <w:vAlign w:val="center"/>
          </w:tcPr>
          <w:p w14:paraId="7D2A36E9">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调查满意率低于90%</w:t>
            </w:r>
            <w:r>
              <w:rPr>
                <w:rFonts w:hint="eastAsia" w:ascii="宋体" w:hAnsi="宋体" w:cs="宋体"/>
                <w:color w:val="auto"/>
                <w:sz w:val="20"/>
                <w:szCs w:val="20"/>
                <w:highlight w:val="none"/>
                <w:lang w:eastAsia="zh-CN"/>
              </w:rPr>
              <w:t>。</w:t>
            </w:r>
          </w:p>
        </w:tc>
        <w:tc>
          <w:tcPr>
            <w:tcW w:w="1185" w:type="dxa"/>
            <w:vAlign w:val="center"/>
          </w:tcPr>
          <w:p w14:paraId="2CB54467">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vAlign w:val="top"/>
          </w:tcPr>
          <w:p w14:paraId="6E660DE9">
            <w:pPr>
              <w:jc w:val="center"/>
              <w:rPr>
                <w:rFonts w:ascii="宋体" w:hAnsi="宋体" w:cs="宋体"/>
                <w:color w:val="auto"/>
                <w:sz w:val="20"/>
                <w:szCs w:val="20"/>
                <w:highlight w:val="none"/>
              </w:rPr>
            </w:pPr>
          </w:p>
        </w:tc>
        <w:tc>
          <w:tcPr>
            <w:tcW w:w="855" w:type="dxa"/>
            <w:vAlign w:val="center"/>
          </w:tcPr>
          <w:p w14:paraId="13CA47F5">
            <w:pPr>
              <w:jc w:val="center"/>
              <w:rPr>
                <w:rFonts w:ascii="宋体" w:hAnsi="宋体" w:cs="宋体"/>
                <w:color w:val="auto"/>
                <w:sz w:val="20"/>
                <w:szCs w:val="20"/>
                <w:highlight w:val="none"/>
              </w:rPr>
            </w:pPr>
          </w:p>
        </w:tc>
      </w:tr>
      <w:tr w14:paraId="19DD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5" w:type="dxa"/>
            <w:vAlign w:val="center"/>
          </w:tcPr>
          <w:p w14:paraId="2302FC5E">
            <w:pPr>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5</w:t>
            </w:r>
          </w:p>
        </w:tc>
        <w:tc>
          <w:tcPr>
            <w:tcW w:w="2610" w:type="dxa"/>
            <w:vAlign w:val="center"/>
          </w:tcPr>
          <w:p w14:paraId="3E1A9B1A">
            <w:pPr>
              <w:rPr>
                <w:rFonts w:ascii="宋体" w:hAnsi="宋体" w:cs="宋体"/>
                <w:color w:val="auto"/>
                <w:sz w:val="20"/>
                <w:szCs w:val="20"/>
                <w:highlight w:val="none"/>
              </w:rPr>
            </w:pPr>
            <w:r>
              <w:rPr>
                <w:rFonts w:hint="eastAsia" w:ascii="宋体" w:hAnsi="宋体" w:cs="宋体"/>
                <w:color w:val="auto"/>
                <w:sz w:val="20"/>
                <w:szCs w:val="20"/>
                <w:highlight w:val="none"/>
                <w:lang w:eastAsia="zh-CN"/>
              </w:rPr>
              <w:t>服务商</w:t>
            </w:r>
            <w:r>
              <w:rPr>
                <w:rFonts w:hint="eastAsia" w:ascii="宋体" w:hAnsi="宋体" w:cs="宋体"/>
                <w:color w:val="auto"/>
                <w:sz w:val="20"/>
                <w:szCs w:val="20"/>
                <w:highlight w:val="none"/>
              </w:rPr>
              <w:t>根据</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的需要，做好办公场所、生产场所、营业场所重要活动期间的美化布置（彩旗、灯笼等）、宣传标语制作悬挂，做好夜景亮化灯的开启使用。</w:t>
            </w:r>
          </w:p>
        </w:tc>
        <w:tc>
          <w:tcPr>
            <w:tcW w:w="918" w:type="dxa"/>
            <w:vAlign w:val="center"/>
          </w:tcPr>
          <w:p w14:paraId="0C8F9C1A">
            <w:pPr>
              <w:jc w:val="center"/>
              <w:rPr>
                <w:rFonts w:ascii="宋体" w:hAnsi="宋体" w:cs="宋体"/>
                <w:color w:val="auto"/>
                <w:sz w:val="20"/>
                <w:szCs w:val="20"/>
                <w:highlight w:val="none"/>
              </w:rPr>
            </w:pPr>
            <w:r>
              <w:rPr>
                <w:rFonts w:hint="eastAsia" w:ascii="宋体" w:hAnsi="宋体" w:cs="宋体"/>
                <w:color w:val="auto"/>
                <w:sz w:val="20"/>
                <w:szCs w:val="20"/>
                <w:highlight w:val="none"/>
              </w:rPr>
              <w:t>1</w:t>
            </w:r>
          </w:p>
        </w:tc>
        <w:tc>
          <w:tcPr>
            <w:tcW w:w="2280" w:type="dxa"/>
            <w:vAlign w:val="center"/>
          </w:tcPr>
          <w:p w14:paraId="0DBF7BFE">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未按要求做的，每一项</w:t>
            </w:r>
            <w:r>
              <w:rPr>
                <w:rFonts w:hint="eastAsia" w:ascii="宋体" w:hAnsi="宋体" w:cs="宋体"/>
                <w:color w:val="auto"/>
                <w:sz w:val="20"/>
                <w:szCs w:val="20"/>
                <w:highlight w:val="none"/>
                <w:lang w:eastAsia="zh-CN"/>
              </w:rPr>
              <w:t>。</w:t>
            </w:r>
          </w:p>
        </w:tc>
        <w:tc>
          <w:tcPr>
            <w:tcW w:w="1185" w:type="dxa"/>
            <w:vAlign w:val="center"/>
          </w:tcPr>
          <w:p w14:paraId="555955BA">
            <w:pPr>
              <w:jc w:val="center"/>
              <w:rPr>
                <w:rFonts w:ascii="宋体" w:hAnsi="宋体" w:cs="宋体"/>
                <w:color w:val="auto"/>
                <w:sz w:val="20"/>
                <w:szCs w:val="20"/>
                <w:highlight w:val="none"/>
              </w:rPr>
            </w:pPr>
            <w:r>
              <w:rPr>
                <w:rFonts w:hint="eastAsia" w:ascii="宋体" w:hAnsi="宋体" w:cs="宋体"/>
                <w:color w:val="auto"/>
                <w:sz w:val="20"/>
                <w:szCs w:val="20"/>
                <w:highlight w:val="none"/>
              </w:rPr>
              <w:t>-0.2分/次</w:t>
            </w:r>
          </w:p>
        </w:tc>
        <w:tc>
          <w:tcPr>
            <w:tcW w:w="690" w:type="dxa"/>
            <w:vAlign w:val="top"/>
          </w:tcPr>
          <w:p w14:paraId="0083CBEC">
            <w:pPr>
              <w:jc w:val="center"/>
              <w:rPr>
                <w:rFonts w:ascii="宋体" w:hAnsi="宋体" w:cs="宋体"/>
                <w:color w:val="auto"/>
                <w:sz w:val="20"/>
                <w:szCs w:val="20"/>
                <w:highlight w:val="none"/>
              </w:rPr>
            </w:pPr>
          </w:p>
        </w:tc>
        <w:tc>
          <w:tcPr>
            <w:tcW w:w="855" w:type="dxa"/>
            <w:vAlign w:val="center"/>
          </w:tcPr>
          <w:p w14:paraId="09D5C121">
            <w:pPr>
              <w:jc w:val="center"/>
              <w:rPr>
                <w:rFonts w:ascii="宋体" w:hAnsi="宋体" w:cs="宋体"/>
                <w:color w:val="auto"/>
                <w:sz w:val="20"/>
                <w:szCs w:val="20"/>
                <w:highlight w:val="none"/>
              </w:rPr>
            </w:pPr>
          </w:p>
        </w:tc>
      </w:tr>
      <w:tr w14:paraId="034D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tcBorders>
              <w:bottom w:val="single" w:color="auto" w:sz="4" w:space="0"/>
            </w:tcBorders>
            <w:vAlign w:val="center"/>
          </w:tcPr>
          <w:p w14:paraId="167E622B">
            <w:pPr>
              <w:jc w:val="center"/>
              <w:rPr>
                <w:rFonts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rPr>
              <w:t>6</w:t>
            </w:r>
          </w:p>
        </w:tc>
        <w:tc>
          <w:tcPr>
            <w:tcW w:w="2610" w:type="dxa"/>
            <w:tcBorders>
              <w:bottom w:val="single" w:color="auto" w:sz="4" w:space="0"/>
            </w:tcBorders>
            <w:vAlign w:val="center"/>
          </w:tcPr>
          <w:p w14:paraId="2767537D">
            <w:pPr>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合同签订后20个工作日内，服务商按照核定的定员，编制物业服务管理人员及聘用人员岗位设置名单报送采购方综合服务中心备案，保证上岗率100%。人员有变动时，5天内将变动名单报送采购方。</w:t>
            </w:r>
          </w:p>
        </w:tc>
        <w:tc>
          <w:tcPr>
            <w:tcW w:w="918" w:type="dxa"/>
            <w:tcBorders>
              <w:bottom w:val="single" w:color="auto" w:sz="4" w:space="0"/>
            </w:tcBorders>
            <w:vAlign w:val="center"/>
          </w:tcPr>
          <w:p w14:paraId="30361D83">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2</w:t>
            </w:r>
          </w:p>
        </w:tc>
        <w:tc>
          <w:tcPr>
            <w:tcW w:w="2280" w:type="dxa"/>
            <w:tcBorders>
              <w:bottom w:val="single" w:color="auto" w:sz="4" w:space="0"/>
            </w:tcBorders>
            <w:vAlign w:val="center"/>
          </w:tcPr>
          <w:p w14:paraId="13E84275">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不报送岗位设置名单、人员缺岗，不及时报送人员变动名单的，每一项</w:t>
            </w:r>
            <w:r>
              <w:rPr>
                <w:rFonts w:hint="eastAsia" w:ascii="宋体" w:hAnsi="宋体" w:cs="宋体"/>
                <w:color w:val="auto"/>
                <w:sz w:val="20"/>
                <w:szCs w:val="20"/>
                <w:highlight w:val="none"/>
                <w:lang w:eastAsia="zh-CN"/>
              </w:rPr>
              <w:t>。</w:t>
            </w:r>
          </w:p>
        </w:tc>
        <w:tc>
          <w:tcPr>
            <w:tcW w:w="1185" w:type="dxa"/>
            <w:tcBorders>
              <w:bottom w:val="single" w:color="auto" w:sz="4" w:space="0"/>
            </w:tcBorders>
            <w:vAlign w:val="center"/>
          </w:tcPr>
          <w:p w14:paraId="1C1E2551">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分/人次</w:t>
            </w:r>
          </w:p>
        </w:tc>
        <w:tc>
          <w:tcPr>
            <w:tcW w:w="690" w:type="dxa"/>
            <w:tcBorders>
              <w:bottom w:val="single" w:color="auto" w:sz="4" w:space="0"/>
            </w:tcBorders>
            <w:vAlign w:val="top"/>
          </w:tcPr>
          <w:p w14:paraId="090D9538">
            <w:pPr>
              <w:jc w:val="center"/>
              <w:rPr>
                <w:rFonts w:ascii="宋体" w:hAnsi="宋体" w:cs="宋体"/>
                <w:color w:val="auto"/>
                <w:sz w:val="20"/>
                <w:szCs w:val="20"/>
                <w:highlight w:val="none"/>
              </w:rPr>
            </w:pPr>
          </w:p>
        </w:tc>
        <w:tc>
          <w:tcPr>
            <w:tcW w:w="855" w:type="dxa"/>
            <w:tcBorders>
              <w:bottom w:val="single" w:color="auto" w:sz="4" w:space="0"/>
            </w:tcBorders>
            <w:vAlign w:val="center"/>
          </w:tcPr>
          <w:p w14:paraId="1E9A3DD4">
            <w:pPr>
              <w:jc w:val="center"/>
              <w:rPr>
                <w:rFonts w:ascii="宋体" w:hAnsi="宋体" w:cs="宋体"/>
                <w:color w:val="auto"/>
                <w:sz w:val="20"/>
                <w:szCs w:val="20"/>
                <w:highlight w:val="none"/>
              </w:rPr>
            </w:pPr>
          </w:p>
        </w:tc>
      </w:tr>
      <w:tr w14:paraId="09918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tcBorders>
              <w:bottom w:val="single" w:color="auto" w:sz="4" w:space="0"/>
            </w:tcBorders>
            <w:vAlign w:val="center"/>
          </w:tcPr>
          <w:p w14:paraId="317B4F56">
            <w:pPr>
              <w:jc w:val="center"/>
              <w:rPr>
                <w:rFonts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rPr>
              <w:t>7</w:t>
            </w:r>
          </w:p>
        </w:tc>
        <w:tc>
          <w:tcPr>
            <w:tcW w:w="2610" w:type="dxa"/>
            <w:tcBorders>
              <w:bottom w:val="single" w:color="auto" w:sz="4" w:space="0"/>
            </w:tcBorders>
            <w:vAlign w:val="center"/>
          </w:tcPr>
          <w:p w14:paraId="54E88AB1">
            <w:pPr>
              <w:rPr>
                <w:rFonts w:ascii="宋体" w:hAnsi="宋体" w:cs="宋体"/>
                <w:color w:val="auto"/>
                <w:sz w:val="20"/>
                <w:szCs w:val="20"/>
                <w:highlight w:val="none"/>
              </w:rPr>
            </w:pPr>
            <w:r>
              <w:rPr>
                <w:rFonts w:hint="eastAsia" w:ascii="宋体" w:hAnsi="宋体" w:cs="宋体"/>
                <w:color w:val="auto"/>
                <w:sz w:val="20"/>
                <w:szCs w:val="20"/>
                <w:highlight w:val="none"/>
              </w:rPr>
              <w:t>办公场所、生产场所、营业场所的公共场所及通道无乱堆乱放家具、杂物，无乱架设线路；车辆按车位停放。</w:t>
            </w:r>
          </w:p>
        </w:tc>
        <w:tc>
          <w:tcPr>
            <w:tcW w:w="918" w:type="dxa"/>
            <w:tcBorders>
              <w:bottom w:val="single" w:color="auto" w:sz="4" w:space="0"/>
            </w:tcBorders>
            <w:vAlign w:val="center"/>
          </w:tcPr>
          <w:p w14:paraId="7D424523">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2</w:t>
            </w:r>
          </w:p>
        </w:tc>
        <w:tc>
          <w:tcPr>
            <w:tcW w:w="2280" w:type="dxa"/>
            <w:tcBorders>
              <w:bottom w:val="single" w:color="auto" w:sz="4" w:space="0"/>
            </w:tcBorders>
            <w:vAlign w:val="center"/>
          </w:tcPr>
          <w:p w14:paraId="4B4A7AFA">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乱堆放家具、杂物、乱架设线路超过24小时不处理；车辆不按指定车位停放，每一项</w:t>
            </w:r>
            <w:r>
              <w:rPr>
                <w:rFonts w:hint="eastAsia" w:ascii="宋体" w:hAnsi="宋体" w:cs="宋体"/>
                <w:color w:val="auto"/>
                <w:sz w:val="20"/>
                <w:szCs w:val="20"/>
                <w:highlight w:val="none"/>
                <w:lang w:eastAsia="zh-CN"/>
              </w:rPr>
              <w:t>。</w:t>
            </w:r>
          </w:p>
        </w:tc>
        <w:tc>
          <w:tcPr>
            <w:tcW w:w="1185" w:type="dxa"/>
            <w:tcBorders>
              <w:bottom w:val="single" w:color="auto" w:sz="4" w:space="0"/>
            </w:tcBorders>
            <w:vAlign w:val="center"/>
          </w:tcPr>
          <w:p w14:paraId="365469EA">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690" w:type="dxa"/>
            <w:tcBorders>
              <w:bottom w:val="single" w:color="auto" w:sz="4" w:space="0"/>
            </w:tcBorders>
            <w:vAlign w:val="top"/>
          </w:tcPr>
          <w:p w14:paraId="3DAB3D03">
            <w:pPr>
              <w:jc w:val="center"/>
              <w:rPr>
                <w:rFonts w:ascii="宋体" w:hAnsi="宋体" w:cs="宋体"/>
                <w:color w:val="auto"/>
                <w:sz w:val="20"/>
                <w:szCs w:val="20"/>
                <w:highlight w:val="none"/>
              </w:rPr>
            </w:pPr>
          </w:p>
        </w:tc>
        <w:tc>
          <w:tcPr>
            <w:tcW w:w="855" w:type="dxa"/>
            <w:tcBorders>
              <w:bottom w:val="single" w:color="auto" w:sz="4" w:space="0"/>
            </w:tcBorders>
            <w:vAlign w:val="center"/>
          </w:tcPr>
          <w:p w14:paraId="46F047E2">
            <w:pPr>
              <w:jc w:val="center"/>
              <w:rPr>
                <w:rFonts w:ascii="宋体" w:hAnsi="宋体" w:cs="宋体"/>
                <w:color w:val="auto"/>
                <w:sz w:val="20"/>
                <w:szCs w:val="20"/>
                <w:highlight w:val="none"/>
              </w:rPr>
            </w:pPr>
          </w:p>
        </w:tc>
      </w:tr>
      <w:tr w14:paraId="7026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54ABA235">
            <w:pPr>
              <w:jc w:val="center"/>
              <w:rPr>
                <w:rFonts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rPr>
              <w:t>8</w:t>
            </w:r>
          </w:p>
        </w:tc>
        <w:tc>
          <w:tcPr>
            <w:tcW w:w="2610" w:type="dxa"/>
            <w:vMerge w:val="restart"/>
            <w:vAlign w:val="center"/>
          </w:tcPr>
          <w:p w14:paraId="3B2A84C9">
            <w:pPr>
              <w:rPr>
                <w:rFonts w:ascii="宋体" w:hAnsi="宋体" w:cs="宋体"/>
                <w:color w:val="auto"/>
                <w:sz w:val="20"/>
                <w:szCs w:val="20"/>
                <w:highlight w:val="none"/>
              </w:rPr>
            </w:pPr>
            <w:r>
              <w:rPr>
                <w:rFonts w:hint="eastAsia" w:ascii="宋体" w:hAnsi="宋体" w:cs="宋体"/>
                <w:color w:val="auto"/>
                <w:sz w:val="20"/>
                <w:szCs w:val="20"/>
                <w:highlight w:val="none"/>
              </w:rPr>
              <w:t>设立服务热线电话，</w:t>
            </w:r>
            <w:r>
              <w:rPr>
                <w:rFonts w:hint="eastAsia" w:ascii="宋体" w:hAnsi="宋体" w:cs="宋体"/>
                <w:color w:val="auto"/>
                <w:sz w:val="20"/>
                <w:szCs w:val="20"/>
                <w:highlight w:val="none"/>
                <w:lang w:eastAsia="zh-CN"/>
              </w:rPr>
              <w:t>服务商</w:t>
            </w:r>
            <w:r>
              <w:rPr>
                <w:rFonts w:hint="eastAsia" w:ascii="宋体" w:hAnsi="宋体" w:cs="宋体"/>
                <w:color w:val="auto"/>
                <w:sz w:val="20"/>
                <w:szCs w:val="20"/>
                <w:highlight w:val="none"/>
              </w:rPr>
              <w:t>服务热线要及时接听并记录职工反映的问题，及时通知有关部门处理，对一时处理不了的，要向对方说明原因。服务热线对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后勤管理人员或负责人反映的问题及转达职工的投诉要及时向有关部门了解情况，并向监督热线反馈。</w:t>
            </w:r>
          </w:p>
        </w:tc>
        <w:tc>
          <w:tcPr>
            <w:tcW w:w="918" w:type="dxa"/>
            <w:vMerge w:val="restart"/>
            <w:vAlign w:val="center"/>
          </w:tcPr>
          <w:p w14:paraId="05D3B9C7">
            <w:pPr>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2</w:t>
            </w:r>
          </w:p>
        </w:tc>
        <w:tc>
          <w:tcPr>
            <w:tcW w:w="2280" w:type="dxa"/>
            <w:tcBorders>
              <w:bottom w:val="single" w:color="auto" w:sz="4" w:space="0"/>
            </w:tcBorders>
            <w:vAlign w:val="center"/>
          </w:tcPr>
          <w:p w14:paraId="323BB744">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不设立服务热线电话</w:t>
            </w:r>
            <w:r>
              <w:rPr>
                <w:rFonts w:hint="eastAsia" w:ascii="宋体" w:hAnsi="宋体" w:cs="宋体"/>
                <w:color w:val="auto"/>
                <w:sz w:val="20"/>
                <w:szCs w:val="20"/>
                <w:highlight w:val="none"/>
                <w:lang w:eastAsia="zh-CN"/>
              </w:rPr>
              <w:t>。</w:t>
            </w:r>
          </w:p>
        </w:tc>
        <w:tc>
          <w:tcPr>
            <w:tcW w:w="1185" w:type="dxa"/>
            <w:tcBorders>
              <w:bottom w:val="single" w:color="auto" w:sz="4" w:space="0"/>
            </w:tcBorders>
            <w:vAlign w:val="center"/>
          </w:tcPr>
          <w:p w14:paraId="5594BCFC">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p>
        </w:tc>
        <w:tc>
          <w:tcPr>
            <w:tcW w:w="690" w:type="dxa"/>
            <w:tcBorders>
              <w:bottom w:val="single" w:color="auto" w:sz="4" w:space="0"/>
            </w:tcBorders>
            <w:vAlign w:val="top"/>
          </w:tcPr>
          <w:p w14:paraId="7D3A1707">
            <w:pPr>
              <w:jc w:val="center"/>
              <w:rPr>
                <w:rFonts w:ascii="宋体" w:hAnsi="宋体" w:cs="宋体"/>
                <w:color w:val="auto"/>
                <w:sz w:val="20"/>
                <w:szCs w:val="20"/>
                <w:highlight w:val="none"/>
              </w:rPr>
            </w:pPr>
          </w:p>
        </w:tc>
        <w:tc>
          <w:tcPr>
            <w:tcW w:w="855" w:type="dxa"/>
            <w:tcBorders>
              <w:bottom w:val="single" w:color="auto" w:sz="4" w:space="0"/>
            </w:tcBorders>
            <w:vAlign w:val="center"/>
          </w:tcPr>
          <w:p w14:paraId="752DD02C">
            <w:pPr>
              <w:jc w:val="center"/>
              <w:rPr>
                <w:rFonts w:ascii="宋体" w:hAnsi="宋体" w:cs="宋体"/>
                <w:color w:val="auto"/>
                <w:sz w:val="20"/>
                <w:szCs w:val="20"/>
                <w:highlight w:val="none"/>
              </w:rPr>
            </w:pPr>
          </w:p>
        </w:tc>
      </w:tr>
      <w:tr w14:paraId="544F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vAlign w:val="center"/>
          </w:tcPr>
          <w:p w14:paraId="35956001">
            <w:pPr>
              <w:jc w:val="center"/>
              <w:rPr>
                <w:rFonts w:ascii="宋体" w:hAnsi="宋体" w:cs="宋体"/>
                <w:color w:val="auto"/>
                <w:sz w:val="20"/>
                <w:szCs w:val="20"/>
                <w:highlight w:val="none"/>
              </w:rPr>
            </w:pPr>
          </w:p>
        </w:tc>
        <w:tc>
          <w:tcPr>
            <w:tcW w:w="2610" w:type="dxa"/>
            <w:vMerge w:val="continue"/>
            <w:vAlign w:val="center"/>
          </w:tcPr>
          <w:p w14:paraId="0F36C273">
            <w:pPr>
              <w:ind w:firstLine="400" w:firstLineChars="200"/>
              <w:rPr>
                <w:rFonts w:ascii="宋体" w:hAnsi="宋体" w:cs="宋体"/>
                <w:color w:val="auto"/>
                <w:sz w:val="20"/>
                <w:szCs w:val="20"/>
                <w:highlight w:val="none"/>
              </w:rPr>
            </w:pPr>
          </w:p>
        </w:tc>
        <w:tc>
          <w:tcPr>
            <w:tcW w:w="918" w:type="dxa"/>
            <w:vMerge w:val="continue"/>
            <w:tcBorders>
              <w:left w:val="nil"/>
              <w:right w:val="nil"/>
            </w:tcBorders>
            <w:vAlign w:val="center"/>
          </w:tcPr>
          <w:p w14:paraId="5333F1B5">
            <w:pPr>
              <w:jc w:val="center"/>
              <w:rPr>
                <w:rFonts w:hint="eastAsia" w:ascii="宋体" w:hAnsi="宋体" w:eastAsia="宋体" w:cs="宋体"/>
                <w:color w:val="auto"/>
                <w:sz w:val="20"/>
                <w:szCs w:val="20"/>
                <w:highlight w:val="none"/>
                <w:lang w:eastAsia="zh-CN"/>
              </w:rPr>
            </w:pPr>
          </w:p>
        </w:tc>
        <w:tc>
          <w:tcPr>
            <w:tcW w:w="2280" w:type="dxa"/>
            <w:tcBorders>
              <w:bottom w:val="single" w:color="auto" w:sz="4" w:space="0"/>
            </w:tcBorders>
            <w:vAlign w:val="center"/>
          </w:tcPr>
          <w:p w14:paraId="2AA68F9B">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不及时接听、没有记录、不及时处理反映问题的，每一次</w:t>
            </w:r>
            <w:r>
              <w:rPr>
                <w:rFonts w:hint="eastAsia" w:ascii="宋体" w:hAnsi="宋体" w:cs="宋体"/>
                <w:color w:val="auto"/>
                <w:sz w:val="20"/>
                <w:szCs w:val="20"/>
                <w:highlight w:val="none"/>
                <w:lang w:eastAsia="zh-CN"/>
              </w:rPr>
              <w:t>。</w:t>
            </w:r>
          </w:p>
        </w:tc>
        <w:tc>
          <w:tcPr>
            <w:tcW w:w="1185" w:type="dxa"/>
            <w:tcBorders>
              <w:bottom w:val="single" w:color="auto" w:sz="4" w:space="0"/>
            </w:tcBorders>
            <w:vAlign w:val="center"/>
          </w:tcPr>
          <w:p w14:paraId="262B4660">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tcBorders>
              <w:bottom w:val="single" w:color="auto" w:sz="4" w:space="0"/>
            </w:tcBorders>
            <w:vAlign w:val="top"/>
          </w:tcPr>
          <w:p w14:paraId="026DEAAC">
            <w:pPr>
              <w:jc w:val="center"/>
              <w:rPr>
                <w:rFonts w:ascii="宋体" w:hAnsi="宋体" w:cs="宋体"/>
                <w:color w:val="auto"/>
                <w:sz w:val="20"/>
                <w:szCs w:val="20"/>
                <w:highlight w:val="none"/>
              </w:rPr>
            </w:pPr>
          </w:p>
        </w:tc>
        <w:tc>
          <w:tcPr>
            <w:tcW w:w="855" w:type="dxa"/>
            <w:tcBorders>
              <w:bottom w:val="single" w:color="auto" w:sz="4" w:space="0"/>
            </w:tcBorders>
            <w:vAlign w:val="center"/>
          </w:tcPr>
          <w:p w14:paraId="4D1C3D62">
            <w:pPr>
              <w:jc w:val="center"/>
              <w:rPr>
                <w:rFonts w:ascii="宋体" w:hAnsi="宋体" w:cs="宋体"/>
                <w:color w:val="auto"/>
                <w:sz w:val="20"/>
                <w:szCs w:val="20"/>
                <w:highlight w:val="none"/>
              </w:rPr>
            </w:pPr>
          </w:p>
        </w:tc>
      </w:tr>
      <w:tr w14:paraId="3BA19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vAlign w:val="center"/>
          </w:tcPr>
          <w:p w14:paraId="6552243D">
            <w:pPr>
              <w:jc w:val="center"/>
              <w:rPr>
                <w:rFonts w:ascii="宋体" w:hAnsi="宋体" w:cs="宋体"/>
                <w:color w:val="auto"/>
                <w:sz w:val="20"/>
                <w:szCs w:val="20"/>
                <w:highlight w:val="none"/>
              </w:rPr>
            </w:pPr>
          </w:p>
        </w:tc>
        <w:tc>
          <w:tcPr>
            <w:tcW w:w="2610" w:type="dxa"/>
            <w:vMerge w:val="continue"/>
            <w:vAlign w:val="center"/>
          </w:tcPr>
          <w:p w14:paraId="1FB02494">
            <w:pPr>
              <w:rPr>
                <w:rFonts w:ascii="宋体" w:hAnsi="宋体" w:cs="宋体"/>
                <w:color w:val="auto"/>
                <w:sz w:val="20"/>
                <w:szCs w:val="20"/>
                <w:highlight w:val="none"/>
              </w:rPr>
            </w:pPr>
          </w:p>
        </w:tc>
        <w:tc>
          <w:tcPr>
            <w:tcW w:w="918" w:type="dxa"/>
            <w:vMerge w:val="continue"/>
            <w:tcBorders>
              <w:left w:val="nil"/>
              <w:right w:val="nil"/>
            </w:tcBorders>
            <w:vAlign w:val="center"/>
          </w:tcPr>
          <w:p w14:paraId="4B55910D">
            <w:pPr>
              <w:jc w:val="center"/>
              <w:rPr>
                <w:rFonts w:hint="eastAsia" w:ascii="宋体" w:hAnsi="宋体" w:eastAsia="宋体" w:cs="宋体"/>
                <w:color w:val="auto"/>
                <w:sz w:val="20"/>
                <w:szCs w:val="20"/>
                <w:highlight w:val="none"/>
                <w:lang w:eastAsia="zh-CN"/>
              </w:rPr>
            </w:pPr>
          </w:p>
        </w:tc>
        <w:tc>
          <w:tcPr>
            <w:tcW w:w="2280" w:type="dxa"/>
            <w:vAlign w:val="center"/>
          </w:tcPr>
          <w:p w14:paraId="4FF2E81B">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未及时反馈的，每一次</w:t>
            </w:r>
            <w:r>
              <w:rPr>
                <w:rFonts w:hint="eastAsia" w:ascii="宋体" w:hAnsi="宋体" w:cs="宋体"/>
                <w:color w:val="auto"/>
                <w:sz w:val="20"/>
                <w:szCs w:val="20"/>
                <w:highlight w:val="none"/>
                <w:lang w:eastAsia="zh-CN"/>
              </w:rPr>
              <w:t>。</w:t>
            </w:r>
          </w:p>
        </w:tc>
        <w:tc>
          <w:tcPr>
            <w:tcW w:w="1185" w:type="dxa"/>
            <w:vAlign w:val="center"/>
          </w:tcPr>
          <w:p w14:paraId="35B46687">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分/项</w:t>
            </w:r>
          </w:p>
        </w:tc>
        <w:tc>
          <w:tcPr>
            <w:tcW w:w="690" w:type="dxa"/>
            <w:vAlign w:val="top"/>
          </w:tcPr>
          <w:p w14:paraId="444D2F7C">
            <w:pPr>
              <w:jc w:val="center"/>
              <w:rPr>
                <w:rFonts w:ascii="宋体" w:hAnsi="宋体" w:cs="宋体"/>
                <w:color w:val="auto"/>
                <w:sz w:val="20"/>
                <w:szCs w:val="20"/>
                <w:highlight w:val="none"/>
              </w:rPr>
            </w:pPr>
          </w:p>
        </w:tc>
        <w:tc>
          <w:tcPr>
            <w:tcW w:w="855" w:type="dxa"/>
            <w:vAlign w:val="center"/>
          </w:tcPr>
          <w:p w14:paraId="2245023C">
            <w:pPr>
              <w:jc w:val="center"/>
              <w:rPr>
                <w:rFonts w:ascii="宋体" w:hAnsi="宋体" w:cs="宋体"/>
                <w:color w:val="auto"/>
                <w:sz w:val="20"/>
                <w:szCs w:val="20"/>
                <w:highlight w:val="none"/>
              </w:rPr>
            </w:pPr>
          </w:p>
        </w:tc>
      </w:tr>
      <w:tr w14:paraId="0BE10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9003" w:type="dxa"/>
            <w:gridSpan w:val="7"/>
            <w:vAlign w:val="center"/>
          </w:tcPr>
          <w:p w14:paraId="2155F989">
            <w:pPr>
              <w:jc w:val="center"/>
              <w:rPr>
                <w:rFonts w:ascii="宋体" w:hAnsi="宋体" w:cs="宋体"/>
                <w:color w:val="auto"/>
                <w:sz w:val="20"/>
                <w:szCs w:val="20"/>
                <w:highlight w:val="none"/>
              </w:rPr>
            </w:pPr>
            <w:r>
              <w:rPr>
                <w:rFonts w:hint="eastAsia"/>
                <w:b/>
                <w:bCs/>
                <w:color w:val="auto"/>
                <w:sz w:val="20"/>
                <w:szCs w:val="20"/>
                <w:highlight w:val="none"/>
              </w:rPr>
              <w:t>第二章   保洁服务内容及标准</w:t>
            </w:r>
            <w:r>
              <w:rPr>
                <w:rFonts w:hint="eastAsia" w:ascii="宋体" w:hAnsi="宋体" w:cs="宋体"/>
                <w:b/>
                <w:bCs/>
                <w:color w:val="auto"/>
                <w:sz w:val="20"/>
                <w:szCs w:val="20"/>
                <w:highlight w:val="none"/>
              </w:rPr>
              <w:t>（</w:t>
            </w:r>
            <w:r>
              <w:rPr>
                <w:rFonts w:hint="eastAsia" w:ascii="宋体" w:hAnsi="宋体" w:cs="宋体"/>
                <w:b/>
                <w:bCs/>
                <w:color w:val="auto"/>
                <w:sz w:val="20"/>
                <w:szCs w:val="20"/>
                <w:highlight w:val="none"/>
                <w:lang w:val="en-US" w:eastAsia="zh-CN"/>
              </w:rPr>
              <w:t>30</w:t>
            </w:r>
            <w:r>
              <w:rPr>
                <w:rFonts w:hint="eastAsia" w:ascii="宋体" w:hAnsi="宋体" w:cs="宋体"/>
                <w:b/>
                <w:bCs/>
                <w:color w:val="auto"/>
                <w:sz w:val="20"/>
                <w:szCs w:val="20"/>
                <w:highlight w:val="none"/>
              </w:rPr>
              <w:t>分）</w:t>
            </w:r>
          </w:p>
        </w:tc>
      </w:tr>
      <w:tr w14:paraId="0034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F2E721A">
            <w:pPr>
              <w:rPr>
                <w:rFonts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序号</w:t>
            </w:r>
          </w:p>
        </w:tc>
        <w:tc>
          <w:tcPr>
            <w:tcW w:w="2610" w:type="dxa"/>
            <w:vAlign w:val="center"/>
          </w:tcPr>
          <w:p w14:paraId="035F5DA7">
            <w:pPr>
              <w:jc w:val="center"/>
              <w:rPr>
                <w:rFonts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服务内容及标准要求</w:t>
            </w:r>
          </w:p>
        </w:tc>
        <w:tc>
          <w:tcPr>
            <w:tcW w:w="918" w:type="dxa"/>
            <w:tcBorders>
              <w:left w:val="nil"/>
              <w:right w:val="nil"/>
            </w:tcBorders>
            <w:vAlign w:val="center"/>
          </w:tcPr>
          <w:p w14:paraId="7D997A60">
            <w:pP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标准分</w:t>
            </w:r>
          </w:p>
        </w:tc>
        <w:tc>
          <w:tcPr>
            <w:tcW w:w="2280" w:type="dxa"/>
            <w:vAlign w:val="center"/>
          </w:tcPr>
          <w:p w14:paraId="6751F882">
            <w:pP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检查内容</w:t>
            </w:r>
          </w:p>
        </w:tc>
        <w:tc>
          <w:tcPr>
            <w:tcW w:w="1185" w:type="dxa"/>
            <w:vAlign w:val="center"/>
          </w:tcPr>
          <w:p w14:paraId="43FA949C">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扣分</w:t>
            </w:r>
          </w:p>
          <w:p w14:paraId="76E85B6D">
            <w:pP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标准</w:t>
            </w:r>
          </w:p>
        </w:tc>
        <w:tc>
          <w:tcPr>
            <w:tcW w:w="690" w:type="dxa"/>
            <w:vAlign w:val="top"/>
          </w:tcPr>
          <w:p w14:paraId="76071870">
            <w:pPr>
              <w:jc w:val="center"/>
              <w:rPr>
                <w:rFonts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实际扣分</w:t>
            </w:r>
          </w:p>
        </w:tc>
        <w:tc>
          <w:tcPr>
            <w:tcW w:w="855" w:type="dxa"/>
            <w:vAlign w:val="center"/>
          </w:tcPr>
          <w:p w14:paraId="59D845EB">
            <w:pPr>
              <w:jc w:val="center"/>
              <w:rPr>
                <w:rFonts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 xml:space="preserve">备注                             </w:t>
            </w:r>
          </w:p>
        </w:tc>
      </w:tr>
      <w:tr w14:paraId="706FC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4AD78F9">
            <w:pPr>
              <w:jc w:val="cente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一</w:t>
            </w:r>
          </w:p>
        </w:tc>
        <w:tc>
          <w:tcPr>
            <w:tcW w:w="2610" w:type="dxa"/>
            <w:vAlign w:val="center"/>
          </w:tcPr>
          <w:p w14:paraId="37EF594A">
            <w:pP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公用保洁间的清洁标准</w:t>
            </w:r>
          </w:p>
        </w:tc>
        <w:tc>
          <w:tcPr>
            <w:tcW w:w="918" w:type="dxa"/>
            <w:vAlign w:val="center"/>
          </w:tcPr>
          <w:p w14:paraId="5A3E4E1A">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4</w:t>
            </w:r>
          </w:p>
        </w:tc>
        <w:tc>
          <w:tcPr>
            <w:tcW w:w="2280" w:type="dxa"/>
            <w:vAlign w:val="center"/>
          </w:tcPr>
          <w:p w14:paraId="6ED8A348">
            <w:pPr>
              <w:jc w:val="center"/>
              <w:rPr>
                <w:rFonts w:hint="eastAsia" w:ascii="宋体" w:hAnsi="宋体" w:cs="宋体" w:eastAsiaTheme="minorEastAsia"/>
                <w:b/>
                <w:color w:val="auto"/>
                <w:kern w:val="2"/>
                <w:sz w:val="20"/>
                <w:szCs w:val="20"/>
                <w:highlight w:val="none"/>
                <w:lang w:val="en-US" w:eastAsia="zh-CN" w:bidi="ar-SA"/>
              </w:rPr>
            </w:pPr>
          </w:p>
        </w:tc>
        <w:tc>
          <w:tcPr>
            <w:tcW w:w="1185" w:type="dxa"/>
            <w:vAlign w:val="center"/>
          </w:tcPr>
          <w:p w14:paraId="154A67D7">
            <w:pPr>
              <w:jc w:val="left"/>
              <w:rPr>
                <w:rFonts w:hint="eastAsia" w:ascii="宋体" w:hAnsi="宋体" w:cs="宋体" w:eastAsiaTheme="minorEastAsia"/>
                <w:b/>
                <w:color w:val="auto"/>
                <w:kern w:val="2"/>
                <w:sz w:val="20"/>
                <w:szCs w:val="20"/>
                <w:highlight w:val="none"/>
                <w:lang w:val="en-US" w:eastAsia="zh-CN" w:bidi="ar-SA"/>
              </w:rPr>
            </w:pPr>
          </w:p>
        </w:tc>
        <w:tc>
          <w:tcPr>
            <w:tcW w:w="690" w:type="dxa"/>
            <w:vAlign w:val="top"/>
          </w:tcPr>
          <w:p w14:paraId="3C0B5F9E">
            <w:pPr>
              <w:jc w:val="center"/>
              <w:rPr>
                <w:rFonts w:ascii="宋体" w:hAnsi="宋体" w:cs="宋体" w:eastAsiaTheme="minorEastAsia"/>
                <w:b/>
                <w:color w:val="auto"/>
                <w:kern w:val="2"/>
                <w:sz w:val="20"/>
                <w:szCs w:val="20"/>
                <w:highlight w:val="none"/>
                <w:lang w:val="en-US" w:eastAsia="zh-CN" w:bidi="ar-SA"/>
              </w:rPr>
            </w:pPr>
          </w:p>
        </w:tc>
        <w:tc>
          <w:tcPr>
            <w:tcW w:w="855" w:type="dxa"/>
            <w:vAlign w:val="center"/>
          </w:tcPr>
          <w:p w14:paraId="302C9602">
            <w:pPr>
              <w:jc w:val="center"/>
              <w:rPr>
                <w:rFonts w:ascii="宋体" w:hAnsi="宋体" w:cs="宋体" w:eastAsiaTheme="minorEastAsia"/>
                <w:b/>
                <w:color w:val="auto"/>
                <w:kern w:val="2"/>
                <w:sz w:val="20"/>
                <w:szCs w:val="20"/>
                <w:highlight w:val="none"/>
                <w:lang w:val="en-US" w:eastAsia="zh-CN" w:bidi="ar-SA"/>
              </w:rPr>
            </w:pPr>
          </w:p>
        </w:tc>
      </w:tr>
      <w:tr w14:paraId="45E2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E1BCF73">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1</w:t>
            </w:r>
          </w:p>
        </w:tc>
        <w:tc>
          <w:tcPr>
            <w:tcW w:w="2610" w:type="dxa"/>
            <w:vAlign w:val="center"/>
          </w:tcPr>
          <w:p w14:paraId="1DB41738">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天花板、墙壁、墙角、灯具目视无蜘蛛网</w:t>
            </w:r>
            <w:r>
              <w:rPr>
                <w:rFonts w:hint="eastAsia" w:ascii="宋体" w:hAnsi="宋体" w:cs="宋体"/>
                <w:color w:val="auto"/>
                <w:sz w:val="20"/>
                <w:szCs w:val="20"/>
                <w:highlight w:val="none"/>
                <w:lang w:eastAsia="zh-CN"/>
              </w:rPr>
              <w:t>。</w:t>
            </w:r>
          </w:p>
        </w:tc>
        <w:tc>
          <w:tcPr>
            <w:tcW w:w="918" w:type="dxa"/>
            <w:vAlign w:val="center"/>
          </w:tcPr>
          <w:p w14:paraId="0B4ACFB9">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1272713A">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天花板、墙壁、墙角、灯具有蜘蛛网</w:t>
            </w:r>
            <w:r>
              <w:rPr>
                <w:rFonts w:hint="eastAsia" w:ascii="宋体" w:hAnsi="宋体" w:cs="宋体"/>
                <w:color w:val="auto"/>
                <w:sz w:val="20"/>
                <w:szCs w:val="20"/>
                <w:highlight w:val="none"/>
                <w:lang w:eastAsia="zh-CN"/>
              </w:rPr>
              <w:t>。</w:t>
            </w:r>
          </w:p>
        </w:tc>
        <w:tc>
          <w:tcPr>
            <w:tcW w:w="1185" w:type="dxa"/>
            <w:vAlign w:val="center"/>
          </w:tcPr>
          <w:p w14:paraId="221D619A">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分/间</w:t>
            </w:r>
          </w:p>
        </w:tc>
        <w:tc>
          <w:tcPr>
            <w:tcW w:w="690" w:type="dxa"/>
            <w:vAlign w:val="center"/>
          </w:tcPr>
          <w:p w14:paraId="59E52A2F">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B45440A">
            <w:pPr>
              <w:jc w:val="center"/>
              <w:rPr>
                <w:rFonts w:ascii="宋体" w:hAnsi="宋体" w:cs="宋体" w:eastAsiaTheme="minorEastAsia"/>
                <w:color w:val="auto"/>
                <w:kern w:val="2"/>
                <w:sz w:val="20"/>
                <w:szCs w:val="20"/>
                <w:highlight w:val="none"/>
                <w:lang w:val="en-US" w:eastAsia="zh-CN" w:bidi="ar-SA"/>
              </w:rPr>
            </w:pPr>
          </w:p>
        </w:tc>
      </w:tr>
      <w:tr w14:paraId="77116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8F8AFFA">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2</w:t>
            </w:r>
          </w:p>
        </w:tc>
        <w:tc>
          <w:tcPr>
            <w:tcW w:w="2610" w:type="dxa"/>
            <w:vAlign w:val="center"/>
          </w:tcPr>
          <w:p w14:paraId="75E20A5D">
            <w:pPr>
              <w:rPr>
                <w:rFonts w:hint="default"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水池、洗手台、不锈钢面</w:t>
            </w:r>
            <w:r>
              <w:rPr>
                <w:rFonts w:hint="eastAsia" w:ascii="宋体" w:hAnsi="宋体" w:cs="宋体"/>
                <w:color w:val="auto"/>
                <w:sz w:val="20"/>
                <w:szCs w:val="20"/>
                <w:highlight w:val="none"/>
                <w:lang w:val="en-US" w:eastAsia="zh-CN"/>
              </w:rPr>
              <w:t>干净整洁。</w:t>
            </w:r>
          </w:p>
        </w:tc>
        <w:tc>
          <w:tcPr>
            <w:tcW w:w="918" w:type="dxa"/>
            <w:vAlign w:val="center"/>
          </w:tcPr>
          <w:p w14:paraId="7F5DB683">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241287DD">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4694207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分/项</w:t>
            </w:r>
          </w:p>
        </w:tc>
        <w:tc>
          <w:tcPr>
            <w:tcW w:w="690" w:type="dxa"/>
            <w:vAlign w:val="center"/>
          </w:tcPr>
          <w:p w14:paraId="2E46EE7E">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2421954">
            <w:pPr>
              <w:jc w:val="center"/>
              <w:rPr>
                <w:rFonts w:ascii="宋体" w:hAnsi="宋体" w:cs="宋体" w:eastAsiaTheme="minorEastAsia"/>
                <w:color w:val="auto"/>
                <w:kern w:val="2"/>
                <w:sz w:val="20"/>
                <w:szCs w:val="20"/>
                <w:highlight w:val="none"/>
                <w:lang w:val="en-US" w:eastAsia="zh-CN" w:bidi="ar-SA"/>
              </w:rPr>
            </w:pPr>
          </w:p>
        </w:tc>
      </w:tr>
      <w:tr w14:paraId="3E6E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339728D2">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3</w:t>
            </w:r>
          </w:p>
        </w:tc>
        <w:tc>
          <w:tcPr>
            <w:tcW w:w="2610" w:type="dxa"/>
            <w:vAlign w:val="center"/>
          </w:tcPr>
          <w:p w14:paraId="0F782A0E">
            <w:pP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在工作时间内检查，目视范围内地面无烟头、污渍、积水、纸屑、果皮、塑料垃圾桶无明显污渍。</w:t>
            </w:r>
          </w:p>
        </w:tc>
        <w:tc>
          <w:tcPr>
            <w:tcW w:w="918" w:type="dxa"/>
            <w:vAlign w:val="center"/>
          </w:tcPr>
          <w:p w14:paraId="79EB7287">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2C81D6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298CD082">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636235AB">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E2A61E0">
            <w:pPr>
              <w:rPr>
                <w:rFonts w:ascii="宋体" w:hAnsi="宋体" w:cs="宋体" w:eastAsiaTheme="minorEastAsia"/>
                <w:color w:val="auto"/>
                <w:kern w:val="2"/>
                <w:sz w:val="20"/>
                <w:szCs w:val="20"/>
                <w:highlight w:val="none"/>
                <w:lang w:val="en-US" w:eastAsia="zh-CN" w:bidi="ar-SA"/>
              </w:rPr>
            </w:pPr>
          </w:p>
        </w:tc>
      </w:tr>
      <w:tr w14:paraId="36E8A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3C29BB7">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4</w:t>
            </w:r>
          </w:p>
        </w:tc>
        <w:tc>
          <w:tcPr>
            <w:tcW w:w="2610" w:type="dxa"/>
            <w:vAlign w:val="center"/>
          </w:tcPr>
          <w:p w14:paraId="7989CA1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每</w:t>
            </w:r>
            <w:r>
              <w:rPr>
                <w:rFonts w:hint="eastAsia" w:ascii="宋体" w:hAnsi="宋体" w:cs="宋体"/>
                <w:color w:val="auto"/>
                <w:sz w:val="20"/>
                <w:szCs w:val="20"/>
                <w:highlight w:val="none"/>
                <w:lang w:val="en-US" w:eastAsia="zh-CN"/>
              </w:rPr>
              <w:t>日</w:t>
            </w:r>
            <w:r>
              <w:rPr>
                <w:rFonts w:hint="eastAsia" w:ascii="宋体" w:hAnsi="宋体" w:cs="宋体"/>
                <w:color w:val="auto"/>
                <w:sz w:val="20"/>
                <w:szCs w:val="20"/>
                <w:highlight w:val="none"/>
              </w:rPr>
              <w:t>清理公共场所和内外走廊</w:t>
            </w:r>
            <w:r>
              <w:rPr>
                <w:rFonts w:hint="eastAsia" w:ascii="宋体" w:hAnsi="宋体" w:cs="宋体"/>
                <w:color w:val="auto"/>
                <w:sz w:val="20"/>
                <w:szCs w:val="20"/>
                <w:highlight w:val="none"/>
                <w:lang w:eastAsia="zh-CN"/>
              </w:rPr>
              <w:t>。</w:t>
            </w:r>
          </w:p>
        </w:tc>
        <w:tc>
          <w:tcPr>
            <w:tcW w:w="918" w:type="dxa"/>
            <w:vAlign w:val="center"/>
          </w:tcPr>
          <w:p w14:paraId="7D58967B">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4100F107">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每楼层不按时做或漏做</w:t>
            </w:r>
            <w:r>
              <w:rPr>
                <w:rFonts w:hint="eastAsia" w:ascii="宋体" w:hAnsi="宋体" w:cs="宋体"/>
                <w:color w:val="auto"/>
                <w:sz w:val="20"/>
                <w:szCs w:val="20"/>
                <w:highlight w:val="none"/>
                <w:lang w:eastAsia="zh-CN"/>
              </w:rPr>
              <w:t>。</w:t>
            </w:r>
          </w:p>
        </w:tc>
        <w:tc>
          <w:tcPr>
            <w:tcW w:w="1185" w:type="dxa"/>
            <w:vAlign w:val="center"/>
          </w:tcPr>
          <w:p w14:paraId="028E27B4">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分/间</w:t>
            </w:r>
          </w:p>
        </w:tc>
        <w:tc>
          <w:tcPr>
            <w:tcW w:w="690" w:type="dxa"/>
            <w:vAlign w:val="center"/>
          </w:tcPr>
          <w:p w14:paraId="321CE989">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7DD0C804">
            <w:pPr>
              <w:jc w:val="center"/>
              <w:rPr>
                <w:rFonts w:ascii="宋体" w:hAnsi="宋体" w:cs="宋体" w:eastAsiaTheme="minorEastAsia"/>
                <w:color w:val="auto"/>
                <w:kern w:val="2"/>
                <w:sz w:val="20"/>
                <w:szCs w:val="20"/>
                <w:highlight w:val="none"/>
                <w:lang w:val="en-US" w:eastAsia="zh-CN" w:bidi="ar-SA"/>
              </w:rPr>
            </w:pPr>
          </w:p>
        </w:tc>
      </w:tr>
      <w:tr w14:paraId="5E044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3EF0A6DD">
            <w:pPr>
              <w:jc w:val="center"/>
              <w:rPr>
                <w:rFonts w:ascii="宋体" w:hAnsi="宋体" w:cs="宋体" w:eastAsiaTheme="minorEastAsia"/>
                <w:b/>
                <w:bCs w:val="0"/>
                <w:color w:val="auto"/>
                <w:kern w:val="2"/>
                <w:sz w:val="20"/>
                <w:szCs w:val="20"/>
                <w:highlight w:val="none"/>
                <w:lang w:val="en-US" w:eastAsia="zh-CN" w:bidi="ar-SA"/>
              </w:rPr>
            </w:pPr>
            <w:r>
              <w:rPr>
                <w:rFonts w:hint="eastAsia" w:ascii="宋体" w:hAnsi="宋体" w:cs="宋体"/>
                <w:b/>
                <w:bCs w:val="0"/>
                <w:color w:val="auto"/>
                <w:sz w:val="20"/>
                <w:szCs w:val="20"/>
                <w:highlight w:val="none"/>
              </w:rPr>
              <w:t>二</w:t>
            </w:r>
          </w:p>
        </w:tc>
        <w:tc>
          <w:tcPr>
            <w:tcW w:w="2610" w:type="dxa"/>
            <w:vAlign w:val="center"/>
          </w:tcPr>
          <w:p w14:paraId="57332B4C">
            <w:pPr>
              <w:rPr>
                <w:rFonts w:hint="eastAsia" w:ascii="宋体" w:hAnsi="宋体" w:cs="宋体" w:eastAsiaTheme="minorEastAsia"/>
                <w:b/>
                <w:bCs w:val="0"/>
                <w:color w:val="auto"/>
                <w:kern w:val="2"/>
                <w:sz w:val="20"/>
                <w:szCs w:val="20"/>
                <w:highlight w:val="none"/>
                <w:lang w:val="en-US" w:eastAsia="zh-CN" w:bidi="ar-SA"/>
              </w:rPr>
            </w:pPr>
            <w:r>
              <w:rPr>
                <w:rFonts w:hint="eastAsia" w:ascii="宋体" w:hAnsi="宋体" w:cs="宋体"/>
                <w:b/>
                <w:bCs w:val="0"/>
                <w:color w:val="auto"/>
                <w:sz w:val="20"/>
                <w:szCs w:val="20"/>
                <w:highlight w:val="none"/>
              </w:rPr>
              <w:t>公共卫生间的清洁标准</w:t>
            </w:r>
          </w:p>
        </w:tc>
        <w:tc>
          <w:tcPr>
            <w:tcW w:w="918" w:type="dxa"/>
            <w:vAlign w:val="center"/>
          </w:tcPr>
          <w:p w14:paraId="4F4F77D0">
            <w:pPr>
              <w:jc w:val="center"/>
              <w:rPr>
                <w:rFonts w:hint="eastAsia" w:ascii="宋体" w:hAnsi="宋体" w:eastAsia="宋体" w:cs="宋体"/>
                <w:b/>
                <w:bCs w:val="0"/>
                <w:color w:val="auto"/>
                <w:kern w:val="2"/>
                <w:sz w:val="20"/>
                <w:szCs w:val="20"/>
                <w:highlight w:val="none"/>
                <w:lang w:val="en-US" w:eastAsia="zh-CN" w:bidi="ar-SA"/>
              </w:rPr>
            </w:pPr>
            <w:r>
              <w:rPr>
                <w:rFonts w:hint="eastAsia" w:ascii="宋体" w:hAnsi="宋体" w:cs="宋体"/>
                <w:b/>
                <w:bCs w:val="0"/>
                <w:color w:val="auto"/>
                <w:sz w:val="20"/>
                <w:szCs w:val="20"/>
                <w:highlight w:val="none"/>
                <w:lang w:val="en-US" w:eastAsia="zh-CN"/>
              </w:rPr>
              <w:t>6.5</w:t>
            </w:r>
          </w:p>
        </w:tc>
        <w:tc>
          <w:tcPr>
            <w:tcW w:w="2280" w:type="dxa"/>
            <w:vAlign w:val="center"/>
          </w:tcPr>
          <w:p w14:paraId="0AEC8DA7">
            <w:pPr>
              <w:rPr>
                <w:rFonts w:hint="eastAsia" w:ascii="宋体" w:hAnsi="宋体" w:cs="宋体" w:eastAsiaTheme="minorEastAsia"/>
                <w:b/>
                <w:bCs w:val="0"/>
                <w:color w:val="auto"/>
                <w:kern w:val="2"/>
                <w:sz w:val="20"/>
                <w:szCs w:val="20"/>
                <w:highlight w:val="none"/>
                <w:lang w:val="en-US" w:eastAsia="zh-CN" w:bidi="ar-SA"/>
              </w:rPr>
            </w:pPr>
          </w:p>
        </w:tc>
        <w:tc>
          <w:tcPr>
            <w:tcW w:w="1185" w:type="dxa"/>
            <w:vAlign w:val="center"/>
          </w:tcPr>
          <w:p w14:paraId="0D99DC4A">
            <w:pPr>
              <w:jc w:val="center"/>
              <w:rPr>
                <w:rFonts w:hint="eastAsia" w:ascii="宋体" w:hAnsi="宋体" w:cs="宋体" w:eastAsiaTheme="minorEastAsia"/>
                <w:b/>
                <w:color w:val="auto"/>
                <w:kern w:val="2"/>
                <w:sz w:val="20"/>
                <w:szCs w:val="20"/>
                <w:highlight w:val="none"/>
                <w:lang w:val="en-US" w:eastAsia="zh-CN" w:bidi="ar-SA"/>
              </w:rPr>
            </w:pPr>
          </w:p>
        </w:tc>
        <w:tc>
          <w:tcPr>
            <w:tcW w:w="690" w:type="dxa"/>
            <w:vAlign w:val="center"/>
          </w:tcPr>
          <w:p w14:paraId="5C347173">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7515BB35">
            <w:pPr>
              <w:jc w:val="center"/>
              <w:rPr>
                <w:rFonts w:ascii="宋体" w:hAnsi="宋体" w:cs="宋体" w:eastAsiaTheme="minorEastAsia"/>
                <w:b/>
                <w:color w:val="auto"/>
                <w:kern w:val="2"/>
                <w:sz w:val="20"/>
                <w:szCs w:val="20"/>
                <w:highlight w:val="none"/>
                <w:lang w:val="en-US" w:eastAsia="zh-CN" w:bidi="ar-SA"/>
              </w:rPr>
            </w:pPr>
          </w:p>
        </w:tc>
      </w:tr>
      <w:tr w14:paraId="64B5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0940A8F4">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1</w:t>
            </w:r>
          </w:p>
        </w:tc>
        <w:tc>
          <w:tcPr>
            <w:tcW w:w="2610" w:type="dxa"/>
            <w:vAlign w:val="center"/>
          </w:tcPr>
          <w:p w14:paraId="48C79FAB">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天花板、墙角、灯具</w:t>
            </w:r>
            <w:r>
              <w:rPr>
                <w:rFonts w:hint="eastAsia" w:ascii="宋体" w:hAnsi="宋体" w:cs="宋体"/>
                <w:color w:val="auto"/>
                <w:sz w:val="20"/>
                <w:szCs w:val="20"/>
                <w:highlight w:val="none"/>
                <w:lang w:val="en-US" w:eastAsia="zh-CN"/>
              </w:rPr>
              <w:t>无</w:t>
            </w:r>
            <w:r>
              <w:rPr>
                <w:rFonts w:hint="eastAsia" w:ascii="宋体" w:hAnsi="宋体" w:cs="宋体"/>
                <w:color w:val="auto"/>
                <w:sz w:val="20"/>
                <w:szCs w:val="20"/>
                <w:highlight w:val="none"/>
              </w:rPr>
              <w:t>蜘蛛网</w:t>
            </w:r>
            <w:r>
              <w:rPr>
                <w:rFonts w:hint="eastAsia" w:ascii="宋体" w:hAnsi="宋体" w:cs="宋体"/>
                <w:color w:val="auto"/>
                <w:sz w:val="20"/>
                <w:szCs w:val="20"/>
                <w:highlight w:val="none"/>
                <w:lang w:eastAsia="zh-CN"/>
              </w:rPr>
              <w:t>。</w:t>
            </w:r>
          </w:p>
        </w:tc>
        <w:tc>
          <w:tcPr>
            <w:tcW w:w="918" w:type="dxa"/>
            <w:vAlign w:val="center"/>
          </w:tcPr>
          <w:p w14:paraId="46095D55">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AE89E4C">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天花板、墙角、灯具有蜘蛛网，或</w:t>
            </w:r>
            <w:r>
              <w:rPr>
                <w:rFonts w:hint="eastAsia" w:ascii="宋体" w:hAnsi="宋体" w:cs="宋体"/>
                <w:color w:val="auto"/>
                <w:sz w:val="20"/>
                <w:szCs w:val="20"/>
                <w:highlight w:val="none"/>
                <w:lang w:val="en-US" w:eastAsia="zh-CN"/>
              </w:rPr>
              <w:t>未开展</w:t>
            </w:r>
            <w:r>
              <w:rPr>
                <w:rFonts w:hint="eastAsia" w:ascii="宋体" w:hAnsi="宋体" w:cs="宋体"/>
                <w:color w:val="auto"/>
                <w:sz w:val="20"/>
                <w:szCs w:val="20"/>
                <w:highlight w:val="none"/>
              </w:rPr>
              <w:t>，每一项</w:t>
            </w:r>
            <w:r>
              <w:rPr>
                <w:rFonts w:hint="eastAsia" w:ascii="宋体" w:hAnsi="宋体" w:cs="宋体"/>
                <w:color w:val="auto"/>
                <w:sz w:val="20"/>
                <w:szCs w:val="20"/>
                <w:highlight w:val="none"/>
                <w:lang w:eastAsia="zh-CN"/>
              </w:rPr>
              <w:t>。</w:t>
            </w:r>
          </w:p>
        </w:tc>
        <w:tc>
          <w:tcPr>
            <w:tcW w:w="1185" w:type="dxa"/>
            <w:vAlign w:val="center"/>
          </w:tcPr>
          <w:p w14:paraId="4E7D824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475F38FA">
            <w:pPr>
              <w:rPr>
                <w:rFonts w:ascii="宋体" w:hAnsi="宋体" w:cs="宋体" w:eastAsiaTheme="minorEastAsia"/>
                <w:color w:val="auto"/>
                <w:kern w:val="2"/>
                <w:sz w:val="20"/>
                <w:szCs w:val="20"/>
                <w:highlight w:val="none"/>
                <w:lang w:val="en-US" w:eastAsia="zh-CN" w:bidi="ar-SA"/>
              </w:rPr>
            </w:pPr>
          </w:p>
        </w:tc>
        <w:tc>
          <w:tcPr>
            <w:tcW w:w="855" w:type="dxa"/>
            <w:vAlign w:val="center"/>
          </w:tcPr>
          <w:p w14:paraId="3062F61B">
            <w:pPr>
              <w:jc w:val="center"/>
              <w:rPr>
                <w:rFonts w:ascii="宋体" w:hAnsi="宋体" w:cs="宋体" w:eastAsiaTheme="minorEastAsia"/>
                <w:color w:val="auto"/>
                <w:kern w:val="2"/>
                <w:sz w:val="20"/>
                <w:szCs w:val="20"/>
                <w:highlight w:val="none"/>
                <w:lang w:val="en-US" w:eastAsia="zh-CN" w:bidi="ar-SA"/>
              </w:rPr>
            </w:pPr>
          </w:p>
        </w:tc>
      </w:tr>
      <w:tr w14:paraId="3E9C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1CDFCB4">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2</w:t>
            </w:r>
          </w:p>
        </w:tc>
        <w:tc>
          <w:tcPr>
            <w:tcW w:w="2610" w:type="dxa"/>
            <w:vAlign w:val="center"/>
          </w:tcPr>
          <w:p w14:paraId="6702D341">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大、小便器及隔板洁净，无黄渍，无脏物；便器冲水阀无漏水，</w:t>
            </w:r>
            <w:r>
              <w:rPr>
                <w:rFonts w:hint="eastAsia" w:ascii="宋体" w:hAnsi="宋体" w:cs="宋体"/>
                <w:color w:val="auto"/>
                <w:sz w:val="20"/>
                <w:szCs w:val="20"/>
                <w:highlight w:val="none"/>
                <w:lang w:val="en-US" w:eastAsia="zh-CN"/>
              </w:rPr>
              <w:t>每日</w:t>
            </w:r>
            <w:r>
              <w:rPr>
                <w:rFonts w:hint="eastAsia" w:ascii="宋体" w:hAnsi="宋体" w:cs="宋体"/>
                <w:color w:val="auto"/>
                <w:sz w:val="20"/>
                <w:szCs w:val="20"/>
                <w:highlight w:val="none"/>
              </w:rPr>
              <w:t>用洁厕水擦洗便器</w:t>
            </w:r>
            <w:r>
              <w:rPr>
                <w:rFonts w:hint="eastAsia" w:ascii="宋体" w:hAnsi="宋体" w:cs="宋体"/>
                <w:color w:val="auto"/>
                <w:sz w:val="20"/>
                <w:szCs w:val="20"/>
                <w:highlight w:val="none"/>
                <w:lang w:val="en-US" w:eastAsia="zh-CN"/>
              </w:rPr>
              <w:t>1次</w:t>
            </w:r>
            <w:r>
              <w:rPr>
                <w:rFonts w:hint="eastAsia" w:ascii="宋体" w:hAnsi="宋体" w:cs="宋体"/>
                <w:color w:val="auto"/>
                <w:sz w:val="20"/>
                <w:szCs w:val="20"/>
                <w:highlight w:val="none"/>
              </w:rPr>
              <w:t>。</w:t>
            </w:r>
          </w:p>
        </w:tc>
        <w:tc>
          <w:tcPr>
            <w:tcW w:w="918" w:type="dxa"/>
            <w:vAlign w:val="center"/>
          </w:tcPr>
          <w:p w14:paraId="67313E2C">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78558E0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便器及隔板不洁净，有黄渍、脏物或冲水阀漏水</w:t>
            </w:r>
            <w:r>
              <w:rPr>
                <w:rFonts w:hint="eastAsia" w:ascii="宋体" w:hAnsi="宋体" w:cs="宋体"/>
                <w:color w:val="auto"/>
                <w:sz w:val="20"/>
                <w:szCs w:val="20"/>
                <w:highlight w:val="none"/>
                <w:lang w:eastAsia="zh-CN"/>
              </w:rPr>
              <w:t>。</w:t>
            </w:r>
          </w:p>
        </w:tc>
        <w:tc>
          <w:tcPr>
            <w:tcW w:w="1185" w:type="dxa"/>
            <w:vAlign w:val="center"/>
          </w:tcPr>
          <w:p w14:paraId="7E42707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分/间</w:t>
            </w:r>
          </w:p>
        </w:tc>
        <w:tc>
          <w:tcPr>
            <w:tcW w:w="690" w:type="dxa"/>
            <w:vAlign w:val="center"/>
          </w:tcPr>
          <w:p w14:paraId="64B4242C">
            <w:pPr>
              <w:rPr>
                <w:rFonts w:ascii="宋体" w:hAnsi="宋体" w:cs="宋体" w:eastAsiaTheme="minorEastAsia"/>
                <w:color w:val="auto"/>
                <w:kern w:val="2"/>
                <w:sz w:val="20"/>
                <w:szCs w:val="20"/>
                <w:highlight w:val="none"/>
                <w:lang w:val="en-US" w:eastAsia="zh-CN" w:bidi="ar-SA"/>
              </w:rPr>
            </w:pPr>
          </w:p>
        </w:tc>
        <w:tc>
          <w:tcPr>
            <w:tcW w:w="855" w:type="dxa"/>
            <w:vAlign w:val="center"/>
          </w:tcPr>
          <w:p w14:paraId="4F3458AB">
            <w:pPr>
              <w:jc w:val="center"/>
              <w:rPr>
                <w:rFonts w:ascii="宋体" w:hAnsi="宋体" w:cs="宋体" w:eastAsiaTheme="minorEastAsia"/>
                <w:color w:val="auto"/>
                <w:kern w:val="2"/>
                <w:sz w:val="20"/>
                <w:szCs w:val="20"/>
                <w:highlight w:val="none"/>
                <w:lang w:val="en-US" w:eastAsia="zh-CN" w:bidi="ar-SA"/>
              </w:rPr>
            </w:pPr>
          </w:p>
        </w:tc>
      </w:tr>
      <w:tr w14:paraId="7DF9C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AD44B5E">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3</w:t>
            </w:r>
          </w:p>
        </w:tc>
        <w:tc>
          <w:tcPr>
            <w:tcW w:w="2610" w:type="dxa"/>
            <w:vAlign w:val="center"/>
          </w:tcPr>
          <w:p w14:paraId="34A1F735">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室内无因垃圾清理不及时散发的异味、臭味。</w:t>
            </w:r>
          </w:p>
        </w:tc>
        <w:tc>
          <w:tcPr>
            <w:tcW w:w="918" w:type="dxa"/>
            <w:vAlign w:val="center"/>
          </w:tcPr>
          <w:p w14:paraId="4DB533B0">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3E34EC82">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室内垃圾清理不及时，散发异味、臭味。</w:t>
            </w:r>
          </w:p>
        </w:tc>
        <w:tc>
          <w:tcPr>
            <w:tcW w:w="1185" w:type="dxa"/>
            <w:vAlign w:val="center"/>
          </w:tcPr>
          <w:p w14:paraId="4A6374F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分/间</w:t>
            </w:r>
          </w:p>
        </w:tc>
        <w:tc>
          <w:tcPr>
            <w:tcW w:w="690" w:type="dxa"/>
            <w:vAlign w:val="center"/>
          </w:tcPr>
          <w:p w14:paraId="6C45898F">
            <w:pPr>
              <w:rPr>
                <w:rFonts w:ascii="宋体" w:hAnsi="宋体" w:cs="宋体" w:eastAsiaTheme="minorEastAsia"/>
                <w:color w:val="auto"/>
                <w:kern w:val="2"/>
                <w:sz w:val="20"/>
                <w:szCs w:val="20"/>
                <w:highlight w:val="none"/>
                <w:lang w:val="en-US" w:eastAsia="zh-CN" w:bidi="ar-SA"/>
              </w:rPr>
            </w:pPr>
          </w:p>
        </w:tc>
        <w:tc>
          <w:tcPr>
            <w:tcW w:w="855" w:type="dxa"/>
            <w:vAlign w:val="center"/>
          </w:tcPr>
          <w:p w14:paraId="1EE3AEA7">
            <w:pPr>
              <w:jc w:val="center"/>
              <w:rPr>
                <w:rFonts w:ascii="宋体" w:hAnsi="宋体" w:cs="宋体" w:eastAsiaTheme="minorEastAsia"/>
                <w:color w:val="auto"/>
                <w:kern w:val="2"/>
                <w:sz w:val="20"/>
                <w:szCs w:val="20"/>
                <w:highlight w:val="none"/>
                <w:lang w:val="en-US" w:eastAsia="zh-CN" w:bidi="ar-SA"/>
              </w:rPr>
            </w:pPr>
          </w:p>
        </w:tc>
      </w:tr>
      <w:tr w14:paraId="7A0B8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AB71AF7">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4</w:t>
            </w:r>
          </w:p>
        </w:tc>
        <w:tc>
          <w:tcPr>
            <w:tcW w:w="2610" w:type="dxa"/>
            <w:vAlign w:val="center"/>
          </w:tcPr>
          <w:p w14:paraId="0CF82DD8">
            <w:pP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洗手盆、台面、镜面、墙面、不锈钢面、门窗保持</w:t>
            </w:r>
            <w:r>
              <w:rPr>
                <w:rFonts w:hint="eastAsia" w:ascii="宋体" w:hAnsi="宋体" w:cs="宋体"/>
                <w:color w:val="auto"/>
                <w:sz w:val="20"/>
                <w:szCs w:val="20"/>
                <w:highlight w:val="none"/>
                <w:lang w:val="en-US" w:eastAsia="zh-CN"/>
              </w:rPr>
              <w:t>干净。</w:t>
            </w:r>
            <w:r>
              <w:rPr>
                <w:rFonts w:hint="eastAsia" w:ascii="宋体" w:hAnsi="宋体" w:cs="宋体"/>
                <w:color w:val="auto"/>
                <w:sz w:val="20"/>
                <w:szCs w:val="20"/>
                <w:highlight w:val="none"/>
              </w:rPr>
              <w:t xml:space="preserve"> </w:t>
            </w:r>
          </w:p>
        </w:tc>
        <w:tc>
          <w:tcPr>
            <w:tcW w:w="918" w:type="dxa"/>
            <w:vAlign w:val="center"/>
          </w:tcPr>
          <w:p w14:paraId="0AC3E5A1">
            <w:pPr>
              <w:tabs>
                <w:tab w:val="left" w:pos="2052"/>
              </w:tabs>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083BA3B9">
            <w:pPr>
              <w:tabs>
                <w:tab w:val="left" w:pos="2052"/>
              </w:tabs>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0CA9370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5527D89A">
            <w:pPr>
              <w:rPr>
                <w:rFonts w:ascii="宋体" w:hAnsi="宋体" w:cs="宋体" w:eastAsiaTheme="minorEastAsia"/>
                <w:color w:val="auto"/>
                <w:kern w:val="2"/>
                <w:sz w:val="20"/>
                <w:szCs w:val="20"/>
                <w:highlight w:val="none"/>
                <w:lang w:val="en-US" w:eastAsia="zh-CN" w:bidi="ar-SA"/>
              </w:rPr>
            </w:pPr>
          </w:p>
        </w:tc>
        <w:tc>
          <w:tcPr>
            <w:tcW w:w="855" w:type="dxa"/>
            <w:vAlign w:val="center"/>
          </w:tcPr>
          <w:p w14:paraId="14C93312">
            <w:pPr>
              <w:jc w:val="center"/>
              <w:rPr>
                <w:rFonts w:ascii="宋体" w:hAnsi="宋体" w:cs="宋体" w:eastAsiaTheme="minorEastAsia"/>
                <w:color w:val="auto"/>
                <w:kern w:val="2"/>
                <w:sz w:val="20"/>
                <w:szCs w:val="20"/>
                <w:highlight w:val="none"/>
                <w:lang w:val="en-US" w:eastAsia="zh-CN" w:bidi="ar-SA"/>
              </w:rPr>
            </w:pPr>
          </w:p>
        </w:tc>
      </w:tr>
      <w:tr w14:paraId="33104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46A77D22">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5</w:t>
            </w:r>
          </w:p>
        </w:tc>
        <w:tc>
          <w:tcPr>
            <w:tcW w:w="2610" w:type="dxa"/>
            <w:vAlign w:val="center"/>
          </w:tcPr>
          <w:p w14:paraId="22AB59B8">
            <w:pPr>
              <w:rPr>
                <w:rFonts w:ascii="宋体" w:hAnsi="宋体" w:cs="宋体"/>
                <w:color w:val="auto"/>
                <w:sz w:val="20"/>
                <w:szCs w:val="20"/>
                <w:highlight w:val="none"/>
              </w:rPr>
            </w:pPr>
            <w:r>
              <w:rPr>
                <w:rFonts w:hint="eastAsia" w:ascii="宋体" w:hAnsi="宋体" w:cs="宋体"/>
                <w:color w:val="auto"/>
                <w:sz w:val="20"/>
                <w:szCs w:val="20"/>
                <w:highlight w:val="none"/>
              </w:rPr>
              <w:t>在工作时间内检查，目视范围内，地面无烟头、污渍、积水、纸屑、果皮；</w:t>
            </w:r>
          </w:p>
          <w:p w14:paraId="6AF763A8">
            <w:pP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每日</w:t>
            </w:r>
            <w:r>
              <w:rPr>
                <w:rFonts w:hint="eastAsia" w:ascii="宋体" w:hAnsi="宋体" w:cs="宋体"/>
                <w:color w:val="auto"/>
                <w:sz w:val="20"/>
                <w:szCs w:val="20"/>
                <w:highlight w:val="none"/>
              </w:rPr>
              <w:t>清扫地面垃圾和积水，用夹子夹出小便器内的烟头等杂物。</w:t>
            </w:r>
          </w:p>
        </w:tc>
        <w:tc>
          <w:tcPr>
            <w:tcW w:w="918" w:type="dxa"/>
            <w:vAlign w:val="center"/>
          </w:tcPr>
          <w:p w14:paraId="6929F6F9">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3F864DFC">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3A51E53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113D5A0F">
            <w:pPr>
              <w:rPr>
                <w:rFonts w:ascii="宋体" w:hAnsi="宋体" w:cs="宋体" w:eastAsiaTheme="minorEastAsia"/>
                <w:color w:val="auto"/>
                <w:kern w:val="2"/>
                <w:sz w:val="20"/>
                <w:szCs w:val="20"/>
                <w:highlight w:val="none"/>
                <w:lang w:val="en-US" w:eastAsia="zh-CN" w:bidi="ar-SA"/>
              </w:rPr>
            </w:pPr>
          </w:p>
        </w:tc>
        <w:tc>
          <w:tcPr>
            <w:tcW w:w="855" w:type="dxa"/>
            <w:vAlign w:val="center"/>
          </w:tcPr>
          <w:p w14:paraId="53B2B6D8">
            <w:pPr>
              <w:jc w:val="center"/>
              <w:rPr>
                <w:rFonts w:ascii="宋体" w:hAnsi="宋体" w:cs="宋体" w:eastAsiaTheme="minorEastAsia"/>
                <w:color w:val="auto"/>
                <w:kern w:val="2"/>
                <w:sz w:val="20"/>
                <w:szCs w:val="20"/>
                <w:highlight w:val="none"/>
                <w:lang w:val="en-US" w:eastAsia="zh-CN" w:bidi="ar-SA"/>
              </w:rPr>
            </w:pPr>
          </w:p>
        </w:tc>
      </w:tr>
      <w:tr w14:paraId="2AB13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7B5F316B">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6</w:t>
            </w:r>
          </w:p>
        </w:tc>
        <w:tc>
          <w:tcPr>
            <w:tcW w:w="2610" w:type="dxa"/>
            <w:vAlign w:val="center"/>
          </w:tcPr>
          <w:p w14:paraId="68669B5A">
            <w:pP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卫生间门、烘干器（除夏天不开启时间段以外）、纸盒洁净无污渍，使用正常。</w:t>
            </w:r>
          </w:p>
        </w:tc>
        <w:tc>
          <w:tcPr>
            <w:tcW w:w="918" w:type="dxa"/>
            <w:vAlign w:val="center"/>
          </w:tcPr>
          <w:p w14:paraId="4D97136C">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1B48AC4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不达标或失灵，每一项</w:t>
            </w:r>
          </w:p>
        </w:tc>
        <w:tc>
          <w:tcPr>
            <w:tcW w:w="1185" w:type="dxa"/>
            <w:vAlign w:val="center"/>
          </w:tcPr>
          <w:p w14:paraId="1E11E12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w:t>
            </w:r>
            <w:r>
              <w:rPr>
                <w:rFonts w:hint="eastAsia" w:ascii="宋体" w:hAnsi="宋体" w:cs="宋体"/>
                <w:color w:val="auto"/>
                <w:sz w:val="20"/>
                <w:szCs w:val="20"/>
                <w:highlight w:val="none"/>
                <w:lang w:val="en-US" w:eastAsia="zh-CN"/>
              </w:rPr>
              <w:t>项</w:t>
            </w:r>
          </w:p>
        </w:tc>
        <w:tc>
          <w:tcPr>
            <w:tcW w:w="690" w:type="dxa"/>
            <w:vAlign w:val="center"/>
          </w:tcPr>
          <w:p w14:paraId="2408B849">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4DA9CB51">
            <w:pPr>
              <w:jc w:val="center"/>
              <w:rPr>
                <w:rFonts w:ascii="宋体" w:hAnsi="宋体" w:cs="宋体" w:eastAsiaTheme="minorEastAsia"/>
                <w:color w:val="auto"/>
                <w:kern w:val="2"/>
                <w:sz w:val="20"/>
                <w:szCs w:val="20"/>
                <w:highlight w:val="none"/>
                <w:lang w:val="en-US" w:eastAsia="zh-CN" w:bidi="ar-SA"/>
              </w:rPr>
            </w:pPr>
          </w:p>
        </w:tc>
      </w:tr>
      <w:tr w14:paraId="7E51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4CEEB172">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7</w:t>
            </w:r>
          </w:p>
        </w:tc>
        <w:tc>
          <w:tcPr>
            <w:tcW w:w="2610" w:type="dxa"/>
            <w:vAlign w:val="center"/>
          </w:tcPr>
          <w:p w14:paraId="744737D1">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卫生间内洗手液、抽纸配备齐全</w:t>
            </w:r>
            <w:r>
              <w:rPr>
                <w:rFonts w:hint="eastAsia" w:ascii="宋体" w:hAnsi="宋体" w:cs="宋体"/>
                <w:color w:val="auto"/>
                <w:sz w:val="20"/>
                <w:szCs w:val="20"/>
                <w:highlight w:val="none"/>
                <w:lang w:eastAsia="zh-CN"/>
              </w:rPr>
              <w:t>。</w:t>
            </w:r>
          </w:p>
        </w:tc>
        <w:tc>
          <w:tcPr>
            <w:tcW w:w="918" w:type="dxa"/>
            <w:vAlign w:val="center"/>
          </w:tcPr>
          <w:p w14:paraId="3FD6BBFE">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316C06EA">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不及时放置</w:t>
            </w:r>
            <w:r>
              <w:rPr>
                <w:rFonts w:hint="eastAsia" w:ascii="宋体" w:hAnsi="宋体" w:cs="宋体"/>
                <w:color w:val="auto"/>
                <w:sz w:val="20"/>
                <w:szCs w:val="20"/>
                <w:highlight w:val="none"/>
                <w:lang w:eastAsia="zh-CN"/>
              </w:rPr>
              <w:t>。</w:t>
            </w:r>
          </w:p>
        </w:tc>
        <w:tc>
          <w:tcPr>
            <w:tcW w:w="1185" w:type="dxa"/>
            <w:vAlign w:val="center"/>
          </w:tcPr>
          <w:p w14:paraId="5F773EF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66A0BBDD">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54F3CF73">
            <w:pPr>
              <w:jc w:val="center"/>
              <w:rPr>
                <w:rFonts w:ascii="宋体" w:hAnsi="宋体" w:cs="宋体" w:eastAsiaTheme="minorEastAsia"/>
                <w:color w:val="auto"/>
                <w:kern w:val="2"/>
                <w:sz w:val="20"/>
                <w:szCs w:val="20"/>
                <w:highlight w:val="none"/>
                <w:lang w:val="en-US" w:eastAsia="zh-CN" w:bidi="ar-SA"/>
              </w:rPr>
            </w:pPr>
          </w:p>
        </w:tc>
      </w:tr>
      <w:tr w14:paraId="55F9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365794DB">
            <w:pP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三</w:t>
            </w:r>
          </w:p>
        </w:tc>
        <w:tc>
          <w:tcPr>
            <w:tcW w:w="2610" w:type="dxa"/>
            <w:vAlign w:val="center"/>
          </w:tcPr>
          <w:p w14:paraId="503E576D">
            <w:pP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楼层走廊、楼梯扶手地面、墙面的清洁作业标准</w:t>
            </w:r>
          </w:p>
        </w:tc>
        <w:tc>
          <w:tcPr>
            <w:tcW w:w="918" w:type="dxa"/>
            <w:vAlign w:val="center"/>
          </w:tcPr>
          <w:p w14:paraId="2745F5C2">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3</w:t>
            </w:r>
          </w:p>
        </w:tc>
        <w:tc>
          <w:tcPr>
            <w:tcW w:w="2280" w:type="dxa"/>
            <w:vAlign w:val="center"/>
          </w:tcPr>
          <w:p w14:paraId="56407DD1">
            <w:pPr>
              <w:jc w:val="center"/>
              <w:rPr>
                <w:rFonts w:hint="eastAsia" w:ascii="宋体" w:hAnsi="宋体" w:cs="宋体" w:eastAsiaTheme="minorEastAsia"/>
                <w:b/>
                <w:color w:val="auto"/>
                <w:kern w:val="2"/>
                <w:sz w:val="20"/>
                <w:szCs w:val="20"/>
                <w:highlight w:val="none"/>
                <w:lang w:val="en-US" w:eastAsia="zh-CN" w:bidi="ar-SA"/>
              </w:rPr>
            </w:pPr>
          </w:p>
        </w:tc>
        <w:tc>
          <w:tcPr>
            <w:tcW w:w="1185" w:type="dxa"/>
            <w:vAlign w:val="center"/>
          </w:tcPr>
          <w:p w14:paraId="1E53C724">
            <w:pPr>
              <w:jc w:val="center"/>
              <w:rPr>
                <w:rFonts w:hint="eastAsia" w:ascii="宋体" w:hAnsi="宋体" w:cs="宋体" w:eastAsiaTheme="minorEastAsia"/>
                <w:b/>
                <w:color w:val="auto"/>
                <w:kern w:val="2"/>
                <w:sz w:val="20"/>
                <w:szCs w:val="20"/>
                <w:highlight w:val="none"/>
                <w:lang w:val="en-US" w:eastAsia="zh-CN" w:bidi="ar-SA"/>
              </w:rPr>
            </w:pPr>
          </w:p>
        </w:tc>
        <w:tc>
          <w:tcPr>
            <w:tcW w:w="690" w:type="dxa"/>
            <w:vAlign w:val="center"/>
          </w:tcPr>
          <w:p w14:paraId="0ED5E2CD">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227B2C39">
            <w:pPr>
              <w:jc w:val="center"/>
              <w:rPr>
                <w:rFonts w:ascii="宋体" w:hAnsi="宋体" w:cs="宋体" w:eastAsiaTheme="minorEastAsia"/>
                <w:b/>
                <w:color w:val="auto"/>
                <w:kern w:val="2"/>
                <w:sz w:val="20"/>
                <w:szCs w:val="20"/>
                <w:highlight w:val="none"/>
                <w:lang w:val="en-US" w:eastAsia="zh-CN" w:bidi="ar-SA"/>
              </w:rPr>
            </w:pPr>
          </w:p>
        </w:tc>
      </w:tr>
      <w:tr w14:paraId="5AC81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6CB68721">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1</w:t>
            </w:r>
          </w:p>
        </w:tc>
        <w:tc>
          <w:tcPr>
            <w:tcW w:w="2610" w:type="dxa"/>
            <w:vMerge w:val="restart"/>
            <w:vAlign w:val="center"/>
          </w:tcPr>
          <w:p w14:paraId="44E00B6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地面、门窗干净，无污渍；</w:t>
            </w:r>
            <w:r>
              <w:rPr>
                <w:rFonts w:hint="eastAsia" w:ascii="宋体" w:hAnsi="宋体" w:cs="宋体"/>
                <w:color w:val="auto"/>
                <w:sz w:val="20"/>
                <w:szCs w:val="20"/>
                <w:highlight w:val="none"/>
                <w:lang w:eastAsia="zh-CN"/>
              </w:rPr>
              <w:t>保持</w:t>
            </w:r>
            <w:r>
              <w:rPr>
                <w:rFonts w:hint="eastAsia" w:ascii="宋体" w:hAnsi="宋体" w:cs="宋体"/>
                <w:color w:val="auto"/>
                <w:sz w:val="20"/>
                <w:szCs w:val="20"/>
                <w:highlight w:val="none"/>
              </w:rPr>
              <w:t>各楼层走道地面和楼梯台阶干净整洁，清理垃圾筒垃圾及烟头；走道楼梯间</w:t>
            </w:r>
            <w:r>
              <w:rPr>
                <w:rFonts w:hint="eastAsia" w:ascii="宋体" w:hAnsi="宋体" w:cs="宋体"/>
                <w:color w:val="auto"/>
                <w:sz w:val="20"/>
                <w:szCs w:val="20"/>
                <w:highlight w:val="none"/>
                <w:lang w:eastAsia="zh-CN"/>
              </w:rPr>
              <w:t>的</w:t>
            </w:r>
            <w:r>
              <w:rPr>
                <w:rFonts w:hint="eastAsia" w:ascii="宋体" w:hAnsi="宋体" w:cs="宋体"/>
                <w:color w:val="auto"/>
                <w:sz w:val="20"/>
                <w:szCs w:val="20"/>
                <w:highlight w:val="none"/>
              </w:rPr>
              <w:t>墙根、踢脚线保持干净整洁</w:t>
            </w:r>
            <w:r>
              <w:rPr>
                <w:rFonts w:hint="eastAsia" w:ascii="宋体" w:hAnsi="宋体" w:cs="宋体"/>
                <w:color w:val="auto"/>
                <w:sz w:val="20"/>
                <w:szCs w:val="20"/>
                <w:highlight w:val="none"/>
                <w:lang w:eastAsia="zh-CN"/>
              </w:rPr>
              <w:t>、无污渍</w:t>
            </w:r>
            <w:r>
              <w:rPr>
                <w:rFonts w:hint="eastAsia" w:ascii="宋体" w:hAnsi="宋体" w:cs="宋体"/>
                <w:color w:val="auto"/>
                <w:sz w:val="20"/>
                <w:szCs w:val="20"/>
                <w:highlight w:val="none"/>
              </w:rPr>
              <w:t>。</w:t>
            </w:r>
          </w:p>
        </w:tc>
        <w:tc>
          <w:tcPr>
            <w:tcW w:w="918" w:type="dxa"/>
            <w:vMerge w:val="restart"/>
            <w:vAlign w:val="center"/>
          </w:tcPr>
          <w:p w14:paraId="5BD21C61">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090DC9F">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抽查走道地面或楼梯台阶、门窗不干净有污渍</w:t>
            </w:r>
            <w:r>
              <w:rPr>
                <w:rFonts w:hint="eastAsia" w:ascii="宋体" w:hAnsi="宋体" w:cs="宋体"/>
                <w:color w:val="auto"/>
                <w:sz w:val="20"/>
                <w:szCs w:val="20"/>
                <w:highlight w:val="none"/>
                <w:lang w:eastAsia="zh-CN"/>
              </w:rPr>
              <w:t>。</w:t>
            </w:r>
          </w:p>
        </w:tc>
        <w:tc>
          <w:tcPr>
            <w:tcW w:w="1185" w:type="dxa"/>
            <w:vAlign w:val="center"/>
          </w:tcPr>
          <w:p w14:paraId="2B684A4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分/层</w:t>
            </w:r>
          </w:p>
        </w:tc>
        <w:tc>
          <w:tcPr>
            <w:tcW w:w="690" w:type="dxa"/>
            <w:vAlign w:val="center"/>
          </w:tcPr>
          <w:p w14:paraId="40E6D0D7">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3FEC907">
            <w:pPr>
              <w:jc w:val="center"/>
              <w:rPr>
                <w:rFonts w:ascii="宋体" w:hAnsi="宋体" w:cs="宋体" w:eastAsiaTheme="minorEastAsia"/>
                <w:color w:val="auto"/>
                <w:kern w:val="2"/>
                <w:sz w:val="20"/>
                <w:szCs w:val="20"/>
                <w:highlight w:val="none"/>
                <w:lang w:val="en-US" w:eastAsia="zh-CN" w:bidi="ar-SA"/>
              </w:rPr>
            </w:pPr>
          </w:p>
        </w:tc>
      </w:tr>
      <w:tr w14:paraId="207DD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17B24E54">
            <w:pPr>
              <w:jc w:val="center"/>
              <w:rPr>
                <w:rFonts w:ascii="宋体" w:hAnsi="宋体" w:cs="宋体"/>
                <w:color w:val="auto"/>
                <w:sz w:val="20"/>
                <w:szCs w:val="20"/>
                <w:highlight w:val="none"/>
              </w:rPr>
            </w:pPr>
          </w:p>
        </w:tc>
        <w:tc>
          <w:tcPr>
            <w:tcW w:w="2610" w:type="dxa"/>
            <w:vMerge w:val="continue"/>
          </w:tcPr>
          <w:p w14:paraId="4838C0D4">
            <w:pPr>
              <w:rPr>
                <w:rFonts w:ascii="宋体" w:hAnsi="宋体" w:cs="宋体"/>
                <w:color w:val="auto"/>
                <w:sz w:val="20"/>
                <w:szCs w:val="20"/>
                <w:highlight w:val="none"/>
              </w:rPr>
            </w:pPr>
          </w:p>
        </w:tc>
        <w:tc>
          <w:tcPr>
            <w:tcW w:w="918" w:type="dxa"/>
            <w:vMerge w:val="continue"/>
          </w:tcPr>
          <w:p w14:paraId="11A15198">
            <w:pPr>
              <w:jc w:val="center"/>
              <w:rPr>
                <w:rFonts w:hint="eastAsia" w:ascii="宋体" w:hAnsi="宋体" w:eastAsia="宋体" w:cs="宋体"/>
                <w:color w:val="auto"/>
                <w:sz w:val="20"/>
                <w:szCs w:val="20"/>
                <w:highlight w:val="none"/>
                <w:lang w:eastAsia="zh-CN"/>
              </w:rPr>
            </w:pPr>
          </w:p>
        </w:tc>
        <w:tc>
          <w:tcPr>
            <w:tcW w:w="2280" w:type="dxa"/>
            <w:vAlign w:val="center"/>
          </w:tcPr>
          <w:p w14:paraId="2010A0C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走道楼梯间的踢脚线不干净有污渍</w:t>
            </w:r>
            <w:r>
              <w:rPr>
                <w:rFonts w:hint="eastAsia" w:ascii="宋体" w:hAnsi="宋体" w:cs="宋体"/>
                <w:color w:val="auto"/>
                <w:sz w:val="20"/>
                <w:szCs w:val="20"/>
                <w:highlight w:val="none"/>
                <w:lang w:eastAsia="zh-CN"/>
              </w:rPr>
              <w:t>。</w:t>
            </w:r>
          </w:p>
        </w:tc>
        <w:tc>
          <w:tcPr>
            <w:tcW w:w="1185" w:type="dxa"/>
            <w:vAlign w:val="center"/>
          </w:tcPr>
          <w:p w14:paraId="5AB861EB">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分/层</w:t>
            </w:r>
          </w:p>
        </w:tc>
        <w:tc>
          <w:tcPr>
            <w:tcW w:w="690" w:type="dxa"/>
            <w:vAlign w:val="center"/>
          </w:tcPr>
          <w:p w14:paraId="1E3CDA74">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64B33AA">
            <w:pPr>
              <w:jc w:val="center"/>
              <w:rPr>
                <w:rFonts w:ascii="宋体" w:hAnsi="宋体" w:cs="宋体" w:eastAsiaTheme="minorEastAsia"/>
                <w:color w:val="auto"/>
                <w:kern w:val="2"/>
                <w:sz w:val="20"/>
                <w:szCs w:val="20"/>
                <w:highlight w:val="none"/>
                <w:lang w:val="en-US" w:eastAsia="zh-CN" w:bidi="ar-SA"/>
              </w:rPr>
            </w:pPr>
          </w:p>
        </w:tc>
      </w:tr>
      <w:tr w14:paraId="384A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BA9505C">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2</w:t>
            </w:r>
          </w:p>
        </w:tc>
        <w:tc>
          <w:tcPr>
            <w:tcW w:w="2610" w:type="dxa"/>
            <w:vAlign w:val="center"/>
          </w:tcPr>
          <w:p w14:paraId="28A279DE">
            <w:pPr>
              <w:rPr>
                <w:rFonts w:hint="default"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楼梯扶手用清洁抹布</w:t>
            </w:r>
            <w:r>
              <w:rPr>
                <w:rFonts w:hint="eastAsia" w:ascii="宋体" w:hAnsi="宋体" w:cs="宋体"/>
                <w:color w:val="auto"/>
                <w:sz w:val="20"/>
                <w:szCs w:val="20"/>
                <w:highlight w:val="none"/>
                <w:lang w:val="en-US" w:eastAsia="zh-CN"/>
              </w:rPr>
              <w:t>擦拭</w:t>
            </w:r>
            <w:r>
              <w:rPr>
                <w:rFonts w:hint="eastAsia" w:ascii="宋体" w:hAnsi="宋体" w:cs="宋体"/>
                <w:color w:val="auto"/>
                <w:sz w:val="20"/>
                <w:szCs w:val="20"/>
                <w:highlight w:val="none"/>
              </w:rPr>
              <w:t>，</w:t>
            </w:r>
            <w:r>
              <w:rPr>
                <w:rFonts w:hint="eastAsia" w:ascii="宋体" w:hAnsi="宋体" w:cs="宋体"/>
                <w:color w:val="auto"/>
                <w:sz w:val="20"/>
                <w:szCs w:val="20"/>
                <w:highlight w:val="none"/>
                <w:lang w:eastAsia="zh-CN"/>
              </w:rPr>
              <w:t>保持</w:t>
            </w:r>
            <w:r>
              <w:rPr>
                <w:rFonts w:hint="eastAsia" w:ascii="宋体" w:hAnsi="宋体" w:cs="宋体"/>
                <w:color w:val="auto"/>
                <w:sz w:val="20"/>
                <w:szCs w:val="20"/>
                <w:highlight w:val="none"/>
              </w:rPr>
              <w:t>扶手无</w:t>
            </w:r>
            <w:r>
              <w:rPr>
                <w:rFonts w:hint="eastAsia" w:ascii="宋体" w:hAnsi="宋体" w:cs="宋体"/>
                <w:color w:val="auto"/>
                <w:sz w:val="20"/>
                <w:szCs w:val="20"/>
                <w:highlight w:val="none"/>
                <w:lang w:val="en-US" w:eastAsia="zh-CN"/>
              </w:rPr>
              <w:t>积尘</w:t>
            </w:r>
            <w:r>
              <w:rPr>
                <w:rFonts w:hint="eastAsia" w:ascii="宋体" w:hAnsi="宋体" w:cs="宋体"/>
                <w:color w:val="auto"/>
                <w:sz w:val="20"/>
                <w:szCs w:val="20"/>
                <w:highlight w:val="none"/>
                <w:lang w:eastAsia="zh-CN"/>
              </w:rPr>
              <w:t>、无污渍</w:t>
            </w:r>
            <w:r>
              <w:rPr>
                <w:rFonts w:hint="eastAsia" w:ascii="宋体" w:hAnsi="宋体" w:cs="宋体"/>
                <w:color w:val="auto"/>
                <w:sz w:val="20"/>
                <w:szCs w:val="20"/>
                <w:highlight w:val="none"/>
              </w:rPr>
              <w:t>。</w:t>
            </w:r>
          </w:p>
        </w:tc>
        <w:tc>
          <w:tcPr>
            <w:tcW w:w="918" w:type="dxa"/>
            <w:vAlign w:val="center"/>
          </w:tcPr>
          <w:p w14:paraId="18E6C3F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06FB893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每一层。</w:t>
            </w:r>
          </w:p>
        </w:tc>
        <w:tc>
          <w:tcPr>
            <w:tcW w:w="1185" w:type="dxa"/>
            <w:vAlign w:val="center"/>
          </w:tcPr>
          <w:p w14:paraId="78B2C81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分/层</w:t>
            </w:r>
          </w:p>
        </w:tc>
        <w:tc>
          <w:tcPr>
            <w:tcW w:w="690" w:type="dxa"/>
            <w:vAlign w:val="center"/>
          </w:tcPr>
          <w:p w14:paraId="64976801">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3A22803E">
            <w:pPr>
              <w:jc w:val="center"/>
              <w:rPr>
                <w:rFonts w:ascii="宋体" w:hAnsi="宋体" w:cs="宋体" w:eastAsiaTheme="minorEastAsia"/>
                <w:color w:val="auto"/>
                <w:kern w:val="2"/>
                <w:sz w:val="20"/>
                <w:szCs w:val="20"/>
                <w:highlight w:val="none"/>
                <w:lang w:val="en-US" w:eastAsia="zh-CN" w:bidi="ar-SA"/>
              </w:rPr>
            </w:pPr>
          </w:p>
        </w:tc>
      </w:tr>
      <w:tr w14:paraId="37D4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C9E3454">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3</w:t>
            </w:r>
          </w:p>
        </w:tc>
        <w:tc>
          <w:tcPr>
            <w:tcW w:w="2610" w:type="dxa"/>
            <w:vAlign w:val="center"/>
          </w:tcPr>
          <w:p w14:paraId="53FFCD6C">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霉雨天气关上各楼层走廊及楼梯的门窗</w:t>
            </w:r>
            <w:r>
              <w:rPr>
                <w:rFonts w:hint="eastAsia" w:ascii="宋体" w:hAnsi="宋体" w:cs="宋体"/>
                <w:color w:val="auto"/>
                <w:sz w:val="20"/>
                <w:szCs w:val="20"/>
                <w:highlight w:val="none"/>
                <w:lang w:eastAsia="zh-CN"/>
              </w:rPr>
              <w:t>。</w:t>
            </w:r>
          </w:p>
        </w:tc>
        <w:tc>
          <w:tcPr>
            <w:tcW w:w="918" w:type="dxa"/>
            <w:vAlign w:val="center"/>
          </w:tcPr>
          <w:p w14:paraId="6A8DF8DC">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5A71030">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霉雨天气未关门窗</w:t>
            </w:r>
            <w:r>
              <w:rPr>
                <w:rFonts w:hint="eastAsia" w:ascii="宋体" w:hAnsi="宋体" w:cs="宋体"/>
                <w:color w:val="auto"/>
                <w:sz w:val="20"/>
                <w:szCs w:val="20"/>
                <w:highlight w:val="none"/>
                <w:lang w:eastAsia="zh-CN"/>
              </w:rPr>
              <w:t>。</w:t>
            </w:r>
          </w:p>
        </w:tc>
        <w:tc>
          <w:tcPr>
            <w:tcW w:w="1185" w:type="dxa"/>
            <w:vAlign w:val="center"/>
          </w:tcPr>
          <w:p w14:paraId="6E39608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分/层</w:t>
            </w:r>
          </w:p>
        </w:tc>
        <w:tc>
          <w:tcPr>
            <w:tcW w:w="690" w:type="dxa"/>
            <w:vAlign w:val="center"/>
          </w:tcPr>
          <w:p w14:paraId="189575EA">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99437FA">
            <w:pPr>
              <w:jc w:val="center"/>
              <w:rPr>
                <w:rFonts w:ascii="宋体" w:hAnsi="宋体" w:cs="宋体" w:eastAsiaTheme="minorEastAsia"/>
                <w:color w:val="auto"/>
                <w:kern w:val="2"/>
                <w:sz w:val="20"/>
                <w:szCs w:val="20"/>
                <w:highlight w:val="none"/>
                <w:lang w:val="en-US" w:eastAsia="zh-CN" w:bidi="ar-SA"/>
              </w:rPr>
            </w:pPr>
          </w:p>
        </w:tc>
      </w:tr>
      <w:tr w14:paraId="4190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67D8B7B0">
            <w:pPr>
              <w:jc w:val="cente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四</w:t>
            </w:r>
          </w:p>
        </w:tc>
        <w:tc>
          <w:tcPr>
            <w:tcW w:w="2610" w:type="dxa"/>
            <w:vAlign w:val="center"/>
          </w:tcPr>
          <w:p w14:paraId="3C91CCF9">
            <w:pP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大厅的清洁标准</w:t>
            </w:r>
          </w:p>
        </w:tc>
        <w:tc>
          <w:tcPr>
            <w:tcW w:w="918" w:type="dxa"/>
            <w:vAlign w:val="center"/>
          </w:tcPr>
          <w:p w14:paraId="46E019B4">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5</w:t>
            </w:r>
          </w:p>
        </w:tc>
        <w:tc>
          <w:tcPr>
            <w:tcW w:w="2280" w:type="dxa"/>
            <w:vAlign w:val="center"/>
          </w:tcPr>
          <w:p w14:paraId="213FFCEE">
            <w:pPr>
              <w:rPr>
                <w:rFonts w:hint="eastAsia" w:ascii="宋体" w:hAnsi="宋体" w:cs="宋体" w:eastAsiaTheme="minorEastAsia"/>
                <w:b/>
                <w:color w:val="auto"/>
                <w:kern w:val="2"/>
                <w:sz w:val="20"/>
                <w:szCs w:val="20"/>
                <w:highlight w:val="none"/>
                <w:lang w:val="en-US" w:eastAsia="zh-CN" w:bidi="ar-SA"/>
              </w:rPr>
            </w:pPr>
          </w:p>
        </w:tc>
        <w:tc>
          <w:tcPr>
            <w:tcW w:w="1185" w:type="dxa"/>
            <w:vAlign w:val="center"/>
          </w:tcPr>
          <w:p w14:paraId="32AB30A4">
            <w:pPr>
              <w:jc w:val="center"/>
              <w:rPr>
                <w:rFonts w:hint="eastAsia" w:ascii="宋体" w:hAnsi="宋体" w:cs="宋体" w:eastAsiaTheme="minorEastAsia"/>
                <w:b/>
                <w:color w:val="auto"/>
                <w:kern w:val="2"/>
                <w:sz w:val="20"/>
                <w:szCs w:val="20"/>
                <w:highlight w:val="none"/>
                <w:lang w:val="en-US" w:eastAsia="zh-CN" w:bidi="ar-SA"/>
              </w:rPr>
            </w:pPr>
          </w:p>
        </w:tc>
        <w:tc>
          <w:tcPr>
            <w:tcW w:w="690" w:type="dxa"/>
            <w:vAlign w:val="center"/>
          </w:tcPr>
          <w:p w14:paraId="31A7E674">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01AC4D7A">
            <w:pPr>
              <w:jc w:val="center"/>
              <w:rPr>
                <w:rFonts w:ascii="宋体" w:hAnsi="宋体" w:cs="宋体" w:eastAsiaTheme="minorEastAsia"/>
                <w:b/>
                <w:color w:val="auto"/>
                <w:kern w:val="2"/>
                <w:sz w:val="20"/>
                <w:szCs w:val="20"/>
                <w:highlight w:val="none"/>
                <w:lang w:val="en-US" w:eastAsia="zh-CN" w:bidi="ar-SA"/>
              </w:rPr>
            </w:pPr>
          </w:p>
        </w:tc>
      </w:tr>
      <w:tr w14:paraId="1A7E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7E24C058">
            <w:pPr>
              <w:jc w:val="center"/>
              <w:rPr>
                <w:rFonts w:ascii="宋体" w:hAnsi="宋体" w:cs="宋体"/>
                <w:color w:val="auto"/>
                <w:sz w:val="20"/>
                <w:szCs w:val="20"/>
                <w:highlight w:val="none"/>
              </w:rPr>
            </w:pPr>
            <w:r>
              <w:rPr>
                <w:rFonts w:hint="eastAsia" w:ascii="宋体" w:hAnsi="宋体" w:cs="宋体"/>
                <w:color w:val="auto"/>
                <w:sz w:val="20"/>
                <w:szCs w:val="20"/>
                <w:highlight w:val="none"/>
              </w:rPr>
              <w:t>1</w:t>
            </w:r>
          </w:p>
          <w:p w14:paraId="442627C9">
            <w:pPr>
              <w:jc w:val="center"/>
              <w:rPr>
                <w:rFonts w:ascii="宋体" w:hAnsi="宋体" w:cs="宋体" w:eastAsiaTheme="minorEastAsia"/>
                <w:color w:val="auto"/>
                <w:kern w:val="2"/>
                <w:sz w:val="20"/>
                <w:szCs w:val="20"/>
                <w:highlight w:val="none"/>
                <w:lang w:val="en-US" w:eastAsia="zh-CN" w:bidi="ar-SA"/>
              </w:rPr>
            </w:pPr>
          </w:p>
        </w:tc>
        <w:tc>
          <w:tcPr>
            <w:tcW w:w="2610" w:type="dxa"/>
            <w:vAlign w:val="center"/>
          </w:tcPr>
          <w:p w14:paraId="02E254EF">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每</w:t>
            </w:r>
            <w:r>
              <w:rPr>
                <w:rFonts w:hint="eastAsia" w:ascii="宋体" w:hAnsi="宋体" w:cs="宋体"/>
                <w:color w:val="auto"/>
                <w:sz w:val="20"/>
                <w:szCs w:val="20"/>
                <w:highlight w:val="none"/>
                <w:lang w:val="en-US" w:eastAsia="zh-CN"/>
              </w:rPr>
              <w:t>日</w:t>
            </w:r>
            <w:r>
              <w:rPr>
                <w:rFonts w:hint="eastAsia" w:ascii="宋体" w:hAnsi="宋体" w:cs="宋体"/>
                <w:color w:val="auto"/>
                <w:sz w:val="20"/>
                <w:szCs w:val="20"/>
                <w:highlight w:val="none"/>
              </w:rPr>
              <w:t>清理大厅，平时来回不间断保洁。保持地面无烟头、纸屑、果皮等杂物，地面、墙面、天花板无明显污渍。</w:t>
            </w:r>
          </w:p>
        </w:tc>
        <w:tc>
          <w:tcPr>
            <w:tcW w:w="918" w:type="dxa"/>
            <w:vAlign w:val="center"/>
          </w:tcPr>
          <w:p w14:paraId="1CBD0E09">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37604317">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地面有烟头、纸屑、果皮等杂物，大理石地面、墙面、天花板有蜘蛛网及明显污渍，每一项</w:t>
            </w:r>
            <w:r>
              <w:rPr>
                <w:rFonts w:hint="eastAsia" w:ascii="宋体" w:hAnsi="宋体" w:cs="宋体"/>
                <w:color w:val="auto"/>
                <w:sz w:val="20"/>
                <w:szCs w:val="20"/>
                <w:highlight w:val="none"/>
                <w:lang w:eastAsia="zh-CN"/>
              </w:rPr>
              <w:t>。</w:t>
            </w:r>
          </w:p>
        </w:tc>
        <w:tc>
          <w:tcPr>
            <w:tcW w:w="1185" w:type="dxa"/>
            <w:vAlign w:val="center"/>
          </w:tcPr>
          <w:p w14:paraId="517AC04D">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分/处次</w:t>
            </w:r>
          </w:p>
          <w:p w14:paraId="3C0E286D">
            <w:pPr>
              <w:jc w:val="center"/>
              <w:rPr>
                <w:rFonts w:hint="eastAsia" w:ascii="宋体" w:hAnsi="宋体" w:cs="宋体" w:eastAsiaTheme="minorEastAsia"/>
                <w:color w:val="auto"/>
                <w:kern w:val="2"/>
                <w:sz w:val="20"/>
                <w:szCs w:val="20"/>
                <w:highlight w:val="none"/>
                <w:lang w:val="en-US" w:eastAsia="zh-CN" w:bidi="ar-SA"/>
              </w:rPr>
            </w:pPr>
          </w:p>
        </w:tc>
        <w:tc>
          <w:tcPr>
            <w:tcW w:w="690" w:type="dxa"/>
            <w:vAlign w:val="center"/>
          </w:tcPr>
          <w:p w14:paraId="1756491C">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B21D18E">
            <w:pPr>
              <w:jc w:val="center"/>
              <w:rPr>
                <w:rFonts w:ascii="宋体" w:hAnsi="宋体" w:cs="宋体" w:eastAsiaTheme="minorEastAsia"/>
                <w:color w:val="auto"/>
                <w:kern w:val="2"/>
                <w:sz w:val="20"/>
                <w:szCs w:val="20"/>
                <w:highlight w:val="none"/>
                <w:lang w:val="en-US" w:eastAsia="zh-CN" w:bidi="ar-SA"/>
              </w:rPr>
            </w:pPr>
          </w:p>
        </w:tc>
      </w:tr>
      <w:tr w14:paraId="26D0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648EF3F0">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2</w:t>
            </w:r>
          </w:p>
        </w:tc>
        <w:tc>
          <w:tcPr>
            <w:tcW w:w="2610" w:type="dxa"/>
            <w:vAlign w:val="center"/>
          </w:tcPr>
          <w:p w14:paraId="0CA4C134">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消防栓柜、指示牌、窗台、内墙面公共设施表面无</w:t>
            </w:r>
            <w:r>
              <w:rPr>
                <w:rFonts w:hint="eastAsia" w:ascii="宋体" w:hAnsi="宋体" w:cs="宋体"/>
                <w:color w:val="auto"/>
                <w:sz w:val="20"/>
                <w:szCs w:val="20"/>
                <w:highlight w:val="none"/>
                <w:lang w:val="en-US" w:eastAsia="zh-CN"/>
              </w:rPr>
              <w:t>积尘。</w:t>
            </w:r>
          </w:p>
        </w:tc>
        <w:tc>
          <w:tcPr>
            <w:tcW w:w="918" w:type="dxa"/>
            <w:vAlign w:val="center"/>
          </w:tcPr>
          <w:p w14:paraId="69642C7D">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10E52F05">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6D78EC5E">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分/个次</w:t>
            </w:r>
          </w:p>
        </w:tc>
        <w:tc>
          <w:tcPr>
            <w:tcW w:w="690" w:type="dxa"/>
            <w:vAlign w:val="center"/>
          </w:tcPr>
          <w:p w14:paraId="1491396D">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2E1FC160">
            <w:pPr>
              <w:jc w:val="center"/>
              <w:rPr>
                <w:rFonts w:ascii="宋体" w:hAnsi="宋体" w:cs="宋体" w:eastAsiaTheme="minorEastAsia"/>
                <w:color w:val="auto"/>
                <w:kern w:val="2"/>
                <w:sz w:val="20"/>
                <w:szCs w:val="20"/>
                <w:highlight w:val="none"/>
                <w:lang w:val="en-US" w:eastAsia="zh-CN" w:bidi="ar-SA"/>
              </w:rPr>
            </w:pPr>
          </w:p>
        </w:tc>
      </w:tr>
      <w:tr w14:paraId="56130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63CAEB1A">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3</w:t>
            </w:r>
          </w:p>
        </w:tc>
        <w:tc>
          <w:tcPr>
            <w:tcW w:w="2610" w:type="dxa"/>
            <w:vAlign w:val="center"/>
          </w:tcPr>
          <w:p w14:paraId="7D25FF50">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使</w:t>
            </w:r>
            <w:r>
              <w:rPr>
                <w:rFonts w:hint="eastAsia" w:ascii="宋体" w:hAnsi="宋体" w:cs="宋体"/>
                <w:color w:val="auto"/>
                <w:sz w:val="20"/>
                <w:szCs w:val="20"/>
                <w:highlight w:val="none"/>
              </w:rPr>
              <w:t>用干净毛巾擦拭玻璃门</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rPr>
              <w:t>不锈钢门框，</w:t>
            </w:r>
            <w:r>
              <w:rPr>
                <w:rFonts w:hint="eastAsia" w:ascii="宋体" w:hAnsi="宋体" w:cs="宋体"/>
                <w:color w:val="auto"/>
                <w:sz w:val="20"/>
                <w:szCs w:val="20"/>
                <w:highlight w:val="none"/>
                <w:lang w:val="en-US" w:eastAsia="zh-CN"/>
              </w:rPr>
              <w:t>每季度使</w:t>
            </w:r>
            <w:r>
              <w:rPr>
                <w:rFonts w:hint="eastAsia" w:ascii="宋体" w:hAnsi="宋体" w:cs="宋体"/>
                <w:color w:val="auto"/>
                <w:sz w:val="20"/>
                <w:szCs w:val="20"/>
                <w:highlight w:val="none"/>
              </w:rPr>
              <w:t>用玻璃水清洁玻璃门、玻璃幕墙及支架。</w:t>
            </w:r>
          </w:p>
        </w:tc>
        <w:tc>
          <w:tcPr>
            <w:tcW w:w="918" w:type="dxa"/>
            <w:vAlign w:val="center"/>
          </w:tcPr>
          <w:p w14:paraId="4DB02714">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31D3FFF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7CE02C80">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063F7004">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D7D098D">
            <w:pPr>
              <w:jc w:val="center"/>
              <w:rPr>
                <w:rFonts w:ascii="宋体" w:hAnsi="宋体" w:cs="宋体" w:eastAsiaTheme="minorEastAsia"/>
                <w:color w:val="auto"/>
                <w:kern w:val="2"/>
                <w:sz w:val="20"/>
                <w:szCs w:val="20"/>
                <w:highlight w:val="none"/>
                <w:lang w:val="en-US" w:eastAsia="zh-CN" w:bidi="ar-SA"/>
              </w:rPr>
            </w:pPr>
          </w:p>
        </w:tc>
      </w:tr>
      <w:tr w14:paraId="27416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6372C22">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4</w:t>
            </w:r>
          </w:p>
        </w:tc>
        <w:tc>
          <w:tcPr>
            <w:tcW w:w="2610" w:type="dxa"/>
            <w:vAlign w:val="center"/>
          </w:tcPr>
          <w:p w14:paraId="04E0BAD4">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雨天在调度大楼大厅进出口处放置“伞袋机”、“小心防滑”提示牌及防滑地垫，并增加拖擦地面的次数。</w:t>
            </w:r>
          </w:p>
        </w:tc>
        <w:tc>
          <w:tcPr>
            <w:tcW w:w="918" w:type="dxa"/>
            <w:vAlign w:val="center"/>
          </w:tcPr>
          <w:p w14:paraId="556B73D8">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2122B6B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未按要求做</w:t>
            </w:r>
            <w:r>
              <w:rPr>
                <w:rFonts w:hint="eastAsia" w:ascii="宋体" w:hAnsi="宋体" w:cs="宋体"/>
                <w:color w:val="auto"/>
                <w:sz w:val="20"/>
                <w:szCs w:val="20"/>
                <w:highlight w:val="none"/>
                <w:lang w:eastAsia="zh-CN"/>
              </w:rPr>
              <w:t>。</w:t>
            </w:r>
          </w:p>
        </w:tc>
        <w:tc>
          <w:tcPr>
            <w:tcW w:w="1185" w:type="dxa"/>
            <w:vAlign w:val="center"/>
          </w:tcPr>
          <w:p w14:paraId="387F4F7E">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分/项次</w:t>
            </w:r>
          </w:p>
        </w:tc>
        <w:tc>
          <w:tcPr>
            <w:tcW w:w="690" w:type="dxa"/>
            <w:vAlign w:val="center"/>
          </w:tcPr>
          <w:p w14:paraId="1C70551E">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3B695994">
            <w:pPr>
              <w:jc w:val="center"/>
              <w:rPr>
                <w:rFonts w:ascii="宋体" w:hAnsi="宋体" w:cs="宋体" w:eastAsiaTheme="minorEastAsia"/>
                <w:color w:val="auto"/>
                <w:kern w:val="2"/>
                <w:sz w:val="20"/>
                <w:szCs w:val="20"/>
                <w:highlight w:val="none"/>
                <w:lang w:val="en-US" w:eastAsia="zh-CN" w:bidi="ar-SA"/>
              </w:rPr>
            </w:pPr>
          </w:p>
        </w:tc>
      </w:tr>
      <w:tr w14:paraId="0887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0CBD277">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5</w:t>
            </w:r>
          </w:p>
        </w:tc>
        <w:tc>
          <w:tcPr>
            <w:tcW w:w="2610" w:type="dxa"/>
            <w:vAlign w:val="center"/>
          </w:tcPr>
          <w:p w14:paraId="39525CEF">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天棚目视无污渍；发现蜘蛛网及时处理。</w:t>
            </w:r>
          </w:p>
        </w:tc>
        <w:tc>
          <w:tcPr>
            <w:tcW w:w="918" w:type="dxa"/>
            <w:vAlign w:val="center"/>
          </w:tcPr>
          <w:p w14:paraId="4B9AD38D">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3EFC1E21">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2E48940B">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38CC9D36">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2E77A77">
            <w:pPr>
              <w:jc w:val="center"/>
              <w:rPr>
                <w:rFonts w:ascii="宋体" w:hAnsi="宋体" w:cs="宋体" w:eastAsiaTheme="minorEastAsia"/>
                <w:color w:val="auto"/>
                <w:kern w:val="2"/>
                <w:sz w:val="20"/>
                <w:szCs w:val="20"/>
                <w:highlight w:val="none"/>
                <w:lang w:val="en-US" w:eastAsia="zh-CN" w:bidi="ar-SA"/>
              </w:rPr>
            </w:pPr>
          </w:p>
        </w:tc>
      </w:tr>
      <w:tr w14:paraId="32C48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453889DF">
            <w:pPr>
              <w:jc w:val="center"/>
              <w:rPr>
                <w:rFonts w:ascii="宋体" w:hAnsi="宋体" w:cs="宋体" w:eastAsiaTheme="minorEastAsia"/>
                <w:b/>
                <w:bCs w:val="0"/>
                <w:color w:val="auto"/>
                <w:kern w:val="2"/>
                <w:sz w:val="20"/>
                <w:szCs w:val="20"/>
                <w:highlight w:val="none"/>
                <w:lang w:val="en-US" w:eastAsia="zh-CN" w:bidi="ar-SA"/>
              </w:rPr>
            </w:pPr>
            <w:r>
              <w:rPr>
                <w:rFonts w:hint="eastAsia" w:ascii="宋体" w:hAnsi="宋体" w:cs="宋体"/>
                <w:b/>
                <w:bCs w:val="0"/>
                <w:color w:val="auto"/>
                <w:sz w:val="20"/>
                <w:szCs w:val="20"/>
                <w:highlight w:val="none"/>
              </w:rPr>
              <w:t>五</w:t>
            </w:r>
          </w:p>
        </w:tc>
        <w:tc>
          <w:tcPr>
            <w:tcW w:w="2610" w:type="dxa"/>
            <w:vAlign w:val="center"/>
          </w:tcPr>
          <w:p w14:paraId="77D2B5E1">
            <w:pPr>
              <w:rPr>
                <w:rFonts w:hint="eastAsia" w:ascii="宋体" w:hAnsi="宋体" w:cs="宋体" w:eastAsiaTheme="minorEastAsia"/>
                <w:b/>
                <w:bCs w:val="0"/>
                <w:color w:val="auto"/>
                <w:kern w:val="2"/>
                <w:sz w:val="20"/>
                <w:szCs w:val="20"/>
                <w:highlight w:val="none"/>
                <w:lang w:val="en-US" w:eastAsia="zh-CN" w:bidi="ar-SA"/>
              </w:rPr>
            </w:pPr>
            <w:r>
              <w:rPr>
                <w:rFonts w:hint="eastAsia" w:ascii="宋体" w:hAnsi="宋体" w:cs="宋体"/>
                <w:b/>
                <w:bCs w:val="0"/>
                <w:color w:val="auto"/>
                <w:sz w:val="20"/>
                <w:szCs w:val="20"/>
                <w:highlight w:val="none"/>
              </w:rPr>
              <w:t>室外清洁标准</w:t>
            </w:r>
          </w:p>
        </w:tc>
        <w:tc>
          <w:tcPr>
            <w:tcW w:w="918" w:type="dxa"/>
            <w:vAlign w:val="center"/>
          </w:tcPr>
          <w:p w14:paraId="5D0F2C8A">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2</w:t>
            </w:r>
          </w:p>
        </w:tc>
        <w:tc>
          <w:tcPr>
            <w:tcW w:w="2280" w:type="dxa"/>
            <w:vAlign w:val="center"/>
          </w:tcPr>
          <w:p w14:paraId="4EC221FF">
            <w:pPr>
              <w:rPr>
                <w:rFonts w:hint="eastAsia" w:ascii="宋体" w:hAnsi="宋体" w:cs="宋体" w:eastAsiaTheme="minorEastAsia"/>
                <w:b/>
                <w:color w:val="auto"/>
                <w:kern w:val="2"/>
                <w:sz w:val="20"/>
                <w:szCs w:val="20"/>
                <w:highlight w:val="none"/>
                <w:lang w:val="en-US" w:eastAsia="zh-CN" w:bidi="ar-SA"/>
              </w:rPr>
            </w:pPr>
          </w:p>
        </w:tc>
        <w:tc>
          <w:tcPr>
            <w:tcW w:w="1185" w:type="dxa"/>
            <w:vAlign w:val="center"/>
          </w:tcPr>
          <w:p w14:paraId="2886BCAA">
            <w:pPr>
              <w:jc w:val="center"/>
              <w:rPr>
                <w:rFonts w:hint="eastAsia" w:ascii="宋体" w:hAnsi="宋体" w:cs="宋体" w:eastAsiaTheme="minorEastAsia"/>
                <w:b/>
                <w:color w:val="auto"/>
                <w:kern w:val="2"/>
                <w:sz w:val="20"/>
                <w:szCs w:val="20"/>
                <w:highlight w:val="none"/>
                <w:lang w:val="en-US" w:eastAsia="zh-CN" w:bidi="ar-SA"/>
              </w:rPr>
            </w:pPr>
          </w:p>
        </w:tc>
        <w:tc>
          <w:tcPr>
            <w:tcW w:w="690" w:type="dxa"/>
            <w:vAlign w:val="center"/>
          </w:tcPr>
          <w:p w14:paraId="2EFE9013">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2028F227">
            <w:pPr>
              <w:rPr>
                <w:rFonts w:ascii="宋体" w:hAnsi="宋体" w:cs="宋体" w:eastAsiaTheme="minorEastAsia"/>
                <w:b/>
                <w:color w:val="auto"/>
                <w:kern w:val="2"/>
                <w:sz w:val="20"/>
                <w:szCs w:val="20"/>
                <w:highlight w:val="none"/>
                <w:lang w:val="en-US" w:eastAsia="zh-CN" w:bidi="ar-SA"/>
              </w:rPr>
            </w:pPr>
          </w:p>
        </w:tc>
      </w:tr>
      <w:tr w14:paraId="63E7B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4C4404DC">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1</w:t>
            </w:r>
          </w:p>
        </w:tc>
        <w:tc>
          <w:tcPr>
            <w:tcW w:w="2610" w:type="dxa"/>
            <w:vAlign w:val="center"/>
          </w:tcPr>
          <w:p w14:paraId="3C7207CB">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工作时间内，目视范围内，地面无烟头、污渍、积水、纸屑、果皮。</w:t>
            </w:r>
          </w:p>
        </w:tc>
        <w:tc>
          <w:tcPr>
            <w:tcW w:w="918" w:type="dxa"/>
            <w:vAlign w:val="center"/>
          </w:tcPr>
          <w:p w14:paraId="783B5FAB">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1B2F1CD1">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地面有杂物、积水，有明显污渍、杂物</w:t>
            </w:r>
            <w:r>
              <w:rPr>
                <w:rFonts w:hint="eastAsia" w:ascii="宋体" w:hAnsi="宋体" w:cs="宋体"/>
                <w:color w:val="auto"/>
                <w:sz w:val="20"/>
                <w:szCs w:val="20"/>
                <w:highlight w:val="none"/>
                <w:lang w:eastAsia="zh-CN"/>
              </w:rPr>
              <w:t>。</w:t>
            </w:r>
          </w:p>
        </w:tc>
        <w:tc>
          <w:tcPr>
            <w:tcW w:w="1185" w:type="dxa"/>
            <w:vAlign w:val="center"/>
          </w:tcPr>
          <w:p w14:paraId="789F058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-0.1分/项次</w:t>
            </w:r>
          </w:p>
        </w:tc>
        <w:tc>
          <w:tcPr>
            <w:tcW w:w="690" w:type="dxa"/>
            <w:vAlign w:val="center"/>
          </w:tcPr>
          <w:p w14:paraId="7AC8D698">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7070BFB8">
            <w:pPr>
              <w:jc w:val="center"/>
              <w:rPr>
                <w:rFonts w:ascii="宋体" w:hAnsi="宋体" w:cs="宋体" w:eastAsiaTheme="minorEastAsia"/>
                <w:color w:val="auto"/>
                <w:kern w:val="2"/>
                <w:sz w:val="20"/>
                <w:szCs w:val="20"/>
                <w:highlight w:val="none"/>
                <w:lang w:val="en-US" w:eastAsia="zh-CN" w:bidi="ar-SA"/>
              </w:rPr>
            </w:pPr>
          </w:p>
        </w:tc>
      </w:tr>
      <w:tr w14:paraId="6375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43E480D6">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2</w:t>
            </w:r>
          </w:p>
        </w:tc>
        <w:tc>
          <w:tcPr>
            <w:tcW w:w="2610" w:type="dxa"/>
            <w:vAlign w:val="center"/>
          </w:tcPr>
          <w:p w14:paraId="169F459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每</w:t>
            </w:r>
            <w:r>
              <w:rPr>
                <w:rFonts w:hint="eastAsia" w:ascii="宋体" w:hAnsi="宋体" w:cs="宋体"/>
                <w:color w:val="auto"/>
                <w:sz w:val="20"/>
                <w:szCs w:val="20"/>
                <w:highlight w:val="none"/>
                <w:lang w:val="en-US" w:eastAsia="zh-CN"/>
              </w:rPr>
              <w:t>日</w:t>
            </w:r>
            <w:r>
              <w:rPr>
                <w:rFonts w:hint="eastAsia" w:ascii="宋体" w:hAnsi="宋体" w:cs="宋体"/>
                <w:color w:val="auto"/>
                <w:sz w:val="20"/>
                <w:szCs w:val="20"/>
                <w:highlight w:val="none"/>
              </w:rPr>
              <w:t>对路面、绿地进行清扫，清除地面果皮、纸屑、树叶和烟头等杂物。</w:t>
            </w:r>
          </w:p>
        </w:tc>
        <w:tc>
          <w:tcPr>
            <w:tcW w:w="918" w:type="dxa"/>
            <w:vAlign w:val="center"/>
          </w:tcPr>
          <w:p w14:paraId="03B50070">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16D78363">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不清扫，检查不达标，每一项</w:t>
            </w:r>
            <w:r>
              <w:rPr>
                <w:rFonts w:hint="eastAsia" w:ascii="宋体" w:hAnsi="宋体" w:cs="宋体"/>
                <w:color w:val="auto"/>
                <w:sz w:val="20"/>
                <w:szCs w:val="20"/>
                <w:highlight w:val="none"/>
                <w:lang w:eastAsia="zh-CN"/>
              </w:rPr>
              <w:t>。</w:t>
            </w:r>
          </w:p>
        </w:tc>
        <w:tc>
          <w:tcPr>
            <w:tcW w:w="1185" w:type="dxa"/>
            <w:vAlign w:val="center"/>
          </w:tcPr>
          <w:p w14:paraId="6E8B2FC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70EDDF07">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77E63DE">
            <w:pPr>
              <w:jc w:val="center"/>
              <w:rPr>
                <w:rFonts w:ascii="宋体" w:hAnsi="宋体" w:cs="宋体" w:eastAsiaTheme="minorEastAsia"/>
                <w:color w:val="auto"/>
                <w:kern w:val="2"/>
                <w:sz w:val="20"/>
                <w:szCs w:val="20"/>
                <w:highlight w:val="none"/>
                <w:lang w:val="en-US" w:eastAsia="zh-CN" w:bidi="ar-SA"/>
              </w:rPr>
            </w:pPr>
          </w:p>
        </w:tc>
      </w:tr>
      <w:tr w14:paraId="7C5ED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4BC71203">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3</w:t>
            </w:r>
          </w:p>
        </w:tc>
        <w:tc>
          <w:tcPr>
            <w:tcW w:w="2610" w:type="dxa"/>
            <w:vAlign w:val="center"/>
          </w:tcPr>
          <w:p w14:paraId="4600878C">
            <w:pPr>
              <w:rPr>
                <w:rFonts w:hint="eastAsia" w:ascii="宋体" w:hAnsi="宋体" w:cs="宋体" w:eastAsiaTheme="minorEastAsia"/>
                <w:color w:val="auto"/>
                <w:kern w:val="2"/>
                <w:sz w:val="20"/>
                <w:szCs w:val="20"/>
                <w:highlight w:val="none"/>
                <w:lang w:val="en-US" w:eastAsia="zh-CN" w:bidi="ar-SA"/>
              </w:rPr>
            </w:pPr>
            <w:r>
              <w:rPr>
                <w:rFonts w:hint="eastAsia" w:ascii="宋体" w:hAnsi="宋体"/>
                <w:color w:val="auto"/>
                <w:sz w:val="20"/>
                <w:szCs w:val="20"/>
                <w:highlight w:val="none"/>
              </w:rPr>
              <w:t>公共设施无毁损，表面洁净无污迹；</w:t>
            </w:r>
          </w:p>
        </w:tc>
        <w:tc>
          <w:tcPr>
            <w:tcW w:w="918" w:type="dxa"/>
            <w:vAlign w:val="center"/>
          </w:tcPr>
          <w:p w14:paraId="63EAE50F">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41EAAE0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292F127D">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1F2DE67D">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89FD5D0">
            <w:pPr>
              <w:jc w:val="center"/>
              <w:rPr>
                <w:rFonts w:ascii="宋体" w:hAnsi="宋体" w:cs="宋体" w:eastAsiaTheme="minorEastAsia"/>
                <w:color w:val="auto"/>
                <w:kern w:val="2"/>
                <w:sz w:val="20"/>
                <w:szCs w:val="20"/>
                <w:highlight w:val="none"/>
                <w:lang w:val="en-US" w:eastAsia="zh-CN" w:bidi="ar-SA"/>
              </w:rPr>
            </w:pPr>
          </w:p>
        </w:tc>
      </w:tr>
      <w:tr w14:paraId="3855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072BE4D5">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4</w:t>
            </w:r>
          </w:p>
        </w:tc>
        <w:tc>
          <w:tcPr>
            <w:tcW w:w="2610" w:type="dxa"/>
            <w:vAlign w:val="center"/>
          </w:tcPr>
          <w:p w14:paraId="5EDB0858">
            <w:pP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垃圾桶外表无明显污渍，无垃圾粘附物。无</w:t>
            </w:r>
            <w:r>
              <w:rPr>
                <w:rFonts w:hint="eastAsia" w:ascii="宋体" w:hAnsi="宋体" w:cs="宋体"/>
                <w:color w:val="auto"/>
                <w:sz w:val="20"/>
                <w:szCs w:val="20"/>
                <w:highlight w:val="none"/>
                <w:lang w:val="en-US" w:eastAsia="zh-CN"/>
              </w:rPr>
              <w:t>损毁</w:t>
            </w:r>
            <w:r>
              <w:rPr>
                <w:rFonts w:hint="eastAsia" w:ascii="宋体" w:hAnsi="宋体" w:cs="宋体"/>
                <w:color w:val="auto"/>
                <w:sz w:val="20"/>
                <w:szCs w:val="20"/>
                <w:highlight w:val="none"/>
              </w:rPr>
              <w:t>或丢失。</w:t>
            </w:r>
          </w:p>
        </w:tc>
        <w:tc>
          <w:tcPr>
            <w:tcW w:w="918" w:type="dxa"/>
            <w:vAlign w:val="center"/>
          </w:tcPr>
          <w:p w14:paraId="156C505A">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6F0CC87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垃圾桶外表有明显污渍，有垃圾粘附物。有</w:t>
            </w:r>
            <w:r>
              <w:rPr>
                <w:rFonts w:hint="eastAsia" w:ascii="宋体" w:hAnsi="宋体" w:cs="宋体"/>
                <w:color w:val="auto"/>
                <w:sz w:val="20"/>
                <w:szCs w:val="20"/>
                <w:highlight w:val="none"/>
                <w:lang w:val="en-US" w:eastAsia="zh-CN"/>
              </w:rPr>
              <w:t>损毁</w:t>
            </w:r>
            <w:r>
              <w:rPr>
                <w:rFonts w:hint="eastAsia" w:ascii="宋体" w:hAnsi="宋体" w:cs="宋体"/>
                <w:color w:val="auto"/>
                <w:sz w:val="20"/>
                <w:szCs w:val="20"/>
                <w:highlight w:val="none"/>
              </w:rPr>
              <w:t>或丢失。</w:t>
            </w:r>
          </w:p>
        </w:tc>
        <w:tc>
          <w:tcPr>
            <w:tcW w:w="1185" w:type="dxa"/>
            <w:vAlign w:val="center"/>
          </w:tcPr>
          <w:p w14:paraId="51E90D78">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-0.1分/个次</w:t>
            </w:r>
          </w:p>
        </w:tc>
        <w:tc>
          <w:tcPr>
            <w:tcW w:w="690" w:type="dxa"/>
            <w:vAlign w:val="center"/>
          </w:tcPr>
          <w:p w14:paraId="35380A94">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5FC75D9A">
            <w:pPr>
              <w:jc w:val="center"/>
              <w:rPr>
                <w:rFonts w:ascii="宋体" w:hAnsi="宋体" w:cs="宋体" w:eastAsiaTheme="minorEastAsia"/>
                <w:color w:val="auto"/>
                <w:kern w:val="2"/>
                <w:sz w:val="20"/>
                <w:szCs w:val="20"/>
                <w:highlight w:val="none"/>
                <w:lang w:val="en-US" w:eastAsia="zh-CN" w:bidi="ar-SA"/>
              </w:rPr>
            </w:pPr>
          </w:p>
        </w:tc>
      </w:tr>
      <w:tr w14:paraId="3295A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912E8A8">
            <w:pPr>
              <w:jc w:val="cente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六</w:t>
            </w:r>
          </w:p>
        </w:tc>
        <w:tc>
          <w:tcPr>
            <w:tcW w:w="2610" w:type="dxa"/>
            <w:vAlign w:val="center"/>
          </w:tcPr>
          <w:p w14:paraId="3C57B05B">
            <w:pP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会议室清洁标准</w:t>
            </w:r>
          </w:p>
        </w:tc>
        <w:tc>
          <w:tcPr>
            <w:tcW w:w="918" w:type="dxa"/>
            <w:vAlign w:val="center"/>
          </w:tcPr>
          <w:p w14:paraId="1380EEEF">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2</w:t>
            </w:r>
          </w:p>
        </w:tc>
        <w:tc>
          <w:tcPr>
            <w:tcW w:w="2280" w:type="dxa"/>
            <w:vAlign w:val="center"/>
          </w:tcPr>
          <w:p w14:paraId="4F0309A4">
            <w:pPr>
              <w:rPr>
                <w:rFonts w:hint="eastAsia" w:ascii="宋体" w:hAnsi="宋体" w:cs="宋体" w:eastAsiaTheme="minorEastAsia"/>
                <w:b/>
                <w:color w:val="auto"/>
                <w:kern w:val="2"/>
                <w:sz w:val="20"/>
                <w:szCs w:val="20"/>
                <w:highlight w:val="none"/>
                <w:lang w:val="en-US" w:eastAsia="zh-CN" w:bidi="ar-SA"/>
              </w:rPr>
            </w:pPr>
          </w:p>
        </w:tc>
        <w:tc>
          <w:tcPr>
            <w:tcW w:w="1185" w:type="dxa"/>
            <w:vAlign w:val="center"/>
          </w:tcPr>
          <w:p w14:paraId="3327D222">
            <w:pPr>
              <w:jc w:val="center"/>
              <w:rPr>
                <w:rFonts w:hint="eastAsia" w:ascii="宋体" w:hAnsi="宋体" w:cs="宋体" w:eastAsiaTheme="minorEastAsia"/>
                <w:b/>
                <w:color w:val="auto"/>
                <w:kern w:val="2"/>
                <w:sz w:val="20"/>
                <w:szCs w:val="20"/>
                <w:highlight w:val="none"/>
                <w:lang w:val="en-US" w:eastAsia="zh-CN" w:bidi="ar-SA"/>
              </w:rPr>
            </w:pPr>
          </w:p>
        </w:tc>
        <w:tc>
          <w:tcPr>
            <w:tcW w:w="690" w:type="dxa"/>
            <w:vAlign w:val="center"/>
          </w:tcPr>
          <w:p w14:paraId="6D823AC3">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3C861992">
            <w:pPr>
              <w:rPr>
                <w:rFonts w:ascii="宋体" w:hAnsi="宋体" w:cs="宋体" w:eastAsiaTheme="minorEastAsia"/>
                <w:b/>
                <w:color w:val="auto"/>
                <w:kern w:val="2"/>
                <w:sz w:val="20"/>
                <w:szCs w:val="20"/>
                <w:highlight w:val="none"/>
                <w:lang w:val="en-US" w:eastAsia="zh-CN" w:bidi="ar-SA"/>
              </w:rPr>
            </w:pPr>
          </w:p>
        </w:tc>
      </w:tr>
      <w:tr w14:paraId="32845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33A331D0">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1</w:t>
            </w:r>
          </w:p>
        </w:tc>
        <w:tc>
          <w:tcPr>
            <w:tcW w:w="2610" w:type="dxa"/>
            <w:vAlign w:val="center"/>
          </w:tcPr>
          <w:p w14:paraId="617C8499">
            <w:pP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负责</w:t>
            </w:r>
            <w:r>
              <w:rPr>
                <w:rFonts w:hint="eastAsia" w:ascii="宋体" w:hAnsi="宋体" w:eastAsia="宋体" w:cs="宋体"/>
                <w:color w:val="auto"/>
                <w:sz w:val="20"/>
                <w:szCs w:val="20"/>
                <w:highlight w:val="none"/>
                <w:lang w:val="en-US" w:eastAsia="zh-CN"/>
              </w:rPr>
              <w:t>清扫整理大会议室</w:t>
            </w:r>
            <w:r>
              <w:rPr>
                <w:rFonts w:hint="eastAsia" w:ascii="宋体" w:hAnsi="宋体" w:cs="宋体"/>
                <w:color w:val="auto"/>
                <w:sz w:val="20"/>
                <w:szCs w:val="20"/>
                <w:highlight w:val="none"/>
                <w:lang w:val="en-US" w:eastAsia="zh-CN"/>
              </w:rPr>
              <w:t>、</w:t>
            </w:r>
            <w:r>
              <w:rPr>
                <w:rFonts w:hint="eastAsia" w:ascii="宋体" w:hAnsi="宋体" w:eastAsia="宋体" w:cs="宋体"/>
                <w:color w:val="auto"/>
                <w:sz w:val="20"/>
                <w:szCs w:val="20"/>
                <w:highlight w:val="none"/>
                <w:lang w:val="en-US" w:eastAsia="zh-CN"/>
              </w:rPr>
              <w:t>其他会议室，</w:t>
            </w:r>
            <w:r>
              <w:rPr>
                <w:rFonts w:hint="eastAsia" w:ascii="宋体" w:hAnsi="宋体" w:cs="宋体"/>
                <w:color w:val="auto"/>
                <w:sz w:val="20"/>
                <w:szCs w:val="20"/>
                <w:highlight w:val="none"/>
                <w:lang w:val="en-US" w:eastAsia="zh-CN"/>
              </w:rPr>
              <w:t>在会前、会后及时清扫</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rPr>
              <w:t>保持地面、沙发整洁、无污渍；桌椅、门窗、天花板、灯具等无蜘蛛网，无污渍</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rPr>
              <w:t xml:space="preserve">会后及时清洁。 </w:t>
            </w:r>
          </w:p>
        </w:tc>
        <w:tc>
          <w:tcPr>
            <w:tcW w:w="918" w:type="dxa"/>
            <w:vAlign w:val="center"/>
          </w:tcPr>
          <w:p w14:paraId="4737C2F4">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B5249B9">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检查不达标，每一项</w:t>
            </w:r>
            <w:r>
              <w:rPr>
                <w:rFonts w:hint="eastAsia" w:ascii="宋体" w:hAnsi="宋体" w:cs="宋体"/>
                <w:color w:val="auto"/>
                <w:sz w:val="20"/>
                <w:szCs w:val="20"/>
                <w:highlight w:val="none"/>
                <w:lang w:eastAsia="zh-CN"/>
              </w:rPr>
              <w:t>。</w:t>
            </w:r>
          </w:p>
        </w:tc>
        <w:tc>
          <w:tcPr>
            <w:tcW w:w="1185" w:type="dxa"/>
            <w:vAlign w:val="center"/>
          </w:tcPr>
          <w:p w14:paraId="2937A66E">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分/间</w:t>
            </w:r>
          </w:p>
        </w:tc>
        <w:tc>
          <w:tcPr>
            <w:tcW w:w="690" w:type="dxa"/>
            <w:vAlign w:val="center"/>
          </w:tcPr>
          <w:p w14:paraId="1768394E">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7F004B6">
            <w:pPr>
              <w:jc w:val="center"/>
              <w:rPr>
                <w:rFonts w:ascii="宋体" w:hAnsi="宋体" w:cs="宋体" w:eastAsiaTheme="minorEastAsia"/>
                <w:color w:val="auto"/>
                <w:kern w:val="2"/>
                <w:sz w:val="20"/>
                <w:szCs w:val="20"/>
                <w:highlight w:val="none"/>
                <w:lang w:val="en-US" w:eastAsia="zh-CN" w:bidi="ar-SA"/>
              </w:rPr>
            </w:pPr>
          </w:p>
        </w:tc>
      </w:tr>
      <w:tr w14:paraId="6975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6D5953C">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2</w:t>
            </w:r>
          </w:p>
        </w:tc>
        <w:tc>
          <w:tcPr>
            <w:tcW w:w="2610" w:type="dxa"/>
            <w:vAlign w:val="center"/>
          </w:tcPr>
          <w:p w14:paraId="0CA1E154">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桌椅摆放整齐，沙发转椅靠背保持良好状态，饰物无</w:t>
            </w:r>
            <w:r>
              <w:rPr>
                <w:rFonts w:hint="eastAsia" w:ascii="宋体" w:hAnsi="宋体" w:cs="宋体"/>
                <w:color w:val="auto"/>
                <w:sz w:val="20"/>
                <w:szCs w:val="20"/>
                <w:highlight w:val="none"/>
                <w:lang w:val="en-US" w:eastAsia="zh-CN"/>
              </w:rPr>
              <w:t>积尘</w:t>
            </w:r>
            <w:r>
              <w:rPr>
                <w:rFonts w:hint="eastAsia" w:ascii="宋体" w:hAnsi="宋体" w:cs="宋体"/>
                <w:color w:val="auto"/>
                <w:sz w:val="20"/>
                <w:szCs w:val="20"/>
                <w:highlight w:val="none"/>
              </w:rPr>
              <w:t>，发现污渍，及时处理好</w:t>
            </w:r>
            <w:r>
              <w:rPr>
                <w:rFonts w:hint="eastAsia" w:ascii="宋体" w:hAnsi="宋体" w:cs="宋体"/>
                <w:color w:val="auto"/>
                <w:sz w:val="20"/>
                <w:szCs w:val="20"/>
                <w:highlight w:val="none"/>
                <w:lang w:eastAsia="zh-CN"/>
              </w:rPr>
              <w:t>。</w:t>
            </w:r>
          </w:p>
        </w:tc>
        <w:tc>
          <w:tcPr>
            <w:tcW w:w="918" w:type="dxa"/>
            <w:vAlign w:val="center"/>
          </w:tcPr>
          <w:p w14:paraId="25B3919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48976528">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检查不达标，每一项</w:t>
            </w:r>
            <w:r>
              <w:rPr>
                <w:rFonts w:hint="eastAsia" w:ascii="宋体" w:hAnsi="宋体" w:cs="宋体"/>
                <w:color w:val="auto"/>
                <w:sz w:val="20"/>
                <w:szCs w:val="20"/>
                <w:highlight w:val="none"/>
                <w:lang w:eastAsia="zh-CN"/>
              </w:rPr>
              <w:t>。</w:t>
            </w:r>
          </w:p>
        </w:tc>
        <w:tc>
          <w:tcPr>
            <w:tcW w:w="1185" w:type="dxa"/>
            <w:vAlign w:val="center"/>
          </w:tcPr>
          <w:p w14:paraId="0EA736B0">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分/间</w:t>
            </w:r>
          </w:p>
        </w:tc>
        <w:tc>
          <w:tcPr>
            <w:tcW w:w="690" w:type="dxa"/>
            <w:vAlign w:val="center"/>
          </w:tcPr>
          <w:p w14:paraId="7A5F6ABF">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2A8E1629">
            <w:pPr>
              <w:jc w:val="center"/>
              <w:rPr>
                <w:rFonts w:ascii="宋体" w:hAnsi="宋体" w:cs="宋体" w:eastAsiaTheme="minorEastAsia"/>
                <w:color w:val="auto"/>
                <w:kern w:val="2"/>
                <w:sz w:val="20"/>
                <w:szCs w:val="20"/>
                <w:highlight w:val="none"/>
                <w:lang w:val="en-US" w:eastAsia="zh-CN" w:bidi="ar-SA"/>
              </w:rPr>
            </w:pPr>
          </w:p>
        </w:tc>
      </w:tr>
      <w:tr w14:paraId="3D07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3213091">
            <w:pPr>
              <w:jc w:val="cente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七</w:t>
            </w:r>
          </w:p>
        </w:tc>
        <w:tc>
          <w:tcPr>
            <w:tcW w:w="2610" w:type="dxa"/>
            <w:vAlign w:val="center"/>
          </w:tcPr>
          <w:p w14:paraId="0CC0FB88">
            <w:pP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办公室清洁标准</w:t>
            </w:r>
          </w:p>
        </w:tc>
        <w:tc>
          <w:tcPr>
            <w:tcW w:w="918" w:type="dxa"/>
            <w:vAlign w:val="center"/>
          </w:tcPr>
          <w:p w14:paraId="1ED011C8">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3.5</w:t>
            </w:r>
          </w:p>
        </w:tc>
        <w:tc>
          <w:tcPr>
            <w:tcW w:w="2280" w:type="dxa"/>
            <w:vAlign w:val="center"/>
          </w:tcPr>
          <w:p w14:paraId="482A7F95">
            <w:pPr>
              <w:rPr>
                <w:rFonts w:hint="eastAsia" w:ascii="宋体" w:hAnsi="宋体" w:cs="宋体" w:eastAsiaTheme="minorEastAsia"/>
                <w:b/>
                <w:color w:val="auto"/>
                <w:kern w:val="2"/>
                <w:sz w:val="20"/>
                <w:szCs w:val="20"/>
                <w:highlight w:val="none"/>
                <w:lang w:val="en-US" w:eastAsia="zh-CN" w:bidi="ar-SA"/>
              </w:rPr>
            </w:pPr>
          </w:p>
        </w:tc>
        <w:tc>
          <w:tcPr>
            <w:tcW w:w="1185" w:type="dxa"/>
            <w:vAlign w:val="center"/>
          </w:tcPr>
          <w:p w14:paraId="500232C1">
            <w:pPr>
              <w:jc w:val="center"/>
              <w:rPr>
                <w:rFonts w:hint="eastAsia" w:ascii="宋体" w:hAnsi="宋体" w:cs="宋体" w:eastAsiaTheme="minorEastAsia"/>
                <w:b/>
                <w:color w:val="auto"/>
                <w:kern w:val="2"/>
                <w:sz w:val="20"/>
                <w:szCs w:val="20"/>
                <w:highlight w:val="none"/>
                <w:lang w:val="en-US" w:eastAsia="zh-CN" w:bidi="ar-SA"/>
              </w:rPr>
            </w:pPr>
          </w:p>
        </w:tc>
        <w:tc>
          <w:tcPr>
            <w:tcW w:w="690" w:type="dxa"/>
            <w:vAlign w:val="center"/>
          </w:tcPr>
          <w:p w14:paraId="5D18DC8E">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77CCCDA2">
            <w:pPr>
              <w:rPr>
                <w:rFonts w:ascii="宋体" w:hAnsi="宋体" w:cs="宋体" w:eastAsiaTheme="minorEastAsia"/>
                <w:b/>
                <w:color w:val="auto"/>
                <w:kern w:val="2"/>
                <w:sz w:val="20"/>
                <w:szCs w:val="20"/>
                <w:highlight w:val="none"/>
                <w:lang w:val="en-US" w:eastAsia="zh-CN" w:bidi="ar-SA"/>
              </w:rPr>
            </w:pPr>
          </w:p>
        </w:tc>
      </w:tr>
      <w:tr w14:paraId="7FCB6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7DEF1D77">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1</w:t>
            </w:r>
          </w:p>
        </w:tc>
        <w:tc>
          <w:tcPr>
            <w:tcW w:w="2610" w:type="dxa"/>
            <w:vAlign w:val="center"/>
          </w:tcPr>
          <w:p w14:paraId="68CC2C72">
            <w:pP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日常办公室清扫保洁次数：领导办公室2次/日；部门领导办公室1次/日；员工办公室不少于2次/周</w:t>
            </w:r>
            <w:r>
              <w:rPr>
                <w:rFonts w:hint="eastAsia" w:ascii="宋体" w:hAnsi="宋体" w:cs="宋体"/>
                <w:color w:val="auto"/>
                <w:sz w:val="20"/>
                <w:szCs w:val="20"/>
                <w:highlight w:val="none"/>
              </w:rPr>
              <w:t>。由于特殊原因需要临时保洁时，电话通知后</w:t>
            </w:r>
            <w:r>
              <w:rPr>
                <w:rFonts w:hint="eastAsia" w:ascii="宋体" w:hAnsi="宋体" w:cs="宋体"/>
                <w:color w:val="auto"/>
                <w:sz w:val="20"/>
                <w:szCs w:val="20"/>
                <w:highlight w:val="none"/>
                <w:lang w:val="en-US" w:eastAsia="zh-CN"/>
              </w:rPr>
              <w:t>1小时</w:t>
            </w:r>
            <w:r>
              <w:rPr>
                <w:rFonts w:hint="eastAsia" w:ascii="宋体" w:hAnsi="宋体" w:cs="宋体"/>
                <w:color w:val="auto"/>
                <w:sz w:val="20"/>
                <w:szCs w:val="20"/>
                <w:highlight w:val="none"/>
              </w:rPr>
              <w:t>内处理。</w:t>
            </w:r>
            <w:r>
              <w:rPr>
                <w:rFonts w:hint="eastAsia" w:ascii="宋体" w:hAnsi="宋体" w:cs="宋体"/>
                <w:color w:val="FF0000"/>
                <w:sz w:val="20"/>
                <w:szCs w:val="20"/>
                <w:highlight w:val="yellow"/>
                <w:lang w:eastAsia="zh-CN"/>
              </w:rPr>
              <w:t>（</w:t>
            </w:r>
            <w:r>
              <w:rPr>
                <w:rFonts w:hint="eastAsia" w:ascii="宋体" w:hAnsi="宋体" w:cs="宋体"/>
                <w:color w:val="FF0000"/>
                <w:sz w:val="20"/>
                <w:szCs w:val="20"/>
                <w:highlight w:val="yellow"/>
                <w:lang w:val="en-US" w:eastAsia="zh-CN"/>
              </w:rPr>
              <w:t>公司本部、新电力本部在合同中另行约定</w:t>
            </w:r>
            <w:r>
              <w:rPr>
                <w:rFonts w:hint="eastAsia" w:ascii="宋体" w:hAnsi="宋体" w:cs="宋体"/>
                <w:color w:val="FF0000"/>
                <w:sz w:val="20"/>
                <w:szCs w:val="20"/>
                <w:highlight w:val="yellow"/>
                <w:lang w:eastAsia="zh-CN"/>
              </w:rPr>
              <w:t>）</w:t>
            </w:r>
          </w:p>
        </w:tc>
        <w:tc>
          <w:tcPr>
            <w:tcW w:w="918" w:type="dxa"/>
            <w:vAlign w:val="center"/>
          </w:tcPr>
          <w:p w14:paraId="3E1B086E">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7393010C">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w:t>
            </w:r>
            <w:r>
              <w:rPr>
                <w:rFonts w:hint="eastAsia" w:ascii="宋体" w:hAnsi="宋体" w:cs="宋体"/>
                <w:color w:val="auto"/>
                <w:sz w:val="20"/>
                <w:szCs w:val="20"/>
                <w:highlight w:val="none"/>
                <w:lang w:val="en-US" w:eastAsia="zh-CN"/>
              </w:rPr>
              <w:t>次</w:t>
            </w:r>
            <w:r>
              <w:rPr>
                <w:rFonts w:hint="eastAsia" w:ascii="宋体" w:hAnsi="宋体" w:cs="宋体"/>
                <w:color w:val="auto"/>
                <w:sz w:val="20"/>
                <w:szCs w:val="20"/>
                <w:highlight w:val="none"/>
                <w:lang w:eastAsia="zh-CN"/>
              </w:rPr>
              <w:t>。</w:t>
            </w:r>
          </w:p>
        </w:tc>
        <w:tc>
          <w:tcPr>
            <w:tcW w:w="1185" w:type="dxa"/>
            <w:vAlign w:val="center"/>
          </w:tcPr>
          <w:p w14:paraId="01627D61">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vAlign w:val="center"/>
          </w:tcPr>
          <w:p w14:paraId="361EFA88">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718EE6A">
            <w:pPr>
              <w:jc w:val="center"/>
              <w:rPr>
                <w:rFonts w:ascii="宋体" w:hAnsi="宋体" w:cs="宋体" w:eastAsiaTheme="minorEastAsia"/>
                <w:color w:val="auto"/>
                <w:kern w:val="2"/>
                <w:sz w:val="20"/>
                <w:szCs w:val="20"/>
                <w:highlight w:val="none"/>
                <w:lang w:val="en-US" w:eastAsia="zh-CN" w:bidi="ar-SA"/>
              </w:rPr>
            </w:pPr>
          </w:p>
        </w:tc>
      </w:tr>
      <w:tr w14:paraId="2DAD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77F025C">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2</w:t>
            </w:r>
          </w:p>
        </w:tc>
        <w:tc>
          <w:tcPr>
            <w:tcW w:w="2610" w:type="dxa"/>
            <w:vAlign w:val="center"/>
          </w:tcPr>
          <w:p w14:paraId="55CDECEB">
            <w:pP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搞好地面、室内地毯吸尘</w:t>
            </w:r>
            <w:r>
              <w:rPr>
                <w:rFonts w:hint="eastAsia" w:ascii="宋体" w:hAnsi="宋体" w:cs="宋体"/>
                <w:color w:val="auto"/>
                <w:sz w:val="20"/>
                <w:szCs w:val="20"/>
                <w:highlight w:val="none"/>
                <w:lang w:val="en-US" w:eastAsia="zh-CN"/>
              </w:rPr>
              <w:t>、</w:t>
            </w:r>
            <w:r>
              <w:rPr>
                <w:rFonts w:hint="eastAsia" w:ascii="宋体" w:hAnsi="宋体" w:cs="宋体"/>
                <w:color w:val="auto"/>
                <w:sz w:val="20"/>
                <w:szCs w:val="20"/>
                <w:highlight w:val="none"/>
              </w:rPr>
              <w:t>墙面、桌椅、柜子、灯具、电脑等办公设备及办公家具清洁，保持整洁、无污渍；墙角、天花板无蜘蛛网，及时清理废纸篓内的废纸。</w:t>
            </w:r>
          </w:p>
        </w:tc>
        <w:tc>
          <w:tcPr>
            <w:tcW w:w="918" w:type="dxa"/>
            <w:vAlign w:val="center"/>
          </w:tcPr>
          <w:p w14:paraId="74154D14">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5BC1CE62">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未按规定做，或检查不达标，每一项</w:t>
            </w:r>
            <w:r>
              <w:rPr>
                <w:rFonts w:hint="eastAsia" w:ascii="宋体" w:hAnsi="宋体" w:cs="宋体"/>
                <w:color w:val="auto"/>
                <w:sz w:val="20"/>
                <w:szCs w:val="20"/>
                <w:highlight w:val="none"/>
                <w:lang w:eastAsia="zh-CN"/>
              </w:rPr>
              <w:t>。</w:t>
            </w:r>
          </w:p>
        </w:tc>
        <w:tc>
          <w:tcPr>
            <w:tcW w:w="1185" w:type="dxa"/>
            <w:vAlign w:val="center"/>
          </w:tcPr>
          <w:p w14:paraId="61FE8E8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分/项</w:t>
            </w:r>
          </w:p>
        </w:tc>
        <w:tc>
          <w:tcPr>
            <w:tcW w:w="690" w:type="dxa"/>
            <w:vAlign w:val="center"/>
          </w:tcPr>
          <w:p w14:paraId="2AA3C3E2">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935C5E5">
            <w:pPr>
              <w:jc w:val="center"/>
              <w:rPr>
                <w:rFonts w:ascii="宋体" w:hAnsi="宋体" w:cs="宋体" w:eastAsiaTheme="minorEastAsia"/>
                <w:color w:val="auto"/>
                <w:kern w:val="2"/>
                <w:sz w:val="20"/>
                <w:szCs w:val="20"/>
                <w:highlight w:val="none"/>
                <w:lang w:val="en-US" w:eastAsia="zh-CN" w:bidi="ar-SA"/>
              </w:rPr>
            </w:pPr>
          </w:p>
        </w:tc>
      </w:tr>
      <w:tr w14:paraId="2E85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49827A1B">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3</w:t>
            </w:r>
          </w:p>
        </w:tc>
        <w:tc>
          <w:tcPr>
            <w:tcW w:w="2610" w:type="dxa"/>
            <w:vAlign w:val="center"/>
          </w:tcPr>
          <w:p w14:paraId="3782ACC7">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办公室木门或防盗门</w:t>
            </w:r>
            <w:r>
              <w:rPr>
                <w:rFonts w:hint="eastAsia" w:ascii="宋体" w:hAnsi="宋体" w:cs="宋体"/>
                <w:color w:val="auto"/>
                <w:sz w:val="20"/>
                <w:szCs w:val="20"/>
                <w:highlight w:val="none"/>
                <w:lang w:val="en-US" w:eastAsia="zh-CN"/>
              </w:rPr>
              <w:t>每周擦拭1次</w:t>
            </w:r>
            <w:r>
              <w:rPr>
                <w:rFonts w:hint="eastAsia" w:ascii="宋体" w:hAnsi="宋体" w:cs="宋体"/>
                <w:color w:val="auto"/>
                <w:sz w:val="20"/>
                <w:szCs w:val="20"/>
                <w:highlight w:val="none"/>
                <w:lang w:eastAsia="zh-CN"/>
              </w:rPr>
              <w:t>。</w:t>
            </w:r>
          </w:p>
        </w:tc>
        <w:tc>
          <w:tcPr>
            <w:tcW w:w="918" w:type="dxa"/>
            <w:vAlign w:val="center"/>
          </w:tcPr>
          <w:p w14:paraId="69D798F1">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19B25BEB">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521EFF1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分/项</w:t>
            </w:r>
          </w:p>
        </w:tc>
        <w:tc>
          <w:tcPr>
            <w:tcW w:w="690" w:type="dxa"/>
            <w:vAlign w:val="center"/>
          </w:tcPr>
          <w:p w14:paraId="452673E6">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564352EC">
            <w:pPr>
              <w:jc w:val="center"/>
              <w:rPr>
                <w:rFonts w:ascii="宋体" w:hAnsi="宋体" w:cs="宋体" w:eastAsiaTheme="minorEastAsia"/>
                <w:color w:val="auto"/>
                <w:kern w:val="2"/>
                <w:sz w:val="20"/>
                <w:szCs w:val="20"/>
                <w:highlight w:val="none"/>
                <w:lang w:val="en-US" w:eastAsia="zh-CN" w:bidi="ar-SA"/>
              </w:rPr>
            </w:pPr>
          </w:p>
        </w:tc>
      </w:tr>
      <w:tr w14:paraId="7B768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6D831502">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4</w:t>
            </w:r>
          </w:p>
        </w:tc>
        <w:tc>
          <w:tcPr>
            <w:tcW w:w="2610" w:type="dxa"/>
            <w:vAlign w:val="center"/>
          </w:tcPr>
          <w:p w14:paraId="64165929">
            <w:pPr>
              <w:rPr>
                <w:rFonts w:ascii="宋体" w:hAnsi="宋体" w:cs="宋体" w:eastAsiaTheme="minorEastAsia"/>
                <w:color w:val="auto"/>
                <w:kern w:val="2"/>
                <w:sz w:val="20"/>
                <w:szCs w:val="20"/>
                <w:highlight w:val="none"/>
                <w:lang w:val="en-US" w:eastAsia="zh-CN" w:bidi="ar-SA"/>
              </w:rPr>
            </w:pPr>
            <w:r>
              <w:rPr>
                <w:rFonts w:hint="eastAsia" w:ascii="宋体" w:hAnsi="宋体" w:cs="宋体"/>
                <w:color w:val="FF0000"/>
                <w:sz w:val="20"/>
                <w:szCs w:val="20"/>
                <w:highlight w:val="none"/>
                <w:lang w:val="en-US" w:eastAsia="zh-CN"/>
              </w:rPr>
              <w:t>根据采购方要求按合同中灭四害项目进行四害消杀。</w:t>
            </w:r>
          </w:p>
        </w:tc>
        <w:tc>
          <w:tcPr>
            <w:tcW w:w="918" w:type="dxa"/>
            <w:vAlign w:val="center"/>
          </w:tcPr>
          <w:p w14:paraId="2DA165BD">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34EBE4B">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未按规定做，或检查不达标，每一</w:t>
            </w:r>
            <w:r>
              <w:rPr>
                <w:rFonts w:hint="eastAsia" w:ascii="宋体" w:hAnsi="宋体" w:cs="宋体"/>
                <w:color w:val="auto"/>
                <w:sz w:val="20"/>
                <w:szCs w:val="20"/>
                <w:highlight w:val="none"/>
                <w:lang w:val="en-US" w:eastAsia="zh-CN"/>
              </w:rPr>
              <w:t>次</w:t>
            </w:r>
            <w:r>
              <w:rPr>
                <w:rFonts w:hint="eastAsia" w:ascii="宋体" w:hAnsi="宋体" w:cs="宋体"/>
                <w:color w:val="auto"/>
                <w:sz w:val="20"/>
                <w:szCs w:val="20"/>
                <w:highlight w:val="none"/>
                <w:lang w:eastAsia="zh-CN"/>
              </w:rPr>
              <w:t>。</w:t>
            </w:r>
          </w:p>
        </w:tc>
        <w:tc>
          <w:tcPr>
            <w:tcW w:w="1185" w:type="dxa"/>
            <w:vAlign w:val="center"/>
          </w:tcPr>
          <w:p w14:paraId="331351BE">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vAlign w:val="center"/>
          </w:tcPr>
          <w:p w14:paraId="5EF9425B">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6554333">
            <w:pPr>
              <w:jc w:val="center"/>
              <w:rPr>
                <w:rFonts w:ascii="宋体" w:hAnsi="宋体" w:cs="宋体" w:eastAsiaTheme="minorEastAsia"/>
                <w:color w:val="auto"/>
                <w:kern w:val="2"/>
                <w:sz w:val="20"/>
                <w:szCs w:val="20"/>
                <w:highlight w:val="none"/>
                <w:lang w:val="en-US" w:eastAsia="zh-CN" w:bidi="ar-SA"/>
              </w:rPr>
            </w:pPr>
          </w:p>
        </w:tc>
      </w:tr>
      <w:tr w14:paraId="5A13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260DE00">
            <w:pPr>
              <w:jc w:val="cente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八</w:t>
            </w:r>
          </w:p>
        </w:tc>
        <w:tc>
          <w:tcPr>
            <w:tcW w:w="2610" w:type="dxa"/>
            <w:vAlign w:val="center"/>
          </w:tcPr>
          <w:p w14:paraId="391DC19C">
            <w:pPr>
              <w:rPr>
                <w:rFonts w:ascii="宋体" w:hAnsi="宋体" w:cs="宋体" w:eastAsiaTheme="minorEastAsia"/>
                <w:b/>
                <w:color w:val="auto"/>
                <w:kern w:val="2"/>
                <w:sz w:val="20"/>
                <w:szCs w:val="20"/>
                <w:highlight w:val="none"/>
                <w:lang w:val="en-US" w:eastAsia="zh-CN" w:bidi="ar-SA"/>
              </w:rPr>
            </w:pPr>
            <w:r>
              <w:rPr>
                <w:rFonts w:hint="eastAsia" w:ascii="宋体" w:hAnsi="宋体" w:cs="宋体"/>
                <w:b/>
                <w:color w:val="auto"/>
                <w:sz w:val="20"/>
                <w:szCs w:val="20"/>
                <w:highlight w:val="none"/>
              </w:rPr>
              <w:t>防火门清洁标准</w:t>
            </w:r>
          </w:p>
        </w:tc>
        <w:tc>
          <w:tcPr>
            <w:tcW w:w="918" w:type="dxa"/>
            <w:vAlign w:val="center"/>
          </w:tcPr>
          <w:p w14:paraId="47E14930">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1</w:t>
            </w:r>
          </w:p>
        </w:tc>
        <w:tc>
          <w:tcPr>
            <w:tcW w:w="2280" w:type="dxa"/>
            <w:vAlign w:val="center"/>
          </w:tcPr>
          <w:p w14:paraId="273FB7B4">
            <w:pPr>
              <w:rPr>
                <w:rFonts w:hint="eastAsia" w:ascii="宋体" w:hAnsi="宋体" w:cs="宋体" w:eastAsiaTheme="minorEastAsia"/>
                <w:b/>
                <w:color w:val="auto"/>
                <w:kern w:val="2"/>
                <w:sz w:val="20"/>
                <w:szCs w:val="20"/>
                <w:highlight w:val="none"/>
                <w:lang w:val="en-US" w:eastAsia="zh-CN" w:bidi="ar-SA"/>
              </w:rPr>
            </w:pPr>
          </w:p>
        </w:tc>
        <w:tc>
          <w:tcPr>
            <w:tcW w:w="1185" w:type="dxa"/>
            <w:vAlign w:val="center"/>
          </w:tcPr>
          <w:p w14:paraId="14BB4F6B">
            <w:pPr>
              <w:jc w:val="center"/>
              <w:rPr>
                <w:rFonts w:hint="eastAsia" w:ascii="宋体" w:hAnsi="宋体" w:cs="宋体" w:eastAsiaTheme="minorEastAsia"/>
                <w:b/>
                <w:color w:val="auto"/>
                <w:kern w:val="2"/>
                <w:sz w:val="20"/>
                <w:szCs w:val="20"/>
                <w:highlight w:val="none"/>
                <w:lang w:val="en-US" w:eastAsia="zh-CN" w:bidi="ar-SA"/>
              </w:rPr>
            </w:pPr>
          </w:p>
        </w:tc>
        <w:tc>
          <w:tcPr>
            <w:tcW w:w="690" w:type="dxa"/>
            <w:vAlign w:val="center"/>
          </w:tcPr>
          <w:p w14:paraId="1F1744B3">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035635D5">
            <w:pPr>
              <w:jc w:val="center"/>
              <w:rPr>
                <w:rFonts w:ascii="宋体" w:hAnsi="宋体" w:cs="宋体" w:eastAsiaTheme="minorEastAsia"/>
                <w:b/>
                <w:color w:val="auto"/>
                <w:kern w:val="2"/>
                <w:sz w:val="20"/>
                <w:szCs w:val="20"/>
                <w:highlight w:val="none"/>
                <w:lang w:val="en-US" w:eastAsia="zh-CN" w:bidi="ar-SA"/>
              </w:rPr>
            </w:pPr>
          </w:p>
        </w:tc>
      </w:tr>
      <w:tr w14:paraId="12C32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6B3CF058">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1</w:t>
            </w:r>
          </w:p>
        </w:tc>
        <w:tc>
          <w:tcPr>
            <w:tcW w:w="2610" w:type="dxa"/>
            <w:vAlign w:val="center"/>
          </w:tcPr>
          <w:p w14:paraId="1746BEB5">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防火门无</w:t>
            </w:r>
            <w:r>
              <w:rPr>
                <w:rFonts w:hint="eastAsia" w:ascii="宋体" w:hAnsi="宋体" w:cs="宋体"/>
                <w:color w:val="auto"/>
                <w:sz w:val="20"/>
                <w:szCs w:val="20"/>
                <w:highlight w:val="none"/>
                <w:lang w:val="en-US" w:eastAsia="zh-CN"/>
              </w:rPr>
              <w:t>积尘</w:t>
            </w:r>
            <w:r>
              <w:rPr>
                <w:rFonts w:hint="eastAsia" w:ascii="宋体" w:hAnsi="宋体" w:cs="宋体"/>
                <w:color w:val="auto"/>
                <w:sz w:val="20"/>
                <w:szCs w:val="20"/>
                <w:highlight w:val="none"/>
              </w:rPr>
              <w:t>、无明显污渍</w:t>
            </w:r>
            <w:r>
              <w:rPr>
                <w:rFonts w:hint="eastAsia" w:ascii="宋体" w:hAnsi="宋体" w:cs="宋体"/>
                <w:color w:val="auto"/>
                <w:sz w:val="20"/>
                <w:szCs w:val="20"/>
                <w:highlight w:val="none"/>
                <w:lang w:val="en-US" w:eastAsia="zh-CN"/>
              </w:rPr>
              <w:t>。</w:t>
            </w:r>
          </w:p>
        </w:tc>
        <w:tc>
          <w:tcPr>
            <w:tcW w:w="918" w:type="dxa"/>
            <w:vAlign w:val="center"/>
          </w:tcPr>
          <w:p w14:paraId="650FD7DD">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6C5EBFF7">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39BCF9D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328181F5">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73611E8">
            <w:pPr>
              <w:jc w:val="center"/>
              <w:rPr>
                <w:rFonts w:ascii="宋体" w:hAnsi="宋体" w:cs="宋体" w:eastAsiaTheme="minorEastAsia"/>
                <w:color w:val="auto"/>
                <w:kern w:val="2"/>
                <w:sz w:val="20"/>
                <w:szCs w:val="20"/>
                <w:highlight w:val="none"/>
                <w:lang w:val="en-US" w:eastAsia="zh-CN" w:bidi="ar-SA"/>
              </w:rPr>
            </w:pPr>
          </w:p>
        </w:tc>
      </w:tr>
      <w:tr w14:paraId="5AFD7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39551BE3">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2</w:t>
            </w:r>
          </w:p>
        </w:tc>
        <w:tc>
          <w:tcPr>
            <w:tcW w:w="2610" w:type="dxa"/>
            <w:vAlign w:val="center"/>
          </w:tcPr>
          <w:p w14:paraId="31DFB774">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每天</w:t>
            </w:r>
            <w:r>
              <w:rPr>
                <w:rFonts w:hint="eastAsia" w:ascii="宋体" w:hAnsi="宋体" w:cs="宋体"/>
                <w:color w:val="auto"/>
                <w:sz w:val="20"/>
                <w:szCs w:val="20"/>
                <w:highlight w:val="none"/>
              </w:rPr>
              <w:t>巡回检查，发现消防栓箱有污渍及</w:t>
            </w:r>
            <w:r>
              <w:rPr>
                <w:rFonts w:hint="eastAsia" w:ascii="宋体" w:hAnsi="宋体" w:cs="宋体"/>
                <w:color w:val="auto"/>
                <w:sz w:val="20"/>
                <w:szCs w:val="20"/>
                <w:highlight w:val="none"/>
                <w:lang w:val="en-US" w:eastAsia="zh-CN"/>
              </w:rPr>
              <w:t>积尘</w:t>
            </w:r>
            <w:r>
              <w:rPr>
                <w:rFonts w:hint="eastAsia" w:ascii="宋体" w:hAnsi="宋体" w:cs="宋体"/>
                <w:color w:val="auto"/>
                <w:sz w:val="20"/>
                <w:szCs w:val="20"/>
                <w:highlight w:val="none"/>
              </w:rPr>
              <w:t>，须</w:t>
            </w:r>
            <w:r>
              <w:rPr>
                <w:rFonts w:hint="eastAsia" w:ascii="宋体" w:hAnsi="宋体" w:cs="宋体"/>
                <w:color w:val="auto"/>
                <w:sz w:val="20"/>
                <w:szCs w:val="20"/>
                <w:highlight w:val="none"/>
                <w:lang w:val="en-US" w:eastAsia="zh-CN"/>
              </w:rPr>
              <w:t>及时</w:t>
            </w:r>
            <w:r>
              <w:rPr>
                <w:rFonts w:hint="eastAsia" w:ascii="宋体" w:hAnsi="宋体" w:cs="宋体"/>
                <w:color w:val="auto"/>
                <w:sz w:val="20"/>
                <w:szCs w:val="20"/>
                <w:highlight w:val="none"/>
              </w:rPr>
              <w:t>清理干净。</w:t>
            </w:r>
          </w:p>
        </w:tc>
        <w:tc>
          <w:tcPr>
            <w:tcW w:w="918" w:type="dxa"/>
            <w:vAlign w:val="center"/>
          </w:tcPr>
          <w:p w14:paraId="66401EB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02D12FDB">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142BADA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14AC1DE9">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24711CF">
            <w:pPr>
              <w:jc w:val="center"/>
              <w:rPr>
                <w:rFonts w:ascii="宋体" w:hAnsi="宋体" w:cs="宋体" w:eastAsiaTheme="minorEastAsia"/>
                <w:color w:val="auto"/>
                <w:kern w:val="2"/>
                <w:sz w:val="20"/>
                <w:szCs w:val="20"/>
                <w:highlight w:val="none"/>
                <w:lang w:val="en-US" w:eastAsia="zh-CN" w:bidi="ar-SA"/>
              </w:rPr>
            </w:pPr>
          </w:p>
        </w:tc>
      </w:tr>
      <w:tr w14:paraId="3C12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36807FED">
            <w:pPr>
              <w:jc w:val="center"/>
              <w:rPr>
                <w:rFonts w:ascii="宋体" w:hAnsi="宋体" w:cs="宋体" w:eastAsiaTheme="minorEastAsia"/>
                <w:b/>
                <w:bCs w:val="0"/>
                <w:color w:val="auto"/>
                <w:kern w:val="2"/>
                <w:sz w:val="20"/>
                <w:szCs w:val="20"/>
                <w:highlight w:val="none"/>
                <w:lang w:val="en-US" w:eastAsia="zh-CN" w:bidi="ar-SA"/>
              </w:rPr>
            </w:pPr>
            <w:r>
              <w:rPr>
                <w:rFonts w:hint="eastAsia" w:ascii="宋体" w:hAnsi="宋体" w:cs="宋体"/>
                <w:b/>
                <w:bCs w:val="0"/>
                <w:color w:val="auto"/>
                <w:sz w:val="20"/>
                <w:szCs w:val="20"/>
                <w:highlight w:val="none"/>
              </w:rPr>
              <w:t>十</w:t>
            </w:r>
          </w:p>
        </w:tc>
        <w:tc>
          <w:tcPr>
            <w:tcW w:w="2610" w:type="dxa"/>
            <w:vAlign w:val="center"/>
          </w:tcPr>
          <w:p w14:paraId="506841C7">
            <w:pPr>
              <w:rPr>
                <w:rFonts w:hint="eastAsia" w:ascii="宋体" w:hAnsi="宋体" w:cs="宋体" w:eastAsiaTheme="minorEastAsia"/>
                <w:b/>
                <w:bCs w:val="0"/>
                <w:color w:val="auto"/>
                <w:kern w:val="2"/>
                <w:sz w:val="20"/>
                <w:szCs w:val="20"/>
                <w:highlight w:val="none"/>
                <w:lang w:val="en-US" w:eastAsia="zh-CN" w:bidi="ar-SA"/>
              </w:rPr>
            </w:pPr>
            <w:r>
              <w:rPr>
                <w:rFonts w:hint="eastAsia" w:ascii="宋体" w:hAnsi="宋体" w:cs="宋体"/>
                <w:b/>
                <w:bCs w:val="0"/>
                <w:color w:val="auto"/>
                <w:sz w:val="20"/>
                <w:szCs w:val="20"/>
                <w:highlight w:val="none"/>
              </w:rPr>
              <w:t>玻璃门窗清洁标准</w:t>
            </w:r>
          </w:p>
        </w:tc>
        <w:tc>
          <w:tcPr>
            <w:tcW w:w="918" w:type="dxa"/>
            <w:vAlign w:val="center"/>
          </w:tcPr>
          <w:p w14:paraId="302AAE7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b/>
                <w:bCs/>
                <w:color w:val="auto"/>
                <w:sz w:val="20"/>
                <w:szCs w:val="20"/>
                <w:highlight w:val="none"/>
                <w:lang w:val="en-US" w:eastAsia="zh-CN"/>
              </w:rPr>
              <w:t>1</w:t>
            </w:r>
          </w:p>
        </w:tc>
        <w:tc>
          <w:tcPr>
            <w:tcW w:w="2280" w:type="dxa"/>
            <w:vAlign w:val="center"/>
          </w:tcPr>
          <w:p w14:paraId="57819255">
            <w:pPr>
              <w:rPr>
                <w:rFonts w:hint="eastAsia" w:ascii="宋体" w:hAnsi="宋体" w:cs="宋体" w:eastAsiaTheme="minorEastAsia"/>
                <w:color w:val="auto"/>
                <w:kern w:val="2"/>
                <w:sz w:val="20"/>
                <w:szCs w:val="20"/>
                <w:highlight w:val="none"/>
                <w:lang w:val="en-US" w:eastAsia="zh-CN" w:bidi="ar-SA"/>
              </w:rPr>
            </w:pPr>
          </w:p>
        </w:tc>
        <w:tc>
          <w:tcPr>
            <w:tcW w:w="1185" w:type="dxa"/>
            <w:vAlign w:val="center"/>
          </w:tcPr>
          <w:p w14:paraId="7035A31B">
            <w:pPr>
              <w:jc w:val="center"/>
              <w:rPr>
                <w:rFonts w:hint="eastAsia" w:ascii="宋体" w:hAnsi="宋体" w:cs="宋体" w:eastAsiaTheme="minorEastAsia"/>
                <w:b/>
                <w:color w:val="auto"/>
                <w:kern w:val="2"/>
                <w:sz w:val="20"/>
                <w:szCs w:val="20"/>
                <w:highlight w:val="none"/>
                <w:lang w:val="en-US" w:eastAsia="zh-CN" w:bidi="ar-SA"/>
              </w:rPr>
            </w:pPr>
          </w:p>
        </w:tc>
        <w:tc>
          <w:tcPr>
            <w:tcW w:w="690" w:type="dxa"/>
            <w:vAlign w:val="center"/>
          </w:tcPr>
          <w:p w14:paraId="1038494C">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6A191B81">
            <w:pPr>
              <w:jc w:val="center"/>
              <w:rPr>
                <w:rFonts w:ascii="宋体" w:hAnsi="宋体" w:cs="宋体" w:eastAsiaTheme="minorEastAsia"/>
                <w:b/>
                <w:color w:val="auto"/>
                <w:kern w:val="2"/>
                <w:sz w:val="20"/>
                <w:szCs w:val="20"/>
                <w:highlight w:val="none"/>
                <w:lang w:val="en-US" w:eastAsia="zh-CN" w:bidi="ar-SA"/>
              </w:rPr>
            </w:pPr>
          </w:p>
        </w:tc>
      </w:tr>
      <w:tr w14:paraId="764D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26AE65D">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1</w:t>
            </w:r>
          </w:p>
        </w:tc>
        <w:tc>
          <w:tcPr>
            <w:tcW w:w="2610" w:type="dxa"/>
            <w:vAlign w:val="center"/>
          </w:tcPr>
          <w:p w14:paraId="3B92F9F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玻璃门窗无污渍、水渍、无积尘。</w:t>
            </w:r>
          </w:p>
        </w:tc>
        <w:tc>
          <w:tcPr>
            <w:tcW w:w="918" w:type="dxa"/>
            <w:vAlign w:val="center"/>
          </w:tcPr>
          <w:p w14:paraId="46852D81">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736D73B4">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不达标，每一项</w:t>
            </w:r>
            <w:r>
              <w:rPr>
                <w:rFonts w:hint="eastAsia" w:ascii="宋体" w:hAnsi="宋体" w:cs="宋体"/>
                <w:color w:val="auto"/>
                <w:sz w:val="20"/>
                <w:szCs w:val="20"/>
                <w:highlight w:val="none"/>
                <w:lang w:eastAsia="zh-CN"/>
              </w:rPr>
              <w:t>。</w:t>
            </w:r>
          </w:p>
        </w:tc>
        <w:tc>
          <w:tcPr>
            <w:tcW w:w="1185" w:type="dxa"/>
            <w:vAlign w:val="center"/>
          </w:tcPr>
          <w:p w14:paraId="5902C02E">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10DB4161">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E8B2CBA">
            <w:pPr>
              <w:jc w:val="center"/>
              <w:rPr>
                <w:rFonts w:ascii="宋体" w:hAnsi="宋体" w:cs="宋体" w:eastAsiaTheme="minorEastAsia"/>
                <w:color w:val="auto"/>
                <w:kern w:val="2"/>
                <w:sz w:val="20"/>
                <w:szCs w:val="20"/>
                <w:highlight w:val="none"/>
                <w:lang w:val="en-US" w:eastAsia="zh-CN" w:bidi="ar-SA"/>
              </w:rPr>
            </w:pPr>
          </w:p>
        </w:tc>
      </w:tr>
      <w:tr w14:paraId="26805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B0FBAA0">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2</w:t>
            </w:r>
          </w:p>
        </w:tc>
        <w:tc>
          <w:tcPr>
            <w:tcW w:w="2610" w:type="dxa"/>
            <w:vAlign w:val="center"/>
          </w:tcPr>
          <w:p w14:paraId="565B426C">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玻璃门窗</w:t>
            </w:r>
            <w:r>
              <w:rPr>
                <w:rFonts w:hint="eastAsia" w:ascii="宋体" w:hAnsi="宋体" w:cs="宋体"/>
                <w:color w:val="auto"/>
                <w:sz w:val="20"/>
                <w:szCs w:val="20"/>
                <w:highlight w:val="none"/>
                <w:lang w:val="en-US" w:eastAsia="zh-CN"/>
              </w:rPr>
              <w:t>每周擦拭1次</w:t>
            </w:r>
            <w:r>
              <w:rPr>
                <w:rFonts w:hint="eastAsia" w:ascii="宋体" w:hAnsi="宋体" w:cs="宋体"/>
                <w:color w:val="auto"/>
                <w:sz w:val="20"/>
                <w:szCs w:val="20"/>
                <w:highlight w:val="none"/>
              </w:rPr>
              <w:t>，保持</w:t>
            </w:r>
            <w:r>
              <w:rPr>
                <w:rFonts w:hint="eastAsia" w:ascii="宋体" w:hAnsi="宋体" w:cs="宋体"/>
                <w:color w:val="auto"/>
                <w:sz w:val="20"/>
                <w:szCs w:val="20"/>
                <w:highlight w:val="none"/>
                <w:lang w:val="en-US" w:eastAsia="zh-CN"/>
              </w:rPr>
              <w:t>干净</w:t>
            </w:r>
            <w:r>
              <w:rPr>
                <w:rFonts w:hint="eastAsia" w:ascii="宋体" w:hAnsi="宋体" w:cs="宋体"/>
                <w:color w:val="auto"/>
                <w:sz w:val="20"/>
                <w:szCs w:val="20"/>
                <w:highlight w:val="none"/>
              </w:rPr>
              <w:t>。</w:t>
            </w:r>
          </w:p>
        </w:tc>
        <w:tc>
          <w:tcPr>
            <w:tcW w:w="918" w:type="dxa"/>
            <w:vAlign w:val="center"/>
          </w:tcPr>
          <w:p w14:paraId="1D1FB162">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5148FA25">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不达标，每一</w:t>
            </w:r>
            <w:r>
              <w:rPr>
                <w:rFonts w:hint="eastAsia" w:ascii="宋体" w:hAnsi="宋体" w:cs="宋体"/>
                <w:color w:val="auto"/>
                <w:sz w:val="20"/>
                <w:szCs w:val="20"/>
                <w:highlight w:val="none"/>
                <w:lang w:val="en-US" w:eastAsia="zh-CN"/>
              </w:rPr>
              <w:t>次</w:t>
            </w:r>
            <w:r>
              <w:rPr>
                <w:rFonts w:hint="eastAsia" w:ascii="宋体" w:hAnsi="宋体" w:cs="宋体"/>
                <w:color w:val="auto"/>
                <w:sz w:val="20"/>
                <w:szCs w:val="20"/>
                <w:highlight w:val="none"/>
                <w:lang w:eastAsia="zh-CN"/>
              </w:rPr>
              <w:t>。</w:t>
            </w:r>
          </w:p>
        </w:tc>
        <w:tc>
          <w:tcPr>
            <w:tcW w:w="1185" w:type="dxa"/>
            <w:vAlign w:val="center"/>
          </w:tcPr>
          <w:p w14:paraId="093E581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vAlign w:val="center"/>
          </w:tcPr>
          <w:p w14:paraId="18970325">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3E47F246">
            <w:pPr>
              <w:jc w:val="center"/>
              <w:rPr>
                <w:rFonts w:ascii="宋体" w:hAnsi="宋体" w:cs="宋体" w:eastAsiaTheme="minorEastAsia"/>
                <w:color w:val="auto"/>
                <w:kern w:val="2"/>
                <w:sz w:val="20"/>
                <w:szCs w:val="20"/>
                <w:highlight w:val="none"/>
                <w:lang w:val="en-US" w:eastAsia="zh-CN" w:bidi="ar-SA"/>
              </w:rPr>
            </w:pPr>
          </w:p>
        </w:tc>
      </w:tr>
      <w:tr w14:paraId="2204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3188FA38">
            <w:pP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lang w:val="en-US" w:eastAsia="zh-CN"/>
              </w:rPr>
              <w:t>十一</w:t>
            </w:r>
          </w:p>
        </w:tc>
        <w:tc>
          <w:tcPr>
            <w:tcW w:w="2610" w:type="dxa"/>
            <w:vAlign w:val="center"/>
          </w:tcPr>
          <w:p w14:paraId="18E4B10A">
            <w:pPr>
              <w:rPr>
                <w:rFonts w:hint="default"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lang w:val="en-US" w:eastAsia="zh-CN"/>
              </w:rPr>
              <w:t>服务响应</w:t>
            </w:r>
          </w:p>
        </w:tc>
        <w:tc>
          <w:tcPr>
            <w:tcW w:w="918" w:type="dxa"/>
            <w:vAlign w:val="center"/>
          </w:tcPr>
          <w:p w14:paraId="5F3B93F9">
            <w:pP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lang w:val="en-US" w:eastAsia="zh-CN"/>
              </w:rPr>
              <w:t>2</w:t>
            </w:r>
          </w:p>
        </w:tc>
        <w:tc>
          <w:tcPr>
            <w:tcW w:w="2280" w:type="dxa"/>
            <w:vAlign w:val="center"/>
          </w:tcPr>
          <w:p w14:paraId="0BC0285D">
            <w:pPr>
              <w:rPr>
                <w:rFonts w:hint="eastAsia" w:ascii="宋体" w:hAnsi="宋体" w:cs="宋体" w:eastAsiaTheme="minorEastAsia"/>
                <w:b/>
                <w:bCs/>
                <w:color w:val="auto"/>
                <w:kern w:val="2"/>
                <w:sz w:val="20"/>
                <w:szCs w:val="20"/>
                <w:highlight w:val="none"/>
                <w:lang w:val="en-US" w:eastAsia="zh-CN" w:bidi="ar-SA"/>
              </w:rPr>
            </w:pPr>
          </w:p>
        </w:tc>
        <w:tc>
          <w:tcPr>
            <w:tcW w:w="1185" w:type="dxa"/>
            <w:vAlign w:val="center"/>
          </w:tcPr>
          <w:p w14:paraId="65B93F99">
            <w:pPr>
              <w:jc w:val="center"/>
              <w:rPr>
                <w:rFonts w:hint="eastAsia" w:ascii="宋体" w:hAnsi="宋体" w:cs="宋体" w:eastAsiaTheme="minorEastAsia"/>
                <w:color w:val="auto"/>
                <w:kern w:val="2"/>
                <w:sz w:val="20"/>
                <w:szCs w:val="20"/>
                <w:highlight w:val="none"/>
                <w:lang w:val="en-US" w:eastAsia="zh-CN" w:bidi="ar-SA"/>
              </w:rPr>
            </w:pPr>
          </w:p>
        </w:tc>
        <w:tc>
          <w:tcPr>
            <w:tcW w:w="690" w:type="dxa"/>
            <w:vAlign w:val="center"/>
          </w:tcPr>
          <w:p w14:paraId="71E5B731">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2910A3F9">
            <w:pPr>
              <w:jc w:val="center"/>
              <w:rPr>
                <w:rFonts w:ascii="宋体" w:hAnsi="宋体" w:cs="宋体" w:eastAsiaTheme="minorEastAsia"/>
                <w:color w:val="auto"/>
                <w:kern w:val="2"/>
                <w:sz w:val="20"/>
                <w:szCs w:val="20"/>
                <w:highlight w:val="none"/>
                <w:lang w:val="en-US" w:eastAsia="zh-CN" w:bidi="ar-SA"/>
              </w:rPr>
            </w:pPr>
          </w:p>
        </w:tc>
      </w:tr>
      <w:tr w14:paraId="01CF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62FC7BF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610" w:type="dxa"/>
            <w:vMerge w:val="restart"/>
            <w:vAlign w:val="center"/>
          </w:tcPr>
          <w:p w14:paraId="65FA3D48">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eastAsia="zh-CN"/>
              </w:rPr>
              <w:t>服务商</w:t>
            </w:r>
            <w:r>
              <w:rPr>
                <w:rFonts w:hint="eastAsia"/>
                <w:color w:val="auto"/>
                <w:sz w:val="20"/>
                <w:szCs w:val="20"/>
                <w:highlight w:val="none"/>
              </w:rPr>
              <w:t>应对</w:t>
            </w:r>
            <w:r>
              <w:rPr>
                <w:rFonts w:hint="eastAsia"/>
                <w:color w:val="auto"/>
                <w:sz w:val="20"/>
                <w:szCs w:val="20"/>
                <w:highlight w:val="none"/>
                <w:lang w:eastAsia="zh-CN"/>
              </w:rPr>
              <w:t>采购方</w:t>
            </w:r>
            <w:r>
              <w:rPr>
                <w:rFonts w:hint="eastAsia"/>
                <w:color w:val="auto"/>
                <w:sz w:val="20"/>
                <w:szCs w:val="20"/>
                <w:highlight w:val="none"/>
              </w:rPr>
              <w:t>布置的工作要求、任务予以积极响应。做到对</w:t>
            </w:r>
            <w:r>
              <w:rPr>
                <w:rFonts w:hint="eastAsia"/>
                <w:color w:val="auto"/>
                <w:sz w:val="20"/>
                <w:szCs w:val="20"/>
                <w:highlight w:val="none"/>
                <w:lang w:eastAsia="zh-CN"/>
              </w:rPr>
              <w:t>采购方</w:t>
            </w:r>
            <w:r>
              <w:rPr>
                <w:rFonts w:hint="eastAsia"/>
                <w:color w:val="auto"/>
                <w:sz w:val="20"/>
                <w:szCs w:val="20"/>
                <w:highlight w:val="none"/>
              </w:rPr>
              <w:t>布置的工作要求、任务有落实，有反馈。</w:t>
            </w:r>
          </w:p>
        </w:tc>
        <w:tc>
          <w:tcPr>
            <w:tcW w:w="918" w:type="dxa"/>
            <w:vMerge w:val="restart"/>
            <w:vAlign w:val="center"/>
          </w:tcPr>
          <w:p w14:paraId="6BB9BF02">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2</w:t>
            </w:r>
          </w:p>
        </w:tc>
        <w:tc>
          <w:tcPr>
            <w:tcW w:w="2280" w:type="dxa"/>
            <w:vAlign w:val="center"/>
          </w:tcPr>
          <w:p w14:paraId="036E871D">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1185" w:type="dxa"/>
            <w:vAlign w:val="center"/>
          </w:tcPr>
          <w:p w14:paraId="7DAAFBC8">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690" w:type="dxa"/>
            <w:vAlign w:val="center"/>
          </w:tcPr>
          <w:p w14:paraId="4280B603">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763054E">
            <w:pPr>
              <w:jc w:val="center"/>
              <w:rPr>
                <w:rFonts w:ascii="宋体" w:hAnsi="宋体" w:cs="宋体" w:eastAsiaTheme="minorEastAsia"/>
                <w:color w:val="auto"/>
                <w:kern w:val="2"/>
                <w:sz w:val="20"/>
                <w:szCs w:val="20"/>
                <w:highlight w:val="none"/>
                <w:lang w:val="en-US" w:eastAsia="zh-CN" w:bidi="ar-SA"/>
              </w:rPr>
            </w:pPr>
          </w:p>
        </w:tc>
      </w:tr>
      <w:tr w14:paraId="587FA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2A0CDA21">
            <w:pPr>
              <w:jc w:val="center"/>
              <w:rPr>
                <w:rFonts w:ascii="宋体" w:hAnsi="宋体" w:cs="宋体"/>
                <w:color w:val="auto"/>
                <w:sz w:val="20"/>
                <w:szCs w:val="20"/>
                <w:highlight w:val="none"/>
              </w:rPr>
            </w:pPr>
          </w:p>
        </w:tc>
        <w:tc>
          <w:tcPr>
            <w:tcW w:w="2610" w:type="dxa"/>
            <w:vMerge w:val="continue"/>
          </w:tcPr>
          <w:p w14:paraId="0F55AEFD">
            <w:pPr>
              <w:rPr>
                <w:rFonts w:ascii="宋体" w:hAnsi="宋体" w:cs="宋体"/>
                <w:color w:val="auto"/>
                <w:sz w:val="20"/>
                <w:szCs w:val="20"/>
                <w:highlight w:val="none"/>
              </w:rPr>
            </w:pPr>
          </w:p>
        </w:tc>
        <w:tc>
          <w:tcPr>
            <w:tcW w:w="918" w:type="dxa"/>
            <w:vMerge w:val="continue"/>
          </w:tcPr>
          <w:p w14:paraId="09CE7B48">
            <w:pPr>
              <w:jc w:val="center"/>
              <w:rPr>
                <w:rFonts w:hint="eastAsia" w:ascii="宋体" w:hAnsi="宋体" w:eastAsia="宋体" w:cs="宋体"/>
                <w:color w:val="auto"/>
                <w:sz w:val="20"/>
                <w:szCs w:val="20"/>
                <w:highlight w:val="none"/>
                <w:lang w:eastAsia="zh-CN"/>
              </w:rPr>
            </w:pPr>
          </w:p>
        </w:tc>
        <w:tc>
          <w:tcPr>
            <w:tcW w:w="2280" w:type="dxa"/>
            <w:vAlign w:val="center"/>
          </w:tcPr>
          <w:p w14:paraId="75005949">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1185" w:type="dxa"/>
            <w:vAlign w:val="center"/>
          </w:tcPr>
          <w:p w14:paraId="7F1DC39B">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690" w:type="dxa"/>
            <w:vAlign w:val="center"/>
          </w:tcPr>
          <w:p w14:paraId="77177CE0">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36121CC3">
            <w:pPr>
              <w:jc w:val="center"/>
              <w:rPr>
                <w:rFonts w:ascii="宋体" w:hAnsi="宋体" w:cs="宋体" w:eastAsiaTheme="minorEastAsia"/>
                <w:color w:val="auto"/>
                <w:kern w:val="2"/>
                <w:sz w:val="20"/>
                <w:szCs w:val="20"/>
                <w:highlight w:val="none"/>
                <w:lang w:val="en-US" w:eastAsia="zh-CN" w:bidi="ar-SA"/>
              </w:rPr>
            </w:pPr>
          </w:p>
        </w:tc>
      </w:tr>
      <w:tr w14:paraId="4404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2C9D2678">
            <w:pPr>
              <w:jc w:val="center"/>
              <w:rPr>
                <w:rFonts w:ascii="宋体" w:hAnsi="宋体" w:cs="宋体"/>
                <w:color w:val="auto"/>
                <w:sz w:val="20"/>
                <w:szCs w:val="20"/>
                <w:highlight w:val="none"/>
              </w:rPr>
            </w:pPr>
          </w:p>
        </w:tc>
        <w:tc>
          <w:tcPr>
            <w:tcW w:w="2610" w:type="dxa"/>
            <w:vMerge w:val="continue"/>
          </w:tcPr>
          <w:p w14:paraId="753A1351">
            <w:pPr>
              <w:rPr>
                <w:rFonts w:ascii="宋体" w:hAnsi="宋体" w:cs="宋体"/>
                <w:color w:val="auto"/>
                <w:sz w:val="20"/>
                <w:szCs w:val="20"/>
                <w:highlight w:val="none"/>
              </w:rPr>
            </w:pPr>
          </w:p>
        </w:tc>
        <w:tc>
          <w:tcPr>
            <w:tcW w:w="918" w:type="dxa"/>
            <w:vMerge w:val="continue"/>
          </w:tcPr>
          <w:p w14:paraId="021D61E8">
            <w:pPr>
              <w:jc w:val="center"/>
              <w:rPr>
                <w:rFonts w:hint="eastAsia" w:ascii="宋体" w:hAnsi="宋体" w:eastAsia="宋体" w:cs="宋体"/>
                <w:color w:val="auto"/>
                <w:sz w:val="20"/>
                <w:szCs w:val="20"/>
                <w:highlight w:val="none"/>
                <w:lang w:eastAsia="zh-CN"/>
              </w:rPr>
            </w:pPr>
          </w:p>
        </w:tc>
        <w:tc>
          <w:tcPr>
            <w:tcW w:w="2280" w:type="dxa"/>
            <w:vAlign w:val="center"/>
          </w:tcPr>
          <w:p w14:paraId="5892FC90">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1185" w:type="dxa"/>
            <w:vAlign w:val="center"/>
          </w:tcPr>
          <w:p w14:paraId="093E4E3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-1至-2分/项</w:t>
            </w:r>
          </w:p>
        </w:tc>
        <w:tc>
          <w:tcPr>
            <w:tcW w:w="690" w:type="dxa"/>
            <w:vAlign w:val="center"/>
          </w:tcPr>
          <w:p w14:paraId="69557109">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7886BB7C">
            <w:pPr>
              <w:jc w:val="center"/>
              <w:rPr>
                <w:rFonts w:ascii="宋体" w:hAnsi="宋体" w:cs="宋体" w:eastAsiaTheme="minorEastAsia"/>
                <w:color w:val="auto"/>
                <w:kern w:val="2"/>
                <w:sz w:val="20"/>
                <w:szCs w:val="20"/>
                <w:highlight w:val="none"/>
                <w:lang w:val="en-US" w:eastAsia="zh-CN" w:bidi="ar-SA"/>
              </w:rPr>
            </w:pPr>
          </w:p>
        </w:tc>
      </w:tr>
      <w:tr w14:paraId="032BC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9003" w:type="dxa"/>
            <w:gridSpan w:val="7"/>
          </w:tcPr>
          <w:p w14:paraId="6FE93B34">
            <w:pPr>
              <w:jc w:val="center"/>
              <w:rPr>
                <w:rFonts w:ascii="宋体" w:hAnsi="宋体" w:cs="宋体" w:eastAsiaTheme="minorEastAsia"/>
                <w:color w:val="auto"/>
                <w:kern w:val="2"/>
                <w:sz w:val="20"/>
                <w:szCs w:val="20"/>
                <w:highlight w:val="none"/>
                <w:lang w:val="en-US" w:eastAsia="zh-CN" w:bidi="ar-SA"/>
              </w:rPr>
            </w:pPr>
            <w:r>
              <w:rPr>
                <w:rFonts w:hint="eastAsia"/>
                <w:b/>
                <w:bCs/>
                <w:color w:val="auto"/>
                <w:sz w:val="20"/>
                <w:szCs w:val="20"/>
                <w:highlight w:val="none"/>
              </w:rPr>
              <w:t>第三章   秩序维护服务内容及标准</w:t>
            </w:r>
            <w:r>
              <w:rPr>
                <w:rFonts w:hint="eastAsia" w:ascii="宋体" w:hAnsi="宋体" w:cs="宋体"/>
                <w:b/>
                <w:bCs/>
                <w:color w:val="auto"/>
                <w:sz w:val="20"/>
                <w:szCs w:val="20"/>
                <w:highlight w:val="none"/>
              </w:rPr>
              <w:t>（</w:t>
            </w:r>
            <w:r>
              <w:rPr>
                <w:rFonts w:hint="eastAsia" w:ascii="宋体" w:hAnsi="宋体" w:cs="宋体"/>
                <w:b/>
                <w:bCs/>
                <w:color w:val="auto"/>
                <w:sz w:val="20"/>
                <w:szCs w:val="20"/>
                <w:highlight w:val="none"/>
                <w:lang w:val="en-US" w:eastAsia="zh-CN"/>
              </w:rPr>
              <w:t>20</w:t>
            </w:r>
            <w:r>
              <w:rPr>
                <w:rFonts w:hint="eastAsia" w:ascii="宋体" w:hAnsi="宋体" w:cs="宋体"/>
                <w:b/>
                <w:bCs/>
                <w:color w:val="auto"/>
                <w:sz w:val="20"/>
                <w:szCs w:val="20"/>
                <w:highlight w:val="none"/>
              </w:rPr>
              <w:t>分）</w:t>
            </w:r>
          </w:p>
        </w:tc>
      </w:tr>
      <w:tr w14:paraId="134A4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3214F8FB">
            <w:pPr>
              <w:jc w:val="center"/>
              <w:rPr>
                <w:rFonts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序号</w:t>
            </w:r>
          </w:p>
        </w:tc>
        <w:tc>
          <w:tcPr>
            <w:tcW w:w="2610" w:type="dxa"/>
            <w:vAlign w:val="center"/>
          </w:tcPr>
          <w:p w14:paraId="23E50006">
            <w:pPr>
              <w:jc w:val="center"/>
              <w:rPr>
                <w:rFonts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服务内容及标准要求</w:t>
            </w:r>
          </w:p>
        </w:tc>
        <w:tc>
          <w:tcPr>
            <w:tcW w:w="918" w:type="dxa"/>
            <w:vAlign w:val="center"/>
          </w:tcPr>
          <w:p w14:paraId="25CC9602">
            <w:pP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标准分</w:t>
            </w:r>
          </w:p>
        </w:tc>
        <w:tc>
          <w:tcPr>
            <w:tcW w:w="2280" w:type="dxa"/>
            <w:vAlign w:val="center"/>
          </w:tcPr>
          <w:p w14:paraId="39C990EA">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检查内容</w:t>
            </w:r>
          </w:p>
        </w:tc>
        <w:tc>
          <w:tcPr>
            <w:tcW w:w="1185" w:type="dxa"/>
            <w:vAlign w:val="center"/>
          </w:tcPr>
          <w:p w14:paraId="601CA117">
            <w:pPr>
              <w:jc w:val="center"/>
              <w:rPr>
                <w:b/>
                <w:bCs/>
                <w:color w:val="auto"/>
                <w:sz w:val="20"/>
                <w:szCs w:val="20"/>
                <w:highlight w:val="none"/>
              </w:rPr>
            </w:pPr>
            <w:r>
              <w:rPr>
                <w:rFonts w:hint="eastAsia"/>
                <w:b/>
                <w:bCs/>
                <w:color w:val="auto"/>
                <w:sz w:val="20"/>
                <w:szCs w:val="20"/>
                <w:highlight w:val="none"/>
              </w:rPr>
              <w:t>扣分</w:t>
            </w:r>
          </w:p>
          <w:p w14:paraId="20F89C40">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标准</w:t>
            </w:r>
          </w:p>
        </w:tc>
        <w:tc>
          <w:tcPr>
            <w:tcW w:w="690" w:type="dxa"/>
            <w:vAlign w:val="top"/>
          </w:tcPr>
          <w:p w14:paraId="4BCAB5B2">
            <w:pPr>
              <w:jc w:val="center"/>
              <w:rPr>
                <w:b/>
                <w:bCs/>
                <w:color w:val="auto"/>
                <w:sz w:val="20"/>
                <w:szCs w:val="20"/>
                <w:highlight w:val="none"/>
              </w:rPr>
            </w:pPr>
            <w:r>
              <w:rPr>
                <w:rFonts w:hint="eastAsia"/>
                <w:b/>
                <w:bCs/>
                <w:color w:val="auto"/>
                <w:sz w:val="20"/>
                <w:szCs w:val="20"/>
                <w:highlight w:val="none"/>
              </w:rPr>
              <w:t>实际</w:t>
            </w:r>
          </w:p>
          <w:p w14:paraId="634BB6AA">
            <w:pPr>
              <w:jc w:val="center"/>
              <w:rPr>
                <w:rFonts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扣分</w:t>
            </w:r>
          </w:p>
        </w:tc>
        <w:tc>
          <w:tcPr>
            <w:tcW w:w="855" w:type="dxa"/>
            <w:vAlign w:val="center"/>
          </w:tcPr>
          <w:p w14:paraId="528C7BD6">
            <w:pPr>
              <w:jc w:val="center"/>
              <w:rPr>
                <w:rFonts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备注</w:t>
            </w:r>
          </w:p>
        </w:tc>
      </w:tr>
      <w:tr w14:paraId="302A5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9BBBD59">
            <w:pPr>
              <w:jc w:val="center"/>
              <w:rPr>
                <w:rFonts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一</w:t>
            </w:r>
          </w:p>
        </w:tc>
        <w:tc>
          <w:tcPr>
            <w:tcW w:w="2610" w:type="dxa"/>
            <w:vAlign w:val="center"/>
          </w:tcPr>
          <w:p w14:paraId="7A4835E0">
            <w:pPr>
              <w:rPr>
                <w:rFonts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治安秩序维护</w:t>
            </w:r>
          </w:p>
        </w:tc>
        <w:tc>
          <w:tcPr>
            <w:tcW w:w="918" w:type="dxa"/>
            <w:vAlign w:val="center"/>
          </w:tcPr>
          <w:p w14:paraId="17AC8C1C">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b/>
                <w:bCs/>
                <w:color w:val="auto"/>
                <w:sz w:val="20"/>
                <w:szCs w:val="20"/>
                <w:highlight w:val="none"/>
                <w:lang w:val="en-US" w:eastAsia="zh-CN"/>
              </w:rPr>
              <w:t>5</w:t>
            </w:r>
          </w:p>
        </w:tc>
        <w:tc>
          <w:tcPr>
            <w:tcW w:w="2280" w:type="dxa"/>
            <w:vAlign w:val="center"/>
          </w:tcPr>
          <w:p w14:paraId="661F1BCA">
            <w:pPr>
              <w:rPr>
                <w:rFonts w:hint="eastAsia" w:asciiTheme="minorHAnsi" w:hAnsiTheme="minorHAnsi" w:eastAsiaTheme="minorEastAsia" w:cstheme="minorBidi"/>
                <w:b/>
                <w:color w:val="auto"/>
                <w:kern w:val="2"/>
                <w:sz w:val="20"/>
                <w:szCs w:val="20"/>
                <w:highlight w:val="none"/>
                <w:lang w:val="en-US" w:eastAsia="zh-CN" w:bidi="ar-SA"/>
              </w:rPr>
            </w:pPr>
          </w:p>
        </w:tc>
        <w:tc>
          <w:tcPr>
            <w:tcW w:w="1185" w:type="dxa"/>
            <w:vAlign w:val="center"/>
          </w:tcPr>
          <w:p w14:paraId="77CC2740">
            <w:pPr>
              <w:jc w:val="center"/>
              <w:rPr>
                <w:rFonts w:hint="eastAsia" w:asciiTheme="minorHAnsi" w:hAnsiTheme="minorHAnsi" w:eastAsiaTheme="minorEastAsia" w:cstheme="minorBidi"/>
                <w:b/>
                <w:color w:val="auto"/>
                <w:kern w:val="2"/>
                <w:sz w:val="20"/>
                <w:szCs w:val="20"/>
                <w:highlight w:val="none"/>
                <w:lang w:val="en-US" w:eastAsia="zh-CN" w:bidi="ar-SA"/>
              </w:rPr>
            </w:pPr>
          </w:p>
        </w:tc>
        <w:tc>
          <w:tcPr>
            <w:tcW w:w="690" w:type="dxa"/>
            <w:vAlign w:val="center"/>
          </w:tcPr>
          <w:p w14:paraId="275A2023">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0CB8BD2E">
            <w:pPr>
              <w:jc w:val="center"/>
              <w:rPr>
                <w:rFonts w:asciiTheme="minorHAnsi" w:hAnsiTheme="minorHAnsi" w:eastAsiaTheme="minorEastAsia" w:cstheme="minorBidi"/>
                <w:b/>
                <w:color w:val="auto"/>
                <w:kern w:val="2"/>
                <w:sz w:val="20"/>
                <w:szCs w:val="20"/>
                <w:highlight w:val="none"/>
                <w:lang w:val="en-US" w:eastAsia="zh-CN" w:bidi="ar-SA"/>
              </w:rPr>
            </w:pPr>
          </w:p>
        </w:tc>
      </w:tr>
      <w:tr w14:paraId="258DB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3B94326D">
            <w:pPr>
              <w:jc w:val="center"/>
              <w:rPr>
                <w:rFonts w:asciiTheme="minorHAnsi" w:hAnsiTheme="minorHAnsi" w:eastAsiaTheme="minorEastAsia" w:cstheme="minorBidi"/>
                <w:color w:val="auto"/>
                <w:kern w:val="2"/>
                <w:sz w:val="20"/>
                <w:szCs w:val="20"/>
                <w:highlight w:val="none"/>
                <w:lang w:val="en-US" w:eastAsia="zh-CN" w:bidi="ar-SA"/>
              </w:rPr>
            </w:pPr>
            <w:r>
              <w:rPr>
                <w:color w:val="auto"/>
                <w:sz w:val="20"/>
                <w:szCs w:val="20"/>
                <w:highlight w:val="none"/>
              </w:rPr>
              <w:t>1</w:t>
            </w:r>
          </w:p>
        </w:tc>
        <w:tc>
          <w:tcPr>
            <w:tcW w:w="2610" w:type="dxa"/>
            <w:vMerge w:val="restart"/>
            <w:vAlign w:val="center"/>
          </w:tcPr>
          <w:p w14:paraId="1BFA49B8">
            <w:pPr>
              <w:bidi w:val="0"/>
              <w:rPr>
                <w:rFonts w:hint="eastAsia" w:ascii="宋体" w:hAnsi="宋体" w:cs="宋体" w:eastAsiaTheme="minorEastAsia"/>
                <w:color w:val="auto"/>
                <w:kern w:val="2"/>
                <w:szCs w:val="20"/>
                <w:highlight w:val="none"/>
                <w:lang w:val="en-US" w:eastAsia="zh-CN" w:bidi="ar-SA"/>
              </w:rPr>
            </w:pPr>
            <w:r>
              <w:rPr>
                <w:rFonts w:hint="eastAsia"/>
                <w:highlight w:val="none"/>
                <w:lang w:val="en-US" w:eastAsia="zh-CN"/>
              </w:rPr>
              <w:t>制定秩序维护服务各项规章制度及突发事件预案，编制秩序维护服务工作计划并组织实施。每月10日前，向采购方综合服务中心报送月度工作总结及工作计划。积极做好社会治安综合治理工作。</w:t>
            </w:r>
          </w:p>
        </w:tc>
        <w:tc>
          <w:tcPr>
            <w:tcW w:w="918" w:type="dxa"/>
            <w:vMerge w:val="restart"/>
            <w:vAlign w:val="center"/>
          </w:tcPr>
          <w:p w14:paraId="65F40B5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eastAsiaTheme="minorEastAsia"/>
                <w:color w:val="auto"/>
                <w:kern w:val="2"/>
                <w:sz w:val="20"/>
                <w:szCs w:val="20"/>
                <w:highlight w:val="none"/>
                <w:lang w:val="en-US" w:eastAsia="zh-CN" w:bidi="ar-SA"/>
              </w:rPr>
              <w:t>1</w:t>
            </w:r>
          </w:p>
        </w:tc>
        <w:tc>
          <w:tcPr>
            <w:tcW w:w="2280" w:type="dxa"/>
            <w:vAlign w:val="center"/>
          </w:tcPr>
          <w:p w14:paraId="2A10A9E8">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eastAsiaTheme="minorEastAsia"/>
                <w:color w:val="auto"/>
                <w:kern w:val="2"/>
                <w:sz w:val="20"/>
                <w:szCs w:val="20"/>
                <w:highlight w:val="none"/>
                <w:lang w:val="en-US" w:eastAsia="zh-CN" w:bidi="ar-SA"/>
              </w:rPr>
              <w:t>无管理制度、无突发事件预案或有制度不执行，处理突发事件不及时或不妥善处置。</w:t>
            </w:r>
          </w:p>
        </w:tc>
        <w:tc>
          <w:tcPr>
            <w:tcW w:w="1185" w:type="dxa"/>
            <w:vAlign w:val="center"/>
          </w:tcPr>
          <w:p w14:paraId="133A966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eastAsiaTheme="minorEastAsia"/>
                <w:color w:val="auto"/>
                <w:kern w:val="2"/>
                <w:sz w:val="20"/>
                <w:szCs w:val="20"/>
                <w:highlight w:val="none"/>
                <w:lang w:val="en-US" w:eastAsia="zh-CN" w:bidi="ar-SA"/>
              </w:rPr>
              <w:t>-0.1分/项次</w:t>
            </w:r>
          </w:p>
        </w:tc>
        <w:tc>
          <w:tcPr>
            <w:tcW w:w="690" w:type="dxa"/>
            <w:vAlign w:val="center"/>
          </w:tcPr>
          <w:p w14:paraId="4D7DF63E">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2DA686A">
            <w:pPr>
              <w:jc w:val="center"/>
              <w:rPr>
                <w:rFonts w:asciiTheme="minorHAnsi" w:hAnsiTheme="minorHAnsi" w:eastAsiaTheme="minorEastAsia" w:cstheme="minorBidi"/>
                <w:color w:val="auto"/>
                <w:kern w:val="2"/>
                <w:sz w:val="20"/>
                <w:szCs w:val="20"/>
                <w:highlight w:val="none"/>
                <w:lang w:val="en-US" w:eastAsia="zh-CN" w:bidi="ar-SA"/>
              </w:rPr>
            </w:pPr>
          </w:p>
        </w:tc>
      </w:tr>
      <w:tr w14:paraId="5996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37682F23">
            <w:pPr>
              <w:jc w:val="center"/>
              <w:rPr>
                <w:rFonts w:ascii="宋体" w:hAnsi="宋体" w:cs="宋体"/>
                <w:color w:val="auto"/>
                <w:sz w:val="20"/>
                <w:szCs w:val="20"/>
                <w:highlight w:val="none"/>
              </w:rPr>
            </w:pPr>
          </w:p>
        </w:tc>
        <w:tc>
          <w:tcPr>
            <w:tcW w:w="2610" w:type="dxa"/>
            <w:vMerge w:val="continue"/>
          </w:tcPr>
          <w:p w14:paraId="39FA0DB3">
            <w:pPr>
              <w:rPr>
                <w:rFonts w:ascii="宋体" w:hAnsi="宋体" w:cs="宋体"/>
                <w:color w:val="auto"/>
                <w:sz w:val="20"/>
                <w:szCs w:val="20"/>
                <w:highlight w:val="none"/>
              </w:rPr>
            </w:pPr>
          </w:p>
        </w:tc>
        <w:tc>
          <w:tcPr>
            <w:tcW w:w="918" w:type="dxa"/>
            <w:vMerge w:val="continue"/>
          </w:tcPr>
          <w:p w14:paraId="0D7FAB07">
            <w:pPr>
              <w:jc w:val="center"/>
              <w:rPr>
                <w:rFonts w:hint="eastAsia" w:ascii="宋体" w:hAnsi="宋体" w:eastAsia="宋体" w:cs="宋体"/>
                <w:color w:val="auto"/>
                <w:sz w:val="20"/>
                <w:szCs w:val="20"/>
                <w:highlight w:val="none"/>
                <w:lang w:eastAsia="zh-CN"/>
              </w:rPr>
            </w:pPr>
          </w:p>
        </w:tc>
        <w:tc>
          <w:tcPr>
            <w:tcW w:w="2280" w:type="dxa"/>
            <w:vAlign w:val="center"/>
          </w:tcPr>
          <w:p w14:paraId="46AF67F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eastAsiaTheme="minorEastAsia"/>
                <w:color w:val="auto"/>
                <w:kern w:val="2"/>
                <w:sz w:val="20"/>
                <w:szCs w:val="20"/>
                <w:highlight w:val="none"/>
                <w:lang w:val="en-US" w:eastAsia="zh-CN" w:bidi="ar-SA"/>
              </w:rPr>
              <w:t>不按要求做好社会综合治理工作</w:t>
            </w:r>
            <w:r>
              <w:rPr>
                <w:rFonts w:hint="eastAsia" w:ascii="宋体" w:hAnsi="宋体" w:cs="宋体"/>
                <w:color w:val="auto"/>
                <w:kern w:val="2"/>
                <w:sz w:val="20"/>
                <w:szCs w:val="20"/>
                <w:highlight w:val="none"/>
                <w:lang w:val="en-US" w:eastAsia="zh-CN" w:bidi="ar-SA"/>
              </w:rPr>
              <w:t>。</w:t>
            </w:r>
          </w:p>
        </w:tc>
        <w:tc>
          <w:tcPr>
            <w:tcW w:w="1185" w:type="dxa"/>
            <w:vAlign w:val="center"/>
          </w:tcPr>
          <w:p w14:paraId="481BE55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eastAsiaTheme="minorEastAsia"/>
                <w:color w:val="auto"/>
                <w:kern w:val="2"/>
                <w:sz w:val="20"/>
                <w:szCs w:val="20"/>
                <w:highlight w:val="none"/>
                <w:lang w:val="en-US" w:eastAsia="zh-CN" w:bidi="ar-SA"/>
              </w:rPr>
              <w:t>-0.1分/项次</w:t>
            </w:r>
          </w:p>
        </w:tc>
        <w:tc>
          <w:tcPr>
            <w:tcW w:w="690" w:type="dxa"/>
            <w:vAlign w:val="center"/>
          </w:tcPr>
          <w:p w14:paraId="76C3A245">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49BF7693">
            <w:pPr>
              <w:jc w:val="center"/>
              <w:rPr>
                <w:rFonts w:asciiTheme="minorHAnsi" w:hAnsiTheme="minorHAnsi" w:eastAsiaTheme="minorEastAsia" w:cstheme="minorBidi"/>
                <w:color w:val="auto"/>
                <w:kern w:val="2"/>
                <w:sz w:val="20"/>
                <w:szCs w:val="20"/>
                <w:highlight w:val="none"/>
                <w:lang w:val="en-US" w:eastAsia="zh-CN" w:bidi="ar-SA"/>
              </w:rPr>
            </w:pPr>
          </w:p>
        </w:tc>
      </w:tr>
      <w:tr w14:paraId="11BDF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3B656372">
            <w:pPr>
              <w:jc w:val="center"/>
              <w:rPr>
                <w:rFonts w:asciiTheme="minorHAnsi" w:hAnsiTheme="minorHAnsi" w:eastAsiaTheme="minorEastAsia" w:cstheme="minorBidi"/>
                <w:color w:val="auto"/>
                <w:kern w:val="2"/>
                <w:sz w:val="20"/>
                <w:szCs w:val="20"/>
                <w:highlight w:val="none"/>
                <w:lang w:val="en-US" w:eastAsia="zh-CN" w:bidi="ar-SA"/>
              </w:rPr>
            </w:pPr>
            <w:r>
              <w:rPr>
                <w:color w:val="auto"/>
                <w:sz w:val="20"/>
                <w:szCs w:val="20"/>
                <w:highlight w:val="none"/>
              </w:rPr>
              <w:t>2</w:t>
            </w:r>
          </w:p>
        </w:tc>
        <w:tc>
          <w:tcPr>
            <w:tcW w:w="2610" w:type="dxa"/>
            <w:vMerge w:val="restart"/>
            <w:vAlign w:val="center"/>
          </w:tcPr>
          <w:p w14:paraId="7C2DEC64">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依据合同为职工提供秩序维护服务工作，保护办公场所、营业场所内的公共设施，保护人员的人身和财产安全，维护办公场所、营业场所内部的正常秩序。协助公安机关查处内部案件，发生案件一小时内</w:t>
            </w:r>
            <w:r>
              <w:rPr>
                <w:rFonts w:hint="eastAsia"/>
                <w:color w:val="auto"/>
                <w:sz w:val="20"/>
                <w:szCs w:val="20"/>
                <w:highlight w:val="none"/>
                <w:lang w:eastAsia="zh-CN"/>
              </w:rPr>
              <w:t>服务商</w:t>
            </w:r>
            <w:r>
              <w:rPr>
                <w:rFonts w:hint="eastAsia"/>
                <w:color w:val="auto"/>
                <w:sz w:val="20"/>
                <w:szCs w:val="20"/>
                <w:highlight w:val="none"/>
              </w:rPr>
              <w:t>口头向</w:t>
            </w:r>
            <w:r>
              <w:rPr>
                <w:rFonts w:hint="eastAsia"/>
                <w:color w:val="auto"/>
                <w:sz w:val="20"/>
                <w:szCs w:val="20"/>
                <w:highlight w:val="none"/>
                <w:lang w:eastAsia="zh-CN"/>
              </w:rPr>
              <w:t>采购方</w:t>
            </w:r>
            <w:r>
              <w:rPr>
                <w:rFonts w:hint="eastAsia"/>
                <w:color w:val="auto"/>
                <w:sz w:val="20"/>
                <w:szCs w:val="20"/>
                <w:highlight w:val="none"/>
              </w:rPr>
              <w:t>报告案发情况，2天内写出书面案情报告报送</w:t>
            </w:r>
            <w:r>
              <w:rPr>
                <w:rFonts w:hint="eastAsia"/>
                <w:color w:val="auto"/>
                <w:sz w:val="20"/>
                <w:szCs w:val="20"/>
                <w:highlight w:val="none"/>
                <w:lang w:eastAsia="zh-CN"/>
              </w:rPr>
              <w:t>采购方</w:t>
            </w:r>
            <w:r>
              <w:rPr>
                <w:rFonts w:hint="eastAsia"/>
                <w:color w:val="auto"/>
                <w:sz w:val="20"/>
                <w:szCs w:val="20"/>
                <w:highlight w:val="none"/>
              </w:rPr>
              <w:t>。</w:t>
            </w:r>
          </w:p>
        </w:tc>
        <w:tc>
          <w:tcPr>
            <w:tcW w:w="918" w:type="dxa"/>
            <w:vMerge w:val="restart"/>
            <w:vAlign w:val="center"/>
          </w:tcPr>
          <w:p w14:paraId="4BC9E1CD">
            <w:pPr>
              <w:jc w:val="center"/>
              <w:rPr>
                <w:rFonts w:hint="eastAsia" w:ascii="宋体" w:hAnsi="宋体" w:cs="宋体" w:eastAsiaTheme="minorEastAsia"/>
                <w:b w:val="0"/>
                <w:bCs w:val="0"/>
                <w:color w:val="auto"/>
                <w:kern w:val="2"/>
                <w:sz w:val="20"/>
                <w:szCs w:val="20"/>
                <w:highlight w:val="none"/>
                <w:lang w:val="en-US" w:eastAsia="zh-CN" w:bidi="ar-SA"/>
              </w:rPr>
            </w:pPr>
            <w:r>
              <w:rPr>
                <w:rFonts w:hint="eastAsia" w:ascii="宋体" w:hAnsi="宋体" w:cs="宋体"/>
                <w:b w:val="0"/>
                <w:bCs w:val="0"/>
                <w:color w:val="auto"/>
                <w:sz w:val="20"/>
                <w:szCs w:val="20"/>
                <w:highlight w:val="none"/>
                <w:lang w:val="en-US" w:eastAsia="zh-CN"/>
              </w:rPr>
              <w:t>1</w:t>
            </w:r>
          </w:p>
        </w:tc>
        <w:tc>
          <w:tcPr>
            <w:tcW w:w="2280" w:type="dxa"/>
            <w:vAlign w:val="center"/>
          </w:tcPr>
          <w:p w14:paraId="7610C2B3">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不维护办公场所、营业场所内部的正常秩序、不配合公安机关处理发生案件或发生案件不按时报告的</w:t>
            </w:r>
            <w:r>
              <w:rPr>
                <w:rFonts w:hint="eastAsia"/>
                <w:color w:val="auto"/>
                <w:sz w:val="20"/>
                <w:szCs w:val="20"/>
                <w:highlight w:val="none"/>
                <w:lang w:eastAsia="zh-CN"/>
              </w:rPr>
              <w:t>。</w:t>
            </w:r>
          </w:p>
        </w:tc>
        <w:tc>
          <w:tcPr>
            <w:tcW w:w="1185" w:type="dxa"/>
            <w:vAlign w:val="center"/>
          </w:tcPr>
          <w:p w14:paraId="31DC358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b w:val="0"/>
                <w:bCs w:val="0"/>
                <w:color w:val="auto"/>
                <w:sz w:val="20"/>
                <w:szCs w:val="20"/>
                <w:highlight w:val="none"/>
                <w:lang w:val="en-US" w:eastAsia="zh-CN"/>
              </w:rPr>
              <w:t>-0.5分/项次</w:t>
            </w:r>
          </w:p>
        </w:tc>
        <w:tc>
          <w:tcPr>
            <w:tcW w:w="690" w:type="dxa"/>
            <w:vAlign w:val="center"/>
          </w:tcPr>
          <w:p w14:paraId="650B335E">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3904FC7">
            <w:pPr>
              <w:jc w:val="center"/>
              <w:rPr>
                <w:rFonts w:asciiTheme="minorHAnsi" w:hAnsiTheme="minorHAnsi" w:eastAsiaTheme="minorEastAsia" w:cstheme="minorBidi"/>
                <w:color w:val="auto"/>
                <w:kern w:val="2"/>
                <w:sz w:val="20"/>
                <w:szCs w:val="20"/>
                <w:highlight w:val="none"/>
                <w:lang w:val="en-US" w:eastAsia="zh-CN" w:bidi="ar-SA"/>
              </w:rPr>
            </w:pPr>
          </w:p>
        </w:tc>
      </w:tr>
      <w:tr w14:paraId="1B78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26CF5AB5">
            <w:pPr>
              <w:jc w:val="center"/>
              <w:rPr>
                <w:rFonts w:ascii="宋体" w:hAnsi="宋体" w:cs="宋体"/>
                <w:color w:val="auto"/>
                <w:sz w:val="20"/>
                <w:szCs w:val="20"/>
                <w:highlight w:val="none"/>
              </w:rPr>
            </w:pPr>
          </w:p>
        </w:tc>
        <w:tc>
          <w:tcPr>
            <w:tcW w:w="2610" w:type="dxa"/>
            <w:vMerge w:val="continue"/>
          </w:tcPr>
          <w:p w14:paraId="20AF0110">
            <w:pPr>
              <w:rPr>
                <w:rFonts w:ascii="宋体" w:hAnsi="宋体" w:cs="宋体"/>
                <w:color w:val="auto"/>
                <w:sz w:val="20"/>
                <w:szCs w:val="20"/>
                <w:highlight w:val="none"/>
              </w:rPr>
            </w:pPr>
          </w:p>
        </w:tc>
        <w:tc>
          <w:tcPr>
            <w:tcW w:w="918" w:type="dxa"/>
            <w:vMerge w:val="continue"/>
          </w:tcPr>
          <w:p w14:paraId="1AE881D9">
            <w:pPr>
              <w:jc w:val="center"/>
              <w:rPr>
                <w:rFonts w:hint="eastAsia" w:ascii="宋体" w:hAnsi="宋体" w:eastAsia="宋体" w:cs="宋体"/>
                <w:color w:val="auto"/>
                <w:sz w:val="20"/>
                <w:szCs w:val="20"/>
                <w:highlight w:val="none"/>
                <w:lang w:eastAsia="zh-CN"/>
              </w:rPr>
            </w:pPr>
          </w:p>
        </w:tc>
        <w:tc>
          <w:tcPr>
            <w:tcW w:w="2280" w:type="dxa"/>
            <w:vAlign w:val="center"/>
          </w:tcPr>
          <w:p w14:paraId="5995C009">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发生一般刑事案件或治安案件经济损失在3000元以下的</w:t>
            </w:r>
            <w:r>
              <w:rPr>
                <w:rFonts w:hint="eastAsia"/>
                <w:color w:val="auto"/>
                <w:sz w:val="20"/>
                <w:szCs w:val="20"/>
                <w:highlight w:val="none"/>
                <w:lang w:eastAsia="zh-CN"/>
              </w:rPr>
              <w:t>。</w:t>
            </w:r>
          </w:p>
        </w:tc>
        <w:tc>
          <w:tcPr>
            <w:tcW w:w="1185" w:type="dxa"/>
            <w:vAlign w:val="center"/>
          </w:tcPr>
          <w:p w14:paraId="3739064F">
            <w:pPr>
              <w:jc w:val="center"/>
              <w:rPr>
                <w:rFonts w:hint="eastAsia" w:ascii="宋体" w:hAnsi="宋体" w:cs="宋体" w:eastAsiaTheme="minorEastAsia"/>
                <w:b w:val="0"/>
                <w:bCs w:val="0"/>
                <w:color w:val="auto"/>
                <w:kern w:val="2"/>
                <w:sz w:val="20"/>
                <w:szCs w:val="20"/>
                <w:highlight w:val="none"/>
                <w:lang w:val="en-US" w:eastAsia="zh-CN" w:bidi="ar-SA"/>
              </w:rPr>
            </w:pPr>
            <w:r>
              <w:rPr>
                <w:rFonts w:hint="eastAsia" w:ascii="宋体" w:hAnsi="宋体" w:cs="宋体"/>
                <w:b w:val="0"/>
                <w:bCs w:val="0"/>
                <w:color w:val="auto"/>
                <w:sz w:val="20"/>
                <w:szCs w:val="20"/>
                <w:highlight w:val="none"/>
                <w:lang w:val="en-US" w:eastAsia="zh-CN"/>
              </w:rPr>
              <w:t>-1分/次</w:t>
            </w:r>
          </w:p>
        </w:tc>
        <w:tc>
          <w:tcPr>
            <w:tcW w:w="690" w:type="dxa"/>
            <w:vAlign w:val="center"/>
          </w:tcPr>
          <w:p w14:paraId="2AF3CE9B">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B3AE4FA">
            <w:pPr>
              <w:jc w:val="center"/>
              <w:rPr>
                <w:rFonts w:asciiTheme="minorHAnsi" w:hAnsiTheme="minorHAnsi" w:eastAsiaTheme="minorEastAsia" w:cstheme="minorBidi"/>
                <w:color w:val="auto"/>
                <w:kern w:val="2"/>
                <w:sz w:val="20"/>
                <w:szCs w:val="20"/>
                <w:highlight w:val="none"/>
                <w:lang w:val="en-US" w:eastAsia="zh-CN" w:bidi="ar-SA"/>
              </w:rPr>
            </w:pPr>
          </w:p>
        </w:tc>
      </w:tr>
      <w:tr w14:paraId="230F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05F63655">
            <w:pPr>
              <w:jc w:val="center"/>
              <w:rPr>
                <w:rFonts w:ascii="宋体" w:hAnsi="宋体" w:cs="宋体"/>
                <w:color w:val="auto"/>
                <w:sz w:val="20"/>
                <w:szCs w:val="20"/>
                <w:highlight w:val="none"/>
              </w:rPr>
            </w:pPr>
          </w:p>
        </w:tc>
        <w:tc>
          <w:tcPr>
            <w:tcW w:w="2610" w:type="dxa"/>
            <w:vMerge w:val="continue"/>
          </w:tcPr>
          <w:p w14:paraId="7A5A363D">
            <w:pPr>
              <w:rPr>
                <w:rFonts w:ascii="宋体" w:hAnsi="宋体" w:cs="宋体"/>
                <w:color w:val="auto"/>
                <w:sz w:val="20"/>
                <w:szCs w:val="20"/>
                <w:highlight w:val="none"/>
              </w:rPr>
            </w:pPr>
          </w:p>
        </w:tc>
        <w:tc>
          <w:tcPr>
            <w:tcW w:w="918" w:type="dxa"/>
            <w:vAlign w:val="center"/>
          </w:tcPr>
          <w:p w14:paraId="27ED058A">
            <w:pPr>
              <w:jc w:val="center"/>
              <w:rPr>
                <w:rFonts w:hint="eastAsia" w:ascii="宋体" w:hAnsi="宋体" w:cs="宋体" w:eastAsiaTheme="minorEastAsia"/>
                <w:b w:val="0"/>
                <w:bCs w:val="0"/>
                <w:color w:val="auto"/>
                <w:kern w:val="2"/>
                <w:sz w:val="20"/>
                <w:szCs w:val="20"/>
                <w:highlight w:val="none"/>
                <w:lang w:val="en-US" w:eastAsia="zh-CN" w:bidi="ar-SA"/>
              </w:rPr>
            </w:pPr>
            <w:r>
              <w:rPr>
                <w:rFonts w:hint="eastAsia" w:ascii="宋体" w:hAnsi="宋体" w:cs="宋体"/>
                <w:b w:val="0"/>
                <w:bCs w:val="0"/>
                <w:color w:val="auto"/>
                <w:sz w:val="20"/>
                <w:szCs w:val="20"/>
                <w:highlight w:val="none"/>
                <w:lang w:val="en-US" w:eastAsia="zh-CN"/>
              </w:rPr>
              <w:t>3</w:t>
            </w:r>
          </w:p>
        </w:tc>
        <w:tc>
          <w:tcPr>
            <w:tcW w:w="2280" w:type="dxa"/>
            <w:vAlign w:val="center"/>
          </w:tcPr>
          <w:p w14:paraId="276D9E9F">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发生一般治安案件，每次经济损失在3000元以上10000元以下的（含10000元）发生重、特大以上刑事案件及治安案件的</w:t>
            </w:r>
            <w:r>
              <w:rPr>
                <w:rFonts w:hint="eastAsia"/>
                <w:color w:val="auto"/>
                <w:sz w:val="20"/>
                <w:szCs w:val="20"/>
                <w:highlight w:val="none"/>
                <w:lang w:eastAsia="zh-CN"/>
              </w:rPr>
              <w:t>。</w:t>
            </w:r>
          </w:p>
        </w:tc>
        <w:tc>
          <w:tcPr>
            <w:tcW w:w="1185" w:type="dxa"/>
            <w:vAlign w:val="center"/>
          </w:tcPr>
          <w:p w14:paraId="34BE586A">
            <w:pPr>
              <w:jc w:val="center"/>
              <w:rPr>
                <w:rFonts w:hint="eastAsia" w:ascii="宋体" w:hAnsi="宋体" w:cs="宋体" w:eastAsiaTheme="minorEastAsia"/>
                <w:b w:val="0"/>
                <w:bCs w:val="0"/>
                <w:color w:val="auto"/>
                <w:kern w:val="2"/>
                <w:sz w:val="20"/>
                <w:szCs w:val="20"/>
                <w:highlight w:val="none"/>
                <w:lang w:val="en-US" w:eastAsia="zh-CN" w:bidi="ar-SA"/>
              </w:rPr>
            </w:pPr>
            <w:r>
              <w:rPr>
                <w:rFonts w:hint="eastAsia" w:ascii="宋体" w:hAnsi="宋体" w:cs="宋体"/>
                <w:b w:val="0"/>
                <w:bCs w:val="0"/>
                <w:color w:val="auto"/>
                <w:sz w:val="20"/>
                <w:szCs w:val="20"/>
                <w:highlight w:val="none"/>
                <w:lang w:val="en-US" w:eastAsia="zh-CN"/>
              </w:rPr>
              <w:t>-3分/次</w:t>
            </w:r>
          </w:p>
        </w:tc>
        <w:tc>
          <w:tcPr>
            <w:tcW w:w="690" w:type="dxa"/>
            <w:vAlign w:val="center"/>
          </w:tcPr>
          <w:p w14:paraId="6B318DAA">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2E42D310">
            <w:pPr>
              <w:jc w:val="center"/>
              <w:rPr>
                <w:rFonts w:asciiTheme="minorHAnsi" w:hAnsiTheme="minorHAnsi" w:eastAsiaTheme="minorEastAsia" w:cstheme="minorBidi"/>
                <w:color w:val="auto"/>
                <w:kern w:val="2"/>
                <w:sz w:val="20"/>
                <w:szCs w:val="20"/>
                <w:highlight w:val="none"/>
                <w:lang w:val="en-US" w:eastAsia="zh-CN" w:bidi="ar-SA"/>
              </w:rPr>
            </w:pPr>
          </w:p>
        </w:tc>
      </w:tr>
      <w:tr w14:paraId="0F17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C8473DB">
            <w:pPr>
              <w:jc w:val="center"/>
              <w:rPr>
                <w:rFonts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二</w:t>
            </w:r>
          </w:p>
        </w:tc>
        <w:tc>
          <w:tcPr>
            <w:tcW w:w="2610" w:type="dxa"/>
            <w:vAlign w:val="center"/>
          </w:tcPr>
          <w:p w14:paraId="4E661192">
            <w:pPr>
              <w:rPr>
                <w:rFonts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治安防范</w:t>
            </w:r>
          </w:p>
        </w:tc>
        <w:tc>
          <w:tcPr>
            <w:tcW w:w="918" w:type="dxa"/>
            <w:vAlign w:val="center"/>
          </w:tcPr>
          <w:p w14:paraId="03B983FD">
            <w:pPr>
              <w:jc w:val="center"/>
              <w:rPr>
                <w:rFonts w:hint="eastAsia" w:ascii="宋体" w:hAnsi="宋体" w:eastAsia="宋体" w:cs="宋体"/>
                <w:b/>
                <w:bCs/>
                <w:color w:val="auto"/>
                <w:kern w:val="2"/>
                <w:sz w:val="20"/>
                <w:szCs w:val="20"/>
                <w:highlight w:val="none"/>
                <w:lang w:val="en-US" w:eastAsia="zh-CN" w:bidi="ar-SA"/>
              </w:rPr>
            </w:pPr>
            <w:r>
              <w:rPr>
                <w:rFonts w:hint="eastAsia" w:ascii="宋体" w:hAnsi="宋体" w:cs="宋体"/>
                <w:b/>
                <w:bCs/>
                <w:color w:val="auto"/>
                <w:sz w:val="20"/>
                <w:szCs w:val="20"/>
                <w:highlight w:val="none"/>
                <w:lang w:val="en-US" w:eastAsia="zh-CN"/>
              </w:rPr>
              <w:t>4</w:t>
            </w:r>
          </w:p>
        </w:tc>
        <w:tc>
          <w:tcPr>
            <w:tcW w:w="2280" w:type="dxa"/>
            <w:vAlign w:val="center"/>
          </w:tcPr>
          <w:p w14:paraId="644200DF">
            <w:pPr>
              <w:rPr>
                <w:rFonts w:hint="eastAsia" w:asciiTheme="minorHAnsi" w:hAnsiTheme="minorHAnsi" w:eastAsiaTheme="minorEastAsia" w:cstheme="minorBidi"/>
                <w:b/>
                <w:color w:val="auto"/>
                <w:kern w:val="2"/>
                <w:sz w:val="20"/>
                <w:szCs w:val="20"/>
                <w:highlight w:val="none"/>
                <w:lang w:val="en-US" w:eastAsia="zh-CN" w:bidi="ar-SA"/>
              </w:rPr>
            </w:pPr>
          </w:p>
        </w:tc>
        <w:tc>
          <w:tcPr>
            <w:tcW w:w="1185" w:type="dxa"/>
            <w:vAlign w:val="center"/>
          </w:tcPr>
          <w:p w14:paraId="308BD18A">
            <w:pPr>
              <w:jc w:val="left"/>
              <w:rPr>
                <w:rFonts w:hint="eastAsia" w:ascii="宋体" w:hAnsi="宋体" w:cs="宋体" w:eastAsiaTheme="minorEastAsia"/>
                <w:b/>
                <w:color w:val="auto"/>
                <w:kern w:val="2"/>
                <w:sz w:val="20"/>
                <w:szCs w:val="20"/>
                <w:highlight w:val="none"/>
                <w:lang w:val="en-US" w:eastAsia="zh-CN" w:bidi="ar-SA"/>
              </w:rPr>
            </w:pPr>
          </w:p>
        </w:tc>
        <w:tc>
          <w:tcPr>
            <w:tcW w:w="690" w:type="dxa"/>
            <w:vAlign w:val="center"/>
          </w:tcPr>
          <w:p w14:paraId="22921DF6">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48595576">
            <w:pPr>
              <w:jc w:val="center"/>
              <w:rPr>
                <w:rFonts w:asciiTheme="minorHAnsi" w:hAnsiTheme="minorHAnsi" w:eastAsiaTheme="minorEastAsia" w:cstheme="minorBidi"/>
                <w:b/>
                <w:color w:val="auto"/>
                <w:kern w:val="2"/>
                <w:sz w:val="20"/>
                <w:szCs w:val="20"/>
                <w:highlight w:val="none"/>
                <w:lang w:val="en-US" w:eastAsia="zh-CN" w:bidi="ar-SA"/>
              </w:rPr>
            </w:pPr>
          </w:p>
        </w:tc>
      </w:tr>
      <w:tr w14:paraId="3487E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451F2B69">
            <w:pPr>
              <w:jc w:val="center"/>
              <w:rPr>
                <w:rFonts w:asciiTheme="minorHAnsi" w:hAnsiTheme="minorHAnsi" w:eastAsiaTheme="minorEastAsia" w:cstheme="minorBidi"/>
                <w:color w:val="auto"/>
                <w:kern w:val="2"/>
                <w:sz w:val="20"/>
                <w:szCs w:val="20"/>
                <w:highlight w:val="none"/>
                <w:lang w:val="en-US" w:eastAsia="zh-CN" w:bidi="ar-SA"/>
              </w:rPr>
            </w:pPr>
            <w:r>
              <w:rPr>
                <w:color w:val="auto"/>
                <w:sz w:val="20"/>
                <w:szCs w:val="20"/>
                <w:highlight w:val="none"/>
              </w:rPr>
              <w:t>1</w:t>
            </w:r>
          </w:p>
        </w:tc>
        <w:tc>
          <w:tcPr>
            <w:tcW w:w="2610" w:type="dxa"/>
            <w:vMerge w:val="restart"/>
            <w:vAlign w:val="center"/>
          </w:tcPr>
          <w:p w14:paraId="09B5A1BB">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yellow"/>
                <w:lang w:val="en-US" w:eastAsia="zh-CN"/>
              </w:rPr>
              <w:t>按采购方工作要求做好辖区内的治安防范工作，二级重点目标每3小时巡逻一次；包括电子巡更系统。三级重点目标应每8小时内巡逻一次；其它场所每天巡逻一次。所有做好巡逻检查记录。留心观察可疑情况，严防盗窃抢劫，做好治安防范控制，确保办公场所、营业场所安全。值班人员执勤时要保持饱满的精神状态，做到恪守职责，文明执勤。</w:t>
            </w:r>
          </w:p>
        </w:tc>
        <w:tc>
          <w:tcPr>
            <w:tcW w:w="918" w:type="dxa"/>
            <w:vMerge w:val="restart"/>
            <w:vAlign w:val="center"/>
          </w:tcPr>
          <w:p w14:paraId="7B6B055E">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15BED702">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w:t>
            </w:r>
            <w:r>
              <w:rPr>
                <w:rFonts w:hint="eastAsia"/>
                <w:color w:val="auto"/>
                <w:sz w:val="20"/>
                <w:szCs w:val="20"/>
                <w:highlight w:val="none"/>
                <w:lang w:val="en-US" w:eastAsia="zh-CN"/>
              </w:rPr>
              <w:t>按要求巡逻</w:t>
            </w:r>
            <w:r>
              <w:rPr>
                <w:rFonts w:hint="eastAsia"/>
                <w:color w:val="auto"/>
                <w:sz w:val="20"/>
                <w:szCs w:val="20"/>
                <w:highlight w:val="none"/>
              </w:rPr>
              <w:t>，缺巡逻检查记录，治安防范失控造成案件发生的，每一项</w:t>
            </w:r>
            <w:r>
              <w:rPr>
                <w:rFonts w:hint="eastAsia"/>
                <w:color w:val="auto"/>
                <w:sz w:val="20"/>
                <w:szCs w:val="20"/>
                <w:highlight w:val="none"/>
                <w:lang w:eastAsia="zh-CN"/>
              </w:rPr>
              <w:t>。</w:t>
            </w:r>
          </w:p>
        </w:tc>
        <w:tc>
          <w:tcPr>
            <w:tcW w:w="1185" w:type="dxa"/>
            <w:vAlign w:val="center"/>
          </w:tcPr>
          <w:p w14:paraId="4E7445D4">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-0.1分/项次</w:t>
            </w:r>
          </w:p>
        </w:tc>
        <w:tc>
          <w:tcPr>
            <w:tcW w:w="690" w:type="dxa"/>
            <w:vAlign w:val="center"/>
          </w:tcPr>
          <w:p w14:paraId="015189B9">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BB0BC37">
            <w:pPr>
              <w:jc w:val="center"/>
              <w:rPr>
                <w:rFonts w:asciiTheme="minorHAnsi" w:hAnsiTheme="minorHAnsi" w:eastAsiaTheme="minorEastAsia" w:cstheme="minorBidi"/>
                <w:color w:val="auto"/>
                <w:kern w:val="2"/>
                <w:sz w:val="20"/>
                <w:szCs w:val="20"/>
                <w:highlight w:val="none"/>
                <w:lang w:val="en-US" w:eastAsia="zh-CN" w:bidi="ar-SA"/>
              </w:rPr>
            </w:pPr>
          </w:p>
        </w:tc>
      </w:tr>
      <w:tr w14:paraId="70129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098A4813">
            <w:pPr>
              <w:jc w:val="center"/>
              <w:rPr>
                <w:rFonts w:ascii="宋体" w:hAnsi="宋体" w:cs="宋体"/>
                <w:color w:val="auto"/>
                <w:sz w:val="20"/>
                <w:szCs w:val="20"/>
                <w:highlight w:val="none"/>
              </w:rPr>
            </w:pPr>
          </w:p>
        </w:tc>
        <w:tc>
          <w:tcPr>
            <w:tcW w:w="2610" w:type="dxa"/>
            <w:vMerge w:val="continue"/>
          </w:tcPr>
          <w:p w14:paraId="55527435">
            <w:pPr>
              <w:rPr>
                <w:rFonts w:ascii="宋体" w:hAnsi="宋体" w:cs="宋体"/>
                <w:color w:val="auto"/>
                <w:sz w:val="20"/>
                <w:szCs w:val="20"/>
                <w:highlight w:val="none"/>
              </w:rPr>
            </w:pPr>
          </w:p>
        </w:tc>
        <w:tc>
          <w:tcPr>
            <w:tcW w:w="918" w:type="dxa"/>
            <w:vMerge w:val="continue"/>
          </w:tcPr>
          <w:p w14:paraId="66ED750E">
            <w:pPr>
              <w:jc w:val="center"/>
              <w:rPr>
                <w:rFonts w:hint="eastAsia" w:ascii="宋体" w:hAnsi="宋体" w:eastAsia="宋体" w:cs="宋体"/>
                <w:color w:val="auto"/>
                <w:sz w:val="20"/>
                <w:szCs w:val="20"/>
                <w:highlight w:val="none"/>
                <w:lang w:eastAsia="zh-CN"/>
              </w:rPr>
            </w:pPr>
          </w:p>
        </w:tc>
        <w:tc>
          <w:tcPr>
            <w:tcW w:w="2280" w:type="dxa"/>
            <w:vAlign w:val="center"/>
          </w:tcPr>
          <w:p w14:paraId="6BF2B381">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不文明执勤或缺岗的</w:t>
            </w:r>
            <w:r>
              <w:rPr>
                <w:rFonts w:hint="eastAsia"/>
                <w:color w:val="auto"/>
                <w:sz w:val="20"/>
                <w:szCs w:val="20"/>
                <w:highlight w:val="none"/>
                <w:lang w:eastAsia="zh-CN"/>
              </w:rPr>
              <w:t>。</w:t>
            </w:r>
          </w:p>
        </w:tc>
        <w:tc>
          <w:tcPr>
            <w:tcW w:w="1185" w:type="dxa"/>
            <w:vAlign w:val="center"/>
          </w:tcPr>
          <w:p w14:paraId="42ACE042">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-0.1分/人次</w:t>
            </w:r>
          </w:p>
        </w:tc>
        <w:tc>
          <w:tcPr>
            <w:tcW w:w="690" w:type="dxa"/>
            <w:vAlign w:val="center"/>
          </w:tcPr>
          <w:p w14:paraId="69112F9F">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C11DA6A">
            <w:pPr>
              <w:jc w:val="center"/>
              <w:rPr>
                <w:rFonts w:asciiTheme="minorHAnsi" w:hAnsiTheme="minorHAnsi" w:eastAsiaTheme="minorEastAsia" w:cstheme="minorBidi"/>
                <w:color w:val="auto"/>
                <w:kern w:val="2"/>
                <w:sz w:val="20"/>
                <w:szCs w:val="20"/>
                <w:highlight w:val="none"/>
                <w:lang w:val="en-US" w:eastAsia="zh-CN" w:bidi="ar-SA"/>
              </w:rPr>
            </w:pPr>
          </w:p>
        </w:tc>
      </w:tr>
      <w:tr w14:paraId="50AC8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4979DEFB">
            <w:pPr>
              <w:jc w:val="cente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2</w:t>
            </w:r>
          </w:p>
        </w:tc>
        <w:tc>
          <w:tcPr>
            <w:tcW w:w="2610" w:type="dxa"/>
            <w:vMerge w:val="restart"/>
            <w:vAlign w:val="center"/>
          </w:tcPr>
          <w:p w14:paraId="5A51C197">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做好办公场所、营业场所停车场管理和车辆的进出及停放管理。劝阻、制止任何损害停放车辆的行为，引导、提醒车主按规定车位停放车辆，避免乱停、乱放机动车现象，严防机动车辆在办公场所、营业场所内被盗和被撞等事件的发生，劝阻、制止未经许可的人员、车辆、物资擅自出入办公场所、营业场所。</w:t>
            </w:r>
          </w:p>
        </w:tc>
        <w:tc>
          <w:tcPr>
            <w:tcW w:w="918" w:type="dxa"/>
            <w:vMerge w:val="restart"/>
            <w:vAlign w:val="center"/>
          </w:tcPr>
          <w:p w14:paraId="445A4A26">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2</w:t>
            </w:r>
          </w:p>
        </w:tc>
        <w:tc>
          <w:tcPr>
            <w:tcW w:w="2280" w:type="dxa"/>
            <w:vAlign w:val="center"/>
          </w:tcPr>
          <w:p w14:paraId="17C00851">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不执行管理规定，不引导、不提醒车主按规定车位停放车辆</w:t>
            </w:r>
            <w:r>
              <w:rPr>
                <w:rFonts w:hint="eastAsia"/>
                <w:color w:val="auto"/>
                <w:sz w:val="20"/>
                <w:szCs w:val="20"/>
                <w:highlight w:val="none"/>
                <w:lang w:eastAsia="zh-CN"/>
              </w:rPr>
              <w:t>。</w:t>
            </w:r>
          </w:p>
        </w:tc>
        <w:tc>
          <w:tcPr>
            <w:tcW w:w="1185" w:type="dxa"/>
            <w:vAlign w:val="center"/>
          </w:tcPr>
          <w:p w14:paraId="7F9D134A">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-0.2分/次</w:t>
            </w:r>
          </w:p>
        </w:tc>
        <w:tc>
          <w:tcPr>
            <w:tcW w:w="690" w:type="dxa"/>
            <w:vAlign w:val="center"/>
          </w:tcPr>
          <w:p w14:paraId="3FBF6A6A">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B3912F8">
            <w:pPr>
              <w:jc w:val="center"/>
              <w:rPr>
                <w:rFonts w:asciiTheme="minorHAnsi" w:hAnsiTheme="minorHAnsi" w:eastAsiaTheme="minorEastAsia" w:cstheme="minorBidi"/>
                <w:color w:val="auto"/>
                <w:kern w:val="2"/>
                <w:sz w:val="20"/>
                <w:szCs w:val="20"/>
                <w:highlight w:val="none"/>
                <w:lang w:val="en-US" w:eastAsia="zh-CN" w:bidi="ar-SA"/>
              </w:rPr>
            </w:pPr>
          </w:p>
        </w:tc>
      </w:tr>
      <w:tr w14:paraId="7D74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5C6C94C8">
            <w:pPr>
              <w:jc w:val="center"/>
              <w:rPr>
                <w:rFonts w:ascii="宋体" w:hAnsi="宋体" w:cs="宋体"/>
                <w:color w:val="auto"/>
                <w:sz w:val="20"/>
                <w:szCs w:val="20"/>
                <w:highlight w:val="none"/>
              </w:rPr>
            </w:pPr>
          </w:p>
        </w:tc>
        <w:tc>
          <w:tcPr>
            <w:tcW w:w="2610" w:type="dxa"/>
            <w:vMerge w:val="continue"/>
          </w:tcPr>
          <w:p w14:paraId="14034AED">
            <w:pPr>
              <w:rPr>
                <w:rFonts w:ascii="宋体" w:hAnsi="宋体" w:cs="宋体"/>
                <w:color w:val="auto"/>
                <w:sz w:val="20"/>
                <w:szCs w:val="20"/>
                <w:highlight w:val="none"/>
              </w:rPr>
            </w:pPr>
          </w:p>
        </w:tc>
        <w:tc>
          <w:tcPr>
            <w:tcW w:w="918" w:type="dxa"/>
            <w:vMerge w:val="continue"/>
          </w:tcPr>
          <w:p w14:paraId="49C88F04">
            <w:pPr>
              <w:jc w:val="center"/>
              <w:rPr>
                <w:rFonts w:hint="eastAsia" w:ascii="宋体" w:hAnsi="宋体" w:eastAsia="宋体" w:cs="宋体"/>
                <w:color w:val="auto"/>
                <w:sz w:val="20"/>
                <w:szCs w:val="20"/>
                <w:highlight w:val="none"/>
                <w:lang w:eastAsia="zh-CN"/>
              </w:rPr>
            </w:pPr>
          </w:p>
        </w:tc>
        <w:tc>
          <w:tcPr>
            <w:tcW w:w="2280" w:type="dxa"/>
            <w:vAlign w:val="center"/>
          </w:tcPr>
          <w:p w14:paraId="3E8F63FD">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yellow"/>
              </w:rPr>
              <w:t>不按采购方规定配置执勤人员上岗。</w:t>
            </w:r>
          </w:p>
        </w:tc>
        <w:tc>
          <w:tcPr>
            <w:tcW w:w="1185" w:type="dxa"/>
            <w:vAlign w:val="center"/>
          </w:tcPr>
          <w:p w14:paraId="27055D4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-0.2分/次</w:t>
            </w:r>
          </w:p>
        </w:tc>
        <w:tc>
          <w:tcPr>
            <w:tcW w:w="690" w:type="dxa"/>
            <w:vAlign w:val="center"/>
          </w:tcPr>
          <w:p w14:paraId="458C00F1">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FCAF6CA">
            <w:pPr>
              <w:rPr>
                <w:rFonts w:asciiTheme="minorHAnsi" w:hAnsiTheme="minorHAnsi" w:eastAsiaTheme="minorEastAsia" w:cstheme="minorBidi"/>
                <w:color w:val="auto"/>
                <w:kern w:val="2"/>
                <w:sz w:val="20"/>
                <w:szCs w:val="20"/>
                <w:highlight w:val="none"/>
                <w:lang w:val="en-US" w:eastAsia="zh-CN" w:bidi="ar-SA"/>
              </w:rPr>
            </w:pPr>
          </w:p>
        </w:tc>
      </w:tr>
      <w:tr w14:paraId="5682C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20553722">
            <w:pPr>
              <w:jc w:val="center"/>
              <w:rPr>
                <w:rFonts w:ascii="宋体" w:hAnsi="宋体" w:cs="宋体"/>
                <w:color w:val="auto"/>
                <w:sz w:val="20"/>
                <w:szCs w:val="20"/>
                <w:highlight w:val="none"/>
              </w:rPr>
            </w:pPr>
          </w:p>
        </w:tc>
        <w:tc>
          <w:tcPr>
            <w:tcW w:w="2610" w:type="dxa"/>
            <w:vMerge w:val="continue"/>
          </w:tcPr>
          <w:p w14:paraId="39307183">
            <w:pPr>
              <w:rPr>
                <w:rFonts w:ascii="宋体" w:hAnsi="宋体" w:cs="宋体"/>
                <w:color w:val="auto"/>
                <w:sz w:val="20"/>
                <w:szCs w:val="20"/>
                <w:highlight w:val="none"/>
              </w:rPr>
            </w:pPr>
          </w:p>
        </w:tc>
        <w:tc>
          <w:tcPr>
            <w:tcW w:w="918" w:type="dxa"/>
            <w:vMerge w:val="continue"/>
          </w:tcPr>
          <w:p w14:paraId="468EE817">
            <w:pPr>
              <w:jc w:val="center"/>
              <w:rPr>
                <w:rFonts w:hint="eastAsia" w:ascii="宋体" w:hAnsi="宋体" w:eastAsia="宋体" w:cs="宋体"/>
                <w:color w:val="auto"/>
                <w:sz w:val="20"/>
                <w:szCs w:val="20"/>
                <w:highlight w:val="none"/>
                <w:lang w:eastAsia="zh-CN"/>
              </w:rPr>
            </w:pPr>
          </w:p>
        </w:tc>
        <w:tc>
          <w:tcPr>
            <w:tcW w:w="2280" w:type="dxa"/>
            <w:vAlign w:val="center"/>
          </w:tcPr>
          <w:p w14:paraId="53231060">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不劝阻、制止未经许可的人员、车辆、物资擅自出入办公场所、营业场所，影响到内部治安管理秩序的</w:t>
            </w:r>
            <w:r>
              <w:rPr>
                <w:rFonts w:hint="eastAsia"/>
                <w:color w:val="auto"/>
                <w:sz w:val="20"/>
                <w:szCs w:val="20"/>
                <w:highlight w:val="none"/>
                <w:lang w:eastAsia="zh-CN"/>
              </w:rPr>
              <w:t>。</w:t>
            </w:r>
          </w:p>
        </w:tc>
        <w:tc>
          <w:tcPr>
            <w:tcW w:w="1185" w:type="dxa"/>
            <w:vAlign w:val="center"/>
          </w:tcPr>
          <w:p w14:paraId="466D972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-0.2分/次</w:t>
            </w:r>
          </w:p>
        </w:tc>
        <w:tc>
          <w:tcPr>
            <w:tcW w:w="690" w:type="dxa"/>
            <w:vAlign w:val="center"/>
          </w:tcPr>
          <w:p w14:paraId="3F8D0A2F">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3033E64">
            <w:pPr>
              <w:jc w:val="center"/>
              <w:rPr>
                <w:rFonts w:asciiTheme="minorHAnsi" w:hAnsiTheme="minorHAnsi" w:eastAsiaTheme="minorEastAsia" w:cstheme="minorBidi"/>
                <w:color w:val="auto"/>
                <w:kern w:val="2"/>
                <w:sz w:val="20"/>
                <w:szCs w:val="20"/>
                <w:highlight w:val="none"/>
                <w:lang w:val="en-US" w:eastAsia="zh-CN" w:bidi="ar-SA"/>
              </w:rPr>
            </w:pPr>
          </w:p>
        </w:tc>
      </w:tr>
      <w:tr w14:paraId="4388F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6F7AC982">
            <w:pPr>
              <w:jc w:val="center"/>
              <w:rPr>
                <w:rFonts w:ascii="宋体" w:hAnsi="宋体" w:cs="宋体"/>
                <w:color w:val="auto"/>
                <w:sz w:val="20"/>
                <w:szCs w:val="20"/>
                <w:highlight w:val="none"/>
              </w:rPr>
            </w:pPr>
          </w:p>
        </w:tc>
        <w:tc>
          <w:tcPr>
            <w:tcW w:w="2610" w:type="dxa"/>
            <w:vMerge w:val="continue"/>
          </w:tcPr>
          <w:p w14:paraId="77E812DF">
            <w:pPr>
              <w:rPr>
                <w:rFonts w:ascii="宋体" w:hAnsi="宋体" w:cs="宋体"/>
                <w:color w:val="auto"/>
                <w:sz w:val="20"/>
                <w:szCs w:val="20"/>
                <w:highlight w:val="none"/>
              </w:rPr>
            </w:pPr>
          </w:p>
        </w:tc>
        <w:tc>
          <w:tcPr>
            <w:tcW w:w="918" w:type="dxa"/>
            <w:vMerge w:val="continue"/>
          </w:tcPr>
          <w:p w14:paraId="158C6EAE">
            <w:pPr>
              <w:jc w:val="center"/>
              <w:rPr>
                <w:rFonts w:hint="eastAsia" w:ascii="宋体" w:hAnsi="宋体" w:eastAsia="宋体" w:cs="宋体"/>
                <w:color w:val="auto"/>
                <w:sz w:val="20"/>
                <w:szCs w:val="20"/>
                <w:highlight w:val="none"/>
                <w:lang w:eastAsia="zh-CN"/>
              </w:rPr>
            </w:pPr>
          </w:p>
        </w:tc>
        <w:tc>
          <w:tcPr>
            <w:tcW w:w="2280" w:type="dxa"/>
            <w:vAlign w:val="center"/>
          </w:tcPr>
          <w:p w14:paraId="57FCB8F3">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发生机动车辆被盗</w:t>
            </w:r>
            <w:r>
              <w:rPr>
                <w:rFonts w:hint="eastAsia"/>
                <w:color w:val="auto"/>
                <w:sz w:val="20"/>
                <w:szCs w:val="20"/>
                <w:highlight w:val="none"/>
                <w:lang w:eastAsia="zh-CN"/>
              </w:rPr>
              <w:t>。</w:t>
            </w:r>
          </w:p>
        </w:tc>
        <w:tc>
          <w:tcPr>
            <w:tcW w:w="1185" w:type="dxa"/>
            <w:vAlign w:val="center"/>
          </w:tcPr>
          <w:p w14:paraId="331231D8">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0.4</w:t>
            </w:r>
            <w:r>
              <w:rPr>
                <w:rFonts w:hint="eastAsia" w:ascii="宋体" w:hAnsi="宋体" w:cs="宋体"/>
                <w:color w:val="auto"/>
                <w:sz w:val="20"/>
                <w:szCs w:val="20"/>
                <w:highlight w:val="none"/>
              </w:rPr>
              <w:t>分/辆</w:t>
            </w:r>
          </w:p>
        </w:tc>
        <w:tc>
          <w:tcPr>
            <w:tcW w:w="690" w:type="dxa"/>
            <w:vAlign w:val="center"/>
          </w:tcPr>
          <w:p w14:paraId="71160A4B">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DDFE057">
            <w:pPr>
              <w:jc w:val="center"/>
              <w:rPr>
                <w:rFonts w:asciiTheme="minorHAnsi" w:hAnsiTheme="minorHAnsi" w:eastAsiaTheme="minorEastAsia" w:cstheme="minorBidi"/>
                <w:color w:val="auto"/>
                <w:kern w:val="2"/>
                <w:sz w:val="20"/>
                <w:szCs w:val="20"/>
                <w:highlight w:val="none"/>
                <w:lang w:val="en-US" w:eastAsia="zh-CN" w:bidi="ar-SA"/>
              </w:rPr>
            </w:pPr>
          </w:p>
        </w:tc>
      </w:tr>
      <w:tr w14:paraId="26ABC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2FBB685F">
            <w:pPr>
              <w:jc w:val="cente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3</w:t>
            </w:r>
          </w:p>
        </w:tc>
        <w:tc>
          <w:tcPr>
            <w:tcW w:w="2610" w:type="dxa"/>
            <w:vMerge w:val="restart"/>
            <w:vAlign w:val="center"/>
          </w:tcPr>
          <w:p w14:paraId="33B5C988">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严格执行防监控管理规定，做好值班监控工作。交接班记录清楚、资料记录完好。</w:t>
            </w:r>
          </w:p>
        </w:tc>
        <w:tc>
          <w:tcPr>
            <w:tcW w:w="918" w:type="dxa"/>
            <w:vMerge w:val="restart"/>
            <w:vAlign w:val="center"/>
          </w:tcPr>
          <w:p w14:paraId="4D51283D">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4642843F">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不落实监控管理制度的</w:t>
            </w:r>
            <w:r>
              <w:rPr>
                <w:rFonts w:hint="eastAsia"/>
                <w:color w:val="auto"/>
                <w:sz w:val="20"/>
                <w:szCs w:val="20"/>
                <w:highlight w:val="none"/>
                <w:lang w:eastAsia="zh-CN"/>
              </w:rPr>
              <w:t>。</w:t>
            </w:r>
          </w:p>
        </w:tc>
        <w:tc>
          <w:tcPr>
            <w:tcW w:w="1185" w:type="dxa"/>
            <w:vAlign w:val="center"/>
          </w:tcPr>
          <w:p w14:paraId="3260D2BA">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125EADE0">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20A3B276">
            <w:pPr>
              <w:jc w:val="center"/>
              <w:rPr>
                <w:rFonts w:asciiTheme="minorHAnsi" w:hAnsiTheme="minorHAnsi" w:eastAsiaTheme="minorEastAsia" w:cstheme="minorBidi"/>
                <w:color w:val="auto"/>
                <w:kern w:val="2"/>
                <w:sz w:val="20"/>
                <w:szCs w:val="20"/>
                <w:highlight w:val="none"/>
                <w:lang w:val="en-US" w:eastAsia="zh-CN" w:bidi="ar-SA"/>
              </w:rPr>
            </w:pPr>
          </w:p>
        </w:tc>
      </w:tr>
      <w:tr w14:paraId="4088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635ED672">
            <w:pPr>
              <w:jc w:val="center"/>
              <w:rPr>
                <w:rFonts w:ascii="宋体" w:hAnsi="宋体" w:cs="宋体"/>
                <w:color w:val="auto"/>
                <w:sz w:val="20"/>
                <w:szCs w:val="20"/>
                <w:highlight w:val="none"/>
              </w:rPr>
            </w:pPr>
          </w:p>
        </w:tc>
        <w:tc>
          <w:tcPr>
            <w:tcW w:w="2610" w:type="dxa"/>
            <w:vMerge w:val="continue"/>
          </w:tcPr>
          <w:p w14:paraId="41E24C8D">
            <w:pPr>
              <w:rPr>
                <w:rFonts w:ascii="宋体" w:hAnsi="宋体" w:cs="宋体"/>
                <w:color w:val="auto"/>
                <w:sz w:val="20"/>
                <w:szCs w:val="20"/>
                <w:highlight w:val="none"/>
              </w:rPr>
            </w:pPr>
          </w:p>
        </w:tc>
        <w:tc>
          <w:tcPr>
            <w:tcW w:w="918" w:type="dxa"/>
            <w:vMerge w:val="continue"/>
          </w:tcPr>
          <w:p w14:paraId="4466BAB6">
            <w:pPr>
              <w:jc w:val="center"/>
              <w:rPr>
                <w:rFonts w:hint="eastAsia" w:ascii="宋体" w:hAnsi="宋体" w:eastAsia="宋体" w:cs="宋体"/>
                <w:color w:val="auto"/>
                <w:sz w:val="20"/>
                <w:szCs w:val="20"/>
                <w:highlight w:val="none"/>
                <w:lang w:eastAsia="zh-CN"/>
              </w:rPr>
            </w:pPr>
          </w:p>
        </w:tc>
        <w:tc>
          <w:tcPr>
            <w:tcW w:w="2280" w:type="dxa"/>
            <w:vAlign w:val="center"/>
          </w:tcPr>
          <w:p w14:paraId="32425815">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交接班记录不清楚、记录不完好的</w:t>
            </w:r>
            <w:r>
              <w:rPr>
                <w:rFonts w:hint="eastAsia"/>
                <w:color w:val="auto"/>
                <w:sz w:val="20"/>
                <w:szCs w:val="20"/>
                <w:highlight w:val="none"/>
                <w:lang w:eastAsia="zh-CN"/>
              </w:rPr>
              <w:t>。</w:t>
            </w:r>
          </w:p>
        </w:tc>
        <w:tc>
          <w:tcPr>
            <w:tcW w:w="1185" w:type="dxa"/>
            <w:vAlign w:val="center"/>
          </w:tcPr>
          <w:p w14:paraId="456A38FE">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79424119">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4122557">
            <w:pPr>
              <w:jc w:val="center"/>
              <w:rPr>
                <w:rFonts w:asciiTheme="minorHAnsi" w:hAnsiTheme="minorHAnsi" w:eastAsiaTheme="minorEastAsia" w:cstheme="minorBidi"/>
                <w:color w:val="auto"/>
                <w:kern w:val="2"/>
                <w:sz w:val="20"/>
                <w:szCs w:val="20"/>
                <w:highlight w:val="none"/>
                <w:lang w:val="en-US" w:eastAsia="zh-CN" w:bidi="ar-SA"/>
              </w:rPr>
            </w:pPr>
          </w:p>
        </w:tc>
      </w:tr>
      <w:tr w14:paraId="7EEF5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1360B79">
            <w:pPr>
              <w:jc w:val="center"/>
              <w:rPr>
                <w:rFonts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三</w:t>
            </w:r>
          </w:p>
        </w:tc>
        <w:tc>
          <w:tcPr>
            <w:tcW w:w="2610" w:type="dxa"/>
            <w:vAlign w:val="center"/>
          </w:tcPr>
          <w:p w14:paraId="55E58AC8">
            <w:pPr>
              <w:rPr>
                <w:rFonts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秩序维护管理</w:t>
            </w:r>
          </w:p>
        </w:tc>
        <w:tc>
          <w:tcPr>
            <w:tcW w:w="918" w:type="dxa"/>
            <w:vAlign w:val="center"/>
          </w:tcPr>
          <w:p w14:paraId="30C47F2D">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b/>
                <w:bCs/>
                <w:color w:val="auto"/>
                <w:sz w:val="20"/>
                <w:szCs w:val="20"/>
                <w:highlight w:val="none"/>
                <w:lang w:val="en-US" w:eastAsia="zh-CN"/>
              </w:rPr>
              <w:t>6</w:t>
            </w:r>
          </w:p>
        </w:tc>
        <w:tc>
          <w:tcPr>
            <w:tcW w:w="2280" w:type="dxa"/>
            <w:vAlign w:val="center"/>
          </w:tcPr>
          <w:p w14:paraId="41F51A4C">
            <w:pPr>
              <w:rPr>
                <w:rFonts w:hint="eastAsia" w:asciiTheme="minorHAnsi" w:hAnsiTheme="minorHAnsi" w:eastAsiaTheme="minorEastAsia" w:cstheme="minorBidi"/>
                <w:b/>
                <w:color w:val="auto"/>
                <w:kern w:val="2"/>
                <w:sz w:val="20"/>
                <w:szCs w:val="20"/>
                <w:highlight w:val="none"/>
                <w:lang w:val="en-US" w:eastAsia="zh-CN" w:bidi="ar-SA"/>
              </w:rPr>
            </w:pPr>
          </w:p>
        </w:tc>
        <w:tc>
          <w:tcPr>
            <w:tcW w:w="1185" w:type="dxa"/>
            <w:vAlign w:val="center"/>
          </w:tcPr>
          <w:p w14:paraId="1AF3A8C7">
            <w:pPr>
              <w:jc w:val="left"/>
              <w:rPr>
                <w:rFonts w:hint="eastAsia" w:ascii="宋体" w:hAnsi="宋体" w:cs="宋体" w:eastAsiaTheme="minorEastAsia"/>
                <w:color w:val="auto"/>
                <w:kern w:val="2"/>
                <w:sz w:val="20"/>
                <w:szCs w:val="20"/>
                <w:highlight w:val="none"/>
                <w:lang w:val="en-US" w:eastAsia="zh-CN" w:bidi="ar-SA"/>
              </w:rPr>
            </w:pPr>
          </w:p>
        </w:tc>
        <w:tc>
          <w:tcPr>
            <w:tcW w:w="690" w:type="dxa"/>
            <w:vAlign w:val="center"/>
          </w:tcPr>
          <w:p w14:paraId="5DDBE5AC">
            <w:pPr>
              <w:jc w:val="left"/>
              <w:rPr>
                <w:rFonts w:ascii="宋体" w:hAnsi="宋体" w:cs="宋体" w:eastAsiaTheme="minorEastAsia"/>
                <w:b/>
                <w:color w:val="auto"/>
                <w:kern w:val="2"/>
                <w:sz w:val="20"/>
                <w:szCs w:val="20"/>
                <w:highlight w:val="none"/>
                <w:lang w:val="en-US" w:eastAsia="zh-CN" w:bidi="ar-SA"/>
              </w:rPr>
            </w:pPr>
          </w:p>
        </w:tc>
        <w:tc>
          <w:tcPr>
            <w:tcW w:w="855" w:type="dxa"/>
            <w:vAlign w:val="center"/>
          </w:tcPr>
          <w:p w14:paraId="4B068D9F">
            <w:pPr>
              <w:jc w:val="center"/>
              <w:rPr>
                <w:rFonts w:asciiTheme="minorHAnsi" w:hAnsiTheme="minorHAnsi" w:eastAsiaTheme="minorEastAsia" w:cstheme="minorBidi"/>
                <w:b/>
                <w:color w:val="auto"/>
                <w:kern w:val="2"/>
                <w:sz w:val="20"/>
                <w:szCs w:val="20"/>
                <w:highlight w:val="none"/>
                <w:lang w:val="en-US" w:eastAsia="zh-CN" w:bidi="ar-SA"/>
              </w:rPr>
            </w:pPr>
          </w:p>
        </w:tc>
      </w:tr>
      <w:tr w14:paraId="146DC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6AFB9FFF">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1</w:t>
            </w:r>
          </w:p>
        </w:tc>
        <w:tc>
          <w:tcPr>
            <w:tcW w:w="2610" w:type="dxa"/>
            <w:vMerge w:val="restart"/>
            <w:vAlign w:val="center"/>
          </w:tcPr>
          <w:p w14:paraId="300A45DC">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加强对各个勤务岗点检查，做到勤务规范。值班交接清楚、记录内容齐全。</w:t>
            </w:r>
          </w:p>
        </w:tc>
        <w:tc>
          <w:tcPr>
            <w:tcW w:w="918" w:type="dxa"/>
            <w:vMerge w:val="restart"/>
            <w:vAlign w:val="center"/>
          </w:tcPr>
          <w:p w14:paraId="19B1AB69">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989FF39">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检查岗点勤务不规范</w:t>
            </w:r>
            <w:r>
              <w:rPr>
                <w:rFonts w:hint="eastAsia"/>
                <w:color w:val="auto"/>
                <w:sz w:val="20"/>
                <w:szCs w:val="20"/>
                <w:highlight w:val="none"/>
                <w:lang w:eastAsia="zh-CN"/>
              </w:rPr>
              <w:t>。</w:t>
            </w:r>
          </w:p>
        </w:tc>
        <w:tc>
          <w:tcPr>
            <w:tcW w:w="1185" w:type="dxa"/>
            <w:vAlign w:val="center"/>
          </w:tcPr>
          <w:p w14:paraId="20E98E82">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3D139939">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45A1BA14">
            <w:pPr>
              <w:jc w:val="center"/>
              <w:rPr>
                <w:rFonts w:asciiTheme="minorHAnsi" w:hAnsiTheme="minorHAnsi" w:eastAsiaTheme="minorEastAsia" w:cstheme="minorBidi"/>
                <w:color w:val="auto"/>
                <w:kern w:val="2"/>
                <w:sz w:val="20"/>
                <w:szCs w:val="20"/>
                <w:highlight w:val="none"/>
                <w:lang w:val="en-US" w:eastAsia="zh-CN" w:bidi="ar-SA"/>
              </w:rPr>
            </w:pPr>
          </w:p>
        </w:tc>
      </w:tr>
      <w:tr w14:paraId="49914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6CFBA935">
            <w:pPr>
              <w:jc w:val="center"/>
              <w:rPr>
                <w:rFonts w:ascii="宋体" w:hAnsi="宋体" w:cs="宋体"/>
                <w:color w:val="auto"/>
                <w:sz w:val="20"/>
                <w:szCs w:val="20"/>
                <w:highlight w:val="none"/>
              </w:rPr>
            </w:pPr>
          </w:p>
        </w:tc>
        <w:tc>
          <w:tcPr>
            <w:tcW w:w="2610" w:type="dxa"/>
            <w:vMerge w:val="continue"/>
          </w:tcPr>
          <w:p w14:paraId="1B585F02">
            <w:pPr>
              <w:rPr>
                <w:rFonts w:ascii="宋体" w:hAnsi="宋体" w:cs="宋体"/>
                <w:color w:val="auto"/>
                <w:sz w:val="20"/>
                <w:szCs w:val="20"/>
                <w:highlight w:val="none"/>
              </w:rPr>
            </w:pPr>
          </w:p>
        </w:tc>
        <w:tc>
          <w:tcPr>
            <w:tcW w:w="918" w:type="dxa"/>
            <w:vMerge w:val="continue"/>
          </w:tcPr>
          <w:p w14:paraId="2CD7A218">
            <w:pPr>
              <w:jc w:val="center"/>
              <w:rPr>
                <w:rFonts w:hint="eastAsia" w:ascii="宋体" w:hAnsi="宋体" w:eastAsia="宋体" w:cs="宋体"/>
                <w:color w:val="auto"/>
                <w:sz w:val="20"/>
                <w:szCs w:val="20"/>
                <w:highlight w:val="none"/>
                <w:lang w:eastAsia="zh-CN"/>
              </w:rPr>
            </w:pPr>
          </w:p>
        </w:tc>
        <w:tc>
          <w:tcPr>
            <w:tcW w:w="2280" w:type="dxa"/>
            <w:vAlign w:val="center"/>
          </w:tcPr>
          <w:p w14:paraId="7B886070">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无交接班记录、或记录内容不齐全的</w:t>
            </w:r>
            <w:r>
              <w:rPr>
                <w:rFonts w:hint="eastAsia"/>
                <w:color w:val="auto"/>
                <w:sz w:val="20"/>
                <w:szCs w:val="20"/>
                <w:highlight w:val="none"/>
                <w:lang w:eastAsia="zh-CN"/>
              </w:rPr>
              <w:t>。</w:t>
            </w:r>
          </w:p>
        </w:tc>
        <w:tc>
          <w:tcPr>
            <w:tcW w:w="1185" w:type="dxa"/>
            <w:vAlign w:val="center"/>
          </w:tcPr>
          <w:p w14:paraId="543F2D51">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213B9C01">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0C2545EC">
            <w:pPr>
              <w:jc w:val="center"/>
              <w:rPr>
                <w:rFonts w:asciiTheme="minorHAnsi" w:hAnsiTheme="minorHAnsi" w:eastAsiaTheme="minorEastAsia" w:cstheme="minorBidi"/>
                <w:color w:val="auto"/>
                <w:kern w:val="2"/>
                <w:sz w:val="20"/>
                <w:szCs w:val="20"/>
                <w:highlight w:val="none"/>
                <w:lang w:val="en-US" w:eastAsia="zh-CN" w:bidi="ar-SA"/>
              </w:rPr>
            </w:pPr>
          </w:p>
        </w:tc>
      </w:tr>
      <w:tr w14:paraId="4648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55139DED">
            <w:pPr>
              <w:jc w:val="center"/>
              <w:rPr>
                <w:rFonts w:ascii="宋体" w:hAnsi="宋体" w:cs="宋体"/>
                <w:color w:val="auto"/>
                <w:sz w:val="20"/>
                <w:szCs w:val="20"/>
                <w:highlight w:val="none"/>
              </w:rPr>
            </w:pPr>
          </w:p>
        </w:tc>
        <w:tc>
          <w:tcPr>
            <w:tcW w:w="2610" w:type="dxa"/>
            <w:vMerge w:val="continue"/>
          </w:tcPr>
          <w:p w14:paraId="0D2FE529">
            <w:pPr>
              <w:rPr>
                <w:rFonts w:ascii="宋体" w:hAnsi="宋体" w:cs="宋体"/>
                <w:color w:val="auto"/>
                <w:sz w:val="20"/>
                <w:szCs w:val="20"/>
                <w:highlight w:val="none"/>
              </w:rPr>
            </w:pPr>
          </w:p>
        </w:tc>
        <w:tc>
          <w:tcPr>
            <w:tcW w:w="918" w:type="dxa"/>
            <w:vMerge w:val="continue"/>
          </w:tcPr>
          <w:p w14:paraId="0AC6DA7C">
            <w:pPr>
              <w:jc w:val="center"/>
              <w:rPr>
                <w:rFonts w:hint="eastAsia" w:ascii="宋体" w:hAnsi="宋体" w:eastAsia="宋体" w:cs="宋体"/>
                <w:color w:val="auto"/>
                <w:sz w:val="20"/>
                <w:szCs w:val="20"/>
                <w:highlight w:val="none"/>
                <w:lang w:eastAsia="zh-CN"/>
              </w:rPr>
            </w:pPr>
          </w:p>
        </w:tc>
        <w:tc>
          <w:tcPr>
            <w:tcW w:w="2280" w:type="dxa"/>
            <w:vAlign w:val="center"/>
          </w:tcPr>
          <w:p w14:paraId="16FC4118">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值勤时睡觉的</w:t>
            </w:r>
            <w:r>
              <w:rPr>
                <w:rFonts w:hint="eastAsia"/>
                <w:color w:val="auto"/>
                <w:sz w:val="20"/>
                <w:szCs w:val="20"/>
                <w:highlight w:val="none"/>
                <w:lang w:eastAsia="zh-CN"/>
              </w:rPr>
              <w:t>。</w:t>
            </w:r>
          </w:p>
        </w:tc>
        <w:tc>
          <w:tcPr>
            <w:tcW w:w="1185" w:type="dxa"/>
            <w:vAlign w:val="center"/>
          </w:tcPr>
          <w:p w14:paraId="7B771CE0">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47995E67">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7785B4B">
            <w:pPr>
              <w:jc w:val="center"/>
              <w:rPr>
                <w:rFonts w:asciiTheme="minorHAnsi" w:hAnsiTheme="minorHAnsi" w:eastAsiaTheme="minorEastAsia" w:cstheme="minorBidi"/>
                <w:color w:val="auto"/>
                <w:kern w:val="2"/>
                <w:sz w:val="20"/>
                <w:szCs w:val="20"/>
                <w:highlight w:val="none"/>
                <w:lang w:val="en-US" w:eastAsia="zh-CN" w:bidi="ar-SA"/>
              </w:rPr>
            </w:pPr>
          </w:p>
        </w:tc>
      </w:tr>
      <w:tr w14:paraId="0F6D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EC28D6F">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2</w:t>
            </w:r>
          </w:p>
        </w:tc>
        <w:tc>
          <w:tcPr>
            <w:tcW w:w="2610" w:type="dxa"/>
            <w:vAlign w:val="center"/>
          </w:tcPr>
          <w:p w14:paraId="0C569CF2">
            <w:pPr>
              <w:jc w:val="left"/>
              <w:rPr>
                <w:rFonts w:hint="default"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秩序维护人员每月考核1次。</w:t>
            </w:r>
          </w:p>
        </w:tc>
        <w:tc>
          <w:tcPr>
            <w:tcW w:w="918" w:type="dxa"/>
            <w:vAlign w:val="center"/>
          </w:tcPr>
          <w:p w14:paraId="38490263">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29F6B98D">
            <w:pPr>
              <w:jc w:val="left"/>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秩序维护人员缺岗</w:t>
            </w:r>
            <w:r>
              <w:rPr>
                <w:rFonts w:hint="eastAsia"/>
                <w:color w:val="auto"/>
                <w:sz w:val="20"/>
                <w:szCs w:val="20"/>
                <w:highlight w:val="none"/>
                <w:lang w:eastAsia="zh-CN"/>
              </w:rPr>
              <w:t>。</w:t>
            </w:r>
          </w:p>
        </w:tc>
        <w:tc>
          <w:tcPr>
            <w:tcW w:w="1185" w:type="dxa"/>
            <w:vAlign w:val="center"/>
          </w:tcPr>
          <w:p w14:paraId="2D2B63D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分/人次</w:t>
            </w:r>
          </w:p>
        </w:tc>
        <w:tc>
          <w:tcPr>
            <w:tcW w:w="690" w:type="dxa"/>
            <w:vAlign w:val="center"/>
          </w:tcPr>
          <w:p w14:paraId="45AC3085">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29721293">
            <w:pPr>
              <w:rPr>
                <w:rFonts w:asciiTheme="minorHAnsi" w:hAnsiTheme="minorHAnsi" w:eastAsiaTheme="minorEastAsia" w:cstheme="minorBidi"/>
                <w:color w:val="auto"/>
                <w:kern w:val="2"/>
                <w:sz w:val="20"/>
                <w:szCs w:val="20"/>
                <w:highlight w:val="none"/>
                <w:lang w:val="en-US" w:eastAsia="zh-CN" w:bidi="ar-SA"/>
              </w:rPr>
            </w:pPr>
          </w:p>
        </w:tc>
      </w:tr>
      <w:tr w14:paraId="6B84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66A13E6F">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3</w:t>
            </w:r>
          </w:p>
        </w:tc>
        <w:tc>
          <w:tcPr>
            <w:tcW w:w="2610" w:type="dxa"/>
            <w:vMerge w:val="restart"/>
            <w:vAlign w:val="center"/>
          </w:tcPr>
          <w:p w14:paraId="38DE2074">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eastAsia="zh-CN"/>
              </w:rPr>
              <w:t>服务商</w:t>
            </w:r>
            <w:r>
              <w:rPr>
                <w:rFonts w:hint="eastAsia"/>
                <w:color w:val="auto"/>
                <w:sz w:val="20"/>
                <w:szCs w:val="20"/>
                <w:highlight w:val="none"/>
              </w:rPr>
              <w:t>应对</w:t>
            </w:r>
            <w:r>
              <w:rPr>
                <w:rFonts w:hint="eastAsia"/>
                <w:color w:val="auto"/>
                <w:sz w:val="20"/>
                <w:szCs w:val="20"/>
                <w:highlight w:val="none"/>
                <w:lang w:eastAsia="zh-CN"/>
              </w:rPr>
              <w:t>采购方</w:t>
            </w:r>
            <w:r>
              <w:rPr>
                <w:rFonts w:hint="eastAsia"/>
                <w:color w:val="auto"/>
                <w:sz w:val="20"/>
                <w:szCs w:val="20"/>
                <w:highlight w:val="none"/>
              </w:rPr>
              <w:t>布置的工作要求、任务予以积极响应。做到对</w:t>
            </w:r>
            <w:r>
              <w:rPr>
                <w:rFonts w:hint="eastAsia"/>
                <w:color w:val="auto"/>
                <w:sz w:val="20"/>
                <w:szCs w:val="20"/>
                <w:highlight w:val="none"/>
                <w:lang w:eastAsia="zh-CN"/>
              </w:rPr>
              <w:t>采购方</w:t>
            </w:r>
            <w:r>
              <w:rPr>
                <w:rFonts w:hint="eastAsia"/>
                <w:color w:val="auto"/>
                <w:sz w:val="20"/>
                <w:szCs w:val="20"/>
                <w:highlight w:val="none"/>
              </w:rPr>
              <w:t>布置的工作要求、任务有落实，有反馈。</w:t>
            </w:r>
          </w:p>
        </w:tc>
        <w:tc>
          <w:tcPr>
            <w:tcW w:w="918" w:type="dxa"/>
            <w:vMerge w:val="restart"/>
            <w:vAlign w:val="center"/>
          </w:tcPr>
          <w:p w14:paraId="27CB6AF6">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4</w:t>
            </w:r>
          </w:p>
        </w:tc>
        <w:tc>
          <w:tcPr>
            <w:tcW w:w="2280" w:type="dxa"/>
            <w:vAlign w:val="center"/>
          </w:tcPr>
          <w:p w14:paraId="59664791">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1185" w:type="dxa"/>
            <w:vAlign w:val="center"/>
          </w:tcPr>
          <w:p w14:paraId="576B7D0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690" w:type="dxa"/>
            <w:vAlign w:val="center"/>
          </w:tcPr>
          <w:p w14:paraId="2B055074">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BB690CE">
            <w:pPr>
              <w:rPr>
                <w:rFonts w:asciiTheme="minorHAnsi" w:hAnsiTheme="minorHAnsi" w:eastAsiaTheme="minorEastAsia" w:cstheme="minorBidi"/>
                <w:color w:val="auto"/>
                <w:kern w:val="2"/>
                <w:sz w:val="20"/>
                <w:szCs w:val="20"/>
                <w:highlight w:val="none"/>
                <w:lang w:val="en-US" w:eastAsia="zh-CN" w:bidi="ar-SA"/>
              </w:rPr>
            </w:pPr>
          </w:p>
        </w:tc>
      </w:tr>
      <w:tr w14:paraId="6164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30BC080E">
            <w:pPr>
              <w:jc w:val="center"/>
              <w:rPr>
                <w:rFonts w:ascii="宋体" w:hAnsi="宋体" w:cs="宋体"/>
                <w:color w:val="auto"/>
                <w:sz w:val="20"/>
                <w:szCs w:val="20"/>
                <w:highlight w:val="none"/>
              </w:rPr>
            </w:pPr>
          </w:p>
        </w:tc>
        <w:tc>
          <w:tcPr>
            <w:tcW w:w="2610" w:type="dxa"/>
            <w:vMerge w:val="continue"/>
          </w:tcPr>
          <w:p w14:paraId="00E83B42">
            <w:pPr>
              <w:rPr>
                <w:rFonts w:ascii="宋体" w:hAnsi="宋体" w:cs="宋体"/>
                <w:color w:val="auto"/>
                <w:sz w:val="20"/>
                <w:szCs w:val="20"/>
                <w:highlight w:val="none"/>
              </w:rPr>
            </w:pPr>
          </w:p>
        </w:tc>
        <w:tc>
          <w:tcPr>
            <w:tcW w:w="918" w:type="dxa"/>
            <w:vMerge w:val="continue"/>
          </w:tcPr>
          <w:p w14:paraId="3933E0A3">
            <w:pPr>
              <w:jc w:val="center"/>
              <w:rPr>
                <w:rFonts w:hint="eastAsia" w:ascii="宋体" w:hAnsi="宋体" w:eastAsia="宋体" w:cs="宋体"/>
                <w:color w:val="auto"/>
                <w:sz w:val="20"/>
                <w:szCs w:val="20"/>
                <w:highlight w:val="none"/>
                <w:lang w:eastAsia="zh-CN"/>
              </w:rPr>
            </w:pPr>
          </w:p>
        </w:tc>
        <w:tc>
          <w:tcPr>
            <w:tcW w:w="2280" w:type="dxa"/>
            <w:vAlign w:val="center"/>
          </w:tcPr>
          <w:p w14:paraId="0E81647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1185" w:type="dxa"/>
            <w:vAlign w:val="center"/>
          </w:tcPr>
          <w:p w14:paraId="73BFFAA0">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690" w:type="dxa"/>
            <w:vAlign w:val="center"/>
          </w:tcPr>
          <w:p w14:paraId="1765E855">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731A1203">
            <w:pPr>
              <w:rPr>
                <w:rFonts w:asciiTheme="minorHAnsi" w:hAnsiTheme="minorHAnsi" w:eastAsiaTheme="minorEastAsia" w:cstheme="minorBidi"/>
                <w:color w:val="auto"/>
                <w:kern w:val="2"/>
                <w:sz w:val="20"/>
                <w:szCs w:val="20"/>
                <w:highlight w:val="none"/>
                <w:lang w:val="en-US" w:eastAsia="zh-CN" w:bidi="ar-SA"/>
              </w:rPr>
            </w:pPr>
          </w:p>
        </w:tc>
      </w:tr>
      <w:tr w14:paraId="0C28D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650A8E76">
            <w:pPr>
              <w:jc w:val="center"/>
              <w:rPr>
                <w:rFonts w:ascii="宋体" w:hAnsi="宋体" w:cs="宋体"/>
                <w:color w:val="auto"/>
                <w:sz w:val="20"/>
                <w:szCs w:val="20"/>
                <w:highlight w:val="none"/>
              </w:rPr>
            </w:pPr>
          </w:p>
        </w:tc>
        <w:tc>
          <w:tcPr>
            <w:tcW w:w="2610" w:type="dxa"/>
            <w:vMerge w:val="continue"/>
          </w:tcPr>
          <w:p w14:paraId="6211CF76">
            <w:pPr>
              <w:rPr>
                <w:rFonts w:ascii="宋体" w:hAnsi="宋体" w:cs="宋体"/>
                <w:color w:val="auto"/>
                <w:sz w:val="20"/>
                <w:szCs w:val="20"/>
                <w:highlight w:val="none"/>
              </w:rPr>
            </w:pPr>
          </w:p>
        </w:tc>
        <w:tc>
          <w:tcPr>
            <w:tcW w:w="918" w:type="dxa"/>
            <w:vMerge w:val="continue"/>
          </w:tcPr>
          <w:p w14:paraId="022BA3E3">
            <w:pPr>
              <w:jc w:val="center"/>
              <w:rPr>
                <w:rFonts w:hint="eastAsia" w:ascii="宋体" w:hAnsi="宋体" w:eastAsia="宋体" w:cs="宋体"/>
                <w:color w:val="auto"/>
                <w:sz w:val="20"/>
                <w:szCs w:val="20"/>
                <w:highlight w:val="none"/>
                <w:lang w:eastAsia="zh-CN"/>
              </w:rPr>
            </w:pPr>
          </w:p>
        </w:tc>
        <w:tc>
          <w:tcPr>
            <w:tcW w:w="2280" w:type="dxa"/>
            <w:vAlign w:val="center"/>
          </w:tcPr>
          <w:p w14:paraId="6B406BB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1185" w:type="dxa"/>
            <w:vAlign w:val="center"/>
          </w:tcPr>
          <w:p w14:paraId="22E9A22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-1至-3分/项</w:t>
            </w:r>
          </w:p>
        </w:tc>
        <w:tc>
          <w:tcPr>
            <w:tcW w:w="690" w:type="dxa"/>
            <w:vAlign w:val="center"/>
          </w:tcPr>
          <w:p w14:paraId="4B65F507">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57E92938">
            <w:pPr>
              <w:rPr>
                <w:rFonts w:asciiTheme="minorHAnsi" w:hAnsiTheme="minorHAnsi" w:eastAsiaTheme="minorEastAsia" w:cstheme="minorBidi"/>
                <w:color w:val="auto"/>
                <w:kern w:val="2"/>
                <w:sz w:val="20"/>
                <w:szCs w:val="20"/>
                <w:highlight w:val="none"/>
                <w:lang w:val="en-US" w:eastAsia="zh-CN" w:bidi="ar-SA"/>
              </w:rPr>
            </w:pPr>
          </w:p>
        </w:tc>
      </w:tr>
      <w:tr w14:paraId="18D8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31E6A6A8">
            <w:pPr>
              <w:jc w:val="center"/>
              <w:rPr>
                <w:rFonts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四</w:t>
            </w:r>
          </w:p>
        </w:tc>
        <w:tc>
          <w:tcPr>
            <w:tcW w:w="2610" w:type="dxa"/>
            <w:vAlign w:val="center"/>
          </w:tcPr>
          <w:p w14:paraId="7D97B6FB">
            <w:pPr>
              <w:rPr>
                <w:rFonts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消防防火及设备保护的考核标准</w:t>
            </w:r>
          </w:p>
        </w:tc>
        <w:tc>
          <w:tcPr>
            <w:tcW w:w="918" w:type="dxa"/>
            <w:vAlign w:val="center"/>
          </w:tcPr>
          <w:p w14:paraId="69549869">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b/>
                <w:bCs/>
                <w:color w:val="auto"/>
                <w:sz w:val="20"/>
                <w:szCs w:val="20"/>
                <w:highlight w:val="none"/>
                <w:lang w:val="en-US" w:eastAsia="zh-CN"/>
              </w:rPr>
              <w:t>5</w:t>
            </w:r>
          </w:p>
        </w:tc>
        <w:tc>
          <w:tcPr>
            <w:tcW w:w="2280" w:type="dxa"/>
            <w:vAlign w:val="center"/>
          </w:tcPr>
          <w:p w14:paraId="20609891">
            <w:pPr>
              <w:rPr>
                <w:rFonts w:hint="eastAsia" w:asciiTheme="minorHAnsi" w:hAnsiTheme="minorHAnsi" w:eastAsiaTheme="minorEastAsia" w:cstheme="minorBidi"/>
                <w:b/>
                <w:color w:val="auto"/>
                <w:kern w:val="2"/>
                <w:sz w:val="20"/>
                <w:szCs w:val="20"/>
                <w:highlight w:val="none"/>
                <w:lang w:val="en-US" w:eastAsia="zh-CN" w:bidi="ar-SA"/>
              </w:rPr>
            </w:pPr>
          </w:p>
        </w:tc>
        <w:tc>
          <w:tcPr>
            <w:tcW w:w="1185" w:type="dxa"/>
            <w:vAlign w:val="center"/>
          </w:tcPr>
          <w:p w14:paraId="206E9471">
            <w:pPr>
              <w:jc w:val="center"/>
              <w:rPr>
                <w:rFonts w:hint="eastAsia" w:ascii="宋体" w:hAnsi="宋体" w:cs="宋体" w:eastAsiaTheme="minorEastAsia"/>
                <w:color w:val="auto"/>
                <w:kern w:val="2"/>
                <w:sz w:val="20"/>
                <w:szCs w:val="20"/>
                <w:highlight w:val="none"/>
                <w:lang w:val="en-US" w:eastAsia="zh-CN" w:bidi="ar-SA"/>
              </w:rPr>
            </w:pPr>
          </w:p>
        </w:tc>
        <w:tc>
          <w:tcPr>
            <w:tcW w:w="690" w:type="dxa"/>
            <w:vAlign w:val="center"/>
          </w:tcPr>
          <w:p w14:paraId="545DD0E9">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17652DAA">
            <w:pPr>
              <w:jc w:val="center"/>
              <w:rPr>
                <w:rFonts w:asciiTheme="minorHAnsi" w:hAnsiTheme="minorHAnsi" w:eastAsiaTheme="minorEastAsia" w:cstheme="minorBidi"/>
                <w:color w:val="auto"/>
                <w:kern w:val="2"/>
                <w:sz w:val="20"/>
                <w:szCs w:val="20"/>
                <w:highlight w:val="none"/>
                <w:lang w:val="en-US" w:eastAsia="zh-CN" w:bidi="ar-SA"/>
              </w:rPr>
            </w:pPr>
          </w:p>
        </w:tc>
      </w:tr>
      <w:tr w14:paraId="6D8B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3EAB459">
            <w:pPr>
              <w:jc w:val="cente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1</w:t>
            </w:r>
          </w:p>
        </w:tc>
        <w:tc>
          <w:tcPr>
            <w:tcW w:w="2610" w:type="dxa"/>
            <w:vAlign w:val="center"/>
          </w:tcPr>
          <w:p w14:paraId="00DB6EDE">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消防值班：严格消防值班制度、不得缺岗离岗、做好值班记录，交接要清楚</w:t>
            </w:r>
          </w:p>
        </w:tc>
        <w:tc>
          <w:tcPr>
            <w:tcW w:w="918" w:type="dxa"/>
            <w:vAlign w:val="center"/>
          </w:tcPr>
          <w:p w14:paraId="11BD068B">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4AB112D8">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缺岗离岗或交接班内容不清楚、记录不完整，每一项</w:t>
            </w:r>
            <w:r>
              <w:rPr>
                <w:rFonts w:hint="eastAsia"/>
                <w:color w:val="auto"/>
                <w:sz w:val="20"/>
                <w:szCs w:val="20"/>
                <w:highlight w:val="none"/>
                <w:lang w:eastAsia="zh-CN"/>
              </w:rPr>
              <w:t>。</w:t>
            </w:r>
          </w:p>
        </w:tc>
        <w:tc>
          <w:tcPr>
            <w:tcW w:w="1185" w:type="dxa"/>
            <w:vAlign w:val="center"/>
          </w:tcPr>
          <w:p w14:paraId="69768AC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690" w:type="dxa"/>
            <w:vAlign w:val="center"/>
          </w:tcPr>
          <w:p w14:paraId="1FC52A4B">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315B00CE">
            <w:pPr>
              <w:jc w:val="center"/>
              <w:rPr>
                <w:rFonts w:asciiTheme="minorHAnsi" w:hAnsiTheme="minorHAnsi" w:eastAsiaTheme="minorEastAsia" w:cstheme="minorBidi"/>
                <w:color w:val="auto"/>
                <w:kern w:val="2"/>
                <w:sz w:val="20"/>
                <w:szCs w:val="20"/>
                <w:highlight w:val="none"/>
                <w:lang w:val="en-US" w:eastAsia="zh-CN" w:bidi="ar-SA"/>
              </w:rPr>
            </w:pPr>
          </w:p>
        </w:tc>
      </w:tr>
      <w:tr w14:paraId="0E4A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DFB2C86">
            <w:pPr>
              <w:jc w:val="cente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2</w:t>
            </w:r>
          </w:p>
        </w:tc>
        <w:tc>
          <w:tcPr>
            <w:tcW w:w="2610" w:type="dxa"/>
            <w:vAlign w:val="center"/>
          </w:tcPr>
          <w:p w14:paraId="570574E6">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加强消防器材、设备管理及维护保养</w:t>
            </w:r>
            <w:r>
              <w:rPr>
                <w:rFonts w:hint="eastAsia"/>
                <w:color w:val="auto"/>
                <w:sz w:val="20"/>
                <w:szCs w:val="20"/>
                <w:highlight w:val="none"/>
                <w:lang w:val="en-US" w:eastAsia="zh-CN"/>
              </w:rPr>
              <w:t>跟进工作，</w:t>
            </w:r>
            <w:r>
              <w:rPr>
                <w:rFonts w:hint="eastAsia"/>
                <w:color w:val="auto"/>
                <w:sz w:val="20"/>
                <w:szCs w:val="20"/>
                <w:highlight w:val="none"/>
              </w:rPr>
              <w:t>保持消防通道畅通，</w:t>
            </w:r>
            <w:r>
              <w:rPr>
                <w:rFonts w:hint="eastAsia"/>
                <w:color w:val="auto"/>
                <w:sz w:val="20"/>
                <w:szCs w:val="20"/>
                <w:highlight w:val="none"/>
                <w:lang w:val="en-US" w:eastAsia="zh-CN"/>
              </w:rPr>
              <w:t>每月检查1次</w:t>
            </w:r>
            <w:r>
              <w:rPr>
                <w:rFonts w:hint="eastAsia"/>
                <w:color w:val="auto"/>
                <w:sz w:val="20"/>
                <w:szCs w:val="20"/>
                <w:highlight w:val="none"/>
              </w:rPr>
              <w:t>，并做好记录。</w:t>
            </w:r>
          </w:p>
        </w:tc>
        <w:tc>
          <w:tcPr>
            <w:tcW w:w="918" w:type="dxa"/>
            <w:vAlign w:val="center"/>
          </w:tcPr>
          <w:p w14:paraId="0DFDAF2F">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0.5</w:t>
            </w:r>
          </w:p>
        </w:tc>
        <w:tc>
          <w:tcPr>
            <w:tcW w:w="2280" w:type="dxa"/>
            <w:vAlign w:val="center"/>
          </w:tcPr>
          <w:p w14:paraId="63AF6532">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1、因管理不到位造成消防隐患的，2、没有落实</w:t>
            </w:r>
            <w:r>
              <w:rPr>
                <w:rFonts w:hint="eastAsia"/>
                <w:color w:val="auto"/>
                <w:sz w:val="20"/>
                <w:szCs w:val="20"/>
                <w:highlight w:val="none"/>
                <w:lang w:val="en-US" w:eastAsia="zh-CN"/>
              </w:rPr>
              <w:t>检查</w:t>
            </w:r>
            <w:r>
              <w:rPr>
                <w:rFonts w:hint="eastAsia"/>
                <w:color w:val="auto"/>
                <w:sz w:val="20"/>
                <w:szCs w:val="20"/>
                <w:highlight w:val="none"/>
              </w:rPr>
              <w:t>，3、没有检查记录的，每一项</w:t>
            </w:r>
            <w:r>
              <w:rPr>
                <w:rFonts w:hint="eastAsia"/>
                <w:color w:val="auto"/>
                <w:sz w:val="20"/>
                <w:szCs w:val="20"/>
                <w:highlight w:val="none"/>
                <w:lang w:eastAsia="zh-CN"/>
              </w:rPr>
              <w:t>。</w:t>
            </w:r>
          </w:p>
        </w:tc>
        <w:tc>
          <w:tcPr>
            <w:tcW w:w="1185" w:type="dxa"/>
            <w:vAlign w:val="center"/>
          </w:tcPr>
          <w:p w14:paraId="300C4C8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690" w:type="dxa"/>
            <w:vAlign w:val="center"/>
          </w:tcPr>
          <w:p w14:paraId="60CF7693">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2DB0812C">
            <w:pPr>
              <w:jc w:val="center"/>
              <w:rPr>
                <w:rFonts w:asciiTheme="minorHAnsi" w:hAnsiTheme="minorHAnsi" w:eastAsiaTheme="minorEastAsia" w:cstheme="minorBidi"/>
                <w:color w:val="auto"/>
                <w:kern w:val="2"/>
                <w:sz w:val="20"/>
                <w:szCs w:val="20"/>
                <w:highlight w:val="none"/>
                <w:lang w:val="en-US" w:eastAsia="zh-CN" w:bidi="ar-SA"/>
              </w:rPr>
            </w:pPr>
          </w:p>
        </w:tc>
      </w:tr>
      <w:tr w14:paraId="62C77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6868CC01">
            <w:pPr>
              <w:jc w:val="cente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3</w:t>
            </w:r>
          </w:p>
        </w:tc>
        <w:tc>
          <w:tcPr>
            <w:tcW w:w="2610" w:type="dxa"/>
            <w:vMerge w:val="restart"/>
            <w:vAlign w:val="center"/>
          </w:tcPr>
          <w:p w14:paraId="0835D30F">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每月</w:t>
            </w:r>
            <w:r>
              <w:rPr>
                <w:rFonts w:hint="eastAsia"/>
                <w:color w:val="auto"/>
                <w:sz w:val="20"/>
                <w:szCs w:val="20"/>
                <w:highlight w:val="none"/>
              </w:rPr>
              <w:t>巡视检查消防安全情况</w:t>
            </w:r>
            <w:r>
              <w:rPr>
                <w:rFonts w:hint="eastAsia"/>
                <w:color w:val="auto"/>
                <w:sz w:val="20"/>
                <w:szCs w:val="20"/>
                <w:highlight w:val="none"/>
                <w:lang w:val="en-US" w:eastAsia="zh-CN"/>
              </w:rPr>
              <w:t>1次，</w:t>
            </w:r>
            <w:r>
              <w:rPr>
                <w:rFonts w:hint="eastAsia"/>
                <w:color w:val="auto"/>
                <w:sz w:val="20"/>
                <w:szCs w:val="20"/>
                <w:highlight w:val="none"/>
              </w:rPr>
              <w:t>并做好记录，发现消防隐患及时整改，保证消防设备安全运行，消防通道保持畅通。</w:t>
            </w:r>
          </w:p>
        </w:tc>
        <w:tc>
          <w:tcPr>
            <w:tcW w:w="918" w:type="dxa"/>
            <w:vMerge w:val="restart"/>
            <w:vAlign w:val="center"/>
          </w:tcPr>
          <w:p w14:paraId="2141CFFB">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CA73BA8">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无巡视检查</w:t>
            </w:r>
            <w:r>
              <w:rPr>
                <w:rFonts w:hint="eastAsia"/>
                <w:color w:val="auto"/>
                <w:sz w:val="20"/>
                <w:szCs w:val="20"/>
                <w:highlight w:val="none"/>
                <w:lang w:val="en-US" w:eastAsia="zh-CN"/>
              </w:rPr>
              <w:t>记录。</w:t>
            </w:r>
          </w:p>
        </w:tc>
        <w:tc>
          <w:tcPr>
            <w:tcW w:w="1185" w:type="dxa"/>
            <w:vAlign w:val="center"/>
          </w:tcPr>
          <w:p w14:paraId="1D68A92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0170FA5E">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4145BE46">
            <w:pPr>
              <w:jc w:val="center"/>
              <w:rPr>
                <w:rFonts w:asciiTheme="minorHAnsi" w:hAnsiTheme="minorHAnsi" w:eastAsiaTheme="minorEastAsia" w:cstheme="minorBidi"/>
                <w:color w:val="auto"/>
                <w:kern w:val="2"/>
                <w:sz w:val="20"/>
                <w:szCs w:val="20"/>
                <w:highlight w:val="none"/>
                <w:lang w:val="en-US" w:eastAsia="zh-CN" w:bidi="ar-SA"/>
              </w:rPr>
            </w:pPr>
          </w:p>
        </w:tc>
      </w:tr>
      <w:tr w14:paraId="1DB89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44735B23">
            <w:pPr>
              <w:jc w:val="center"/>
              <w:rPr>
                <w:rFonts w:ascii="宋体" w:hAnsi="宋体" w:cs="宋体"/>
                <w:color w:val="auto"/>
                <w:sz w:val="20"/>
                <w:szCs w:val="20"/>
                <w:highlight w:val="none"/>
              </w:rPr>
            </w:pPr>
          </w:p>
        </w:tc>
        <w:tc>
          <w:tcPr>
            <w:tcW w:w="2610" w:type="dxa"/>
            <w:vMerge w:val="continue"/>
          </w:tcPr>
          <w:p w14:paraId="35398F5B">
            <w:pPr>
              <w:rPr>
                <w:rFonts w:ascii="宋体" w:hAnsi="宋体" w:cs="宋体"/>
                <w:color w:val="auto"/>
                <w:sz w:val="20"/>
                <w:szCs w:val="20"/>
                <w:highlight w:val="none"/>
              </w:rPr>
            </w:pPr>
          </w:p>
        </w:tc>
        <w:tc>
          <w:tcPr>
            <w:tcW w:w="918" w:type="dxa"/>
            <w:vMerge w:val="continue"/>
          </w:tcPr>
          <w:p w14:paraId="544B7E62">
            <w:pPr>
              <w:jc w:val="center"/>
              <w:rPr>
                <w:rFonts w:hint="eastAsia" w:ascii="宋体" w:hAnsi="宋体" w:eastAsia="宋体" w:cs="宋体"/>
                <w:color w:val="auto"/>
                <w:sz w:val="20"/>
                <w:szCs w:val="20"/>
                <w:highlight w:val="none"/>
                <w:lang w:eastAsia="zh-CN"/>
              </w:rPr>
            </w:pPr>
          </w:p>
        </w:tc>
        <w:tc>
          <w:tcPr>
            <w:tcW w:w="2280" w:type="dxa"/>
            <w:vAlign w:val="center"/>
          </w:tcPr>
          <w:p w14:paraId="5489A1DC">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未及时消除安全隐患，或消防通道阻塞的</w:t>
            </w:r>
            <w:r>
              <w:rPr>
                <w:rFonts w:hint="eastAsia"/>
                <w:color w:val="auto"/>
                <w:sz w:val="20"/>
                <w:szCs w:val="20"/>
                <w:highlight w:val="none"/>
                <w:lang w:eastAsia="zh-CN"/>
              </w:rPr>
              <w:t>。</w:t>
            </w:r>
          </w:p>
        </w:tc>
        <w:tc>
          <w:tcPr>
            <w:tcW w:w="1185" w:type="dxa"/>
            <w:vAlign w:val="center"/>
          </w:tcPr>
          <w:p w14:paraId="65E52F5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001B36D8">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3091E117">
            <w:pPr>
              <w:jc w:val="center"/>
              <w:rPr>
                <w:rFonts w:asciiTheme="minorHAnsi" w:hAnsiTheme="minorHAnsi" w:eastAsiaTheme="minorEastAsia" w:cstheme="minorBidi"/>
                <w:color w:val="auto"/>
                <w:kern w:val="2"/>
                <w:sz w:val="20"/>
                <w:szCs w:val="20"/>
                <w:highlight w:val="none"/>
                <w:lang w:val="en-US" w:eastAsia="zh-CN" w:bidi="ar-SA"/>
              </w:rPr>
            </w:pPr>
          </w:p>
        </w:tc>
      </w:tr>
      <w:tr w14:paraId="4066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6B5789B9">
            <w:pPr>
              <w:jc w:val="cente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4</w:t>
            </w:r>
          </w:p>
        </w:tc>
        <w:tc>
          <w:tcPr>
            <w:tcW w:w="2610" w:type="dxa"/>
            <w:vAlign w:val="center"/>
          </w:tcPr>
          <w:p w14:paraId="1526D937">
            <w:pP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建立消防器材</w:t>
            </w:r>
            <w:r>
              <w:rPr>
                <w:rFonts w:hint="eastAsia"/>
                <w:color w:val="auto"/>
                <w:sz w:val="20"/>
                <w:szCs w:val="20"/>
                <w:highlight w:val="none"/>
                <w:lang w:val="en-US" w:eastAsia="zh-CN"/>
              </w:rPr>
              <w:t>台账</w:t>
            </w:r>
            <w:r>
              <w:rPr>
                <w:rFonts w:hint="eastAsia"/>
                <w:color w:val="auto"/>
                <w:sz w:val="20"/>
                <w:szCs w:val="20"/>
                <w:highlight w:val="none"/>
              </w:rPr>
              <w:t>；</w:t>
            </w:r>
            <w:r>
              <w:rPr>
                <w:rFonts w:hint="eastAsia"/>
                <w:color w:val="auto"/>
                <w:sz w:val="20"/>
                <w:szCs w:val="20"/>
                <w:highlight w:val="none"/>
                <w:lang w:val="en-US" w:eastAsia="zh-CN"/>
              </w:rPr>
              <w:t>每月</w:t>
            </w:r>
            <w:r>
              <w:rPr>
                <w:rFonts w:hint="eastAsia"/>
                <w:color w:val="auto"/>
                <w:sz w:val="20"/>
                <w:szCs w:val="20"/>
                <w:highlight w:val="none"/>
              </w:rPr>
              <w:t>对消防器材及灭火器</w:t>
            </w:r>
            <w:r>
              <w:rPr>
                <w:rFonts w:hint="eastAsia"/>
                <w:color w:val="auto"/>
                <w:sz w:val="20"/>
                <w:szCs w:val="20"/>
                <w:highlight w:val="none"/>
                <w:lang w:val="en-US" w:eastAsia="zh-CN"/>
              </w:rPr>
              <w:t>进行检查1次</w:t>
            </w:r>
            <w:r>
              <w:rPr>
                <w:rFonts w:hint="eastAsia"/>
                <w:color w:val="auto"/>
                <w:sz w:val="20"/>
                <w:szCs w:val="20"/>
                <w:highlight w:val="none"/>
              </w:rPr>
              <w:t>，并做好记录；对过期、失效或不符合安全要求的消防器材、设备及时向</w:t>
            </w:r>
            <w:r>
              <w:rPr>
                <w:rFonts w:hint="eastAsia"/>
                <w:color w:val="auto"/>
                <w:sz w:val="20"/>
                <w:szCs w:val="20"/>
                <w:highlight w:val="none"/>
                <w:lang w:eastAsia="zh-CN"/>
              </w:rPr>
              <w:t>采购方</w:t>
            </w:r>
            <w:r>
              <w:rPr>
                <w:rFonts w:hint="eastAsia"/>
                <w:color w:val="auto"/>
                <w:sz w:val="20"/>
                <w:szCs w:val="20"/>
                <w:highlight w:val="none"/>
                <w:lang w:val="en-US" w:eastAsia="zh-CN"/>
              </w:rPr>
              <w:t>报备。</w:t>
            </w:r>
          </w:p>
        </w:tc>
        <w:tc>
          <w:tcPr>
            <w:tcW w:w="918" w:type="dxa"/>
            <w:vAlign w:val="center"/>
          </w:tcPr>
          <w:p w14:paraId="067AA90C">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78A83834">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1、无消防设备及器材管理</w:t>
            </w:r>
            <w:r>
              <w:rPr>
                <w:rFonts w:hint="eastAsia"/>
                <w:color w:val="auto"/>
                <w:sz w:val="20"/>
                <w:szCs w:val="20"/>
                <w:highlight w:val="none"/>
                <w:lang w:val="en-US" w:eastAsia="zh-CN"/>
              </w:rPr>
              <w:t>台账</w:t>
            </w:r>
            <w:r>
              <w:rPr>
                <w:rFonts w:hint="eastAsia"/>
                <w:color w:val="auto"/>
                <w:sz w:val="20"/>
                <w:szCs w:val="20"/>
                <w:highlight w:val="none"/>
              </w:rPr>
              <w:t>；2、不按规定检查；3、检查发现隐患后，要求整改，不按期限进行整改的；4、消防器材运行情况</w:t>
            </w:r>
            <w:r>
              <w:rPr>
                <w:rFonts w:hint="eastAsia"/>
                <w:color w:val="auto"/>
                <w:sz w:val="20"/>
                <w:szCs w:val="20"/>
                <w:highlight w:val="none"/>
                <w:lang w:val="en-US" w:eastAsia="zh-CN"/>
              </w:rPr>
              <w:t>不向采购方报备</w:t>
            </w:r>
            <w:r>
              <w:rPr>
                <w:rFonts w:hint="eastAsia"/>
                <w:color w:val="auto"/>
                <w:sz w:val="20"/>
                <w:szCs w:val="20"/>
                <w:highlight w:val="none"/>
              </w:rPr>
              <w:t>；5、发现灭火器、消防设备被损坏或被盗没有及时补上的，每一项</w:t>
            </w:r>
            <w:r>
              <w:rPr>
                <w:rFonts w:hint="eastAsia"/>
                <w:color w:val="auto"/>
                <w:sz w:val="20"/>
                <w:szCs w:val="20"/>
                <w:highlight w:val="none"/>
                <w:lang w:eastAsia="zh-CN"/>
              </w:rPr>
              <w:t>。</w:t>
            </w:r>
          </w:p>
        </w:tc>
        <w:tc>
          <w:tcPr>
            <w:tcW w:w="1185" w:type="dxa"/>
            <w:vAlign w:val="center"/>
          </w:tcPr>
          <w:p w14:paraId="68260F51">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690" w:type="dxa"/>
            <w:vAlign w:val="center"/>
          </w:tcPr>
          <w:p w14:paraId="6C21097C">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125D50D">
            <w:pPr>
              <w:jc w:val="center"/>
              <w:rPr>
                <w:rFonts w:asciiTheme="minorHAnsi" w:hAnsiTheme="minorHAnsi" w:eastAsiaTheme="minorEastAsia" w:cstheme="minorBidi"/>
                <w:color w:val="auto"/>
                <w:kern w:val="2"/>
                <w:sz w:val="20"/>
                <w:szCs w:val="20"/>
                <w:highlight w:val="none"/>
                <w:lang w:val="en-US" w:eastAsia="zh-CN" w:bidi="ar-SA"/>
              </w:rPr>
            </w:pPr>
          </w:p>
        </w:tc>
      </w:tr>
      <w:tr w14:paraId="5BC9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FE55AF3">
            <w:pPr>
              <w:jc w:val="cente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5</w:t>
            </w:r>
          </w:p>
        </w:tc>
        <w:tc>
          <w:tcPr>
            <w:tcW w:w="2610" w:type="dxa"/>
            <w:vAlign w:val="center"/>
          </w:tcPr>
          <w:p w14:paraId="66C8EB70">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制订消防灭火预案，</w:t>
            </w:r>
            <w:r>
              <w:rPr>
                <w:rFonts w:hint="eastAsia"/>
                <w:color w:val="auto"/>
                <w:sz w:val="20"/>
                <w:szCs w:val="20"/>
                <w:highlight w:val="none"/>
                <w:lang w:val="en-US" w:eastAsia="zh-CN"/>
              </w:rPr>
              <w:t>服务期内</w:t>
            </w:r>
            <w:r>
              <w:rPr>
                <w:rFonts w:hint="eastAsia"/>
                <w:color w:val="auto"/>
                <w:sz w:val="20"/>
                <w:szCs w:val="20"/>
                <w:highlight w:val="none"/>
              </w:rPr>
              <w:t>配合</w:t>
            </w:r>
            <w:r>
              <w:rPr>
                <w:rFonts w:hint="eastAsia"/>
                <w:color w:val="auto"/>
                <w:sz w:val="20"/>
                <w:szCs w:val="20"/>
                <w:highlight w:val="none"/>
                <w:lang w:val="en-US" w:eastAsia="zh-CN"/>
              </w:rPr>
              <w:t>采购方</w:t>
            </w:r>
            <w:r>
              <w:rPr>
                <w:rFonts w:hint="eastAsia"/>
                <w:color w:val="auto"/>
                <w:sz w:val="20"/>
                <w:szCs w:val="20"/>
                <w:highlight w:val="none"/>
              </w:rPr>
              <w:t xml:space="preserve">做好灭火预案演练工作。   </w:t>
            </w:r>
          </w:p>
        </w:tc>
        <w:tc>
          <w:tcPr>
            <w:tcW w:w="918" w:type="dxa"/>
            <w:vAlign w:val="center"/>
          </w:tcPr>
          <w:p w14:paraId="17652851">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3E08D8D">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不制订预案，工作不落实、配合不好的，无火灾突发事件应急预案，每一项</w:t>
            </w:r>
            <w:r>
              <w:rPr>
                <w:rFonts w:hint="eastAsia"/>
                <w:color w:val="auto"/>
                <w:sz w:val="20"/>
                <w:szCs w:val="20"/>
                <w:highlight w:val="none"/>
                <w:lang w:eastAsia="zh-CN"/>
              </w:rPr>
              <w:t>。</w:t>
            </w:r>
          </w:p>
        </w:tc>
        <w:tc>
          <w:tcPr>
            <w:tcW w:w="1185" w:type="dxa"/>
            <w:vAlign w:val="center"/>
          </w:tcPr>
          <w:p w14:paraId="3142E5A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690" w:type="dxa"/>
            <w:vAlign w:val="center"/>
          </w:tcPr>
          <w:p w14:paraId="12DF5B2E">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557CC485">
            <w:pPr>
              <w:jc w:val="center"/>
              <w:rPr>
                <w:rFonts w:asciiTheme="minorHAnsi" w:hAnsiTheme="minorHAnsi" w:eastAsiaTheme="minorEastAsia" w:cstheme="minorBidi"/>
                <w:color w:val="auto"/>
                <w:kern w:val="2"/>
                <w:sz w:val="20"/>
                <w:szCs w:val="20"/>
                <w:highlight w:val="none"/>
                <w:lang w:val="en-US" w:eastAsia="zh-CN" w:bidi="ar-SA"/>
              </w:rPr>
            </w:pPr>
          </w:p>
        </w:tc>
      </w:tr>
      <w:tr w14:paraId="066B5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9E3A9AE">
            <w:pPr>
              <w:jc w:val="cente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6</w:t>
            </w:r>
          </w:p>
        </w:tc>
        <w:tc>
          <w:tcPr>
            <w:tcW w:w="2610" w:type="dxa"/>
            <w:vAlign w:val="center"/>
          </w:tcPr>
          <w:p w14:paraId="41ACF946">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灭火知识培训</w:t>
            </w:r>
            <w:r>
              <w:rPr>
                <w:rFonts w:hint="eastAsia"/>
                <w:color w:val="auto"/>
                <w:sz w:val="20"/>
                <w:szCs w:val="20"/>
                <w:highlight w:val="none"/>
                <w:lang w:eastAsia="zh-CN"/>
              </w:rPr>
              <w:t>：</w:t>
            </w:r>
            <w:r>
              <w:rPr>
                <w:rFonts w:hint="eastAsia"/>
                <w:color w:val="auto"/>
                <w:sz w:val="20"/>
                <w:szCs w:val="20"/>
                <w:highlight w:val="none"/>
                <w:lang w:val="en-US" w:eastAsia="zh-CN"/>
              </w:rPr>
              <w:t>服务期内</w:t>
            </w:r>
            <w:r>
              <w:rPr>
                <w:rFonts w:hint="eastAsia"/>
                <w:color w:val="auto"/>
                <w:sz w:val="20"/>
                <w:szCs w:val="20"/>
                <w:highlight w:val="none"/>
              </w:rPr>
              <w:t>对</w:t>
            </w:r>
            <w:r>
              <w:rPr>
                <w:rFonts w:hint="eastAsia"/>
                <w:color w:val="auto"/>
                <w:sz w:val="20"/>
                <w:szCs w:val="20"/>
                <w:highlight w:val="none"/>
                <w:lang w:eastAsia="zh-CN"/>
              </w:rPr>
              <w:t>物业从业人</w:t>
            </w:r>
            <w:r>
              <w:rPr>
                <w:rFonts w:hint="eastAsia"/>
                <w:color w:val="auto"/>
                <w:sz w:val="20"/>
                <w:szCs w:val="20"/>
                <w:highlight w:val="none"/>
              </w:rPr>
              <w:t>员进行</w:t>
            </w:r>
            <w:r>
              <w:rPr>
                <w:rFonts w:hint="eastAsia"/>
                <w:color w:val="auto"/>
                <w:sz w:val="20"/>
                <w:szCs w:val="20"/>
                <w:highlight w:val="none"/>
                <w:lang w:val="en-US" w:eastAsia="zh-CN"/>
              </w:rPr>
              <w:t>至少1</w:t>
            </w:r>
            <w:r>
              <w:rPr>
                <w:rFonts w:hint="eastAsia"/>
                <w:color w:val="auto"/>
                <w:sz w:val="20"/>
                <w:szCs w:val="20"/>
                <w:highlight w:val="none"/>
              </w:rPr>
              <w:t>次消防知识和灭火技能培训；做好</w:t>
            </w:r>
            <w:r>
              <w:rPr>
                <w:rFonts w:hint="eastAsia"/>
                <w:color w:val="auto"/>
                <w:sz w:val="20"/>
                <w:szCs w:val="20"/>
                <w:highlight w:val="none"/>
                <w:lang w:eastAsia="zh-CN"/>
              </w:rPr>
              <w:t>应急队伍</w:t>
            </w:r>
            <w:r>
              <w:rPr>
                <w:rFonts w:hint="eastAsia"/>
                <w:color w:val="auto"/>
                <w:sz w:val="20"/>
                <w:szCs w:val="20"/>
                <w:highlight w:val="none"/>
              </w:rPr>
              <w:t>的组建和培训以及消防安全教育等工作，达到消防安全管理的标准。</w:t>
            </w:r>
          </w:p>
        </w:tc>
        <w:tc>
          <w:tcPr>
            <w:tcW w:w="918" w:type="dxa"/>
            <w:vAlign w:val="center"/>
          </w:tcPr>
          <w:p w14:paraId="6FDDFDB4">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79C2B91B">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不按要求进行组织培训的， 对</w:t>
            </w:r>
            <w:r>
              <w:rPr>
                <w:rFonts w:hint="eastAsia"/>
                <w:color w:val="auto"/>
                <w:sz w:val="20"/>
                <w:szCs w:val="20"/>
                <w:highlight w:val="none"/>
                <w:lang w:eastAsia="zh-CN"/>
              </w:rPr>
              <w:t>应急队伍</w:t>
            </w:r>
            <w:r>
              <w:rPr>
                <w:rFonts w:hint="eastAsia"/>
                <w:color w:val="auto"/>
                <w:sz w:val="20"/>
                <w:szCs w:val="20"/>
                <w:highlight w:val="none"/>
              </w:rPr>
              <w:t>队员不培训，消防安全管理不达标的每一项</w:t>
            </w:r>
            <w:r>
              <w:rPr>
                <w:rFonts w:hint="eastAsia"/>
                <w:color w:val="auto"/>
                <w:sz w:val="20"/>
                <w:szCs w:val="20"/>
                <w:highlight w:val="none"/>
                <w:lang w:eastAsia="zh-CN"/>
              </w:rPr>
              <w:t>。</w:t>
            </w:r>
          </w:p>
        </w:tc>
        <w:tc>
          <w:tcPr>
            <w:tcW w:w="1185" w:type="dxa"/>
            <w:vAlign w:val="center"/>
          </w:tcPr>
          <w:p w14:paraId="2696183E">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690" w:type="dxa"/>
            <w:vAlign w:val="center"/>
          </w:tcPr>
          <w:p w14:paraId="7B9A2F46">
            <w:pPr>
              <w:jc w:val="left"/>
              <w:rPr>
                <w:rFonts w:ascii="宋体" w:hAnsi="宋体" w:cs="宋体" w:eastAsiaTheme="minorEastAsia"/>
                <w:color w:val="auto"/>
                <w:kern w:val="2"/>
                <w:sz w:val="20"/>
                <w:szCs w:val="20"/>
                <w:highlight w:val="none"/>
                <w:lang w:val="en-US" w:eastAsia="zh-CN" w:bidi="ar-SA"/>
              </w:rPr>
            </w:pPr>
          </w:p>
        </w:tc>
        <w:tc>
          <w:tcPr>
            <w:tcW w:w="855" w:type="dxa"/>
            <w:vAlign w:val="center"/>
          </w:tcPr>
          <w:p w14:paraId="67946F75">
            <w:pPr>
              <w:jc w:val="center"/>
              <w:rPr>
                <w:rFonts w:asciiTheme="minorHAnsi" w:hAnsiTheme="minorHAnsi" w:eastAsiaTheme="minorEastAsia" w:cstheme="minorBidi"/>
                <w:color w:val="auto"/>
                <w:kern w:val="2"/>
                <w:sz w:val="20"/>
                <w:szCs w:val="20"/>
                <w:highlight w:val="none"/>
                <w:lang w:val="en-US" w:eastAsia="zh-CN" w:bidi="ar-SA"/>
              </w:rPr>
            </w:pPr>
          </w:p>
        </w:tc>
      </w:tr>
      <w:tr w14:paraId="2A02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9003" w:type="dxa"/>
            <w:gridSpan w:val="7"/>
            <w:vAlign w:val="center"/>
          </w:tcPr>
          <w:p w14:paraId="349A5556">
            <w:pPr>
              <w:jc w:val="center"/>
              <w:rPr>
                <w:rFonts w:asciiTheme="minorHAnsi" w:hAnsiTheme="minorHAnsi" w:eastAsiaTheme="minorEastAsia" w:cstheme="minorBidi"/>
                <w:color w:val="auto"/>
                <w:kern w:val="2"/>
                <w:sz w:val="20"/>
                <w:szCs w:val="20"/>
                <w:highlight w:val="none"/>
                <w:lang w:val="en-US" w:eastAsia="zh-CN" w:bidi="ar-SA"/>
              </w:rPr>
            </w:pPr>
            <w:r>
              <w:rPr>
                <w:rFonts w:hint="eastAsia"/>
                <w:b/>
                <w:bCs/>
                <w:color w:val="auto"/>
                <w:sz w:val="20"/>
                <w:szCs w:val="20"/>
                <w:highlight w:val="none"/>
              </w:rPr>
              <w:t>第</w:t>
            </w:r>
            <w:r>
              <w:rPr>
                <w:rFonts w:hint="eastAsia"/>
                <w:b/>
                <w:bCs/>
                <w:color w:val="auto"/>
                <w:sz w:val="20"/>
                <w:szCs w:val="20"/>
                <w:highlight w:val="none"/>
                <w:lang w:eastAsia="zh-CN"/>
              </w:rPr>
              <w:t>四</w:t>
            </w:r>
            <w:r>
              <w:rPr>
                <w:rFonts w:hint="eastAsia"/>
                <w:b/>
                <w:bCs/>
                <w:color w:val="auto"/>
                <w:sz w:val="20"/>
                <w:szCs w:val="20"/>
                <w:highlight w:val="none"/>
              </w:rPr>
              <w:t xml:space="preserve">章  </w:t>
            </w:r>
            <w:r>
              <w:rPr>
                <w:rFonts w:hint="eastAsia"/>
                <w:b/>
                <w:bCs/>
                <w:color w:val="auto"/>
                <w:sz w:val="20"/>
                <w:szCs w:val="20"/>
                <w:highlight w:val="none"/>
                <w:lang w:eastAsia="zh-CN"/>
              </w:rPr>
              <w:t>房源</w:t>
            </w:r>
            <w:r>
              <w:rPr>
                <w:rFonts w:hint="eastAsia"/>
                <w:b/>
                <w:bCs/>
                <w:color w:val="auto"/>
                <w:sz w:val="20"/>
                <w:szCs w:val="20"/>
                <w:highlight w:val="none"/>
              </w:rPr>
              <w:t>维修及管理服务标准</w:t>
            </w:r>
            <w:r>
              <w:rPr>
                <w:rFonts w:hint="eastAsia" w:ascii="宋体" w:hAnsi="宋体" w:cs="宋体"/>
                <w:b/>
                <w:bCs/>
                <w:color w:val="auto"/>
                <w:sz w:val="20"/>
                <w:szCs w:val="20"/>
                <w:highlight w:val="none"/>
              </w:rPr>
              <w:t>（</w:t>
            </w:r>
            <w:r>
              <w:rPr>
                <w:rFonts w:hint="eastAsia" w:ascii="宋体" w:hAnsi="宋体" w:cs="宋体"/>
                <w:b/>
                <w:bCs/>
                <w:color w:val="auto"/>
                <w:sz w:val="20"/>
                <w:szCs w:val="20"/>
                <w:highlight w:val="none"/>
                <w:lang w:val="en-US" w:eastAsia="zh-CN"/>
              </w:rPr>
              <w:t>14</w:t>
            </w:r>
            <w:r>
              <w:rPr>
                <w:rFonts w:hint="eastAsia" w:ascii="宋体" w:hAnsi="宋体" w:cs="宋体"/>
                <w:b/>
                <w:bCs/>
                <w:color w:val="auto"/>
                <w:sz w:val="20"/>
                <w:szCs w:val="20"/>
                <w:highlight w:val="none"/>
              </w:rPr>
              <w:t>分）</w:t>
            </w:r>
          </w:p>
        </w:tc>
      </w:tr>
      <w:tr w14:paraId="7BC21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4DE1F811">
            <w:pP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序号</w:t>
            </w:r>
          </w:p>
        </w:tc>
        <w:tc>
          <w:tcPr>
            <w:tcW w:w="2610" w:type="dxa"/>
            <w:vAlign w:val="center"/>
          </w:tcPr>
          <w:p w14:paraId="7566C2B1">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服务内容及标准要求</w:t>
            </w:r>
          </w:p>
        </w:tc>
        <w:tc>
          <w:tcPr>
            <w:tcW w:w="918" w:type="dxa"/>
            <w:vAlign w:val="center"/>
          </w:tcPr>
          <w:p w14:paraId="67943B41">
            <w:pP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标准分</w:t>
            </w:r>
          </w:p>
        </w:tc>
        <w:tc>
          <w:tcPr>
            <w:tcW w:w="2280" w:type="dxa"/>
            <w:vAlign w:val="center"/>
          </w:tcPr>
          <w:p w14:paraId="049CF682">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检查内容</w:t>
            </w:r>
          </w:p>
        </w:tc>
        <w:tc>
          <w:tcPr>
            <w:tcW w:w="1185" w:type="dxa"/>
            <w:vAlign w:val="center"/>
          </w:tcPr>
          <w:p w14:paraId="71F9E518">
            <w:pPr>
              <w:jc w:val="center"/>
              <w:rPr>
                <w:b/>
                <w:bCs/>
                <w:color w:val="auto"/>
                <w:sz w:val="20"/>
                <w:szCs w:val="20"/>
                <w:highlight w:val="none"/>
              </w:rPr>
            </w:pPr>
            <w:r>
              <w:rPr>
                <w:rFonts w:hint="eastAsia"/>
                <w:b/>
                <w:bCs/>
                <w:color w:val="auto"/>
                <w:sz w:val="20"/>
                <w:szCs w:val="20"/>
                <w:highlight w:val="none"/>
              </w:rPr>
              <w:t>扣分</w:t>
            </w:r>
          </w:p>
          <w:p w14:paraId="7120CBCA">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标准</w:t>
            </w:r>
          </w:p>
        </w:tc>
        <w:tc>
          <w:tcPr>
            <w:tcW w:w="690" w:type="dxa"/>
            <w:vAlign w:val="top"/>
          </w:tcPr>
          <w:p w14:paraId="38B1739A">
            <w:pPr>
              <w:jc w:val="center"/>
              <w:rPr>
                <w:b/>
                <w:bCs/>
                <w:color w:val="auto"/>
                <w:sz w:val="20"/>
                <w:szCs w:val="20"/>
                <w:highlight w:val="none"/>
              </w:rPr>
            </w:pPr>
            <w:r>
              <w:rPr>
                <w:rFonts w:hint="eastAsia"/>
                <w:b/>
                <w:bCs/>
                <w:color w:val="auto"/>
                <w:sz w:val="20"/>
                <w:szCs w:val="20"/>
                <w:highlight w:val="none"/>
              </w:rPr>
              <w:t>实际</w:t>
            </w:r>
          </w:p>
          <w:p w14:paraId="7485BA8F">
            <w:pPr>
              <w:jc w:val="center"/>
              <w:rPr>
                <w:rFonts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扣分</w:t>
            </w:r>
          </w:p>
        </w:tc>
        <w:tc>
          <w:tcPr>
            <w:tcW w:w="855" w:type="dxa"/>
            <w:vAlign w:val="center"/>
          </w:tcPr>
          <w:p w14:paraId="1E63672C">
            <w:pPr>
              <w:jc w:val="center"/>
              <w:rPr>
                <w:rFonts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 xml:space="preserve">备注                             </w:t>
            </w:r>
          </w:p>
        </w:tc>
      </w:tr>
      <w:tr w14:paraId="02853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5CD41F78">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1</w:t>
            </w:r>
          </w:p>
        </w:tc>
        <w:tc>
          <w:tcPr>
            <w:tcW w:w="2610" w:type="dxa"/>
            <w:vMerge w:val="restart"/>
            <w:vAlign w:val="center"/>
          </w:tcPr>
          <w:p w14:paraId="234CB1C0">
            <w:pPr>
              <w:jc w:val="left"/>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掌握办公场所、生产场所、营业场所</w:t>
            </w:r>
            <w:r>
              <w:rPr>
                <w:rFonts w:hint="eastAsia"/>
                <w:color w:val="auto"/>
                <w:sz w:val="20"/>
                <w:szCs w:val="20"/>
                <w:highlight w:val="none"/>
                <w:lang w:eastAsia="zh-CN"/>
              </w:rPr>
              <w:t>房源</w:t>
            </w:r>
            <w:r>
              <w:rPr>
                <w:rFonts w:hint="eastAsia"/>
                <w:color w:val="auto"/>
                <w:sz w:val="20"/>
                <w:szCs w:val="20"/>
                <w:highlight w:val="none"/>
              </w:rPr>
              <w:t>建筑结构及完好情况。根据</w:t>
            </w:r>
            <w:r>
              <w:rPr>
                <w:rFonts w:hint="eastAsia"/>
                <w:color w:val="auto"/>
                <w:sz w:val="20"/>
                <w:szCs w:val="20"/>
                <w:highlight w:val="none"/>
                <w:lang w:eastAsia="zh-CN"/>
              </w:rPr>
              <w:t>房源</w:t>
            </w:r>
            <w:r>
              <w:rPr>
                <w:rFonts w:hint="eastAsia"/>
                <w:color w:val="auto"/>
                <w:sz w:val="20"/>
                <w:szCs w:val="20"/>
                <w:highlight w:val="none"/>
              </w:rPr>
              <w:t>特点，制定并执行修缮原则、修缮范围和修缮指标，做好日常维护工作。</w:t>
            </w:r>
          </w:p>
        </w:tc>
        <w:tc>
          <w:tcPr>
            <w:tcW w:w="918" w:type="dxa"/>
            <w:vMerge w:val="restart"/>
            <w:vAlign w:val="center"/>
          </w:tcPr>
          <w:p w14:paraId="101A79DE">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2</w:t>
            </w:r>
          </w:p>
        </w:tc>
        <w:tc>
          <w:tcPr>
            <w:tcW w:w="2280" w:type="dxa"/>
            <w:vAlign w:val="center"/>
          </w:tcPr>
          <w:p w14:paraId="491F052F">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非特殊情况，不掌握建筑结构等资料</w:t>
            </w:r>
            <w:r>
              <w:rPr>
                <w:rFonts w:hint="eastAsia"/>
                <w:color w:val="auto"/>
                <w:sz w:val="20"/>
                <w:szCs w:val="20"/>
                <w:highlight w:val="none"/>
                <w:lang w:eastAsia="zh-CN"/>
              </w:rPr>
              <w:t>。</w:t>
            </w:r>
          </w:p>
        </w:tc>
        <w:tc>
          <w:tcPr>
            <w:tcW w:w="1185" w:type="dxa"/>
            <w:vAlign w:val="center"/>
          </w:tcPr>
          <w:p w14:paraId="347C5A8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-0.1分/栋</w:t>
            </w:r>
          </w:p>
        </w:tc>
        <w:tc>
          <w:tcPr>
            <w:tcW w:w="690" w:type="dxa"/>
            <w:vAlign w:val="center"/>
          </w:tcPr>
          <w:p w14:paraId="1708EC0C">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77DC566D">
            <w:pPr>
              <w:jc w:val="center"/>
              <w:rPr>
                <w:rFonts w:asciiTheme="minorHAnsi" w:hAnsiTheme="minorHAnsi" w:eastAsiaTheme="minorEastAsia" w:cstheme="minorBidi"/>
                <w:color w:val="auto"/>
                <w:kern w:val="2"/>
                <w:sz w:val="20"/>
                <w:szCs w:val="20"/>
                <w:highlight w:val="none"/>
                <w:lang w:val="en-US" w:eastAsia="zh-CN" w:bidi="ar-SA"/>
              </w:rPr>
            </w:pPr>
          </w:p>
        </w:tc>
      </w:tr>
      <w:tr w14:paraId="120CE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595E86AE">
            <w:pPr>
              <w:jc w:val="center"/>
              <w:rPr>
                <w:rFonts w:hint="eastAsia"/>
                <w:color w:val="auto"/>
                <w:sz w:val="20"/>
                <w:szCs w:val="20"/>
                <w:highlight w:val="none"/>
              </w:rPr>
            </w:pPr>
          </w:p>
        </w:tc>
        <w:tc>
          <w:tcPr>
            <w:tcW w:w="2610" w:type="dxa"/>
            <w:vMerge w:val="continue"/>
          </w:tcPr>
          <w:p w14:paraId="36AB6A52">
            <w:pPr>
              <w:rPr>
                <w:rFonts w:hint="eastAsia"/>
                <w:color w:val="auto"/>
                <w:sz w:val="20"/>
                <w:szCs w:val="20"/>
                <w:highlight w:val="none"/>
              </w:rPr>
            </w:pPr>
          </w:p>
        </w:tc>
        <w:tc>
          <w:tcPr>
            <w:tcW w:w="918" w:type="dxa"/>
            <w:vMerge w:val="continue"/>
          </w:tcPr>
          <w:p w14:paraId="6BB424B7">
            <w:pPr>
              <w:jc w:val="center"/>
              <w:rPr>
                <w:rFonts w:hint="eastAsia" w:ascii="宋体" w:hAnsi="宋体" w:cs="宋体"/>
                <w:color w:val="auto"/>
                <w:sz w:val="20"/>
                <w:szCs w:val="20"/>
                <w:highlight w:val="none"/>
                <w:lang w:val="en-US" w:eastAsia="zh-CN"/>
              </w:rPr>
            </w:pPr>
          </w:p>
        </w:tc>
        <w:tc>
          <w:tcPr>
            <w:tcW w:w="2280" w:type="dxa"/>
            <w:vAlign w:val="center"/>
          </w:tcPr>
          <w:p w14:paraId="747E2356">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不掌握建筑物的完好情况</w:t>
            </w:r>
            <w:r>
              <w:rPr>
                <w:rFonts w:hint="eastAsia"/>
                <w:color w:val="auto"/>
                <w:sz w:val="20"/>
                <w:szCs w:val="20"/>
                <w:highlight w:val="none"/>
                <w:lang w:eastAsia="zh-CN"/>
              </w:rPr>
              <w:t>。</w:t>
            </w:r>
          </w:p>
        </w:tc>
        <w:tc>
          <w:tcPr>
            <w:tcW w:w="1185" w:type="dxa"/>
            <w:vAlign w:val="center"/>
          </w:tcPr>
          <w:p w14:paraId="78D59F1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-0.1分/栋</w:t>
            </w:r>
          </w:p>
        </w:tc>
        <w:tc>
          <w:tcPr>
            <w:tcW w:w="690" w:type="dxa"/>
            <w:vAlign w:val="center"/>
          </w:tcPr>
          <w:p w14:paraId="51B83909">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0E3FB1A">
            <w:pPr>
              <w:jc w:val="center"/>
              <w:rPr>
                <w:rFonts w:asciiTheme="minorHAnsi" w:hAnsiTheme="minorHAnsi" w:eastAsiaTheme="minorEastAsia" w:cstheme="minorBidi"/>
                <w:color w:val="auto"/>
                <w:kern w:val="2"/>
                <w:sz w:val="20"/>
                <w:szCs w:val="20"/>
                <w:highlight w:val="none"/>
                <w:lang w:val="en-US" w:eastAsia="zh-CN" w:bidi="ar-SA"/>
              </w:rPr>
            </w:pPr>
          </w:p>
        </w:tc>
      </w:tr>
      <w:tr w14:paraId="2BD44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5B1F526F">
            <w:pPr>
              <w:jc w:val="center"/>
              <w:rPr>
                <w:rFonts w:hint="eastAsia"/>
                <w:color w:val="auto"/>
                <w:sz w:val="20"/>
                <w:szCs w:val="20"/>
                <w:highlight w:val="none"/>
              </w:rPr>
            </w:pPr>
          </w:p>
        </w:tc>
        <w:tc>
          <w:tcPr>
            <w:tcW w:w="2610" w:type="dxa"/>
            <w:vMerge w:val="continue"/>
          </w:tcPr>
          <w:p w14:paraId="687FE87F">
            <w:pPr>
              <w:rPr>
                <w:rFonts w:hint="eastAsia"/>
                <w:color w:val="auto"/>
                <w:sz w:val="20"/>
                <w:szCs w:val="20"/>
                <w:highlight w:val="none"/>
              </w:rPr>
            </w:pPr>
          </w:p>
        </w:tc>
        <w:tc>
          <w:tcPr>
            <w:tcW w:w="918" w:type="dxa"/>
            <w:vMerge w:val="continue"/>
          </w:tcPr>
          <w:p w14:paraId="2ED01895">
            <w:pPr>
              <w:jc w:val="center"/>
              <w:rPr>
                <w:rFonts w:hint="eastAsia" w:ascii="宋体" w:hAnsi="宋体" w:cs="宋体"/>
                <w:color w:val="auto"/>
                <w:sz w:val="20"/>
                <w:szCs w:val="20"/>
                <w:highlight w:val="none"/>
                <w:lang w:val="en-US" w:eastAsia="zh-CN"/>
              </w:rPr>
            </w:pPr>
          </w:p>
        </w:tc>
        <w:tc>
          <w:tcPr>
            <w:tcW w:w="2280" w:type="dxa"/>
            <w:vAlign w:val="center"/>
          </w:tcPr>
          <w:p w14:paraId="3BCA836D">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不制定修缮原则、范围及指标</w:t>
            </w:r>
            <w:r>
              <w:rPr>
                <w:rFonts w:hint="eastAsia"/>
                <w:color w:val="auto"/>
                <w:sz w:val="20"/>
                <w:szCs w:val="20"/>
                <w:highlight w:val="none"/>
                <w:lang w:eastAsia="zh-CN"/>
              </w:rPr>
              <w:t>。</w:t>
            </w:r>
          </w:p>
        </w:tc>
        <w:tc>
          <w:tcPr>
            <w:tcW w:w="1185" w:type="dxa"/>
            <w:vAlign w:val="center"/>
          </w:tcPr>
          <w:p w14:paraId="72671EF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-0.1分/项</w:t>
            </w:r>
          </w:p>
        </w:tc>
        <w:tc>
          <w:tcPr>
            <w:tcW w:w="690" w:type="dxa"/>
            <w:vAlign w:val="center"/>
          </w:tcPr>
          <w:p w14:paraId="2586F958">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51F5C746">
            <w:pPr>
              <w:jc w:val="center"/>
              <w:rPr>
                <w:rFonts w:asciiTheme="minorHAnsi" w:hAnsiTheme="minorHAnsi" w:eastAsiaTheme="minorEastAsia" w:cstheme="minorBidi"/>
                <w:color w:val="auto"/>
                <w:kern w:val="2"/>
                <w:sz w:val="20"/>
                <w:szCs w:val="20"/>
                <w:highlight w:val="none"/>
                <w:lang w:val="en-US" w:eastAsia="zh-CN" w:bidi="ar-SA"/>
              </w:rPr>
            </w:pPr>
          </w:p>
        </w:tc>
      </w:tr>
      <w:tr w14:paraId="3C20C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11B9ED05">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2</w:t>
            </w:r>
          </w:p>
        </w:tc>
        <w:tc>
          <w:tcPr>
            <w:tcW w:w="2610" w:type="dxa"/>
            <w:vMerge w:val="restart"/>
            <w:vAlign w:val="center"/>
          </w:tcPr>
          <w:p w14:paraId="419AE025">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做好日常巡视检查、监督管理工作，</w:t>
            </w:r>
            <w:r>
              <w:rPr>
                <w:rFonts w:hint="eastAsia"/>
                <w:color w:val="auto"/>
                <w:sz w:val="20"/>
                <w:szCs w:val="20"/>
                <w:highlight w:val="none"/>
                <w:lang w:val="en-US" w:eastAsia="zh-CN"/>
              </w:rPr>
              <w:t>及时制止未经审批擅自装修的行为。及时清理堆放在公共场所的垃圾</w:t>
            </w:r>
            <w:r>
              <w:rPr>
                <w:rFonts w:hint="eastAsia"/>
                <w:color w:val="auto"/>
                <w:sz w:val="20"/>
                <w:szCs w:val="20"/>
                <w:highlight w:val="none"/>
              </w:rPr>
              <w:t>。</w:t>
            </w:r>
          </w:p>
        </w:tc>
        <w:tc>
          <w:tcPr>
            <w:tcW w:w="918" w:type="dxa"/>
            <w:vMerge w:val="restart"/>
            <w:vAlign w:val="center"/>
          </w:tcPr>
          <w:p w14:paraId="3EA2B753">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2</w:t>
            </w:r>
          </w:p>
        </w:tc>
        <w:tc>
          <w:tcPr>
            <w:tcW w:w="2280" w:type="dxa"/>
            <w:vAlign w:val="center"/>
          </w:tcPr>
          <w:p w14:paraId="35C92F80">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未开展</w:t>
            </w:r>
            <w:r>
              <w:rPr>
                <w:rFonts w:hint="eastAsia"/>
                <w:color w:val="auto"/>
                <w:sz w:val="20"/>
                <w:szCs w:val="20"/>
                <w:highlight w:val="none"/>
              </w:rPr>
              <w:t>巡视检查、监督管理</w:t>
            </w:r>
            <w:r>
              <w:rPr>
                <w:rFonts w:hint="eastAsia"/>
                <w:color w:val="auto"/>
                <w:sz w:val="20"/>
                <w:szCs w:val="20"/>
                <w:highlight w:val="none"/>
                <w:lang w:val="en-US" w:eastAsia="zh-CN"/>
              </w:rPr>
              <w:t>工作。</w:t>
            </w:r>
          </w:p>
        </w:tc>
        <w:tc>
          <w:tcPr>
            <w:tcW w:w="1185" w:type="dxa"/>
            <w:vAlign w:val="center"/>
          </w:tcPr>
          <w:p w14:paraId="1C61C3D8">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top"/>
          </w:tcPr>
          <w:p w14:paraId="2C4DDC4E">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2561E8EC">
            <w:pPr>
              <w:jc w:val="center"/>
              <w:rPr>
                <w:rFonts w:asciiTheme="minorHAnsi" w:hAnsiTheme="minorHAnsi" w:eastAsiaTheme="minorEastAsia" w:cstheme="minorBidi"/>
                <w:color w:val="auto"/>
                <w:kern w:val="2"/>
                <w:sz w:val="20"/>
                <w:szCs w:val="20"/>
                <w:highlight w:val="none"/>
                <w:lang w:val="en-US" w:eastAsia="zh-CN" w:bidi="ar-SA"/>
              </w:rPr>
            </w:pPr>
          </w:p>
        </w:tc>
      </w:tr>
      <w:tr w14:paraId="6BB18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75AA5D07">
            <w:pPr>
              <w:jc w:val="center"/>
              <w:rPr>
                <w:rFonts w:hint="eastAsia"/>
                <w:color w:val="auto"/>
                <w:sz w:val="20"/>
                <w:szCs w:val="20"/>
                <w:highlight w:val="none"/>
              </w:rPr>
            </w:pPr>
          </w:p>
        </w:tc>
        <w:tc>
          <w:tcPr>
            <w:tcW w:w="2610" w:type="dxa"/>
            <w:vMerge w:val="continue"/>
          </w:tcPr>
          <w:p w14:paraId="3FDCDB7A">
            <w:pPr>
              <w:rPr>
                <w:rFonts w:hint="eastAsia"/>
                <w:color w:val="auto"/>
                <w:sz w:val="20"/>
                <w:szCs w:val="20"/>
                <w:highlight w:val="none"/>
              </w:rPr>
            </w:pPr>
          </w:p>
        </w:tc>
        <w:tc>
          <w:tcPr>
            <w:tcW w:w="918" w:type="dxa"/>
            <w:vMerge w:val="continue"/>
          </w:tcPr>
          <w:p w14:paraId="10F2440E">
            <w:pPr>
              <w:jc w:val="center"/>
              <w:rPr>
                <w:rFonts w:hint="eastAsia" w:ascii="宋体" w:hAnsi="宋体" w:cs="宋体"/>
                <w:color w:val="auto"/>
                <w:sz w:val="20"/>
                <w:szCs w:val="20"/>
                <w:highlight w:val="none"/>
                <w:lang w:val="en-US" w:eastAsia="zh-CN"/>
              </w:rPr>
            </w:pPr>
          </w:p>
        </w:tc>
        <w:tc>
          <w:tcPr>
            <w:tcW w:w="2280" w:type="dxa"/>
            <w:vAlign w:val="center"/>
          </w:tcPr>
          <w:p w14:paraId="76EE9AE9">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存在不经审批擅自装修不制止的</w:t>
            </w:r>
            <w:r>
              <w:rPr>
                <w:rFonts w:hint="eastAsia"/>
                <w:color w:val="auto"/>
                <w:sz w:val="20"/>
                <w:szCs w:val="20"/>
                <w:highlight w:val="none"/>
                <w:lang w:eastAsia="zh-CN"/>
              </w:rPr>
              <w:t>。</w:t>
            </w:r>
          </w:p>
        </w:tc>
        <w:tc>
          <w:tcPr>
            <w:tcW w:w="1185" w:type="dxa"/>
            <w:vAlign w:val="center"/>
          </w:tcPr>
          <w:p w14:paraId="1AAFE61B">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7D85D1C1">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68C4A357">
            <w:pPr>
              <w:jc w:val="center"/>
              <w:rPr>
                <w:rFonts w:asciiTheme="minorHAnsi" w:hAnsiTheme="minorHAnsi" w:eastAsiaTheme="minorEastAsia" w:cstheme="minorBidi"/>
                <w:color w:val="auto"/>
                <w:kern w:val="2"/>
                <w:sz w:val="20"/>
                <w:szCs w:val="20"/>
                <w:highlight w:val="none"/>
                <w:lang w:val="en-US" w:eastAsia="zh-CN" w:bidi="ar-SA"/>
              </w:rPr>
            </w:pPr>
          </w:p>
        </w:tc>
      </w:tr>
      <w:tr w14:paraId="6E5E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1F8EB047">
            <w:pPr>
              <w:jc w:val="center"/>
              <w:rPr>
                <w:rFonts w:hint="eastAsia"/>
                <w:color w:val="auto"/>
                <w:sz w:val="20"/>
                <w:szCs w:val="20"/>
                <w:highlight w:val="none"/>
              </w:rPr>
            </w:pPr>
          </w:p>
        </w:tc>
        <w:tc>
          <w:tcPr>
            <w:tcW w:w="2610" w:type="dxa"/>
            <w:vMerge w:val="continue"/>
          </w:tcPr>
          <w:p w14:paraId="15F06302">
            <w:pPr>
              <w:rPr>
                <w:rFonts w:hint="eastAsia"/>
                <w:color w:val="auto"/>
                <w:sz w:val="20"/>
                <w:szCs w:val="20"/>
                <w:highlight w:val="none"/>
              </w:rPr>
            </w:pPr>
          </w:p>
        </w:tc>
        <w:tc>
          <w:tcPr>
            <w:tcW w:w="918" w:type="dxa"/>
            <w:vMerge w:val="continue"/>
          </w:tcPr>
          <w:p w14:paraId="64396A47">
            <w:pPr>
              <w:jc w:val="center"/>
              <w:rPr>
                <w:rFonts w:hint="eastAsia" w:ascii="宋体" w:hAnsi="宋体" w:cs="宋体"/>
                <w:color w:val="auto"/>
                <w:sz w:val="20"/>
                <w:szCs w:val="20"/>
                <w:highlight w:val="none"/>
                <w:lang w:val="en-US" w:eastAsia="zh-CN"/>
              </w:rPr>
            </w:pPr>
          </w:p>
        </w:tc>
        <w:tc>
          <w:tcPr>
            <w:tcW w:w="2280" w:type="dxa"/>
            <w:vAlign w:val="center"/>
          </w:tcPr>
          <w:p w14:paraId="5AE5CC7B">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装饰维修垃圾在公共场所堆放超过24小时</w:t>
            </w:r>
            <w:r>
              <w:rPr>
                <w:rFonts w:hint="eastAsia"/>
                <w:color w:val="auto"/>
                <w:sz w:val="20"/>
                <w:szCs w:val="20"/>
                <w:highlight w:val="none"/>
                <w:lang w:eastAsia="zh-CN"/>
              </w:rPr>
              <w:t>。</w:t>
            </w:r>
          </w:p>
        </w:tc>
        <w:tc>
          <w:tcPr>
            <w:tcW w:w="1185" w:type="dxa"/>
            <w:vAlign w:val="center"/>
          </w:tcPr>
          <w:p w14:paraId="7BEEBAC6">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7FE9C19B">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A2BDC29">
            <w:pPr>
              <w:jc w:val="center"/>
              <w:rPr>
                <w:rFonts w:asciiTheme="minorHAnsi" w:hAnsiTheme="minorHAnsi" w:eastAsiaTheme="minorEastAsia" w:cstheme="minorBidi"/>
                <w:color w:val="auto"/>
                <w:kern w:val="2"/>
                <w:sz w:val="20"/>
                <w:szCs w:val="20"/>
                <w:highlight w:val="none"/>
                <w:lang w:val="en-US" w:eastAsia="zh-CN" w:bidi="ar-SA"/>
              </w:rPr>
            </w:pPr>
          </w:p>
        </w:tc>
      </w:tr>
      <w:tr w14:paraId="06953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5A0FE11E">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3</w:t>
            </w:r>
          </w:p>
        </w:tc>
        <w:tc>
          <w:tcPr>
            <w:tcW w:w="2610" w:type="dxa"/>
            <w:vMerge w:val="restart"/>
            <w:vAlign w:val="center"/>
          </w:tcPr>
          <w:p w14:paraId="1FA7D260">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做好日常巡视工作及</w:t>
            </w:r>
            <w:r>
              <w:rPr>
                <w:rFonts w:hint="eastAsia"/>
                <w:color w:val="auto"/>
                <w:sz w:val="20"/>
                <w:szCs w:val="20"/>
                <w:highlight w:val="none"/>
                <w:lang w:eastAsia="zh-CN"/>
              </w:rPr>
              <w:t>房源</w:t>
            </w:r>
            <w:r>
              <w:rPr>
                <w:rFonts w:hint="eastAsia"/>
                <w:color w:val="auto"/>
                <w:sz w:val="20"/>
                <w:szCs w:val="20"/>
                <w:highlight w:val="none"/>
              </w:rPr>
              <w:t>的缺陷记录，</w:t>
            </w:r>
            <w:r>
              <w:rPr>
                <w:rFonts w:hint="eastAsia"/>
                <w:color w:val="auto"/>
                <w:sz w:val="20"/>
                <w:szCs w:val="20"/>
                <w:highlight w:val="none"/>
                <w:lang w:val="en-US" w:eastAsia="zh-CN"/>
              </w:rPr>
              <w:t>定期</w:t>
            </w:r>
            <w:r>
              <w:rPr>
                <w:rFonts w:hint="eastAsia"/>
                <w:color w:val="auto"/>
                <w:sz w:val="20"/>
                <w:szCs w:val="20"/>
                <w:highlight w:val="none"/>
              </w:rPr>
              <w:t>对办公场所、生产场所、营业场所内</w:t>
            </w:r>
            <w:r>
              <w:rPr>
                <w:rFonts w:hint="eastAsia" w:ascii="宋体" w:hAnsi="宋体"/>
                <w:color w:val="auto"/>
                <w:sz w:val="20"/>
                <w:szCs w:val="20"/>
                <w:highlight w:val="none"/>
              </w:rPr>
              <w:t>的院墙大门、楼宇天面、道路、沟渠下水道、沉沙井、</w:t>
            </w:r>
            <w:r>
              <w:rPr>
                <w:rFonts w:hint="eastAsia" w:ascii="宋体" w:hAnsi="宋体"/>
                <w:color w:val="auto"/>
                <w:sz w:val="20"/>
                <w:szCs w:val="20"/>
                <w:highlight w:val="none"/>
                <w:lang w:eastAsia="zh-CN"/>
              </w:rPr>
              <w:t>房源</w:t>
            </w:r>
            <w:r>
              <w:rPr>
                <w:rFonts w:hint="eastAsia" w:ascii="宋体" w:hAnsi="宋体"/>
                <w:color w:val="auto"/>
                <w:sz w:val="20"/>
                <w:szCs w:val="20"/>
                <w:highlight w:val="none"/>
              </w:rPr>
              <w:t>楼道及附属设备进行检查，发现损坏、堵塞及存放杂物，及时修复、疏通及清理。保持</w:t>
            </w:r>
            <w:r>
              <w:rPr>
                <w:rFonts w:hint="eastAsia" w:ascii="宋体" w:hAnsi="宋体"/>
                <w:color w:val="auto"/>
                <w:sz w:val="20"/>
                <w:szCs w:val="20"/>
                <w:highlight w:val="none"/>
                <w:lang w:eastAsia="zh-CN"/>
              </w:rPr>
              <w:t>房源</w:t>
            </w:r>
            <w:r>
              <w:rPr>
                <w:rFonts w:hint="eastAsia" w:ascii="宋体" w:hAnsi="宋体"/>
                <w:color w:val="auto"/>
                <w:sz w:val="20"/>
                <w:szCs w:val="20"/>
                <w:highlight w:val="none"/>
              </w:rPr>
              <w:t>及附属设备的完好，保证安全、正常使用。</w:t>
            </w:r>
          </w:p>
        </w:tc>
        <w:tc>
          <w:tcPr>
            <w:tcW w:w="918" w:type="dxa"/>
            <w:vMerge w:val="restart"/>
            <w:vAlign w:val="center"/>
          </w:tcPr>
          <w:p w14:paraId="2F8B86F8">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2</w:t>
            </w:r>
          </w:p>
        </w:tc>
        <w:tc>
          <w:tcPr>
            <w:tcW w:w="2280" w:type="dxa"/>
            <w:vAlign w:val="center"/>
          </w:tcPr>
          <w:p w14:paraId="331C53A2">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不巡视，无记录，每一项</w:t>
            </w:r>
            <w:r>
              <w:rPr>
                <w:rFonts w:hint="eastAsia"/>
                <w:color w:val="auto"/>
                <w:sz w:val="20"/>
                <w:szCs w:val="20"/>
                <w:highlight w:val="none"/>
                <w:lang w:eastAsia="zh-CN"/>
              </w:rPr>
              <w:t>。</w:t>
            </w:r>
          </w:p>
        </w:tc>
        <w:tc>
          <w:tcPr>
            <w:tcW w:w="1185" w:type="dxa"/>
            <w:vAlign w:val="center"/>
          </w:tcPr>
          <w:p w14:paraId="0E052C2D">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1F2810F7">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1998598E">
            <w:pPr>
              <w:jc w:val="center"/>
              <w:rPr>
                <w:rFonts w:asciiTheme="minorHAnsi" w:hAnsiTheme="minorHAnsi" w:eastAsiaTheme="minorEastAsia" w:cstheme="minorBidi"/>
                <w:color w:val="auto"/>
                <w:kern w:val="2"/>
                <w:sz w:val="20"/>
                <w:szCs w:val="20"/>
                <w:highlight w:val="none"/>
                <w:lang w:val="en-US" w:eastAsia="zh-CN" w:bidi="ar-SA"/>
              </w:rPr>
            </w:pPr>
          </w:p>
        </w:tc>
      </w:tr>
      <w:tr w14:paraId="5B8A6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16C15739">
            <w:pPr>
              <w:jc w:val="center"/>
              <w:rPr>
                <w:rFonts w:hint="eastAsia"/>
                <w:color w:val="auto"/>
                <w:sz w:val="20"/>
                <w:szCs w:val="20"/>
                <w:highlight w:val="none"/>
              </w:rPr>
            </w:pPr>
          </w:p>
        </w:tc>
        <w:tc>
          <w:tcPr>
            <w:tcW w:w="2610" w:type="dxa"/>
            <w:vMerge w:val="continue"/>
          </w:tcPr>
          <w:p w14:paraId="6C50E7B9">
            <w:pPr>
              <w:rPr>
                <w:rFonts w:hint="eastAsia"/>
                <w:color w:val="auto"/>
                <w:sz w:val="20"/>
                <w:szCs w:val="20"/>
                <w:highlight w:val="none"/>
              </w:rPr>
            </w:pPr>
          </w:p>
        </w:tc>
        <w:tc>
          <w:tcPr>
            <w:tcW w:w="918" w:type="dxa"/>
            <w:vMerge w:val="continue"/>
          </w:tcPr>
          <w:p w14:paraId="1FB1580F">
            <w:pPr>
              <w:jc w:val="center"/>
              <w:rPr>
                <w:rFonts w:hint="eastAsia" w:ascii="宋体" w:hAnsi="宋体" w:cs="宋体"/>
                <w:color w:val="auto"/>
                <w:sz w:val="20"/>
                <w:szCs w:val="20"/>
                <w:highlight w:val="none"/>
                <w:lang w:val="en-US" w:eastAsia="zh-CN"/>
              </w:rPr>
            </w:pPr>
          </w:p>
        </w:tc>
        <w:tc>
          <w:tcPr>
            <w:tcW w:w="2280" w:type="dxa"/>
            <w:vAlign w:val="center"/>
          </w:tcPr>
          <w:p w14:paraId="27F1DB07">
            <w:pPr>
              <w:rPr>
                <w:rFonts w:hint="eastAsia" w:asciiTheme="minorHAnsi" w:hAnsiTheme="minorHAnsi" w:eastAsiaTheme="minorEastAsia" w:cstheme="minorBidi"/>
                <w:color w:val="auto"/>
                <w:kern w:val="2"/>
                <w:sz w:val="20"/>
                <w:szCs w:val="20"/>
                <w:highlight w:val="none"/>
                <w:lang w:val="en-US" w:eastAsia="zh-CN" w:bidi="ar-SA"/>
              </w:rPr>
            </w:pPr>
            <w:r>
              <w:rPr>
                <w:rFonts w:hint="eastAsia" w:ascii="宋体" w:hAnsi="宋体"/>
                <w:color w:val="auto"/>
                <w:sz w:val="20"/>
                <w:szCs w:val="20"/>
                <w:highlight w:val="none"/>
              </w:rPr>
              <w:t>天面、道路、沟渠下水道、沉沙井、</w:t>
            </w:r>
            <w:r>
              <w:rPr>
                <w:rFonts w:hint="eastAsia" w:ascii="宋体" w:hAnsi="宋体"/>
                <w:color w:val="auto"/>
                <w:sz w:val="20"/>
                <w:szCs w:val="20"/>
                <w:highlight w:val="none"/>
                <w:lang w:eastAsia="zh-CN"/>
              </w:rPr>
              <w:t>房源</w:t>
            </w:r>
            <w:r>
              <w:rPr>
                <w:rFonts w:hint="eastAsia" w:ascii="宋体" w:hAnsi="宋体"/>
                <w:color w:val="auto"/>
                <w:sz w:val="20"/>
                <w:szCs w:val="20"/>
                <w:highlight w:val="none"/>
              </w:rPr>
              <w:t>楼道及附属设备有损坏、堵塞及存放杂物</w:t>
            </w:r>
            <w:r>
              <w:rPr>
                <w:rFonts w:hint="eastAsia" w:ascii="宋体" w:hAnsi="宋体"/>
                <w:color w:val="auto"/>
                <w:sz w:val="20"/>
                <w:szCs w:val="20"/>
                <w:highlight w:val="none"/>
                <w:lang w:eastAsia="zh-CN"/>
              </w:rPr>
              <w:t>。</w:t>
            </w:r>
          </w:p>
        </w:tc>
        <w:tc>
          <w:tcPr>
            <w:tcW w:w="1185" w:type="dxa"/>
            <w:vAlign w:val="center"/>
          </w:tcPr>
          <w:p w14:paraId="1C4AF54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top"/>
          </w:tcPr>
          <w:p w14:paraId="6D1B97C0">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5AC4F843">
            <w:pPr>
              <w:jc w:val="center"/>
              <w:rPr>
                <w:rFonts w:asciiTheme="minorHAnsi" w:hAnsiTheme="minorHAnsi" w:eastAsiaTheme="minorEastAsia" w:cstheme="minorBidi"/>
                <w:color w:val="auto"/>
                <w:kern w:val="2"/>
                <w:sz w:val="20"/>
                <w:szCs w:val="20"/>
                <w:highlight w:val="none"/>
                <w:lang w:val="en-US" w:eastAsia="zh-CN" w:bidi="ar-SA"/>
              </w:rPr>
            </w:pPr>
          </w:p>
        </w:tc>
      </w:tr>
      <w:tr w14:paraId="38539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16A3F6F5">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4</w:t>
            </w:r>
          </w:p>
        </w:tc>
        <w:tc>
          <w:tcPr>
            <w:tcW w:w="2610" w:type="dxa"/>
            <w:vMerge w:val="restart"/>
            <w:vAlign w:val="center"/>
          </w:tcPr>
          <w:p w14:paraId="7C02D9FA">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针对</w:t>
            </w:r>
            <w:r>
              <w:rPr>
                <w:rFonts w:hint="eastAsia"/>
                <w:color w:val="auto"/>
                <w:sz w:val="20"/>
                <w:szCs w:val="20"/>
                <w:highlight w:val="none"/>
                <w:lang w:eastAsia="zh-CN"/>
              </w:rPr>
              <w:t>房源</w:t>
            </w:r>
            <w:r>
              <w:rPr>
                <w:rFonts w:hint="eastAsia"/>
                <w:color w:val="auto"/>
                <w:sz w:val="20"/>
                <w:szCs w:val="20"/>
                <w:highlight w:val="none"/>
              </w:rPr>
              <w:t>缺陷提出维修整改方案，每季度最后一个月5日前向</w:t>
            </w:r>
            <w:r>
              <w:rPr>
                <w:rFonts w:hint="eastAsia"/>
                <w:color w:val="auto"/>
                <w:sz w:val="20"/>
                <w:szCs w:val="20"/>
                <w:highlight w:val="none"/>
                <w:lang w:eastAsia="zh-CN"/>
              </w:rPr>
              <w:t>采购方</w:t>
            </w:r>
            <w:r>
              <w:rPr>
                <w:rFonts w:hint="eastAsia" w:ascii="宋体" w:hAnsi="宋体" w:cs="宋体"/>
                <w:color w:val="auto"/>
                <w:sz w:val="20"/>
                <w:szCs w:val="20"/>
                <w:highlight w:val="none"/>
              </w:rPr>
              <w:t>综合服务中心</w:t>
            </w:r>
            <w:r>
              <w:rPr>
                <w:rFonts w:hint="eastAsia"/>
                <w:color w:val="auto"/>
                <w:sz w:val="20"/>
                <w:szCs w:val="20"/>
                <w:highlight w:val="none"/>
              </w:rPr>
              <w:t>上报下一季度、维修项目计划，经</w:t>
            </w:r>
            <w:r>
              <w:rPr>
                <w:rFonts w:hint="eastAsia"/>
                <w:color w:val="auto"/>
                <w:sz w:val="20"/>
                <w:szCs w:val="20"/>
                <w:highlight w:val="none"/>
                <w:lang w:eastAsia="zh-CN"/>
              </w:rPr>
              <w:t>采购方</w:t>
            </w:r>
            <w:r>
              <w:rPr>
                <w:rFonts w:hint="eastAsia"/>
                <w:color w:val="auto"/>
                <w:sz w:val="20"/>
                <w:szCs w:val="20"/>
                <w:highlight w:val="none"/>
              </w:rPr>
              <w:t>批准后，方能组织实施。</w:t>
            </w:r>
          </w:p>
        </w:tc>
        <w:tc>
          <w:tcPr>
            <w:tcW w:w="918" w:type="dxa"/>
            <w:vMerge w:val="restart"/>
            <w:vAlign w:val="center"/>
          </w:tcPr>
          <w:p w14:paraId="72DDD4F0">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3</w:t>
            </w:r>
          </w:p>
        </w:tc>
        <w:tc>
          <w:tcPr>
            <w:tcW w:w="2280" w:type="dxa"/>
            <w:vAlign w:val="center"/>
          </w:tcPr>
          <w:p w14:paraId="7FEF9D31">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不按时报计划、方案</w:t>
            </w:r>
            <w:r>
              <w:rPr>
                <w:rFonts w:hint="eastAsia"/>
                <w:color w:val="auto"/>
                <w:sz w:val="20"/>
                <w:szCs w:val="20"/>
                <w:highlight w:val="none"/>
                <w:lang w:eastAsia="zh-CN"/>
              </w:rPr>
              <w:t>。</w:t>
            </w:r>
          </w:p>
        </w:tc>
        <w:tc>
          <w:tcPr>
            <w:tcW w:w="1185" w:type="dxa"/>
            <w:vAlign w:val="center"/>
          </w:tcPr>
          <w:p w14:paraId="6C20141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1ED84D0D">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71F2AAF">
            <w:pPr>
              <w:rPr>
                <w:rFonts w:asciiTheme="minorHAnsi" w:hAnsiTheme="minorHAnsi" w:eastAsiaTheme="minorEastAsia" w:cstheme="minorBidi"/>
                <w:color w:val="auto"/>
                <w:kern w:val="2"/>
                <w:sz w:val="20"/>
                <w:szCs w:val="20"/>
                <w:highlight w:val="none"/>
                <w:lang w:val="en-US" w:eastAsia="zh-CN" w:bidi="ar-SA"/>
              </w:rPr>
            </w:pPr>
          </w:p>
        </w:tc>
      </w:tr>
      <w:tr w14:paraId="24ED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364BE150">
            <w:pPr>
              <w:jc w:val="center"/>
              <w:rPr>
                <w:rFonts w:hint="eastAsia"/>
                <w:color w:val="auto"/>
                <w:sz w:val="20"/>
                <w:szCs w:val="20"/>
                <w:highlight w:val="none"/>
              </w:rPr>
            </w:pPr>
          </w:p>
        </w:tc>
        <w:tc>
          <w:tcPr>
            <w:tcW w:w="2610" w:type="dxa"/>
            <w:vMerge w:val="continue"/>
          </w:tcPr>
          <w:p w14:paraId="7FC09E44">
            <w:pPr>
              <w:rPr>
                <w:rFonts w:hint="eastAsia"/>
                <w:color w:val="auto"/>
                <w:sz w:val="20"/>
                <w:szCs w:val="20"/>
                <w:highlight w:val="none"/>
              </w:rPr>
            </w:pPr>
          </w:p>
        </w:tc>
        <w:tc>
          <w:tcPr>
            <w:tcW w:w="918" w:type="dxa"/>
            <w:vMerge w:val="continue"/>
          </w:tcPr>
          <w:p w14:paraId="0BBEA294">
            <w:pPr>
              <w:jc w:val="center"/>
              <w:rPr>
                <w:rFonts w:hint="eastAsia" w:ascii="宋体" w:hAnsi="宋体" w:cs="宋体"/>
                <w:color w:val="auto"/>
                <w:sz w:val="20"/>
                <w:szCs w:val="20"/>
                <w:highlight w:val="none"/>
                <w:lang w:val="en-US" w:eastAsia="zh-CN"/>
              </w:rPr>
            </w:pPr>
          </w:p>
        </w:tc>
        <w:tc>
          <w:tcPr>
            <w:tcW w:w="2280" w:type="dxa"/>
            <w:vAlign w:val="center"/>
          </w:tcPr>
          <w:p w14:paraId="067B67E6">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不按</w:t>
            </w:r>
            <w:r>
              <w:rPr>
                <w:rFonts w:hint="eastAsia"/>
                <w:color w:val="auto"/>
                <w:sz w:val="20"/>
                <w:szCs w:val="20"/>
                <w:highlight w:val="none"/>
                <w:lang w:eastAsia="zh-CN"/>
              </w:rPr>
              <w:t>采购方</w:t>
            </w:r>
            <w:r>
              <w:rPr>
                <w:rFonts w:hint="eastAsia"/>
                <w:color w:val="auto"/>
                <w:sz w:val="20"/>
                <w:szCs w:val="20"/>
                <w:highlight w:val="none"/>
              </w:rPr>
              <w:t>要求报送资料的，每一项</w:t>
            </w:r>
            <w:r>
              <w:rPr>
                <w:rFonts w:hint="eastAsia"/>
                <w:color w:val="auto"/>
                <w:sz w:val="20"/>
                <w:szCs w:val="20"/>
                <w:highlight w:val="none"/>
                <w:lang w:eastAsia="zh-CN"/>
              </w:rPr>
              <w:t>。</w:t>
            </w:r>
          </w:p>
        </w:tc>
        <w:tc>
          <w:tcPr>
            <w:tcW w:w="1185" w:type="dxa"/>
            <w:vAlign w:val="center"/>
          </w:tcPr>
          <w:p w14:paraId="24A90CD1">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30693411">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23A3251E">
            <w:pPr>
              <w:rPr>
                <w:rFonts w:asciiTheme="minorHAnsi" w:hAnsiTheme="minorHAnsi" w:eastAsiaTheme="minorEastAsia" w:cstheme="minorBidi"/>
                <w:color w:val="auto"/>
                <w:kern w:val="2"/>
                <w:sz w:val="20"/>
                <w:szCs w:val="20"/>
                <w:highlight w:val="none"/>
                <w:lang w:val="en-US" w:eastAsia="zh-CN" w:bidi="ar-SA"/>
              </w:rPr>
            </w:pPr>
          </w:p>
        </w:tc>
      </w:tr>
      <w:tr w14:paraId="20E0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069BC4DF">
            <w:pPr>
              <w:jc w:val="center"/>
              <w:rPr>
                <w:rFonts w:hint="eastAsia"/>
                <w:color w:val="auto"/>
                <w:sz w:val="20"/>
                <w:szCs w:val="20"/>
                <w:highlight w:val="none"/>
              </w:rPr>
            </w:pPr>
          </w:p>
        </w:tc>
        <w:tc>
          <w:tcPr>
            <w:tcW w:w="2610" w:type="dxa"/>
            <w:vMerge w:val="continue"/>
          </w:tcPr>
          <w:p w14:paraId="1E29DA92">
            <w:pPr>
              <w:rPr>
                <w:rFonts w:hint="eastAsia"/>
                <w:color w:val="auto"/>
                <w:sz w:val="20"/>
                <w:szCs w:val="20"/>
                <w:highlight w:val="none"/>
              </w:rPr>
            </w:pPr>
          </w:p>
        </w:tc>
        <w:tc>
          <w:tcPr>
            <w:tcW w:w="918" w:type="dxa"/>
            <w:vMerge w:val="continue"/>
          </w:tcPr>
          <w:p w14:paraId="01B7B5AC">
            <w:pPr>
              <w:jc w:val="center"/>
              <w:rPr>
                <w:rFonts w:hint="eastAsia" w:ascii="宋体" w:hAnsi="宋体" w:cs="宋体"/>
                <w:color w:val="auto"/>
                <w:sz w:val="20"/>
                <w:szCs w:val="20"/>
                <w:highlight w:val="none"/>
                <w:lang w:val="en-US" w:eastAsia="zh-CN"/>
              </w:rPr>
            </w:pPr>
          </w:p>
        </w:tc>
        <w:tc>
          <w:tcPr>
            <w:tcW w:w="2280" w:type="dxa"/>
            <w:vAlign w:val="center"/>
          </w:tcPr>
          <w:p w14:paraId="1B00523F">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对存在的重大缺陷及安全隐患不上报的</w:t>
            </w:r>
            <w:r>
              <w:rPr>
                <w:rFonts w:hint="eastAsia"/>
                <w:color w:val="auto"/>
                <w:sz w:val="20"/>
                <w:szCs w:val="20"/>
                <w:highlight w:val="none"/>
                <w:lang w:eastAsia="zh-CN"/>
              </w:rPr>
              <w:t>。</w:t>
            </w:r>
          </w:p>
        </w:tc>
        <w:tc>
          <w:tcPr>
            <w:tcW w:w="1185" w:type="dxa"/>
            <w:vAlign w:val="center"/>
          </w:tcPr>
          <w:p w14:paraId="2BA4EFF4">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6B5F180E">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026E5AB">
            <w:pPr>
              <w:rPr>
                <w:rFonts w:asciiTheme="minorHAnsi" w:hAnsiTheme="minorHAnsi" w:eastAsiaTheme="minorEastAsia" w:cstheme="minorBidi"/>
                <w:color w:val="auto"/>
                <w:kern w:val="2"/>
                <w:sz w:val="20"/>
                <w:szCs w:val="20"/>
                <w:highlight w:val="none"/>
                <w:lang w:val="en-US" w:eastAsia="zh-CN" w:bidi="ar-SA"/>
              </w:rPr>
            </w:pPr>
          </w:p>
        </w:tc>
      </w:tr>
      <w:tr w14:paraId="3B4DF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5A61DC77">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5</w:t>
            </w:r>
          </w:p>
        </w:tc>
        <w:tc>
          <w:tcPr>
            <w:tcW w:w="2610" w:type="dxa"/>
            <w:vMerge w:val="restart"/>
            <w:vAlign w:val="center"/>
          </w:tcPr>
          <w:p w14:paraId="00BCDF44">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对</w:t>
            </w:r>
            <w:r>
              <w:rPr>
                <w:rFonts w:hint="eastAsia"/>
                <w:color w:val="auto"/>
                <w:sz w:val="20"/>
                <w:szCs w:val="20"/>
                <w:highlight w:val="none"/>
                <w:lang w:eastAsia="zh-CN"/>
              </w:rPr>
              <w:t>采购方</w:t>
            </w:r>
            <w:r>
              <w:rPr>
                <w:rFonts w:hint="eastAsia"/>
                <w:color w:val="auto"/>
                <w:sz w:val="20"/>
                <w:szCs w:val="20"/>
                <w:highlight w:val="none"/>
              </w:rPr>
              <w:t>委托的维修项目，</w:t>
            </w:r>
            <w:r>
              <w:rPr>
                <w:rFonts w:hint="eastAsia"/>
                <w:b/>
                <w:bCs/>
                <w:color w:val="auto"/>
                <w:sz w:val="20"/>
                <w:szCs w:val="20"/>
                <w:highlight w:val="none"/>
                <w:lang w:eastAsia="zh-CN"/>
              </w:rPr>
              <w:t>服务商</w:t>
            </w:r>
            <w:r>
              <w:rPr>
                <w:rFonts w:hint="eastAsia"/>
                <w:b/>
                <w:bCs/>
                <w:color w:val="auto"/>
                <w:sz w:val="20"/>
                <w:szCs w:val="20"/>
                <w:highlight w:val="none"/>
              </w:rPr>
              <w:t>应与有资质、有经验的施工单位签订施工合同</w:t>
            </w:r>
            <w:r>
              <w:rPr>
                <w:rFonts w:hint="eastAsia"/>
                <w:color w:val="auto"/>
                <w:sz w:val="20"/>
                <w:szCs w:val="20"/>
                <w:highlight w:val="none"/>
              </w:rPr>
              <w:t>，尽可能降低维修成本。组织进行施工管理和监督，把好质量关，确保施工安全，竣工后按国家有关验收规范进行工程验收，并归档竣工资料。</w:t>
            </w:r>
          </w:p>
        </w:tc>
        <w:tc>
          <w:tcPr>
            <w:tcW w:w="918" w:type="dxa"/>
            <w:vMerge w:val="restart"/>
            <w:vAlign w:val="center"/>
          </w:tcPr>
          <w:p w14:paraId="4A249E09">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4E288D6C">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无施工合同或维修项目存在质量问题，存在安全隐患不整改</w:t>
            </w:r>
            <w:r>
              <w:rPr>
                <w:rFonts w:hint="eastAsia"/>
                <w:color w:val="auto"/>
                <w:sz w:val="20"/>
                <w:szCs w:val="20"/>
                <w:highlight w:val="none"/>
                <w:lang w:eastAsia="zh-CN"/>
              </w:rPr>
              <w:t>。</w:t>
            </w:r>
          </w:p>
        </w:tc>
        <w:tc>
          <w:tcPr>
            <w:tcW w:w="1185" w:type="dxa"/>
            <w:vAlign w:val="center"/>
          </w:tcPr>
          <w:p w14:paraId="29F12CB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top"/>
          </w:tcPr>
          <w:p w14:paraId="74D54D30">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65B51AF6">
            <w:pPr>
              <w:jc w:val="center"/>
              <w:rPr>
                <w:rFonts w:asciiTheme="minorHAnsi" w:hAnsiTheme="minorHAnsi" w:eastAsiaTheme="minorEastAsia" w:cstheme="minorBidi"/>
                <w:color w:val="auto"/>
                <w:kern w:val="2"/>
                <w:sz w:val="20"/>
                <w:szCs w:val="20"/>
                <w:highlight w:val="none"/>
                <w:lang w:val="en-US" w:eastAsia="zh-CN" w:bidi="ar-SA"/>
              </w:rPr>
            </w:pPr>
          </w:p>
        </w:tc>
      </w:tr>
      <w:tr w14:paraId="432EE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1B13068F">
            <w:pPr>
              <w:jc w:val="center"/>
              <w:rPr>
                <w:rFonts w:hint="eastAsia"/>
                <w:color w:val="auto"/>
                <w:sz w:val="20"/>
                <w:szCs w:val="20"/>
                <w:highlight w:val="none"/>
              </w:rPr>
            </w:pPr>
          </w:p>
        </w:tc>
        <w:tc>
          <w:tcPr>
            <w:tcW w:w="2610" w:type="dxa"/>
            <w:vMerge w:val="continue"/>
          </w:tcPr>
          <w:p w14:paraId="55613AA8">
            <w:pPr>
              <w:rPr>
                <w:rFonts w:hint="eastAsia"/>
                <w:color w:val="auto"/>
                <w:sz w:val="20"/>
                <w:szCs w:val="20"/>
                <w:highlight w:val="none"/>
              </w:rPr>
            </w:pPr>
          </w:p>
        </w:tc>
        <w:tc>
          <w:tcPr>
            <w:tcW w:w="918" w:type="dxa"/>
            <w:vMerge w:val="continue"/>
          </w:tcPr>
          <w:p w14:paraId="6528F2EF">
            <w:pPr>
              <w:jc w:val="center"/>
              <w:rPr>
                <w:rFonts w:hint="eastAsia" w:ascii="宋体" w:hAnsi="宋体" w:cs="宋体"/>
                <w:color w:val="auto"/>
                <w:sz w:val="20"/>
                <w:szCs w:val="20"/>
                <w:highlight w:val="none"/>
                <w:lang w:val="en-US" w:eastAsia="zh-CN"/>
              </w:rPr>
            </w:pPr>
          </w:p>
        </w:tc>
        <w:tc>
          <w:tcPr>
            <w:tcW w:w="2280" w:type="dxa"/>
            <w:vAlign w:val="center"/>
          </w:tcPr>
          <w:p w14:paraId="7FEE40B3">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竣工后不按国家有关验收规范进行工程验收或没有归档竣工资料的，每一项</w:t>
            </w:r>
            <w:r>
              <w:rPr>
                <w:rFonts w:hint="eastAsia"/>
                <w:color w:val="auto"/>
                <w:sz w:val="20"/>
                <w:szCs w:val="20"/>
                <w:highlight w:val="none"/>
                <w:lang w:eastAsia="zh-CN"/>
              </w:rPr>
              <w:t>。</w:t>
            </w:r>
          </w:p>
        </w:tc>
        <w:tc>
          <w:tcPr>
            <w:tcW w:w="1185" w:type="dxa"/>
            <w:vAlign w:val="center"/>
          </w:tcPr>
          <w:p w14:paraId="6E432ECA">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690" w:type="dxa"/>
            <w:vAlign w:val="top"/>
          </w:tcPr>
          <w:p w14:paraId="38661807">
            <w:pPr>
              <w:ind w:left="-1080" w:leftChars="-540" w:firstLine="290" w:firstLineChars="145"/>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CB4B887">
            <w:pPr>
              <w:ind w:left="-1080" w:leftChars="-540" w:firstLine="290" w:firstLineChars="145"/>
              <w:jc w:val="center"/>
              <w:rPr>
                <w:rFonts w:asciiTheme="minorHAnsi" w:hAnsiTheme="minorHAnsi" w:eastAsiaTheme="minorEastAsia" w:cstheme="minorBidi"/>
                <w:color w:val="auto"/>
                <w:kern w:val="2"/>
                <w:sz w:val="20"/>
                <w:szCs w:val="20"/>
                <w:highlight w:val="none"/>
                <w:lang w:val="en-US" w:eastAsia="zh-CN" w:bidi="ar-SA"/>
              </w:rPr>
            </w:pPr>
          </w:p>
        </w:tc>
      </w:tr>
      <w:tr w14:paraId="25C4E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5257F5A6">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6</w:t>
            </w:r>
          </w:p>
        </w:tc>
        <w:tc>
          <w:tcPr>
            <w:tcW w:w="2610" w:type="dxa"/>
            <w:vMerge w:val="restart"/>
            <w:vAlign w:val="center"/>
          </w:tcPr>
          <w:p w14:paraId="73D7993F">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eastAsia="zh-CN"/>
              </w:rPr>
              <w:t>配合采购方</w:t>
            </w:r>
            <w:r>
              <w:rPr>
                <w:rFonts w:hint="eastAsia"/>
                <w:color w:val="auto"/>
                <w:sz w:val="20"/>
                <w:szCs w:val="20"/>
                <w:highlight w:val="none"/>
              </w:rPr>
              <w:t>做好</w:t>
            </w:r>
            <w:r>
              <w:rPr>
                <w:rFonts w:hint="eastAsia"/>
                <w:color w:val="auto"/>
                <w:sz w:val="20"/>
                <w:szCs w:val="20"/>
                <w:highlight w:val="none"/>
                <w:lang w:eastAsia="zh-CN"/>
              </w:rPr>
              <w:t>房源</w:t>
            </w:r>
            <w:r>
              <w:rPr>
                <w:rFonts w:hint="eastAsia"/>
                <w:color w:val="auto"/>
                <w:sz w:val="20"/>
                <w:szCs w:val="20"/>
                <w:highlight w:val="none"/>
              </w:rPr>
              <w:t>维修资料的收集整理工作，妥善管理</w:t>
            </w:r>
            <w:r>
              <w:rPr>
                <w:rFonts w:hint="eastAsia"/>
                <w:color w:val="auto"/>
                <w:sz w:val="20"/>
                <w:szCs w:val="20"/>
                <w:highlight w:val="none"/>
                <w:lang w:eastAsia="zh-CN"/>
              </w:rPr>
              <w:t>房源</w:t>
            </w:r>
            <w:r>
              <w:rPr>
                <w:rFonts w:hint="eastAsia"/>
                <w:color w:val="auto"/>
                <w:sz w:val="20"/>
                <w:szCs w:val="20"/>
                <w:highlight w:val="none"/>
              </w:rPr>
              <w:t>技术档案，保持</w:t>
            </w:r>
            <w:r>
              <w:rPr>
                <w:rFonts w:hint="eastAsia"/>
                <w:color w:val="auto"/>
                <w:sz w:val="20"/>
                <w:szCs w:val="20"/>
                <w:highlight w:val="none"/>
                <w:lang w:eastAsia="zh-CN"/>
              </w:rPr>
              <w:t>房源</w:t>
            </w:r>
            <w:r>
              <w:rPr>
                <w:rFonts w:hint="eastAsia"/>
                <w:color w:val="auto"/>
                <w:sz w:val="20"/>
                <w:szCs w:val="20"/>
                <w:highlight w:val="none"/>
              </w:rPr>
              <w:t>技术资料的完整。</w:t>
            </w:r>
          </w:p>
        </w:tc>
        <w:tc>
          <w:tcPr>
            <w:tcW w:w="918" w:type="dxa"/>
            <w:vMerge w:val="restart"/>
            <w:vAlign w:val="center"/>
          </w:tcPr>
          <w:p w14:paraId="5F74CFBA">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321F6ACD">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不收集</w:t>
            </w:r>
            <w:r>
              <w:rPr>
                <w:rFonts w:hint="eastAsia"/>
                <w:color w:val="auto"/>
                <w:sz w:val="20"/>
                <w:szCs w:val="20"/>
                <w:highlight w:val="none"/>
                <w:lang w:eastAsia="zh-CN"/>
              </w:rPr>
              <w:t>房源</w:t>
            </w:r>
            <w:r>
              <w:rPr>
                <w:rFonts w:hint="eastAsia"/>
                <w:color w:val="auto"/>
                <w:sz w:val="20"/>
                <w:szCs w:val="20"/>
                <w:highlight w:val="none"/>
              </w:rPr>
              <w:t>维修资料</w:t>
            </w:r>
            <w:r>
              <w:rPr>
                <w:rFonts w:hint="eastAsia"/>
                <w:color w:val="auto"/>
                <w:sz w:val="20"/>
                <w:szCs w:val="20"/>
                <w:highlight w:val="none"/>
                <w:lang w:eastAsia="zh-CN"/>
              </w:rPr>
              <w:t>。</w:t>
            </w:r>
          </w:p>
        </w:tc>
        <w:tc>
          <w:tcPr>
            <w:tcW w:w="1185" w:type="dxa"/>
            <w:vAlign w:val="center"/>
          </w:tcPr>
          <w:p w14:paraId="3206DEAB">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center"/>
          </w:tcPr>
          <w:p w14:paraId="04E34955">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54DC76D1">
            <w:pPr>
              <w:jc w:val="center"/>
              <w:rPr>
                <w:rFonts w:asciiTheme="minorHAnsi" w:hAnsiTheme="minorHAnsi" w:eastAsiaTheme="minorEastAsia" w:cstheme="minorBidi"/>
                <w:color w:val="auto"/>
                <w:kern w:val="2"/>
                <w:sz w:val="20"/>
                <w:szCs w:val="20"/>
                <w:highlight w:val="none"/>
                <w:lang w:val="en-US" w:eastAsia="zh-CN" w:bidi="ar-SA"/>
              </w:rPr>
            </w:pPr>
          </w:p>
        </w:tc>
      </w:tr>
      <w:tr w14:paraId="2B816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723FD4B3">
            <w:pPr>
              <w:jc w:val="center"/>
              <w:rPr>
                <w:rFonts w:hint="eastAsia"/>
                <w:color w:val="auto"/>
                <w:sz w:val="20"/>
                <w:szCs w:val="20"/>
                <w:highlight w:val="none"/>
              </w:rPr>
            </w:pPr>
          </w:p>
        </w:tc>
        <w:tc>
          <w:tcPr>
            <w:tcW w:w="2610" w:type="dxa"/>
            <w:vMerge w:val="continue"/>
          </w:tcPr>
          <w:p w14:paraId="19660B26">
            <w:pPr>
              <w:rPr>
                <w:rFonts w:hint="eastAsia"/>
                <w:color w:val="auto"/>
                <w:sz w:val="20"/>
                <w:szCs w:val="20"/>
                <w:highlight w:val="none"/>
              </w:rPr>
            </w:pPr>
          </w:p>
        </w:tc>
        <w:tc>
          <w:tcPr>
            <w:tcW w:w="918" w:type="dxa"/>
            <w:vMerge w:val="continue"/>
          </w:tcPr>
          <w:p w14:paraId="13B68B36">
            <w:pPr>
              <w:jc w:val="center"/>
              <w:rPr>
                <w:rFonts w:hint="eastAsia" w:ascii="宋体" w:hAnsi="宋体" w:cs="宋体"/>
                <w:color w:val="auto"/>
                <w:sz w:val="20"/>
                <w:szCs w:val="20"/>
                <w:highlight w:val="none"/>
                <w:lang w:val="en-US" w:eastAsia="zh-CN"/>
              </w:rPr>
            </w:pPr>
          </w:p>
        </w:tc>
        <w:tc>
          <w:tcPr>
            <w:tcW w:w="2280" w:type="dxa"/>
            <w:vAlign w:val="center"/>
          </w:tcPr>
          <w:p w14:paraId="57ED96D5">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有技术资料，不执行归档制度</w:t>
            </w:r>
            <w:r>
              <w:rPr>
                <w:rFonts w:hint="eastAsia"/>
                <w:color w:val="auto"/>
                <w:sz w:val="20"/>
                <w:szCs w:val="20"/>
                <w:highlight w:val="none"/>
                <w:lang w:eastAsia="zh-CN"/>
              </w:rPr>
              <w:t>。</w:t>
            </w:r>
          </w:p>
        </w:tc>
        <w:tc>
          <w:tcPr>
            <w:tcW w:w="1185" w:type="dxa"/>
            <w:vAlign w:val="center"/>
          </w:tcPr>
          <w:p w14:paraId="01F30ADD">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top"/>
          </w:tcPr>
          <w:p w14:paraId="21792E96">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6C819656">
            <w:pPr>
              <w:jc w:val="center"/>
              <w:rPr>
                <w:rFonts w:asciiTheme="minorHAnsi" w:hAnsiTheme="minorHAnsi" w:eastAsiaTheme="minorEastAsia" w:cstheme="minorBidi"/>
                <w:color w:val="auto"/>
                <w:kern w:val="2"/>
                <w:sz w:val="20"/>
                <w:szCs w:val="20"/>
                <w:highlight w:val="none"/>
                <w:lang w:val="en-US" w:eastAsia="zh-CN" w:bidi="ar-SA"/>
              </w:rPr>
            </w:pPr>
          </w:p>
        </w:tc>
      </w:tr>
      <w:tr w14:paraId="4218B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4EA44A6B">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7</w:t>
            </w:r>
          </w:p>
        </w:tc>
        <w:tc>
          <w:tcPr>
            <w:tcW w:w="2610" w:type="dxa"/>
            <w:vMerge w:val="restart"/>
            <w:vAlign w:val="center"/>
          </w:tcPr>
          <w:p w14:paraId="1B425EAA">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eastAsia="zh-CN"/>
              </w:rPr>
              <w:t>服务商</w:t>
            </w:r>
            <w:r>
              <w:rPr>
                <w:rFonts w:hint="eastAsia"/>
                <w:color w:val="auto"/>
                <w:sz w:val="20"/>
                <w:szCs w:val="20"/>
                <w:highlight w:val="none"/>
              </w:rPr>
              <w:t>应对</w:t>
            </w:r>
            <w:r>
              <w:rPr>
                <w:rFonts w:hint="eastAsia"/>
                <w:color w:val="auto"/>
                <w:sz w:val="20"/>
                <w:szCs w:val="20"/>
                <w:highlight w:val="none"/>
                <w:lang w:eastAsia="zh-CN"/>
              </w:rPr>
              <w:t>采购方</w:t>
            </w:r>
            <w:r>
              <w:rPr>
                <w:rFonts w:hint="eastAsia"/>
                <w:color w:val="auto"/>
                <w:sz w:val="20"/>
                <w:szCs w:val="20"/>
                <w:highlight w:val="none"/>
              </w:rPr>
              <w:t>布置的工作要求、任务予以积极响应。做到对</w:t>
            </w:r>
            <w:r>
              <w:rPr>
                <w:rFonts w:hint="eastAsia"/>
                <w:color w:val="auto"/>
                <w:sz w:val="20"/>
                <w:szCs w:val="20"/>
                <w:highlight w:val="none"/>
                <w:lang w:eastAsia="zh-CN"/>
              </w:rPr>
              <w:t>采购方</w:t>
            </w:r>
            <w:r>
              <w:rPr>
                <w:rFonts w:hint="eastAsia"/>
                <w:color w:val="auto"/>
                <w:sz w:val="20"/>
                <w:szCs w:val="20"/>
                <w:highlight w:val="none"/>
              </w:rPr>
              <w:t>布置的工作要求、任务有落实，有反馈。</w:t>
            </w:r>
          </w:p>
        </w:tc>
        <w:tc>
          <w:tcPr>
            <w:tcW w:w="918" w:type="dxa"/>
            <w:vMerge w:val="restart"/>
            <w:vAlign w:val="center"/>
          </w:tcPr>
          <w:p w14:paraId="0FB5BC3A">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3</w:t>
            </w:r>
          </w:p>
        </w:tc>
        <w:tc>
          <w:tcPr>
            <w:tcW w:w="2280" w:type="dxa"/>
            <w:vAlign w:val="center"/>
          </w:tcPr>
          <w:p w14:paraId="158D1565">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1185" w:type="dxa"/>
            <w:vAlign w:val="center"/>
          </w:tcPr>
          <w:p w14:paraId="3A849A98">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690" w:type="dxa"/>
            <w:vAlign w:val="top"/>
          </w:tcPr>
          <w:p w14:paraId="3ED6744F">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7AD5E560">
            <w:pPr>
              <w:jc w:val="center"/>
              <w:rPr>
                <w:rFonts w:asciiTheme="minorHAnsi" w:hAnsiTheme="minorHAnsi" w:eastAsiaTheme="minorEastAsia" w:cstheme="minorBidi"/>
                <w:color w:val="auto"/>
                <w:kern w:val="2"/>
                <w:sz w:val="20"/>
                <w:szCs w:val="20"/>
                <w:highlight w:val="none"/>
                <w:lang w:val="en-US" w:eastAsia="zh-CN" w:bidi="ar-SA"/>
              </w:rPr>
            </w:pPr>
          </w:p>
        </w:tc>
      </w:tr>
      <w:tr w14:paraId="643C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038AF4EC">
            <w:pPr>
              <w:jc w:val="center"/>
              <w:rPr>
                <w:rFonts w:hint="eastAsia"/>
                <w:color w:val="auto"/>
                <w:sz w:val="20"/>
                <w:szCs w:val="20"/>
                <w:highlight w:val="none"/>
              </w:rPr>
            </w:pPr>
          </w:p>
        </w:tc>
        <w:tc>
          <w:tcPr>
            <w:tcW w:w="2610" w:type="dxa"/>
            <w:vMerge w:val="continue"/>
          </w:tcPr>
          <w:p w14:paraId="6B00EA5C">
            <w:pPr>
              <w:rPr>
                <w:rFonts w:hint="eastAsia"/>
                <w:color w:val="auto"/>
                <w:sz w:val="20"/>
                <w:szCs w:val="20"/>
                <w:highlight w:val="none"/>
              </w:rPr>
            </w:pPr>
          </w:p>
        </w:tc>
        <w:tc>
          <w:tcPr>
            <w:tcW w:w="918" w:type="dxa"/>
            <w:vMerge w:val="continue"/>
          </w:tcPr>
          <w:p w14:paraId="2657B380">
            <w:pPr>
              <w:jc w:val="center"/>
              <w:rPr>
                <w:rFonts w:hint="eastAsia" w:ascii="宋体" w:hAnsi="宋体" w:cs="宋体"/>
                <w:color w:val="auto"/>
                <w:sz w:val="20"/>
                <w:szCs w:val="20"/>
                <w:highlight w:val="none"/>
                <w:lang w:val="en-US" w:eastAsia="zh-CN"/>
              </w:rPr>
            </w:pPr>
          </w:p>
        </w:tc>
        <w:tc>
          <w:tcPr>
            <w:tcW w:w="2280" w:type="dxa"/>
            <w:vAlign w:val="center"/>
          </w:tcPr>
          <w:p w14:paraId="18D7251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1185" w:type="dxa"/>
            <w:vAlign w:val="center"/>
          </w:tcPr>
          <w:p w14:paraId="762FEBC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690" w:type="dxa"/>
            <w:vAlign w:val="top"/>
          </w:tcPr>
          <w:p w14:paraId="6BEA8053">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BEB0124">
            <w:pPr>
              <w:jc w:val="center"/>
              <w:rPr>
                <w:rFonts w:asciiTheme="minorHAnsi" w:hAnsiTheme="minorHAnsi" w:eastAsiaTheme="minorEastAsia" w:cstheme="minorBidi"/>
                <w:color w:val="auto"/>
                <w:kern w:val="2"/>
                <w:sz w:val="20"/>
                <w:szCs w:val="20"/>
                <w:highlight w:val="none"/>
                <w:lang w:val="en-US" w:eastAsia="zh-CN" w:bidi="ar-SA"/>
              </w:rPr>
            </w:pPr>
          </w:p>
        </w:tc>
      </w:tr>
      <w:tr w14:paraId="3DA61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156778CF">
            <w:pPr>
              <w:jc w:val="center"/>
              <w:rPr>
                <w:rFonts w:hint="eastAsia"/>
                <w:color w:val="auto"/>
                <w:sz w:val="20"/>
                <w:szCs w:val="20"/>
                <w:highlight w:val="none"/>
              </w:rPr>
            </w:pPr>
          </w:p>
        </w:tc>
        <w:tc>
          <w:tcPr>
            <w:tcW w:w="2610" w:type="dxa"/>
            <w:vMerge w:val="continue"/>
          </w:tcPr>
          <w:p w14:paraId="079B1AD1">
            <w:pPr>
              <w:rPr>
                <w:rFonts w:hint="eastAsia"/>
                <w:color w:val="auto"/>
                <w:sz w:val="20"/>
                <w:szCs w:val="20"/>
                <w:highlight w:val="none"/>
              </w:rPr>
            </w:pPr>
          </w:p>
        </w:tc>
        <w:tc>
          <w:tcPr>
            <w:tcW w:w="918" w:type="dxa"/>
            <w:vMerge w:val="continue"/>
          </w:tcPr>
          <w:p w14:paraId="3D20488D">
            <w:pPr>
              <w:jc w:val="center"/>
              <w:rPr>
                <w:rFonts w:hint="eastAsia" w:ascii="宋体" w:hAnsi="宋体" w:cs="宋体"/>
                <w:color w:val="auto"/>
                <w:sz w:val="20"/>
                <w:szCs w:val="20"/>
                <w:highlight w:val="none"/>
                <w:lang w:val="en-US" w:eastAsia="zh-CN"/>
              </w:rPr>
            </w:pPr>
          </w:p>
        </w:tc>
        <w:tc>
          <w:tcPr>
            <w:tcW w:w="2280" w:type="dxa"/>
            <w:vAlign w:val="center"/>
          </w:tcPr>
          <w:p w14:paraId="14CF8A05">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1185" w:type="dxa"/>
            <w:vAlign w:val="center"/>
          </w:tcPr>
          <w:p w14:paraId="6130117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-1至-3分/项</w:t>
            </w:r>
          </w:p>
        </w:tc>
        <w:tc>
          <w:tcPr>
            <w:tcW w:w="690" w:type="dxa"/>
            <w:vAlign w:val="top"/>
          </w:tcPr>
          <w:p w14:paraId="5B6BA1F3">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4064F50E">
            <w:pPr>
              <w:jc w:val="center"/>
              <w:rPr>
                <w:rFonts w:asciiTheme="minorHAnsi" w:hAnsiTheme="minorHAnsi" w:eastAsiaTheme="minorEastAsia" w:cstheme="minorBidi"/>
                <w:color w:val="auto"/>
                <w:kern w:val="2"/>
                <w:sz w:val="20"/>
                <w:szCs w:val="20"/>
                <w:highlight w:val="none"/>
                <w:lang w:val="en-US" w:eastAsia="zh-CN" w:bidi="ar-SA"/>
              </w:rPr>
            </w:pPr>
          </w:p>
        </w:tc>
      </w:tr>
      <w:tr w14:paraId="2504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9003" w:type="dxa"/>
            <w:gridSpan w:val="7"/>
          </w:tcPr>
          <w:p w14:paraId="755B9668">
            <w:pPr>
              <w:jc w:val="center"/>
              <w:rPr>
                <w:rFonts w:asciiTheme="minorHAnsi" w:hAnsiTheme="minorHAnsi" w:eastAsiaTheme="minorEastAsia" w:cstheme="minorBidi"/>
                <w:color w:val="auto"/>
                <w:kern w:val="2"/>
                <w:sz w:val="20"/>
                <w:szCs w:val="20"/>
                <w:highlight w:val="none"/>
                <w:lang w:val="en-US" w:eastAsia="zh-CN" w:bidi="ar-SA"/>
              </w:rPr>
            </w:pPr>
            <w:r>
              <w:rPr>
                <w:rFonts w:hint="eastAsia"/>
                <w:b/>
                <w:bCs/>
                <w:color w:val="auto"/>
                <w:sz w:val="20"/>
                <w:szCs w:val="20"/>
                <w:highlight w:val="none"/>
              </w:rPr>
              <w:t>第</w:t>
            </w:r>
            <w:r>
              <w:rPr>
                <w:rFonts w:hint="eastAsia"/>
                <w:b/>
                <w:bCs/>
                <w:color w:val="auto"/>
                <w:sz w:val="20"/>
                <w:szCs w:val="20"/>
                <w:highlight w:val="none"/>
                <w:lang w:eastAsia="zh-CN"/>
              </w:rPr>
              <w:t>五</w:t>
            </w:r>
            <w:r>
              <w:rPr>
                <w:rFonts w:hint="eastAsia"/>
                <w:b/>
                <w:bCs/>
                <w:color w:val="auto"/>
                <w:sz w:val="20"/>
                <w:szCs w:val="20"/>
                <w:highlight w:val="none"/>
              </w:rPr>
              <w:t>章  设备保护、运行服务内容及标准</w:t>
            </w:r>
            <w:r>
              <w:rPr>
                <w:rFonts w:hint="eastAsia" w:ascii="宋体" w:hAnsi="宋体" w:cs="宋体"/>
                <w:b/>
                <w:bCs/>
                <w:color w:val="auto"/>
                <w:sz w:val="20"/>
                <w:szCs w:val="20"/>
                <w:highlight w:val="none"/>
              </w:rPr>
              <w:t>（</w:t>
            </w:r>
            <w:r>
              <w:rPr>
                <w:rFonts w:hint="eastAsia" w:ascii="宋体" w:hAnsi="宋体" w:cs="宋体"/>
                <w:b/>
                <w:bCs/>
                <w:color w:val="auto"/>
                <w:sz w:val="20"/>
                <w:szCs w:val="20"/>
                <w:highlight w:val="none"/>
                <w:lang w:val="en-US" w:eastAsia="zh-CN"/>
              </w:rPr>
              <w:t>16</w:t>
            </w:r>
            <w:r>
              <w:rPr>
                <w:rFonts w:hint="eastAsia" w:ascii="宋体" w:hAnsi="宋体" w:cs="宋体"/>
                <w:b/>
                <w:bCs/>
                <w:color w:val="auto"/>
                <w:sz w:val="20"/>
                <w:szCs w:val="20"/>
                <w:highlight w:val="none"/>
              </w:rPr>
              <w:t xml:space="preserve">分） </w:t>
            </w:r>
          </w:p>
        </w:tc>
      </w:tr>
      <w:tr w14:paraId="47DE1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D935185">
            <w:pP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序号</w:t>
            </w:r>
          </w:p>
        </w:tc>
        <w:tc>
          <w:tcPr>
            <w:tcW w:w="2610" w:type="dxa"/>
            <w:vAlign w:val="center"/>
          </w:tcPr>
          <w:p w14:paraId="289E79FD">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服务内容及标准要求</w:t>
            </w:r>
          </w:p>
        </w:tc>
        <w:tc>
          <w:tcPr>
            <w:tcW w:w="918" w:type="dxa"/>
            <w:vAlign w:val="center"/>
          </w:tcPr>
          <w:p w14:paraId="07D203A9">
            <w:pP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rPr>
              <w:t>标准分</w:t>
            </w:r>
          </w:p>
        </w:tc>
        <w:tc>
          <w:tcPr>
            <w:tcW w:w="2280" w:type="dxa"/>
            <w:vAlign w:val="center"/>
          </w:tcPr>
          <w:p w14:paraId="195D11E4">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检查内容</w:t>
            </w:r>
          </w:p>
        </w:tc>
        <w:tc>
          <w:tcPr>
            <w:tcW w:w="1185" w:type="dxa"/>
            <w:vAlign w:val="center"/>
          </w:tcPr>
          <w:p w14:paraId="7D42016B">
            <w:pPr>
              <w:jc w:val="center"/>
              <w:rPr>
                <w:b/>
                <w:bCs/>
                <w:color w:val="auto"/>
                <w:sz w:val="20"/>
                <w:szCs w:val="20"/>
                <w:highlight w:val="none"/>
              </w:rPr>
            </w:pPr>
            <w:r>
              <w:rPr>
                <w:rFonts w:hint="eastAsia"/>
                <w:b/>
                <w:bCs/>
                <w:color w:val="auto"/>
                <w:sz w:val="20"/>
                <w:szCs w:val="20"/>
                <w:highlight w:val="none"/>
              </w:rPr>
              <w:t>扣分</w:t>
            </w:r>
          </w:p>
          <w:p w14:paraId="67877481">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标准</w:t>
            </w:r>
          </w:p>
        </w:tc>
        <w:tc>
          <w:tcPr>
            <w:tcW w:w="690" w:type="dxa"/>
            <w:vAlign w:val="top"/>
          </w:tcPr>
          <w:p w14:paraId="03F609CB">
            <w:pPr>
              <w:jc w:val="center"/>
              <w:rPr>
                <w:b/>
                <w:bCs/>
                <w:color w:val="auto"/>
                <w:sz w:val="20"/>
                <w:szCs w:val="20"/>
                <w:highlight w:val="none"/>
              </w:rPr>
            </w:pPr>
            <w:r>
              <w:rPr>
                <w:rFonts w:hint="eastAsia"/>
                <w:b/>
                <w:bCs/>
                <w:color w:val="auto"/>
                <w:sz w:val="20"/>
                <w:szCs w:val="20"/>
                <w:highlight w:val="none"/>
              </w:rPr>
              <w:t>实际</w:t>
            </w:r>
          </w:p>
          <w:p w14:paraId="69665014">
            <w:pPr>
              <w:jc w:val="center"/>
              <w:rPr>
                <w:rFonts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扣分</w:t>
            </w:r>
          </w:p>
        </w:tc>
        <w:tc>
          <w:tcPr>
            <w:tcW w:w="855" w:type="dxa"/>
            <w:vAlign w:val="center"/>
          </w:tcPr>
          <w:p w14:paraId="046BC6C8">
            <w:pPr>
              <w:jc w:val="center"/>
              <w:rPr>
                <w:rFonts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rPr>
              <w:t xml:space="preserve">备注                  </w:t>
            </w:r>
          </w:p>
        </w:tc>
      </w:tr>
      <w:tr w14:paraId="2D25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0592852C">
            <w:pPr>
              <w:jc w:val="center"/>
              <w:rPr>
                <w:rFonts w:hint="eastAsia"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一</w:t>
            </w:r>
          </w:p>
        </w:tc>
        <w:tc>
          <w:tcPr>
            <w:tcW w:w="2610" w:type="dxa"/>
            <w:vAlign w:val="center"/>
          </w:tcPr>
          <w:p w14:paraId="456D50A6">
            <w:pPr>
              <w:rPr>
                <w:rFonts w:hint="eastAsia"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供电运行及维护保养的考核标准</w:t>
            </w:r>
          </w:p>
        </w:tc>
        <w:tc>
          <w:tcPr>
            <w:tcW w:w="918" w:type="dxa"/>
            <w:vAlign w:val="center"/>
          </w:tcPr>
          <w:p w14:paraId="3B8BCA69">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4</w:t>
            </w:r>
          </w:p>
        </w:tc>
        <w:tc>
          <w:tcPr>
            <w:tcW w:w="2280" w:type="dxa"/>
            <w:vAlign w:val="center"/>
          </w:tcPr>
          <w:p w14:paraId="67E7F694">
            <w:pPr>
              <w:rPr>
                <w:rFonts w:hint="eastAsia" w:asciiTheme="minorHAnsi" w:hAnsiTheme="minorHAnsi" w:eastAsiaTheme="minorEastAsia" w:cstheme="minorBidi"/>
                <w:b/>
                <w:color w:val="auto"/>
                <w:kern w:val="2"/>
                <w:sz w:val="20"/>
                <w:szCs w:val="20"/>
                <w:highlight w:val="none"/>
                <w:lang w:val="en-US" w:eastAsia="zh-CN" w:bidi="ar-SA"/>
              </w:rPr>
            </w:pPr>
          </w:p>
        </w:tc>
        <w:tc>
          <w:tcPr>
            <w:tcW w:w="1185" w:type="dxa"/>
            <w:vAlign w:val="center"/>
          </w:tcPr>
          <w:p w14:paraId="6C5E07EA">
            <w:pPr>
              <w:jc w:val="center"/>
              <w:rPr>
                <w:rFonts w:hint="eastAsia" w:asciiTheme="minorHAnsi" w:hAnsiTheme="minorHAnsi" w:eastAsiaTheme="minorEastAsia" w:cstheme="minorBidi"/>
                <w:b/>
                <w:color w:val="auto"/>
                <w:kern w:val="2"/>
                <w:sz w:val="20"/>
                <w:szCs w:val="20"/>
                <w:highlight w:val="none"/>
                <w:lang w:val="en-US" w:eastAsia="zh-CN" w:bidi="ar-SA"/>
              </w:rPr>
            </w:pPr>
          </w:p>
        </w:tc>
        <w:tc>
          <w:tcPr>
            <w:tcW w:w="690" w:type="dxa"/>
            <w:vAlign w:val="top"/>
          </w:tcPr>
          <w:p w14:paraId="6B46E025">
            <w:pPr>
              <w:jc w:val="center"/>
              <w:rPr>
                <w:rFonts w:asciiTheme="minorHAnsi" w:hAnsiTheme="minorHAnsi" w:eastAsiaTheme="minorEastAsia" w:cstheme="minorBidi"/>
                <w:b/>
                <w:color w:val="auto"/>
                <w:kern w:val="2"/>
                <w:sz w:val="20"/>
                <w:szCs w:val="20"/>
                <w:highlight w:val="none"/>
                <w:lang w:val="en-US" w:eastAsia="zh-CN" w:bidi="ar-SA"/>
              </w:rPr>
            </w:pPr>
          </w:p>
        </w:tc>
        <w:tc>
          <w:tcPr>
            <w:tcW w:w="855" w:type="dxa"/>
            <w:vAlign w:val="center"/>
          </w:tcPr>
          <w:p w14:paraId="41F281C7">
            <w:pPr>
              <w:jc w:val="center"/>
              <w:rPr>
                <w:rFonts w:asciiTheme="minorHAnsi" w:hAnsiTheme="minorHAnsi" w:eastAsiaTheme="minorEastAsia" w:cstheme="minorBidi"/>
                <w:b/>
                <w:color w:val="auto"/>
                <w:kern w:val="2"/>
                <w:sz w:val="20"/>
                <w:szCs w:val="20"/>
                <w:highlight w:val="none"/>
                <w:lang w:val="en-US" w:eastAsia="zh-CN" w:bidi="ar-SA"/>
              </w:rPr>
            </w:pPr>
          </w:p>
        </w:tc>
      </w:tr>
      <w:tr w14:paraId="66F9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74B0C34E">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1</w:t>
            </w:r>
          </w:p>
        </w:tc>
        <w:tc>
          <w:tcPr>
            <w:tcW w:w="2610" w:type="dxa"/>
            <w:vMerge w:val="restart"/>
            <w:vAlign w:val="center"/>
          </w:tcPr>
          <w:p w14:paraId="482D1067">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根据供电范围及设施制定用电线路维护的各项管理制度。制定用电线路维护应急预案并报</w:t>
            </w:r>
            <w:r>
              <w:rPr>
                <w:rFonts w:hint="eastAsia"/>
                <w:color w:val="auto"/>
                <w:sz w:val="20"/>
                <w:szCs w:val="20"/>
                <w:highlight w:val="none"/>
                <w:lang w:eastAsia="zh-CN"/>
              </w:rPr>
              <w:t>采购方</w:t>
            </w:r>
            <w:r>
              <w:rPr>
                <w:rFonts w:hint="eastAsia"/>
                <w:color w:val="auto"/>
                <w:sz w:val="20"/>
                <w:szCs w:val="20"/>
                <w:highlight w:val="none"/>
              </w:rPr>
              <w:t>备案。</w:t>
            </w:r>
          </w:p>
        </w:tc>
        <w:tc>
          <w:tcPr>
            <w:tcW w:w="918" w:type="dxa"/>
            <w:vMerge w:val="restart"/>
            <w:vAlign w:val="center"/>
          </w:tcPr>
          <w:p w14:paraId="30A13749">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7311525">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无管理制度或为应付考核，编制的管理制度起不到指导监督作用</w:t>
            </w:r>
            <w:r>
              <w:rPr>
                <w:rFonts w:hint="eastAsia"/>
                <w:color w:val="auto"/>
                <w:sz w:val="20"/>
                <w:szCs w:val="20"/>
                <w:highlight w:val="none"/>
                <w:lang w:eastAsia="zh-CN"/>
              </w:rPr>
              <w:t>。</w:t>
            </w:r>
          </w:p>
        </w:tc>
        <w:tc>
          <w:tcPr>
            <w:tcW w:w="1185" w:type="dxa"/>
            <w:vAlign w:val="center"/>
          </w:tcPr>
          <w:p w14:paraId="2ECA424D">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1514B000">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71951D48">
            <w:pPr>
              <w:jc w:val="center"/>
              <w:rPr>
                <w:rFonts w:asciiTheme="minorHAnsi" w:hAnsiTheme="minorHAnsi" w:eastAsiaTheme="minorEastAsia" w:cstheme="minorBidi"/>
                <w:color w:val="auto"/>
                <w:kern w:val="2"/>
                <w:sz w:val="20"/>
                <w:szCs w:val="20"/>
                <w:highlight w:val="none"/>
                <w:lang w:val="en-US" w:eastAsia="zh-CN" w:bidi="ar-SA"/>
              </w:rPr>
            </w:pPr>
          </w:p>
        </w:tc>
      </w:tr>
      <w:tr w14:paraId="7F9A6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0EA4890C">
            <w:pPr>
              <w:jc w:val="center"/>
              <w:rPr>
                <w:rFonts w:hint="eastAsia"/>
                <w:color w:val="auto"/>
                <w:sz w:val="20"/>
                <w:szCs w:val="20"/>
                <w:highlight w:val="none"/>
              </w:rPr>
            </w:pPr>
          </w:p>
        </w:tc>
        <w:tc>
          <w:tcPr>
            <w:tcW w:w="2610" w:type="dxa"/>
            <w:vMerge w:val="continue"/>
          </w:tcPr>
          <w:p w14:paraId="30EBD7B2">
            <w:pPr>
              <w:rPr>
                <w:rFonts w:hint="eastAsia"/>
                <w:color w:val="auto"/>
                <w:sz w:val="20"/>
                <w:szCs w:val="20"/>
                <w:highlight w:val="none"/>
              </w:rPr>
            </w:pPr>
          </w:p>
        </w:tc>
        <w:tc>
          <w:tcPr>
            <w:tcW w:w="918" w:type="dxa"/>
            <w:vMerge w:val="continue"/>
          </w:tcPr>
          <w:p w14:paraId="68460A1F">
            <w:pPr>
              <w:jc w:val="center"/>
              <w:rPr>
                <w:rFonts w:hint="eastAsia" w:ascii="宋体" w:hAnsi="宋体" w:cs="宋体"/>
                <w:color w:val="auto"/>
                <w:sz w:val="20"/>
                <w:szCs w:val="20"/>
                <w:highlight w:val="none"/>
                <w:lang w:val="en-US" w:eastAsia="zh-CN"/>
              </w:rPr>
            </w:pPr>
          </w:p>
        </w:tc>
        <w:tc>
          <w:tcPr>
            <w:tcW w:w="2280" w:type="dxa"/>
            <w:vAlign w:val="center"/>
          </w:tcPr>
          <w:p w14:paraId="28860866">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设备更新后，不及时修订管理制度及运行规程</w:t>
            </w:r>
            <w:r>
              <w:rPr>
                <w:rFonts w:hint="eastAsia"/>
                <w:color w:val="auto"/>
                <w:sz w:val="20"/>
                <w:szCs w:val="20"/>
                <w:highlight w:val="none"/>
                <w:lang w:eastAsia="zh-CN"/>
              </w:rPr>
              <w:t>。</w:t>
            </w:r>
          </w:p>
        </w:tc>
        <w:tc>
          <w:tcPr>
            <w:tcW w:w="1185" w:type="dxa"/>
            <w:vAlign w:val="center"/>
          </w:tcPr>
          <w:p w14:paraId="02A1E50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top"/>
          </w:tcPr>
          <w:p w14:paraId="5FDAA542">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5DC38218">
            <w:pPr>
              <w:jc w:val="center"/>
              <w:rPr>
                <w:rFonts w:asciiTheme="minorHAnsi" w:hAnsiTheme="minorHAnsi" w:eastAsiaTheme="minorEastAsia" w:cstheme="minorBidi"/>
                <w:color w:val="auto"/>
                <w:kern w:val="2"/>
                <w:sz w:val="20"/>
                <w:szCs w:val="20"/>
                <w:highlight w:val="none"/>
                <w:lang w:val="en-US" w:eastAsia="zh-CN" w:bidi="ar-SA"/>
              </w:rPr>
            </w:pPr>
          </w:p>
        </w:tc>
      </w:tr>
      <w:tr w14:paraId="76C2D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49F5A9CD">
            <w:pPr>
              <w:jc w:val="center"/>
              <w:rPr>
                <w:rFonts w:hint="eastAsia"/>
                <w:color w:val="auto"/>
                <w:sz w:val="20"/>
                <w:szCs w:val="20"/>
                <w:highlight w:val="none"/>
              </w:rPr>
            </w:pPr>
          </w:p>
        </w:tc>
        <w:tc>
          <w:tcPr>
            <w:tcW w:w="2610" w:type="dxa"/>
            <w:vMerge w:val="continue"/>
          </w:tcPr>
          <w:p w14:paraId="1D3F3DD4">
            <w:pPr>
              <w:rPr>
                <w:rFonts w:hint="eastAsia"/>
                <w:color w:val="auto"/>
                <w:sz w:val="20"/>
                <w:szCs w:val="20"/>
                <w:highlight w:val="none"/>
              </w:rPr>
            </w:pPr>
          </w:p>
        </w:tc>
        <w:tc>
          <w:tcPr>
            <w:tcW w:w="918" w:type="dxa"/>
            <w:vMerge w:val="continue"/>
          </w:tcPr>
          <w:p w14:paraId="1D2B3AD8">
            <w:pPr>
              <w:jc w:val="center"/>
              <w:rPr>
                <w:rFonts w:hint="eastAsia" w:ascii="宋体" w:hAnsi="宋体" w:cs="宋体"/>
                <w:color w:val="auto"/>
                <w:sz w:val="20"/>
                <w:szCs w:val="20"/>
                <w:highlight w:val="none"/>
                <w:lang w:val="en-US" w:eastAsia="zh-CN"/>
              </w:rPr>
            </w:pPr>
          </w:p>
        </w:tc>
        <w:tc>
          <w:tcPr>
            <w:tcW w:w="2280" w:type="dxa"/>
            <w:vAlign w:val="center"/>
          </w:tcPr>
          <w:p w14:paraId="10BBF141">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有制度不执行或违反有关规程造成一般事故（重大事故另行处理），无用电线路维护应预案或不报</w:t>
            </w:r>
            <w:r>
              <w:rPr>
                <w:rFonts w:hint="eastAsia"/>
                <w:color w:val="auto"/>
                <w:sz w:val="20"/>
                <w:szCs w:val="20"/>
                <w:highlight w:val="none"/>
                <w:lang w:eastAsia="zh-CN"/>
              </w:rPr>
              <w:t>采购方</w:t>
            </w:r>
            <w:r>
              <w:rPr>
                <w:rFonts w:hint="eastAsia"/>
                <w:color w:val="auto"/>
                <w:sz w:val="20"/>
                <w:szCs w:val="20"/>
                <w:highlight w:val="none"/>
              </w:rPr>
              <w:t>备案，每一项</w:t>
            </w:r>
            <w:r>
              <w:rPr>
                <w:rFonts w:hint="eastAsia"/>
                <w:color w:val="auto"/>
                <w:sz w:val="20"/>
                <w:szCs w:val="20"/>
                <w:highlight w:val="none"/>
                <w:lang w:eastAsia="zh-CN"/>
              </w:rPr>
              <w:t>。</w:t>
            </w:r>
          </w:p>
        </w:tc>
        <w:tc>
          <w:tcPr>
            <w:tcW w:w="1185" w:type="dxa"/>
            <w:vAlign w:val="center"/>
          </w:tcPr>
          <w:p w14:paraId="541029F2">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/项</w:t>
            </w:r>
          </w:p>
        </w:tc>
        <w:tc>
          <w:tcPr>
            <w:tcW w:w="690" w:type="dxa"/>
            <w:vAlign w:val="center"/>
          </w:tcPr>
          <w:p w14:paraId="0DD3E4CC">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3AA98F30">
            <w:pPr>
              <w:jc w:val="center"/>
              <w:rPr>
                <w:rFonts w:asciiTheme="minorHAnsi" w:hAnsiTheme="minorHAnsi" w:eastAsiaTheme="minorEastAsia" w:cstheme="minorBidi"/>
                <w:color w:val="auto"/>
                <w:kern w:val="2"/>
                <w:sz w:val="20"/>
                <w:szCs w:val="20"/>
                <w:highlight w:val="none"/>
                <w:lang w:val="en-US" w:eastAsia="zh-CN" w:bidi="ar-SA"/>
              </w:rPr>
            </w:pPr>
          </w:p>
        </w:tc>
      </w:tr>
      <w:tr w14:paraId="39E87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363C5521">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2</w:t>
            </w:r>
          </w:p>
        </w:tc>
        <w:tc>
          <w:tcPr>
            <w:tcW w:w="2610" w:type="dxa"/>
            <w:vMerge w:val="restart"/>
            <w:vAlign w:val="center"/>
          </w:tcPr>
          <w:p w14:paraId="24DE3BC6">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运行与维护值班人员应具有一定专业知识，熟悉《电业安全规程》、《运行规程》、《检修规程》</w:t>
            </w:r>
            <w:r>
              <w:rPr>
                <w:rFonts w:hint="eastAsia"/>
                <w:color w:val="auto"/>
                <w:sz w:val="20"/>
                <w:szCs w:val="20"/>
                <w:highlight w:val="none"/>
                <w:lang w:val="en-US" w:eastAsia="zh-CN"/>
              </w:rPr>
              <w:t>并持证上岗</w:t>
            </w:r>
            <w:r>
              <w:rPr>
                <w:rFonts w:hint="eastAsia"/>
                <w:color w:val="auto"/>
                <w:sz w:val="20"/>
                <w:szCs w:val="20"/>
                <w:highlight w:val="none"/>
              </w:rPr>
              <w:t>。</w:t>
            </w:r>
          </w:p>
        </w:tc>
        <w:tc>
          <w:tcPr>
            <w:tcW w:w="918" w:type="dxa"/>
            <w:vMerge w:val="restart"/>
            <w:vAlign w:val="center"/>
          </w:tcPr>
          <w:p w14:paraId="295EE6D6">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7A55C844">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运行维护值班人员无上岗证的</w:t>
            </w:r>
            <w:r>
              <w:rPr>
                <w:rFonts w:hint="eastAsia"/>
                <w:color w:val="auto"/>
                <w:sz w:val="20"/>
                <w:szCs w:val="20"/>
                <w:highlight w:val="none"/>
                <w:lang w:eastAsia="zh-CN"/>
              </w:rPr>
              <w:t>。</w:t>
            </w:r>
          </w:p>
        </w:tc>
        <w:tc>
          <w:tcPr>
            <w:tcW w:w="1185" w:type="dxa"/>
            <w:vAlign w:val="center"/>
          </w:tcPr>
          <w:p w14:paraId="67C64F04">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分/人</w:t>
            </w:r>
          </w:p>
        </w:tc>
        <w:tc>
          <w:tcPr>
            <w:tcW w:w="690" w:type="dxa"/>
            <w:vAlign w:val="top"/>
          </w:tcPr>
          <w:p w14:paraId="6FDBAAF8">
            <w:pPr>
              <w:jc w:val="left"/>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5977AC9">
            <w:pPr>
              <w:jc w:val="center"/>
              <w:rPr>
                <w:rFonts w:asciiTheme="minorHAnsi" w:hAnsiTheme="minorHAnsi" w:eastAsiaTheme="minorEastAsia" w:cstheme="minorBidi"/>
                <w:color w:val="auto"/>
                <w:kern w:val="2"/>
                <w:sz w:val="20"/>
                <w:szCs w:val="20"/>
                <w:highlight w:val="none"/>
                <w:lang w:val="en-US" w:eastAsia="zh-CN" w:bidi="ar-SA"/>
              </w:rPr>
            </w:pPr>
          </w:p>
        </w:tc>
      </w:tr>
      <w:tr w14:paraId="127C3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66DB7AC0">
            <w:pPr>
              <w:jc w:val="center"/>
              <w:rPr>
                <w:rFonts w:hint="eastAsia"/>
                <w:color w:val="auto"/>
                <w:sz w:val="20"/>
                <w:szCs w:val="20"/>
                <w:highlight w:val="none"/>
              </w:rPr>
            </w:pPr>
          </w:p>
        </w:tc>
        <w:tc>
          <w:tcPr>
            <w:tcW w:w="2610" w:type="dxa"/>
            <w:vMerge w:val="continue"/>
          </w:tcPr>
          <w:p w14:paraId="3D11D313">
            <w:pPr>
              <w:rPr>
                <w:rFonts w:hint="eastAsia"/>
                <w:color w:val="auto"/>
                <w:sz w:val="20"/>
                <w:szCs w:val="20"/>
                <w:highlight w:val="none"/>
              </w:rPr>
            </w:pPr>
          </w:p>
        </w:tc>
        <w:tc>
          <w:tcPr>
            <w:tcW w:w="918" w:type="dxa"/>
            <w:vMerge w:val="continue"/>
          </w:tcPr>
          <w:p w14:paraId="74459649">
            <w:pPr>
              <w:jc w:val="center"/>
              <w:rPr>
                <w:rFonts w:hint="eastAsia" w:ascii="宋体" w:hAnsi="宋体" w:cs="宋体"/>
                <w:color w:val="auto"/>
                <w:sz w:val="20"/>
                <w:szCs w:val="20"/>
                <w:highlight w:val="none"/>
                <w:lang w:val="en-US" w:eastAsia="zh-CN"/>
              </w:rPr>
            </w:pPr>
          </w:p>
        </w:tc>
        <w:tc>
          <w:tcPr>
            <w:tcW w:w="2280" w:type="dxa"/>
            <w:vAlign w:val="center"/>
          </w:tcPr>
          <w:p w14:paraId="2A75DDDF">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运行维护值班人员不熟悉规程的</w:t>
            </w:r>
            <w:r>
              <w:rPr>
                <w:rFonts w:hint="eastAsia"/>
                <w:color w:val="auto"/>
                <w:sz w:val="20"/>
                <w:szCs w:val="20"/>
                <w:highlight w:val="none"/>
                <w:lang w:eastAsia="zh-CN"/>
              </w:rPr>
              <w:t>。</w:t>
            </w:r>
          </w:p>
        </w:tc>
        <w:tc>
          <w:tcPr>
            <w:tcW w:w="1185" w:type="dxa"/>
            <w:vAlign w:val="center"/>
          </w:tcPr>
          <w:p w14:paraId="62BA55D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分/人次</w:t>
            </w:r>
          </w:p>
        </w:tc>
        <w:tc>
          <w:tcPr>
            <w:tcW w:w="690" w:type="dxa"/>
            <w:vAlign w:val="top"/>
          </w:tcPr>
          <w:p w14:paraId="4DD8331D">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362B3AB8">
            <w:pPr>
              <w:jc w:val="center"/>
              <w:rPr>
                <w:rFonts w:asciiTheme="minorHAnsi" w:hAnsiTheme="minorHAnsi" w:eastAsiaTheme="minorEastAsia" w:cstheme="minorBidi"/>
                <w:color w:val="auto"/>
                <w:kern w:val="2"/>
                <w:sz w:val="20"/>
                <w:szCs w:val="20"/>
                <w:highlight w:val="none"/>
                <w:lang w:val="en-US" w:eastAsia="zh-CN" w:bidi="ar-SA"/>
              </w:rPr>
            </w:pPr>
          </w:p>
        </w:tc>
      </w:tr>
      <w:tr w14:paraId="78B4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0833F138">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3</w:t>
            </w:r>
          </w:p>
        </w:tc>
        <w:tc>
          <w:tcPr>
            <w:tcW w:w="2610" w:type="dxa"/>
            <w:vMerge w:val="restart"/>
            <w:vAlign w:val="center"/>
          </w:tcPr>
          <w:p w14:paraId="152F27E5">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运行与维护人员</w:t>
            </w:r>
            <w:r>
              <w:rPr>
                <w:rFonts w:hint="eastAsia"/>
                <w:color w:val="auto"/>
                <w:sz w:val="20"/>
                <w:szCs w:val="20"/>
                <w:highlight w:val="none"/>
                <w:lang w:val="en-US" w:eastAsia="zh-CN"/>
              </w:rPr>
              <w:t>每月对设备进行检查1次</w:t>
            </w:r>
            <w:r>
              <w:rPr>
                <w:rFonts w:hint="eastAsia"/>
                <w:color w:val="auto"/>
                <w:sz w:val="20"/>
                <w:szCs w:val="20"/>
                <w:highlight w:val="none"/>
              </w:rPr>
              <w:t>，做好检查</w:t>
            </w:r>
            <w:r>
              <w:rPr>
                <w:rFonts w:hint="eastAsia"/>
                <w:color w:val="auto"/>
                <w:sz w:val="20"/>
                <w:szCs w:val="20"/>
                <w:highlight w:val="none"/>
                <w:lang w:val="en-US" w:eastAsia="zh-CN"/>
              </w:rPr>
              <w:t>记录</w:t>
            </w:r>
            <w:r>
              <w:rPr>
                <w:rFonts w:hint="eastAsia"/>
                <w:color w:val="auto"/>
                <w:sz w:val="20"/>
                <w:szCs w:val="20"/>
                <w:highlight w:val="none"/>
              </w:rPr>
              <w:t>，发现隐患及时处理，确保主设备</w:t>
            </w:r>
            <w:r>
              <w:rPr>
                <w:rFonts w:hint="eastAsia"/>
                <w:color w:val="auto"/>
                <w:sz w:val="20"/>
                <w:szCs w:val="20"/>
                <w:highlight w:val="none"/>
                <w:lang w:val="en-US" w:eastAsia="zh-CN"/>
              </w:rPr>
              <w:t>完好</w:t>
            </w:r>
            <w:r>
              <w:rPr>
                <w:rFonts w:hint="eastAsia"/>
                <w:color w:val="auto"/>
                <w:sz w:val="20"/>
                <w:szCs w:val="20"/>
                <w:highlight w:val="none"/>
              </w:rPr>
              <w:t>率</w:t>
            </w:r>
            <w:r>
              <w:rPr>
                <w:rFonts w:hint="eastAsia"/>
                <w:color w:val="auto"/>
                <w:sz w:val="20"/>
                <w:szCs w:val="20"/>
                <w:highlight w:val="none"/>
                <w:lang w:val="en-US" w:eastAsia="zh-CN"/>
              </w:rPr>
              <w:t>达标</w:t>
            </w:r>
            <w:r>
              <w:rPr>
                <w:rFonts w:hint="eastAsia"/>
                <w:color w:val="auto"/>
                <w:sz w:val="20"/>
                <w:szCs w:val="20"/>
                <w:highlight w:val="none"/>
              </w:rPr>
              <w:t>。</w:t>
            </w:r>
          </w:p>
        </w:tc>
        <w:tc>
          <w:tcPr>
            <w:tcW w:w="918" w:type="dxa"/>
            <w:vMerge w:val="restart"/>
            <w:vAlign w:val="center"/>
          </w:tcPr>
          <w:p w14:paraId="446ED685">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2</w:t>
            </w:r>
          </w:p>
        </w:tc>
        <w:tc>
          <w:tcPr>
            <w:tcW w:w="2280" w:type="dxa"/>
            <w:vAlign w:val="center"/>
          </w:tcPr>
          <w:p w14:paraId="3C16E938">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无检查</w:t>
            </w:r>
            <w:r>
              <w:rPr>
                <w:rFonts w:hint="eastAsia"/>
                <w:color w:val="auto"/>
                <w:sz w:val="20"/>
                <w:szCs w:val="20"/>
                <w:highlight w:val="none"/>
                <w:lang w:val="en-US" w:eastAsia="zh-CN"/>
              </w:rPr>
              <w:t>记录</w:t>
            </w:r>
            <w:r>
              <w:rPr>
                <w:rFonts w:hint="eastAsia"/>
                <w:color w:val="auto"/>
                <w:sz w:val="20"/>
                <w:szCs w:val="20"/>
                <w:highlight w:val="none"/>
              </w:rPr>
              <w:t>或缺检查</w:t>
            </w:r>
            <w:r>
              <w:rPr>
                <w:rFonts w:hint="eastAsia"/>
                <w:color w:val="auto"/>
                <w:sz w:val="20"/>
                <w:szCs w:val="20"/>
                <w:highlight w:val="none"/>
                <w:lang w:val="en-US" w:eastAsia="zh-CN"/>
              </w:rPr>
              <w:t>记录</w:t>
            </w:r>
            <w:r>
              <w:rPr>
                <w:rFonts w:hint="eastAsia"/>
                <w:color w:val="auto"/>
                <w:sz w:val="20"/>
                <w:szCs w:val="20"/>
                <w:highlight w:val="none"/>
              </w:rPr>
              <w:t>次数的</w:t>
            </w:r>
            <w:r>
              <w:rPr>
                <w:rFonts w:hint="eastAsia"/>
                <w:color w:val="auto"/>
                <w:sz w:val="20"/>
                <w:szCs w:val="20"/>
                <w:highlight w:val="none"/>
                <w:lang w:eastAsia="zh-CN"/>
              </w:rPr>
              <w:t>。</w:t>
            </w:r>
          </w:p>
        </w:tc>
        <w:tc>
          <w:tcPr>
            <w:tcW w:w="1185" w:type="dxa"/>
            <w:vAlign w:val="center"/>
          </w:tcPr>
          <w:p w14:paraId="743E1B8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690" w:type="dxa"/>
            <w:vAlign w:val="top"/>
          </w:tcPr>
          <w:p w14:paraId="43CE74F3">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4A2A4834">
            <w:pPr>
              <w:jc w:val="center"/>
              <w:rPr>
                <w:rFonts w:asciiTheme="minorHAnsi" w:hAnsiTheme="minorHAnsi" w:eastAsiaTheme="minorEastAsia" w:cstheme="minorBidi"/>
                <w:color w:val="auto"/>
                <w:kern w:val="2"/>
                <w:sz w:val="20"/>
                <w:szCs w:val="20"/>
                <w:highlight w:val="none"/>
                <w:lang w:val="en-US" w:eastAsia="zh-CN" w:bidi="ar-SA"/>
              </w:rPr>
            </w:pPr>
          </w:p>
        </w:tc>
      </w:tr>
      <w:tr w14:paraId="1204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788414CE">
            <w:pPr>
              <w:jc w:val="center"/>
              <w:rPr>
                <w:rFonts w:hint="eastAsia"/>
                <w:color w:val="auto"/>
                <w:sz w:val="20"/>
                <w:szCs w:val="20"/>
                <w:highlight w:val="none"/>
              </w:rPr>
            </w:pPr>
          </w:p>
        </w:tc>
        <w:tc>
          <w:tcPr>
            <w:tcW w:w="2610" w:type="dxa"/>
            <w:vMerge w:val="continue"/>
          </w:tcPr>
          <w:p w14:paraId="3B51BEB9">
            <w:pPr>
              <w:rPr>
                <w:rFonts w:hint="eastAsia"/>
                <w:color w:val="auto"/>
                <w:sz w:val="20"/>
                <w:szCs w:val="20"/>
                <w:highlight w:val="none"/>
              </w:rPr>
            </w:pPr>
          </w:p>
        </w:tc>
        <w:tc>
          <w:tcPr>
            <w:tcW w:w="918" w:type="dxa"/>
            <w:vMerge w:val="continue"/>
          </w:tcPr>
          <w:p w14:paraId="42467165">
            <w:pPr>
              <w:jc w:val="center"/>
              <w:rPr>
                <w:rFonts w:hint="eastAsia" w:ascii="宋体" w:hAnsi="宋体" w:cs="宋体"/>
                <w:color w:val="auto"/>
                <w:sz w:val="20"/>
                <w:szCs w:val="20"/>
                <w:highlight w:val="none"/>
                <w:lang w:val="en-US" w:eastAsia="zh-CN"/>
              </w:rPr>
            </w:pPr>
          </w:p>
        </w:tc>
        <w:tc>
          <w:tcPr>
            <w:tcW w:w="2280" w:type="dxa"/>
            <w:vAlign w:val="center"/>
          </w:tcPr>
          <w:p w14:paraId="2941E57C">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设备</w:t>
            </w:r>
            <w:r>
              <w:rPr>
                <w:rFonts w:hint="eastAsia"/>
                <w:color w:val="auto"/>
                <w:sz w:val="20"/>
                <w:szCs w:val="20"/>
                <w:highlight w:val="none"/>
                <w:lang w:val="en-US" w:eastAsia="zh-CN"/>
              </w:rPr>
              <w:t>完好率不达标。</w:t>
            </w:r>
          </w:p>
        </w:tc>
        <w:tc>
          <w:tcPr>
            <w:tcW w:w="1185" w:type="dxa"/>
            <w:vAlign w:val="center"/>
          </w:tcPr>
          <w:p w14:paraId="7A1A5C8A">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/次</w:t>
            </w:r>
          </w:p>
        </w:tc>
        <w:tc>
          <w:tcPr>
            <w:tcW w:w="690" w:type="dxa"/>
            <w:vAlign w:val="top"/>
          </w:tcPr>
          <w:p w14:paraId="42CE1514">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45490CCC">
            <w:pPr>
              <w:jc w:val="center"/>
              <w:rPr>
                <w:rFonts w:asciiTheme="minorHAnsi" w:hAnsiTheme="minorHAnsi" w:eastAsiaTheme="minorEastAsia" w:cstheme="minorBidi"/>
                <w:color w:val="auto"/>
                <w:kern w:val="2"/>
                <w:sz w:val="20"/>
                <w:szCs w:val="20"/>
                <w:highlight w:val="none"/>
                <w:lang w:val="en-US" w:eastAsia="zh-CN" w:bidi="ar-SA"/>
              </w:rPr>
            </w:pPr>
          </w:p>
        </w:tc>
      </w:tr>
      <w:tr w14:paraId="586CB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0FAABA7B">
            <w:pPr>
              <w:jc w:val="center"/>
              <w:rPr>
                <w:rFonts w:hint="eastAsia"/>
                <w:color w:val="auto"/>
                <w:sz w:val="20"/>
                <w:szCs w:val="20"/>
                <w:highlight w:val="none"/>
              </w:rPr>
            </w:pPr>
          </w:p>
        </w:tc>
        <w:tc>
          <w:tcPr>
            <w:tcW w:w="2610" w:type="dxa"/>
            <w:vMerge w:val="continue"/>
          </w:tcPr>
          <w:p w14:paraId="1E04051F">
            <w:pPr>
              <w:rPr>
                <w:rFonts w:hint="eastAsia"/>
                <w:color w:val="auto"/>
                <w:sz w:val="20"/>
                <w:szCs w:val="20"/>
                <w:highlight w:val="none"/>
              </w:rPr>
            </w:pPr>
          </w:p>
        </w:tc>
        <w:tc>
          <w:tcPr>
            <w:tcW w:w="918" w:type="dxa"/>
            <w:vMerge w:val="continue"/>
          </w:tcPr>
          <w:p w14:paraId="7BB3A6B7">
            <w:pPr>
              <w:jc w:val="center"/>
              <w:rPr>
                <w:rFonts w:hint="eastAsia" w:ascii="宋体" w:hAnsi="宋体" w:cs="宋体"/>
                <w:color w:val="auto"/>
                <w:sz w:val="20"/>
                <w:szCs w:val="20"/>
                <w:highlight w:val="none"/>
                <w:lang w:val="en-US" w:eastAsia="zh-CN"/>
              </w:rPr>
            </w:pPr>
          </w:p>
        </w:tc>
        <w:tc>
          <w:tcPr>
            <w:tcW w:w="2280" w:type="dxa"/>
            <w:vAlign w:val="center"/>
          </w:tcPr>
          <w:p w14:paraId="5677C994">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因玩忽职守造成停电或者重大停电事故、设备损坏的，另行处理</w:t>
            </w:r>
            <w:r>
              <w:rPr>
                <w:rFonts w:hint="eastAsia"/>
                <w:color w:val="auto"/>
                <w:sz w:val="20"/>
                <w:szCs w:val="20"/>
                <w:highlight w:val="none"/>
                <w:lang w:eastAsia="zh-CN"/>
              </w:rPr>
              <w:t>。</w:t>
            </w:r>
          </w:p>
        </w:tc>
        <w:tc>
          <w:tcPr>
            <w:tcW w:w="1185" w:type="dxa"/>
            <w:vAlign w:val="center"/>
          </w:tcPr>
          <w:p w14:paraId="295EAF4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/次</w:t>
            </w:r>
          </w:p>
        </w:tc>
        <w:tc>
          <w:tcPr>
            <w:tcW w:w="690" w:type="dxa"/>
            <w:vAlign w:val="top"/>
          </w:tcPr>
          <w:p w14:paraId="38B475C4">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7C6F8ECD">
            <w:pPr>
              <w:jc w:val="center"/>
              <w:rPr>
                <w:rFonts w:asciiTheme="minorHAnsi" w:hAnsiTheme="minorHAnsi" w:eastAsiaTheme="minorEastAsia" w:cstheme="minorBidi"/>
                <w:color w:val="auto"/>
                <w:kern w:val="2"/>
                <w:sz w:val="20"/>
                <w:szCs w:val="20"/>
                <w:highlight w:val="none"/>
                <w:lang w:val="en-US" w:eastAsia="zh-CN" w:bidi="ar-SA"/>
              </w:rPr>
            </w:pPr>
          </w:p>
        </w:tc>
      </w:tr>
      <w:tr w14:paraId="602D1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0B20532D">
            <w:pPr>
              <w:jc w:val="center"/>
              <w:rPr>
                <w:rFonts w:hint="eastAsia"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二</w:t>
            </w:r>
          </w:p>
        </w:tc>
        <w:tc>
          <w:tcPr>
            <w:tcW w:w="2610" w:type="dxa"/>
            <w:vAlign w:val="center"/>
          </w:tcPr>
          <w:p w14:paraId="1B4EA92C">
            <w:pPr>
              <w:rPr>
                <w:rFonts w:hint="eastAsia"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供水系统运行及维护的考核标准</w:t>
            </w:r>
          </w:p>
        </w:tc>
        <w:tc>
          <w:tcPr>
            <w:tcW w:w="918" w:type="dxa"/>
            <w:vAlign w:val="center"/>
          </w:tcPr>
          <w:p w14:paraId="0EC87A34">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3</w:t>
            </w:r>
          </w:p>
        </w:tc>
        <w:tc>
          <w:tcPr>
            <w:tcW w:w="2280" w:type="dxa"/>
            <w:vAlign w:val="center"/>
          </w:tcPr>
          <w:p w14:paraId="03F83F07">
            <w:pPr>
              <w:rPr>
                <w:rFonts w:hint="eastAsia" w:asciiTheme="minorHAnsi" w:hAnsiTheme="minorHAnsi" w:eastAsiaTheme="minorEastAsia" w:cstheme="minorBidi"/>
                <w:b/>
                <w:color w:val="auto"/>
                <w:kern w:val="2"/>
                <w:sz w:val="20"/>
                <w:szCs w:val="20"/>
                <w:highlight w:val="none"/>
                <w:lang w:val="en-US" w:eastAsia="zh-CN" w:bidi="ar-SA"/>
              </w:rPr>
            </w:pPr>
          </w:p>
        </w:tc>
        <w:tc>
          <w:tcPr>
            <w:tcW w:w="1185" w:type="dxa"/>
            <w:vAlign w:val="center"/>
          </w:tcPr>
          <w:p w14:paraId="7E921623">
            <w:pPr>
              <w:jc w:val="left"/>
              <w:rPr>
                <w:rFonts w:hint="eastAsia" w:ascii="宋体" w:hAnsi="宋体" w:cs="宋体" w:eastAsiaTheme="minorEastAsia"/>
                <w:b/>
                <w:color w:val="auto"/>
                <w:kern w:val="2"/>
                <w:sz w:val="20"/>
                <w:szCs w:val="20"/>
                <w:highlight w:val="none"/>
                <w:lang w:val="en-US" w:eastAsia="zh-CN" w:bidi="ar-SA"/>
              </w:rPr>
            </w:pPr>
          </w:p>
        </w:tc>
        <w:tc>
          <w:tcPr>
            <w:tcW w:w="690" w:type="dxa"/>
            <w:vAlign w:val="top"/>
          </w:tcPr>
          <w:p w14:paraId="54DDCF88">
            <w:pPr>
              <w:jc w:val="center"/>
              <w:rPr>
                <w:rFonts w:asciiTheme="minorHAnsi" w:hAnsiTheme="minorHAnsi" w:eastAsiaTheme="minorEastAsia" w:cstheme="minorBidi"/>
                <w:b/>
                <w:color w:val="auto"/>
                <w:kern w:val="2"/>
                <w:sz w:val="20"/>
                <w:szCs w:val="20"/>
                <w:highlight w:val="none"/>
                <w:lang w:val="en-US" w:eastAsia="zh-CN" w:bidi="ar-SA"/>
              </w:rPr>
            </w:pPr>
          </w:p>
        </w:tc>
        <w:tc>
          <w:tcPr>
            <w:tcW w:w="855" w:type="dxa"/>
            <w:vAlign w:val="center"/>
          </w:tcPr>
          <w:p w14:paraId="5C4A71D0">
            <w:pPr>
              <w:jc w:val="center"/>
              <w:rPr>
                <w:rFonts w:asciiTheme="minorHAnsi" w:hAnsiTheme="minorHAnsi" w:eastAsiaTheme="minorEastAsia" w:cstheme="minorBidi"/>
                <w:b/>
                <w:color w:val="auto"/>
                <w:kern w:val="2"/>
                <w:sz w:val="20"/>
                <w:szCs w:val="20"/>
                <w:highlight w:val="none"/>
                <w:lang w:val="en-US" w:eastAsia="zh-CN" w:bidi="ar-SA"/>
              </w:rPr>
            </w:pPr>
          </w:p>
        </w:tc>
      </w:tr>
      <w:tr w14:paraId="52C24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7F318E2C">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1</w:t>
            </w:r>
          </w:p>
        </w:tc>
        <w:tc>
          <w:tcPr>
            <w:tcW w:w="2610" w:type="dxa"/>
            <w:vMerge w:val="restart"/>
            <w:vAlign w:val="center"/>
          </w:tcPr>
          <w:p w14:paraId="4F8F72F8">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管理人员要熟悉供水系统的设备及各区供水管网情况，</w:t>
            </w:r>
            <w:r>
              <w:rPr>
                <w:rFonts w:hint="eastAsia"/>
                <w:color w:val="auto"/>
                <w:sz w:val="20"/>
                <w:szCs w:val="20"/>
                <w:highlight w:val="none"/>
                <w:lang w:val="en-US" w:eastAsia="zh-CN"/>
              </w:rPr>
              <w:t>每月</w:t>
            </w:r>
            <w:r>
              <w:rPr>
                <w:rFonts w:hint="eastAsia"/>
                <w:color w:val="auto"/>
                <w:sz w:val="20"/>
                <w:szCs w:val="20"/>
                <w:highlight w:val="none"/>
              </w:rPr>
              <w:t>检查供水系统设备</w:t>
            </w:r>
            <w:r>
              <w:rPr>
                <w:rFonts w:hint="eastAsia"/>
                <w:color w:val="auto"/>
                <w:sz w:val="20"/>
                <w:szCs w:val="20"/>
                <w:highlight w:val="none"/>
                <w:lang w:val="en-US" w:eastAsia="zh-CN"/>
              </w:rPr>
              <w:t>1次</w:t>
            </w:r>
            <w:r>
              <w:rPr>
                <w:rFonts w:hint="eastAsia"/>
                <w:color w:val="auto"/>
                <w:sz w:val="20"/>
                <w:szCs w:val="20"/>
                <w:highlight w:val="none"/>
              </w:rPr>
              <w:t>，并做好维护保养及维修记录，保证水阀、水龙头的正常使用。</w:t>
            </w:r>
          </w:p>
        </w:tc>
        <w:tc>
          <w:tcPr>
            <w:tcW w:w="918" w:type="dxa"/>
            <w:vMerge w:val="restart"/>
            <w:vAlign w:val="center"/>
          </w:tcPr>
          <w:p w14:paraId="6FC9E29B">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3352B825">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管理人员不熟悉供水设备，不了解各区供水管网，不</w:t>
            </w:r>
            <w:r>
              <w:rPr>
                <w:rFonts w:hint="eastAsia"/>
                <w:color w:val="auto"/>
                <w:sz w:val="20"/>
                <w:szCs w:val="20"/>
                <w:highlight w:val="none"/>
                <w:lang w:val="en-US" w:eastAsia="zh-CN"/>
              </w:rPr>
              <w:t>按要求</w:t>
            </w:r>
            <w:r>
              <w:rPr>
                <w:rFonts w:hint="eastAsia"/>
                <w:color w:val="auto"/>
                <w:sz w:val="20"/>
                <w:szCs w:val="20"/>
                <w:highlight w:val="none"/>
              </w:rPr>
              <w:t>检查供水系统设备，无维修记录的，每一项</w:t>
            </w:r>
            <w:r>
              <w:rPr>
                <w:rFonts w:hint="eastAsia"/>
                <w:color w:val="auto"/>
                <w:sz w:val="20"/>
                <w:szCs w:val="20"/>
                <w:highlight w:val="none"/>
                <w:lang w:eastAsia="zh-CN"/>
              </w:rPr>
              <w:t>。</w:t>
            </w:r>
          </w:p>
        </w:tc>
        <w:tc>
          <w:tcPr>
            <w:tcW w:w="1185" w:type="dxa"/>
            <w:vAlign w:val="center"/>
          </w:tcPr>
          <w:p w14:paraId="0DA706E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vAlign w:val="top"/>
          </w:tcPr>
          <w:p w14:paraId="7D145226">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5BF9CE99">
            <w:pPr>
              <w:jc w:val="center"/>
              <w:rPr>
                <w:rFonts w:asciiTheme="minorHAnsi" w:hAnsiTheme="minorHAnsi" w:eastAsiaTheme="minorEastAsia" w:cstheme="minorBidi"/>
                <w:color w:val="auto"/>
                <w:kern w:val="2"/>
                <w:sz w:val="20"/>
                <w:szCs w:val="20"/>
                <w:highlight w:val="none"/>
                <w:lang w:val="en-US" w:eastAsia="zh-CN" w:bidi="ar-SA"/>
              </w:rPr>
            </w:pPr>
          </w:p>
        </w:tc>
      </w:tr>
      <w:tr w14:paraId="04E5C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2D49C0E6">
            <w:pPr>
              <w:jc w:val="center"/>
              <w:rPr>
                <w:rFonts w:hint="eastAsia"/>
                <w:color w:val="auto"/>
                <w:sz w:val="20"/>
                <w:szCs w:val="20"/>
                <w:highlight w:val="none"/>
              </w:rPr>
            </w:pPr>
          </w:p>
        </w:tc>
        <w:tc>
          <w:tcPr>
            <w:tcW w:w="2610" w:type="dxa"/>
            <w:vMerge w:val="continue"/>
          </w:tcPr>
          <w:p w14:paraId="63C407B9">
            <w:pPr>
              <w:rPr>
                <w:rFonts w:hint="eastAsia"/>
                <w:color w:val="auto"/>
                <w:sz w:val="20"/>
                <w:szCs w:val="20"/>
                <w:highlight w:val="none"/>
              </w:rPr>
            </w:pPr>
          </w:p>
        </w:tc>
        <w:tc>
          <w:tcPr>
            <w:tcW w:w="918" w:type="dxa"/>
            <w:vMerge w:val="continue"/>
          </w:tcPr>
          <w:p w14:paraId="6F3D15BB">
            <w:pPr>
              <w:jc w:val="center"/>
              <w:rPr>
                <w:rFonts w:hint="eastAsia" w:ascii="宋体" w:hAnsi="宋体" w:cs="宋体"/>
                <w:color w:val="auto"/>
                <w:sz w:val="20"/>
                <w:szCs w:val="20"/>
                <w:highlight w:val="none"/>
                <w:lang w:val="en-US" w:eastAsia="zh-CN"/>
              </w:rPr>
            </w:pPr>
          </w:p>
        </w:tc>
        <w:tc>
          <w:tcPr>
            <w:tcW w:w="2280" w:type="dxa"/>
            <w:vAlign w:val="center"/>
          </w:tcPr>
          <w:p w14:paraId="66B2C35E">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水阀、水龙头漏水或无法使用</w:t>
            </w:r>
            <w:r>
              <w:rPr>
                <w:rFonts w:hint="eastAsia"/>
                <w:color w:val="auto"/>
                <w:sz w:val="20"/>
                <w:szCs w:val="20"/>
                <w:highlight w:val="none"/>
                <w:lang w:eastAsia="zh-CN"/>
              </w:rPr>
              <w:t>。</w:t>
            </w:r>
          </w:p>
        </w:tc>
        <w:tc>
          <w:tcPr>
            <w:tcW w:w="1185" w:type="dxa"/>
            <w:vAlign w:val="center"/>
          </w:tcPr>
          <w:p w14:paraId="6247AA9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分/个</w:t>
            </w:r>
          </w:p>
        </w:tc>
        <w:tc>
          <w:tcPr>
            <w:tcW w:w="690" w:type="dxa"/>
            <w:vAlign w:val="top"/>
          </w:tcPr>
          <w:p w14:paraId="76B95A21">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5411498">
            <w:pPr>
              <w:jc w:val="center"/>
              <w:rPr>
                <w:rFonts w:asciiTheme="minorHAnsi" w:hAnsiTheme="minorHAnsi" w:eastAsiaTheme="minorEastAsia" w:cstheme="minorBidi"/>
                <w:color w:val="auto"/>
                <w:kern w:val="2"/>
                <w:sz w:val="20"/>
                <w:szCs w:val="20"/>
                <w:highlight w:val="none"/>
                <w:lang w:val="en-US" w:eastAsia="zh-CN" w:bidi="ar-SA"/>
              </w:rPr>
            </w:pPr>
          </w:p>
        </w:tc>
      </w:tr>
      <w:tr w14:paraId="5B603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42F3392B">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2</w:t>
            </w:r>
          </w:p>
        </w:tc>
        <w:tc>
          <w:tcPr>
            <w:tcW w:w="2610" w:type="dxa"/>
            <w:vAlign w:val="center"/>
          </w:tcPr>
          <w:p w14:paraId="74FA5E87">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办公场所、生产场所、营业场所的水池或水箱要加盖上锁，防止蚊虫、蟑螂、老鼠或其它不卫生物品掉入水池或水箱内。</w:t>
            </w:r>
          </w:p>
        </w:tc>
        <w:tc>
          <w:tcPr>
            <w:tcW w:w="918" w:type="dxa"/>
            <w:vAlign w:val="center"/>
          </w:tcPr>
          <w:p w14:paraId="2D55642C">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48101E53">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水池内有蚊虫、蟑螂、老鼠或其它不卫生物品掉入。</w:t>
            </w:r>
          </w:p>
        </w:tc>
        <w:tc>
          <w:tcPr>
            <w:tcW w:w="1185" w:type="dxa"/>
            <w:vAlign w:val="center"/>
          </w:tcPr>
          <w:p w14:paraId="3FC123B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vAlign w:val="top"/>
          </w:tcPr>
          <w:p w14:paraId="7367A138">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7422627F">
            <w:pPr>
              <w:jc w:val="center"/>
              <w:rPr>
                <w:rFonts w:asciiTheme="minorHAnsi" w:hAnsiTheme="minorHAnsi" w:eastAsiaTheme="minorEastAsia" w:cstheme="minorBidi"/>
                <w:color w:val="auto"/>
                <w:kern w:val="2"/>
                <w:sz w:val="20"/>
                <w:szCs w:val="20"/>
                <w:highlight w:val="none"/>
                <w:lang w:val="en-US" w:eastAsia="zh-CN" w:bidi="ar-SA"/>
              </w:rPr>
            </w:pPr>
          </w:p>
        </w:tc>
      </w:tr>
      <w:tr w14:paraId="7731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52133F6F">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3</w:t>
            </w:r>
          </w:p>
        </w:tc>
        <w:tc>
          <w:tcPr>
            <w:tcW w:w="2610" w:type="dxa"/>
            <w:vAlign w:val="center"/>
          </w:tcPr>
          <w:p w14:paraId="1B40F3FD">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yellow"/>
              </w:rPr>
              <w:t>正常情况下应保证连续供水，如供水单位停水，收到停水通知及时通知采购方，突发情况停水时，应在一小时内组织有关人员处理，并向采购方报告，同时在恢复供水24小时内向采购方解释。</w:t>
            </w:r>
          </w:p>
        </w:tc>
        <w:tc>
          <w:tcPr>
            <w:tcW w:w="918" w:type="dxa"/>
            <w:vAlign w:val="center"/>
          </w:tcPr>
          <w:p w14:paraId="61FB0A24">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6A8985E9">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未按规定做</w:t>
            </w:r>
            <w:r>
              <w:rPr>
                <w:rFonts w:hint="eastAsia"/>
                <w:color w:val="auto"/>
                <w:sz w:val="20"/>
                <w:szCs w:val="20"/>
                <w:highlight w:val="none"/>
                <w:lang w:eastAsia="zh-CN"/>
              </w:rPr>
              <w:t>。</w:t>
            </w:r>
          </w:p>
        </w:tc>
        <w:tc>
          <w:tcPr>
            <w:tcW w:w="1185" w:type="dxa"/>
            <w:vAlign w:val="center"/>
          </w:tcPr>
          <w:p w14:paraId="4E9679F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690" w:type="dxa"/>
            <w:vAlign w:val="top"/>
          </w:tcPr>
          <w:p w14:paraId="2B05CC31">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731B5696">
            <w:pPr>
              <w:jc w:val="center"/>
              <w:rPr>
                <w:rFonts w:asciiTheme="minorHAnsi" w:hAnsiTheme="minorHAnsi" w:eastAsiaTheme="minorEastAsia" w:cstheme="minorBidi"/>
                <w:color w:val="auto"/>
                <w:kern w:val="2"/>
                <w:sz w:val="20"/>
                <w:szCs w:val="20"/>
                <w:highlight w:val="none"/>
                <w:lang w:val="en-US" w:eastAsia="zh-CN" w:bidi="ar-SA"/>
              </w:rPr>
            </w:pPr>
          </w:p>
        </w:tc>
      </w:tr>
      <w:tr w14:paraId="511A9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0D74DB7D">
            <w:pPr>
              <w:jc w:val="center"/>
              <w:rPr>
                <w:rFonts w:hint="eastAsia"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三</w:t>
            </w:r>
          </w:p>
        </w:tc>
        <w:tc>
          <w:tcPr>
            <w:tcW w:w="2610" w:type="dxa"/>
            <w:vAlign w:val="center"/>
          </w:tcPr>
          <w:p w14:paraId="5ADAF05D">
            <w:pPr>
              <w:rPr>
                <w:rFonts w:hint="eastAsia" w:asciiTheme="minorHAnsi" w:hAnsiTheme="minorHAnsi" w:eastAsiaTheme="minorEastAsia" w:cstheme="minorBidi"/>
                <w:b/>
                <w:color w:val="auto"/>
                <w:kern w:val="2"/>
                <w:sz w:val="20"/>
                <w:szCs w:val="20"/>
                <w:highlight w:val="none"/>
                <w:lang w:val="en-US" w:eastAsia="zh-CN" w:bidi="ar-SA"/>
              </w:rPr>
            </w:pPr>
            <w:r>
              <w:rPr>
                <w:rFonts w:hint="eastAsia"/>
                <w:b/>
                <w:color w:val="auto"/>
                <w:sz w:val="20"/>
                <w:szCs w:val="20"/>
                <w:highlight w:val="none"/>
              </w:rPr>
              <w:t>排水系统运行维护的考核标准</w:t>
            </w:r>
          </w:p>
        </w:tc>
        <w:tc>
          <w:tcPr>
            <w:tcW w:w="918" w:type="dxa"/>
            <w:vAlign w:val="center"/>
          </w:tcPr>
          <w:p w14:paraId="6E2BF550">
            <w:pPr>
              <w:jc w:val="center"/>
              <w:rPr>
                <w:rFonts w:hint="eastAsia" w:ascii="宋体" w:hAnsi="宋体" w:eastAsia="宋体" w:cs="宋体"/>
                <w:b/>
                <w:color w:val="auto"/>
                <w:kern w:val="2"/>
                <w:sz w:val="20"/>
                <w:szCs w:val="20"/>
                <w:highlight w:val="none"/>
                <w:lang w:val="en-US" w:eastAsia="zh-CN" w:bidi="ar-SA"/>
              </w:rPr>
            </w:pPr>
            <w:r>
              <w:rPr>
                <w:rFonts w:hint="eastAsia" w:ascii="宋体" w:hAnsi="宋体" w:cs="宋体"/>
                <w:b/>
                <w:color w:val="auto"/>
                <w:sz w:val="20"/>
                <w:szCs w:val="20"/>
                <w:highlight w:val="none"/>
                <w:lang w:val="en-US" w:eastAsia="zh-CN"/>
              </w:rPr>
              <w:t>5</w:t>
            </w:r>
          </w:p>
        </w:tc>
        <w:tc>
          <w:tcPr>
            <w:tcW w:w="2280" w:type="dxa"/>
            <w:vAlign w:val="center"/>
          </w:tcPr>
          <w:p w14:paraId="5209DA8D">
            <w:pPr>
              <w:rPr>
                <w:rFonts w:hint="eastAsia" w:asciiTheme="minorHAnsi" w:hAnsiTheme="minorHAnsi" w:eastAsiaTheme="minorEastAsia" w:cstheme="minorBidi"/>
                <w:b/>
                <w:color w:val="auto"/>
                <w:kern w:val="2"/>
                <w:sz w:val="20"/>
                <w:szCs w:val="20"/>
                <w:highlight w:val="none"/>
                <w:lang w:val="en-US" w:eastAsia="zh-CN" w:bidi="ar-SA"/>
              </w:rPr>
            </w:pPr>
          </w:p>
        </w:tc>
        <w:tc>
          <w:tcPr>
            <w:tcW w:w="1185" w:type="dxa"/>
            <w:vAlign w:val="center"/>
          </w:tcPr>
          <w:p w14:paraId="13A79C53">
            <w:pPr>
              <w:jc w:val="center"/>
              <w:rPr>
                <w:rFonts w:hint="eastAsia" w:ascii="宋体" w:hAnsi="宋体" w:cs="宋体" w:eastAsiaTheme="minorEastAsia"/>
                <w:color w:val="auto"/>
                <w:kern w:val="2"/>
                <w:sz w:val="20"/>
                <w:szCs w:val="20"/>
                <w:highlight w:val="none"/>
                <w:lang w:val="en-US" w:eastAsia="zh-CN" w:bidi="ar-SA"/>
              </w:rPr>
            </w:pPr>
          </w:p>
        </w:tc>
        <w:tc>
          <w:tcPr>
            <w:tcW w:w="690" w:type="dxa"/>
            <w:vAlign w:val="top"/>
          </w:tcPr>
          <w:p w14:paraId="33846449">
            <w:pPr>
              <w:jc w:val="center"/>
              <w:rPr>
                <w:rFonts w:asciiTheme="minorHAnsi" w:hAnsiTheme="minorHAnsi" w:eastAsiaTheme="minorEastAsia" w:cstheme="minorBidi"/>
                <w:b/>
                <w:color w:val="auto"/>
                <w:kern w:val="2"/>
                <w:sz w:val="20"/>
                <w:szCs w:val="20"/>
                <w:highlight w:val="none"/>
                <w:lang w:val="en-US" w:eastAsia="zh-CN" w:bidi="ar-SA"/>
              </w:rPr>
            </w:pPr>
          </w:p>
        </w:tc>
        <w:tc>
          <w:tcPr>
            <w:tcW w:w="855" w:type="dxa"/>
            <w:vAlign w:val="center"/>
          </w:tcPr>
          <w:p w14:paraId="0CB972F4">
            <w:pPr>
              <w:jc w:val="center"/>
              <w:rPr>
                <w:rFonts w:asciiTheme="minorHAnsi" w:hAnsiTheme="minorHAnsi" w:eastAsiaTheme="minorEastAsia" w:cstheme="minorBidi"/>
                <w:b/>
                <w:color w:val="auto"/>
                <w:kern w:val="2"/>
                <w:sz w:val="20"/>
                <w:szCs w:val="20"/>
                <w:highlight w:val="none"/>
                <w:lang w:val="en-US" w:eastAsia="zh-CN" w:bidi="ar-SA"/>
              </w:rPr>
            </w:pPr>
          </w:p>
        </w:tc>
      </w:tr>
      <w:tr w14:paraId="1ED5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E3F1E2F">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1</w:t>
            </w:r>
          </w:p>
        </w:tc>
        <w:tc>
          <w:tcPr>
            <w:tcW w:w="2610" w:type="dxa"/>
            <w:vAlign w:val="center"/>
          </w:tcPr>
          <w:p w14:paraId="548661C3">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建立健全办公场所、生产场所、营业场所排水系统的管理制度，编写水泵等设备的运行、检修规程。</w:t>
            </w:r>
          </w:p>
        </w:tc>
        <w:tc>
          <w:tcPr>
            <w:tcW w:w="918" w:type="dxa"/>
            <w:vAlign w:val="center"/>
          </w:tcPr>
          <w:p w14:paraId="5330F511">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1</w:t>
            </w:r>
          </w:p>
        </w:tc>
        <w:tc>
          <w:tcPr>
            <w:tcW w:w="2280" w:type="dxa"/>
            <w:vAlign w:val="center"/>
          </w:tcPr>
          <w:p w14:paraId="4A3FA542">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无管理制度、无相应规程</w:t>
            </w:r>
            <w:r>
              <w:rPr>
                <w:rFonts w:hint="eastAsia"/>
                <w:color w:val="auto"/>
                <w:sz w:val="20"/>
                <w:szCs w:val="20"/>
                <w:highlight w:val="none"/>
                <w:lang w:eastAsia="zh-CN"/>
              </w:rPr>
              <w:t>。</w:t>
            </w:r>
          </w:p>
        </w:tc>
        <w:tc>
          <w:tcPr>
            <w:tcW w:w="1185" w:type="dxa"/>
            <w:vAlign w:val="center"/>
          </w:tcPr>
          <w:p w14:paraId="32D1019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分/项</w:t>
            </w:r>
          </w:p>
        </w:tc>
        <w:tc>
          <w:tcPr>
            <w:tcW w:w="690" w:type="dxa"/>
            <w:vAlign w:val="top"/>
          </w:tcPr>
          <w:p w14:paraId="337DAB95">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622FD9C4">
            <w:pPr>
              <w:jc w:val="center"/>
              <w:rPr>
                <w:rFonts w:asciiTheme="minorHAnsi" w:hAnsiTheme="minorHAnsi" w:eastAsiaTheme="minorEastAsia" w:cstheme="minorBidi"/>
                <w:color w:val="auto"/>
                <w:kern w:val="2"/>
                <w:sz w:val="20"/>
                <w:szCs w:val="20"/>
                <w:highlight w:val="none"/>
                <w:lang w:val="en-US" w:eastAsia="zh-CN" w:bidi="ar-SA"/>
              </w:rPr>
            </w:pPr>
          </w:p>
        </w:tc>
      </w:tr>
      <w:tr w14:paraId="1F7A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3D790C34">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2</w:t>
            </w:r>
          </w:p>
        </w:tc>
        <w:tc>
          <w:tcPr>
            <w:tcW w:w="2610" w:type="dxa"/>
            <w:vMerge w:val="restart"/>
            <w:vAlign w:val="center"/>
          </w:tcPr>
          <w:p w14:paraId="248B46AA">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管理人员要熟悉排水系统设备，了解各区域排水管网布局。</w:t>
            </w:r>
          </w:p>
        </w:tc>
        <w:tc>
          <w:tcPr>
            <w:tcW w:w="918" w:type="dxa"/>
            <w:vMerge w:val="restart"/>
            <w:vAlign w:val="center"/>
          </w:tcPr>
          <w:p w14:paraId="13329007">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34FA824F">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管理人员不熟悉排水系统设备的</w:t>
            </w:r>
            <w:r>
              <w:rPr>
                <w:rFonts w:hint="eastAsia"/>
                <w:color w:val="auto"/>
                <w:sz w:val="20"/>
                <w:szCs w:val="20"/>
                <w:highlight w:val="none"/>
                <w:lang w:eastAsia="zh-CN"/>
              </w:rPr>
              <w:t>。</w:t>
            </w:r>
          </w:p>
        </w:tc>
        <w:tc>
          <w:tcPr>
            <w:tcW w:w="1185" w:type="dxa"/>
            <w:vAlign w:val="center"/>
          </w:tcPr>
          <w:p w14:paraId="48A91BFC">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分/人</w:t>
            </w:r>
          </w:p>
        </w:tc>
        <w:tc>
          <w:tcPr>
            <w:tcW w:w="690" w:type="dxa"/>
            <w:vAlign w:val="top"/>
          </w:tcPr>
          <w:p w14:paraId="5DE44023">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E139617">
            <w:pPr>
              <w:jc w:val="center"/>
              <w:rPr>
                <w:rFonts w:asciiTheme="minorHAnsi" w:hAnsiTheme="minorHAnsi" w:eastAsiaTheme="minorEastAsia" w:cstheme="minorBidi"/>
                <w:color w:val="auto"/>
                <w:kern w:val="2"/>
                <w:sz w:val="20"/>
                <w:szCs w:val="20"/>
                <w:highlight w:val="none"/>
                <w:lang w:val="en-US" w:eastAsia="zh-CN" w:bidi="ar-SA"/>
              </w:rPr>
            </w:pPr>
          </w:p>
        </w:tc>
      </w:tr>
      <w:tr w14:paraId="7036A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10C5FFEF">
            <w:pPr>
              <w:jc w:val="center"/>
              <w:rPr>
                <w:rFonts w:hint="eastAsia"/>
                <w:color w:val="auto"/>
                <w:sz w:val="20"/>
                <w:szCs w:val="20"/>
                <w:highlight w:val="none"/>
              </w:rPr>
            </w:pPr>
          </w:p>
        </w:tc>
        <w:tc>
          <w:tcPr>
            <w:tcW w:w="2610" w:type="dxa"/>
            <w:vMerge w:val="continue"/>
          </w:tcPr>
          <w:p w14:paraId="296ABEF4">
            <w:pPr>
              <w:rPr>
                <w:rFonts w:hint="eastAsia"/>
                <w:color w:val="auto"/>
                <w:sz w:val="20"/>
                <w:szCs w:val="20"/>
                <w:highlight w:val="none"/>
              </w:rPr>
            </w:pPr>
          </w:p>
        </w:tc>
        <w:tc>
          <w:tcPr>
            <w:tcW w:w="918" w:type="dxa"/>
            <w:vMerge w:val="continue"/>
          </w:tcPr>
          <w:p w14:paraId="2AF7F843">
            <w:pPr>
              <w:jc w:val="center"/>
              <w:rPr>
                <w:rFonts w:hint="eastAsia" w:ascii="宋体" w:hAnsi="宋体" w:cs="宋体"/>
                <w:color w:val="auto"/>
                <w:sz w:val="20"/>
                <w:szCs w:val="20"/>
                <w:highlight w:val="none"/>
                <w:lang w:val="en-US" w:eastAsia="zh-CN"/>
              </w:rPr>
            </w:pPr>
          </w:p>
        </w:tc>
        <w:tc>
          <w:tcPr>
            <w:tcW w:w="2280" w:type="dxa"/>
            <w:vAlign w:val="center"/>
          </w:tcPr>
          <w:p w14:paraId="75511E2B">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管理人员不了解各区排水管网布局的</w:t>
            </w:r>
            <w:r>
              <w:rPr>
                <w:rFonts w:hint="eastAsia"/>
                <w:color w:val="auto"/>
                <w:sz w:val="20"/>
                <w:szCs w:val="20"/>
                <w:highlight w:val="none"/>
                <w:lang w:eastAsia="zh-CN"/>
              </w:rPr>
              <w:t>。</w:t>
            </w:r>
          </w:p>
        </w:tc>
        <w:tc>
          <w:tcPr>
            <w:tcW w:w="1185" w:type="dxa"/>
            <w:vAlign w:val="center"/>
          </w:tcPr>
          <w:p w14:paraId="2E03848C">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分/人</w:t>
            </w:r>
          </w:p>
        </w:tc>
        <w:tc>
          <w:tcPr>
            <w:tcW w:w="690" w:type="dxa"/>
            <w:vAlign w:val="top"/>
          </w:tcPr>
          <w:p w14:paraId="5CF71F5F">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62986168">
            <w:pPr>
              <w:jc w:val="center"/>
              <w:rPr>
                <w:rFonts w:asciiTheme="minorHAnsi" w:hAnsiTheme="minorHAnsi" w:eastAsiaTheme="minorEastAsia" w:cstheme="minorBidi"/>
                <w:color w:val="auto"/>
                <w:kern w:val="2"/>
                <w:sz w:val="20"/>
                <w:szCs w:val="20"/>
                <w:highlight w:val="none"/>
                <w:lang w:val="en-US" w:eastAsia="zh-CN" w:bidi="ar-SA"/>
              </w:rPr>
            </w:pPr>
          </w:p>
        </w:tc>
      </w:tr>
      <w:tr w14:paraId="10761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0C51E869">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3</w:t>
            </w:r>
          </w:p>
        </w:tc>
        <w:tc>
          <w:tcPr>
            <w:tcW w:w="2610" w:type="dxa"/>
            <w:vAlign w:val="center"/>
          </w:tcPr>
          <w:p w14:paraId="48A3C394">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各区排水系统从各栋楼宇的屋面排水到市政排水沟接壤处，办公场所、生产场所、营业场所化粪池</w:t>
            </w:r>
            <w:r>
              <w:rPr>
                <w:rFonts w:hint="eastAsia"/>
                <w:color w:val="auto"/>
                <w:sz w:val="20"/>
                <w:szCs w:val="20"/>
                <w:highlight w:val="none"/>
                <w:lang w:eastAsia="zh-CN"/>
              </w:rPr>
              <w:t>根据</w:t>
            </w:r>
            <w:r>
              <w:rPr>
                <w:rFonts w:hint="eastAsia"/>
                <w:color w:val="auto"/>
                <w:sz w:val="20"/>
                <w:szCs w:val="20"/>
                <w:highlight w:val="none"/>
                <w:lang w:val="en-US" w:eastAsia="zh-CN"/>
              </w:rPr>
              <w:t>采购方</w:t>
            </w:r>
            <w:r>
              <w:rPr>
                <w:rFonts w:hint="eastAsia"/>
                <w:color w:val="auto"/>
                <w:sz w:val="20"/>
                <w:szCs w:val="20"/>
                <w:highlight w:val="none"/>
                <w:lang w:eastAsia="zh-CN"/>
              </w:rPr>
              <w:t>实际需求进行清理</w:t>
            </w:r>
            <w:r>
              <w:rPr>
                <w:rFonts w:hint="eastAsia"/>
                <w:color w:val="auto"/>
                <w:sz w:val="20"/>
                <w:szCs w:val="20"/>
                <w:highlight w:val="none"/>
              </w:rPr>
              <w:t>。</w:t>
            </w:r>
          </w:p>
        </w:tc>
        <w:tc>
          <w:tcPr>
            <w:tcW w:w="918" w:type="dxa"/>
            <w:vAlign w:val="center"/>
          </w:tcPr>
          <w:p w14:paraId="54177D07">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07E16A2E">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不按要求执行的，每一项</w:t>
            </w:r>
            <w:r>
              <w:rPr>
                <w:rFonts w:hint="eastAsia"/>
                <w:color w:val="auto"/>
                <w:sz w:val="20"/>
                <w:szCs w:val="20"/>
                <w:highlight w:val="none"/>
                <w:lang w:eastAsia="zh-CN"/>
              </w:rPr>
              <w:t>。</w:t>
            </w:r>
          </w:p>
        </w:tc>
        <w:tc>
          <w:tcPr>
            <w:tcW w:w="1185" w:type="dxa"/>
            <w:vAlign w:val="center"/>
          </w:tcPr>
          <w:p w14:paraId="2C60B1E8">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-0.1分/栋次</w:t>
            </w:r>
          </w:p>
        </w:tc>
        <w:tc>
          <w:tcPr>
            <w:tcW w:w="690" w:type="dxa"/>
            <w:vAlign w:val="top"/>
          </w:tcPr>
          <w:p w14:paraId="2899238A">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27A1496C">
            <w:pPr>
              <w:jc w:val="center"/>
              <w:rPr>
                <w:rFonts w:asciiTheme="minorHAnsi" w:hAnsiTheme="minorHAnsi" w:eastAsiaTheme="minorEastAsia" w:cstheme="minorBidi"/>
                <w:color w:val="auto"/>
                <w:kern w:val="2"/>
                <w:sz w:val="20"/>
                <w:szCs w:val="20"/>
                <w:highlight w:val="none"/>
                <w:lang w:val="en-US" w:eastAsia="zh-CN" w:bidi="ar-SA"/>
              </w:rPr>
            </w:pPr>
          </w:p>
        </w:tc>
      </w:tr>
      <w:tr w14:paraId="680A9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74A420E4">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4</w:t>
            </w:r>
          </w:p>
        </w:tc>
        <w:tc>
          <w:tcPr>
            <w:tcW w:w="2610" w:type="dxa"/>
            <w:vMerge w:val="restart"/>
            <w:vAlign w:val="center"/>
          </w:tcPr>
          <w:p w14:paraId="6F0BD3E9">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做好日常巡视，如遇管沟堵塞或井池外溢污水脏物，</w:t>
            </w:r>
            <w:r>
              <w:rPr>
                <w:rFonts w:hint="eastAsia"/>
                <w:color w:val="auto"/>
                <w:sz w:val="20"/>
                <w:szCs w:val="20"/>
                <w:highlight w:val="none"/>
                <w:lang w:eastAsia="zh-CN"/>
              </w:rPr>
              <w:t>市区内</w:t>
            </w:r>
            <w:r>
              <w:rPr>
                <w:rFonts w:hint="eastAsia"/>
                <w:color w:val="auto"/>
                <w:sz w:val="20"/>
                <w:szCs w:val="20"/>
                <w:highlight w:val="none"/>
              </w:rPr>
              <w:t>应在</w:t>
            </w:r>
            <w:r>
              <w:rPr>
                <w:rFonts w:hint="eastAsia"/>
                <w:color w:val="auto"/>
                <w:sz w:val="20"/>
                <w:szCs w:val="20"/>
                <w:highlight w:val="none"/>
                <w:lang w:val="en-US" w:eastAsia="zh-CN"/>
              </w:rPr>
              <w:t>两</w:t>
            </w:r>
            <w:r>
              <w:rPr>
                <w:rFonts w:hint="eastAsia"/>
                <w:color w:val="auto"/>
                <w:sz w:val="20"/>
                <w:szCs w:val="20"/>
                <w:highlight w:val="none"/>
              </w:rPr>
              <w:t>小时内组织有关人员处理，保证设备的完好及排水顺畅。</w:t>
            </w:r>
          </w:p>
        </w:tc>
        <w:tc>
          <w:tcPr>
            <w:tcW w:w="918" w:type="dxa"/>
            <w:vMerge w:val="restart"/>
            <w:vAlign w:val="center"/>
          </w:tcPr>
          <w:p w14:paraId="026BBEC2">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1</w:t>
            </w:r>
          </w:p>
        </w:tc>
        <w:tc>
          <w:tcPr>
            <w:tcW w:w="2280" w:type="dxa"/>
            <w:vAlign w:val="center"/>
          </w:tcPr>
          <w:p w14:paraId="53E3DB5E">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不及时疏通管沟，排水不顺畅</w:t>
            </w:r>
            <w:r>
              <w:rPr>
                <w:rFonts w:hint="eastAsia"/>
                <w:color w:val="auto"/>
                <w:sz w:val="20"/>
                <w:szCs w:val="20"/>
                <w:highlight w:val="none"/>
                <w:lang w:eastAsia="zh-CN"/>
              </w:rPr>
              <w:t>。</w:t>
            </w:r>
          </w:p>
        </w:tc>
        <w:tc>
          <w:tcPr>
            <w:tcW w:w="1185" w:type="dxa"/>
            <w:vAlign w:val="center"/>
          </w:tcPr>
          <w:p w14:paraId="2136F8A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top"/>
          </w:tcPr>
          <w:p w14:paraId="6FC4625B">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3A708775">
            <w:pPr>
              <w:jc w:val="center"/>
              <w:rPr>
                <w:rFonts w:asciiTheme="minorHAnsi" w:hAnsiTheme="minorHAnsi" w:eastAsiaTheme="minorEastAsia" w:cstheme="minorBidi"/>
                <w:color w:val="auto"/>
                <w:kern w:val="2"/>
                <w:sz w:val="20"/>
                <w:szCs w:val="20"/>
                <w:highlight w:val="none"/>
                <w:lang w:val="en-US" w:eastAsia="zh-CN" w:bidi="ar-SA"/>
              </w:rPr>
            </w:pPr>
          </w:p>
        </w:tc>
      </w:tr>
      <w:tr w14:paraId="5BEB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tcPr>
          <w:p w14:paraId="605FF312">
            <w:pPr>
              <w:jc w:val="center"/>
              <w:rPr>
                <w:rFonts w:hint="eastAsia"/>
                <w:color w:val="auto"/>
                <w:sz w:val="20"/>
                <w:szCs w:val="20"/>
                <w:highlight w:val="none"/>
              </w:rPr>
            </w:pPr>
          </w:p>
        </w:tc>
        <w:tc>
          <w:tcPr>
            <w:tcW w:w="2610" w:type="dxa"/>
            <w:vMerge w:val="continue"/>
          </w:tcPr>
          <w:p w14:paraId="738A05D3">
            <w:pPr>
              <w:rPr>
                <w:rFonts w:hint="eastAsia"/>
                <w:color w:val="auto"/>
                <w:sz w:val="20"/>
                <w:szCs w:val="20"/>
                <w:highlight w:val="none"/>
              </w:rPr>
            </w:pPr>
          </w:p>
        </w:tc>
        <w:tc>
          <w:tcPr>
            <w:tcW w:w="918" w:type="dxa"/>
            <w:vMerge w:val="continue"/>
          </w:tcPr>
          <w:p w14:paraId="153AE27F">
            <w:pPr>
              <w:jc w:val="center"/>
              <w:rPr>
                <w:rFonts w:hint="eastAsia" w:ascii="宋体" w:hAnsi="宋体" w:cs="宋体"/>
                <w:color w:val="auto"/>
                <w:sz w:val="20"/>
                <w:szCs w:val="20"/>
                <w:highlight w:val="none"/>
                <w:lang w:val="en-US" w:eastAsia="zh-CN"/>
              </w:rPr>
            </w:pPr>
          </w:p>
        </w:tc>
        <w:tc>
          <w:tcPr>
            <w:tcW w:w="2280" w:type="dxa"/>
            <w:vAlign w:val="center"/>
          </w:tcPr>
          <w:p w14:paraId="090EA787">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设备</w:t>
            </w:r>
            <w:r>
              <w:rPr>
                <w:rFonts w:hint="eastAsia"/>
                <w:color w:val="auto"/>
                <w:sz w:val="20"/>
                <w:szCs w:val="20"/>
                <w:highlight w:val="none"/>
                <w:lang w:val="en-US" w:eastAsia="zh-CN"/>
              </w:rPr>
              <w:t>运行率不达标</w:t>
            </w:r>
            <w:r>
              <w:rPr>
                <w:rFonts w:hint="eastAsia"/>
                <w:color w:val="auto"/>
                <w:sz w:val="20"/>
                <w:szCs w:val="20"/>
                <w:highlight w:val="none"/>
                <w:lang w:eastAsia="zh-CN"/>
              </w:rPr>
              <w:t>。</w:t>
            </w:r>
          </w:p>
        </w:tc>
        <w:tc>
          <w:tcPr>
            <w:tcW w:w="1185" w:type="dxa"/>
            <w:vAlign w:val="center"/>
          </w:tcPr>
          <w:p w14:paraId="24D47A48">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w:t>
            </w:r>
          </w:p>
        </w:tc>
        <w:tc>
          <w:tcPr>
            <w:tcW w:w="690" w:type="dxa"/>
            <w:vAlign w:val="top"/>
          </w:tcPr>
          <w:p w14:paraId="304706A1">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3CF2A002">
            <w:pPr>
              <w:tabs>
                <w:tab w:val="left" w:pos="2939"/>
              </w:tabs>
              <w:jc w:val="center"/>
              <w:rPr>
                <w:rFonts w:asciiTheme="minorHAnsi" w:hAnsiTheme="minorHAnsi" w:eastAsiaTheme="minorEastAsia" w:cstheme="minorBidi"/>
                <w:color w:val="auto"/>
                <w:kern w:val="2"/>
                <w:sz w:val="20"/>
                <w:szCs w:val="20"/>
                <w:highlight w:val="none"/>
                <w:lang w:val="en-US" w:eastAsia="zh-CN" w:bidi="ar-SA"/>
              </w:rPr>
            </w:pPr>
          </w:p>
        </w:tc>
      </w:tr>
      <w:tr w14:paraId="184BE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10878726">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5</w:t>
            </w:r>
          </w:p>
        </w:tc>
        <w:tc>
          <w:tcPr>
            <w:tcW w:w="2610" w:type="dxa"/>
            <w:vAlign w:val="center"/>
          </w:tcPr>
          <w:p w14:paraId="7E17CDA6">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保证沟、井、池盖板的完好，如遇缺损应及时修复或用明显的警示维护。</w:t>
            </w:r>
          </w:p>
        </w:tc>
        <w:tc>
          <w:tcPr>
            <w:tcW w:w="918" w:type="dxa"/>
            <w:vAlign w:val="center"/>
          </w:tcPr>
          <w:p w14:paraId="431667ED">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p>
        </w:tc>
        <w:tc>
          <w:tcPr>
            <w:tcW w:w="2280" w:type="dxa"/>
            <w:vAlign w:val="center"/>
          </w:tcPr>
          <w:p w14:paraId="24692BFA">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缺损沟、井、池盖不及时修复，或无盖板不做任何标志的，每一项</w:t>
            </w:r>
            <w:r>
              <w:rPr>
                <w:rFonts w:hint="eastAsia"/>
                <w:color w:val="auto"/>
                <w:sz w:val="20"/>
                <w:szCs w:val="20"/>
                <w:highlight w:val="none"/>
                <w:lang w:eastAsia="zh-CN"/>
              </w:rPr>
              <w:t>。</w:t>
            </w:r>
          </w:p>
        </w:tc>
        <w:tc>
          <w:tcPr>
            <w:tcW w:w="1185" w:type="dxa"/>
            <w:vAlign w:val="center"/>
          </w:tcPr>
          <w:p w14:paraId="0AA2917B">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-0.1分/次</w:t>
            </w:r>
          </w:p>
        </w:tc>
        <w:tc>
          <w:tcPr>
            <w:tcW w:w="690" w:type="dxa"/>
            <w:vAlign w:val="top"/>
          </w:tcPr>
          <w:p w14:paraId="19EE7EA5">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0545007E">
            <w:pPr>
              <w:jc w:val="center"/>
              <w:rPr>
                <w:rFonts w:asciiTheme="minorHAnsi" w:hAnsiTheme="minorHAnsi" w:eastAsiaTheme="minorEastAsia" w:cstheme="minorBidi"/>
                <w:color w:val="auto"/>
                <w:kern w:val="2"/>
                <w:sz w:val="20"/>
                <w:szCs w:val="20"/>
                <w:highlight w:val="none"/>
                <w:lang w:val="en-US" w:eastAsia="zh-CN" w:bidi="ar-SA"/>
              </w:rPr>
            </w:pPr>
          </w:p>
        </w:tc>
      </w:tr>
      <w:tr w14:paraId="29EFB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Align w:val="center"/>
          </w:tcPr>
          <w:p w14:paraId="20D6F835">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lang w:val="en-US" w:eastAsia="zh-CN"/>
              </w:rPr>
              <w:t>四</w:t>
            </w:r>
          </w:p>
        </w:tc>
        <w:tc>
          <w:tcPr>
            <w:tcW w:w="2610" w:type="dxa"/>
            <w:vAlign w:val="center"/>
          </w:tcPr>
          <w:p w14:paraId="4B67B696">
            <w:pP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lang w:val="en-US" w:eastAsia="zh-CN"/>
              </w:rPr>
              <w:t>服务响应</w:t>
            </w:r>
          </w:p>
        </w:tc>
        <w:tc>
          <w:tcPr>
            <w:tcW w:w="918" w:type="dxa"/>
            <w:vAlign w:val="center"/>
          </w:tcPr>
          <w:p w14:paraId="67503D81">
            <w:pPr>
              <w:jc w:val="center"/>
              <w:rPr>
                <w:rFonts w:hint="eastAsia" w:ascii="宋体" w:hAnsi="宋体" w:cs="宋体" w:eastAsiaTheme="minorEastAsia"/>
                <w:b/>
                <w:bCs/>
                <w:color w:val="auto"/>
                <w:kern w:val="2"/>
                <w:sz w:val="20"/>
                <w:szCs w:val="20"/>
                <w:highlight w:val="none"/>
                <w:lang w:val="en-US" w:eastAsia="zh-CN" w:bidi="ar-SA"/>
              </w:rPr>
            </w:pPr>
            <w:r>
              <w:rPr>
                <w:rFonts w:hint="eastAsia" w:ascii="宋体" w:hAnsi="宋体" w:cs="宋体"/>
                <w:b/>
                <w:bCs/>
                <w:color w:val="auto"/>
                <w:sz w:val="20"/>
                <w:szCs w:val="20"/>
                <w:highlight w:val="none"/>
                <w:lang w:val="en-US" w:eastAsia="zh-CN"/>
              </w:rPr>
              <w:t>4</w:t>
            </w:r>
          </w:p>
        </w:tc>
        <w:tc>
          <w:tcPr>
            <w:tcW w:w="2280" w:type="dxa"/>
            <w:vAlign w:val="center"/>
          </w:tcPr>
          <w:p w14:paraId="661DF0F1">
            <w:pPr>
              <w:rPr>
                <w:rFonts w:hint="eastAsia" w:asciiTheme="minorHAnsi" w:hAnsiTheme="minorHAnsi" w:eastAsiaTheme="minorEastAsia" w:cstheme="minorBidi"/>
                <w:b/>
                <w:bCs/>
                <w:color w:val="auto"/>
                <w:kern w:val="2"/>
                <w:sz w:val="20"/>
                <w:szCs w:val="20"/>
                <w:highlight w:val="none"/>
                <w:lang w:val="en-US" w:eastAsia="zh-CN" w:bidi="ar-SA"/>
              </w:rPr>
            </w:pPr>
          </w:p>
        </w:tc>
        <w:tc>
          <w:tcPr>
            <w:tcW w:w="1185" w:type="dxa"/>
            <w:vAlign w:val="center"/>
          </w:tcPr>
          <w:p w14:paraId="210759C3">
            <w:pPr>
              <w:jc w:val="center"/>
              <w:rPr>
                <w:rFonts w:hint="eastAsia" w:ascii="宋体" w:hAnsi="宋体" w:cs="宋体" w:eastAsiaTheme="minorEastAsia"/>
                <w:color w:val="auto"/>
                <w:kern w:val="2"/>
                <w:sz w:val="20"/>
                <w:szCs w:val="20"/>
                <w:highlight w:val="none"/>
                <w:lang w:val="en-US" w:eastAsia="zh-CN" w:bidi="ar-SA"/>
              </w:rPr>
            </w:pPr>
          </w:p>
        </w:tc>
        <w:tc>
          <w:tcPr>
            <w:tcW w:w="690" w:type="dxa"/>
            <w:vAlign w:val="top"/>
          </w:tcPr>
          <w:p w14:paraId="771FEE4E">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5A4126CD">
            <w:pPr>
              <w:jc w:val="center"/>
              <w:rPr>
                <w:rFonts w:asciiTheme="minorHAnsi" w:hAnsiTheme="minorHAnsi" w:eastAsiaTheme="minorEastAsia" w:cstheme="minorBidi"/>
                <w:color w:val="auto"/>
                <w:kern w:val="2"/>
                <w:sz w:val="20"/>
                <w:szCs w:val="20"/>
                <w:highlight w:val="none"/>
                <w:lang w:val="en-US" w:eastAsia="zh-CN" w:bidi="ar-SA"/>
              </w:rPr>
            </w:pPr>
          </w:p>
        </w:tc>
      </w:tr>
      <w:tr w14:paraId="7557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restart"/>
            <w:vAlign w:val="center"/>
          </w:tcPr>
          <w:p w14:paraId="461701AD">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1</w:t>
            </w:r>
          </w:p>
        </w:tc>
        <w:tc>
          <w:tcPr>
            <w:tcW w:w="2610" w:type="dxa"/>
            <w:vMerge w:val="restart"/>
            <w:vAlign w:val="center"/>
          </w:tcPr>
          <w:p w14:paraId="7EE1BE56">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eastAsia="zh-CN"/>
              </w:rPr>
              <w:t>服务商</w:t>
            </w:r>
            <w:r>
              <w:rPr>
                <w:rFonts w:hint="eastAsia"/>
                <w:color w:val="auto"/>
                <w:sz w:val="20"/>
                <w:szCs w:val="20"/>
                <w:highlight w:val="none"/>
              </w:rPr>
              <w:t>应对</w:t>
            </w:r>
            <w:r>
              <w:rPr>
                <w:rFonts w:hint="eastAsia"/>
                <w:color w:val="auto"/>
                <w:sz w:val="20"/>
                <w:szCs w:val="20"/>
                <w:highlight w:val="none"/>
                <w:lang w:eastAsia="zh-CN"/>
              </w:rPr>
              <w:t>采购方</w:t>
            </w:r>
            <w:r>
              <w:rPr>
                <w:rFonts w:hint="eastAsia"/>
                <w:color w:val="auto"/>
                <w:sz w:val="20"/>
                <w:szCs w:val="20"/>
                <w:highlight w:val="none"/>
              </w:rPr>
              <w:t>布置的工作要求、任务予以积极响应。做到对</w:t>
            </w:r>
            <w:r>
              <w:rPr>
                <w:rFonts w:hint="eastAsia"/>
                <w:color w:val="auto"/>
                <w:sz w:val="20"/>
                <w:szCs w:val="20"/>
                <w:highlight w:val="none"/>
                <w:lang w:eastAsia="zh-CN"/>
              </w:rPr>
              <w:t>采购方</w:t>
            </w:r>
            <w:r>
              <w:rPr>
                <w:rFonts w:hint="eastAsia"/>
                <w:color w:val="auto"/>
                <w:sz w:val="20"/>
                <w:szCs w:val="20"/>
                <w:highlight w:val="none"/>
              </w:rPr>
              <w:t>布置的工作要求、任务有落实，有反馈。</w:t>
            </w:r>
          </w:p>
        </w:tc>
        <w:tc>
          <w:tcPr>
            <w:tcW w:w="918" w:type="dxa"/>
            <w:vMerge w:val="restart"/>
            <w:vAlign w:val="center"/>
          </w:tcPr>
          <w:p w14:paraId="7B47501C">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4</w:t>
            </w:r>
          </w:p>
        </w:tc>
        <w:tc>
          <w:tcPr>
            <w:tcW w:w="2280" w:type="dxa"/>
            <w:vAlign w:val="center"/>
          </w:tcPr>
          <w:p w14:paraId="0D4B8A6B">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1185" w:type="dxa"/>
            <w:vAlign w:val="center"/>
          </w:tcPr>
          <w:p w14:paraId="5EA58C40">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690" w:type="dxa"/>
            <w:vAlign w:val="top"/>
          </w:tcPr>
          <w:p w14:paraId="371285AF">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206EDE58">
            <w:pPr>
              <w:jc w:val="center"/>
              <w:rPr>
                <w:rFonts w:asciiTheme="minorHAnsi" w:hAnsiTheme="minorHAnsi" w:eastAsiaTheme="minorEastAsia" w:cstheme="minorBidi"/>
                <w:color w:val="auto"/>
                <w:kern w:val="2"/>
                <w:sz w:val="20"/>
                <w:szCs w:val="20"/>
                <w:highlight w:val="none"/>
                <w:lang w:val="en-US" w:eastAsia="zh-CN" w:bidi="ar-SA"/>
              </w:rPr>
            </w:pPr>
          </w:p>
        </w:tc>
      </w:tr>
      <w:tr w14:paraId="6C0F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3" w:hRule="atLeast"/>
          <w:jc w:val="center"/>
        </w:trPr>
        <w:tc>
          <w:tcPr>
            <w:tcW w:w="465" w:type="dxa"/>
            <w:vMerge w:val="continue"/>
          </w:tcPr>
          <w:p w14:paraId="6E648831">
            <w:pPr>
              <w:jc w:val="center"/>
              <w:rPr>
                <w:rFonts w:hint="eastAsia"/>
                <w:color w:val="auto"/>
                <w:sz w:val="20"/>
                <w:szCs w:val="20"/>
                <w:highlight w:val="none"/>
              </w:rPr>
            </w:pPr>
          </w:p>
        </w:tc>
        <w:tc>
          <w:tcPr>
            <w:tcW w:w="2610" w:type="dxa"/>
            <w:vMerge w:val="continue"/>
          </w:tcPr>
          <w:p w14:paraId="54F34B91">
            <w:pPr>
              <w:rPr>
                <w:rFonts w:hint="eastAsia"/>
                <w:color w:val="auto"/>
                <w:sz w:val="20"/>
                <w:szCs w:val="20"/>
                <w:highlight w:val="none"/>
              </w:rPr>
            </w:pPr>
          </w:p>
        </w:tc>
        <w:tc>
          <w:tcPr>
            <w:tcW w:w="918" w:type="dxa"/>
            <w:vMerge w:val="continue"/>
          </w:tcPr>
          <w:p w14:paraId="36BDD085">
            <w:pPr>
              <w:jc w:val="center"/>
              <w:rPr>
                <w:rFonts w:hint="eastAsia" w:ascii="宋体" w:hAnsi="宋体" w:cs="宋体"/>
                <w:color w:val="auto"/>
                <w:sz w:val="20"/>
                <w:szCs w:val="20"/>
                <w:highlight w:val="none"/>
                <w:lang w:val="en-US" w:eastAsia="zh-CN"/>
              </w:rPr>
            </w:pPr>
          </w:p>
        </w:tc>
        <w:tc>
          <w:tcPr>
            <w:tcW w:w="2280" w:type="dxa"/>
            <w:vAlign w:val="center"/>
          </w:tcPr>
          <w:p w14:paraId="5878CBDD">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1185" w:type="dxa"/>
            <w:vAlign w:val="center"/>
          </w:tcPr>
          <w:p w14:paraId="7D48BAEF">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690" w:type="dxa"/>
            <w:vAlign w:val="top"/>
          </w:tcPr>
          <w:p w14:paraId="187DA993">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6A704C8C">
            <w:pPr>
              <w:jc w:val="center"/>
              <w:rPr>
                <w:rFonts w:asciiTheme="minorHAnsi" w:hAnsiTheme="minorHAnsi" w:eastAsiaTheme="minorEastAsia" w:cstheme="minorBidi"/>
                <w:color w:val="auto"/>
                <w:kern w:val="2"/>
                <w:sz w:val="20"/>
                <w:szCs w:val="20"/>
                <w:highlight w:val="none"/>
                <w:lang w:val="en-US" w:eastAsia="zh-CN" w:bidi="ar-SA"/>
              </w:rPr>
            </w:pPr>
          </w:p>
        </w:tc>
      </w:tr>
      <w:tr w14:paraId="137DF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465" w:type="dxa"/>
            <w:vMerge w:val="continue"/>
            <w:vAlign w:val="center"/>
          </w:tcPr>
          <w:p w14:paraId="6C2D628D">
            <w:pPr>
              <w:jc w:val="center"/>
              <w:rPr>
                <w:rFonts w:hint="eastAsia" w:asciiTheme="minorHAnsi" w:hAnsiTheme="minorHAnsi" w:eastAsiaTheme="minorEastAsia" w:cstheme="minorBidi"/>
                <w:color w:val="auto"/>
                <w:kern w:val="2"/>
                <w:sz w:val="20"/>
                <w:szCs w:val="20"/>
                <w:highlight w:val="none"/>
                <w:lang w:val="en-US" w:eastAsia="zh-CN" w:bidi="ar-SA"/>
              </w:rPr>
            </w:pPr>
          </w:p>
        </w:tc>
        <w:tc>
          <w:tcPr>
            <w:tcW w:w="2610" w:type="dxa"/>
            <w:vMerge w:val="continue"/>
            <w:vAlign w:val="center"/>
          </w:tcPr>
          <w:p w14:paraId="2320ED28">
            <w:pPr>
              <w:rPr>
                <w:rFonts w:hint="eastAsia" w:asciiTheme="minorHAnsi" w:hAnsiTheme="minorHAnsi" w:eastAsiaTheme="minorEastAsia" w:cstheme="minorBidi"/>
                <w:color w:val="auto"/>
                <w:kern w:val="2"/>
                <w:sz w:val="20"/>
                <w:szCs w:val="20"/>
                <w:highlight w:val="none"/>
                <w:lang w:val="en-US" w:eastAsia="zh-CN" w:bidi="ar-SA"/>
              </w:rPr>
            </w:pPr>
          </w:p>
        </w:tc>
        <w:tc>
          <w:tcPr>
            <w:tcW w:w="918" w:type="dxa"/>
            <w:vMerge w:val="continue"/>
            <w:vAlign w:val="center"/>
          </w:tcPr>
          <w:p w14:paraId="356B3580">
            <w:pPr>
              <w:jc w:val="center"/>
              <w:rPr>
                <w:rFonts w:hint="eastAsia" w:ascii="宋体" w:hAnsi="宋体" w:cs="宋体" w:eastAsiaTheme="minorEastAsia"/>
                <w:color w:val="auto"/>
                <w:kern w:val="2"/>
                <w:sz w:val="20"/>
                <w:szCs w:val="20"/>
                <w:highlight w:val="none"/>
                <w:lang w:val="en-US" w:eastAsia="zh-CN" w:bidi="ar-SA"/>
              </w:rPr>
            </w:pPr>
          </w:p>
        </w:tc>
        <w:tc>
          <w:tcPr>
            <w:tcW w:w="2280" w:type="dxa"/>
            <w:vAlign w:val="center"/>
          </w:tcPr>
          <w:p w14:paraId="019FDC9A">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1185" w:type="dxa"/>
            <w:vAlign w:val="center"/>
          </w:tcPr>
          <w:p w14:paraId="5D30258A">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-1至-3分/项</w:t>
            </w:r>
          </w:p>
        </w:tc>
        <w:tc>
          <w:tcPr>
            <w:tcW w:w="690" w:type="dxa"/>
            <w:vAlign w:val="top"/>
          </w:tcPr>
          <w:p w14:paraId="74D57038">
            <w:pPr>
              <w:jc w:val="center"/>
              <w:rPr>
                <w:rFonts w:asciiTheme="minorHAnsi" w:hAnsiTheme="minorHAnsi" w:eastAsiaTheme="minorEastAsia" w:cstheme="minorBidi"/>
                <w:color w:val="auto"/>
                <w:kern w:val="2"/>
                <w:sz w:val="20"/>
                <w:szCs w:val="20"/>
                <w:highlight w:val="none"/>
                <w:lang w:val="en-US" w:eastAsia="zh-CN" w:bidi="ar-SA"/>
              </w:rPr>
            </w:pPr>
          </w:p>
        </w:tc>
        <w:tc>
          <w:tcPr>
            <w:tcW w:w="855" w:type="dxa"/>
            <w:vAlign w:val="center"/>
          </w:tcPr>
          <w:p w14:paraId="7AA0B88C">
            <w:pPr>
              <w:jc w:val="center"/>
              <w:rPr>
                <w:rFonts w:asciiTheme="minorHAnsi" w:hAnsiTheme="minorHAnsi" w:eastAsiaTheme="minorEastAsia" w:cstheme="minorBidi"/>
                <w:color w:val="auto"/>
                <w:kern w:val="2"/>
                <w:sz w:val="20"/>
                <w:szCs w:val="20"/>
                <w:highlight w:val="none"/>
                <w:lang w:val="en-US" w:eastAsia="zh-CN" w:bidi="ar-SA"/>
              </w:rPr>
            </w:pPr>
          </w:p>
        </w:tc>
      </w:tr>
      <w:tr w14:paraId="4912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9003" w:type="dxa"/>
            <w:gridSpan w:val="7"/>
            <w:vAlign w:val="center"/>
          </w:tcPr>
          <w:p w14:paraId="7AC50E1A">
            <w:pPr>
              <w:jc w:val="center"/>
              <w:rPr>
                <w:rFonts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val="en-US" w:eastAsia="zh-CN"/>
              </w:rPr>
              <w:t xml:space="preserve">                                                </w:t>
            </w:r>
            <w:r>
              <w:rPr>
                <w:rFonts w:hint="eastAsia"/>
                <w:color w:val="auto"/>
                <w:sz w:val="20"/>
                <w:szCs w:val="20"/>
                <w:highlight w:val="none"/>
                <w:lang w:eastAsia="zh-CN"/>
              </w:rPr>
              <w:t>考核分数：</w:t>
            </w:r>
          </w:p>
        </w:tc>
      </w:tr>
      <w:tr w14:paraId="11E6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9003" w:type="dxa"/>
            <w:gridSpan w:val="7"/>
            <w:vAlign w:val="center"/>
          </w:tcPr>
          <w:p w14:paraId="0831E1E9">
            <w:pPr>
              <w:rPr>
                <w:rFonts w:hint="eastAsia"/>
                <w:b w:val="0"/>
                <w:bCs w:val="0"/>
                <w:color w:val="auto"/>
                <w:sz w:val="20"/>
                <w:szCs w:val="20"/>
                <w:highlight w:val="none"/>
              </w:rPr>
            </w:pPr>
            <w:r>
              <w:rPr>
                <w:rFonts w:hint="eastAsia"/>
                <w:color w:val="auto"/>
                <w:sz w:val="20"/>
                <w:szCs w:val="20"/>
                <w:highlight w:val="none"/>
                <w:lang w:eastAsia="zh-CN"/>
              </w:rPr>
              <w:t>考核意见：</w:t>
            </w:r>
          </w:p>
          <w:p w14:paraId="4F4486A8">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b w:val="0"/>
                <w:bCs w:val="0"/>
                <w:color w:val="auto"/>
                <w:sz w:val="20"/>
                <w:szCs w:val="20"/>
                <w:highlight w:val="none"/>
                <w:lang w:val="en-US" w:eastAsia="zh-CN"/>
              </w:rPr>
              <w:t xml:space="preserve">                                              </w:t>
            </w:r>
            <w:r>
              <w:rPr>
                <w:rFonts w:hint="eastAsia" w:asciiTheme="minorHAnsi" w:hAnsiTheme="minorHAnsi" w:eastAsiaTheme="minorEastAsia" w:cstheme="minorBidi"/>
                <w:color w:val="auto"/>
                <w:kern w:val="2"/>
                <w:sz w:val="20"/>
                <w:szCs w:val="20"/>
                <w:highlight w:val="none"/>
                <w:lang w:val="en-US" w:eastAsia="zh-CN" w:bidi="ar-SA"/>
              </w:rPr>
              <w:t>签名：</w:t>
            </w:r>
          </w:p>
          <w:p w14:paraId="4EBDF38E">
            <w:pPr>
              <w:jc w:val="center"/>
              <w:rPr>
                <w:rFonts w:asciiTheme="minorHAnsi" w:hAnsiTheme="minorHAnsi" w:eastAsiaTheme="minorEastAsia" w:cstheme="minorBidi"/>
                <w:color w:val="auto"/>
                <w:kern w:val="2"/>
                <w:sz w:val="20"/>
                <w:szCs w:val="20"/>
                <w:highlight w:val="none"/>
                <w:lang w:val="en-US" w:eastAsia="zh-CN" w:bidi="ar-SA"/>
              </w:rPr>
            </w:pPr>
            <w:r>
              <w:rPr>
                <w:rFonts w:hint="eastAsia" w:cstheme="minorBidi"/>
                <w:color w:val="auto"/>
                <w:kern w:val="2"/>
                <w:sz w:val="20"/>
                <w:szCs w:val="20"/>
                <w:highlight w:val="none"/>
                <w:lang w:val="en-US" w:eastAsia="zh-CN" w:bidi="ar-SA"/>
              </w:rPr>
              <w:t xml:space="preserve">                                              </w:t>
            </w:r>
            <w:r>
              <w:rPr>
                <w:rFonts w:hint="eastAsia" w:asciiTheme="minorHAnsi" w:hAnsiTheme="minorHAnsi" w:eastAsiaTheme="minorEastAsia" w:cstheme="minorBidi"/>
                <w:color w:val="auto"/>
                <w:kern w:val="2"/>
                <w:sz w:val="20"/>
                <w:szCs w:val="20"/>
                <w:highlight w:val="none"/>
                <w:lang w:val="en-US" w:eastAsia="zh-CN" w:bidi="ar-SA"/>
              </w:rPr>
              <w:t>日期：</w:t>
            </w:r>
          </w:p>
        </w:tc>
      </w:tr>
    </w:tbl>
    <w:p w14:paraId="36F9BAF8">
      <w:pPr>
        <w:keepNext/>
        <w:keepLines w:val="0"/>
        <w:pageBreakBefore w:val="0"/>
        <w:widowControl w:val="0"/>
        <w:kinsoku/>
        <w:wordWrap/>
        <w:overflowPunct/>
        <w:topLinePunct w:val="0"/>
        <w:autoSpaceDE/>
        <w:autoSpaceDN/>
        <w:bidi w:val="0"/>
        <w:adjustRightInd/>
        <w:snapToGrid/>
        <w:spacing w:line="560" w:lineRule="exact"/>
        <w:ind w:firstLine="402" w:firstLineChars="200"/>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4.2绿化维护服务内容及标准（100分）</w:t>
      </w:r>
    </w:p>
    <w:tbl>
      <w:tblPr>
        <w:tblStyle w:val="15"/>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537"/>
        <w:gridCol w:w="900"/>
        <w:gridCol w:w="2741"/>
        <w:gridCol w:w="773"/>
        <w:gridCol w:w="825"/>
        <w:gridCol w:w="775"/>
      </w:tblGrid>
      <w:tr w14:paraId="524F0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9" w:type="dxa"/>
            <w:vAlign w:val="center"/>
          </w:tcPr>
          <w:p w14:paraId="2CEBAA6A">
            <w:pP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2537" w:type="dxa"/>
            <w:vAlign w:val="center"/>
          </w:tcPr>
          <w:p w14:paraId="294AFB0C">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900" w:type="dxa"/>
            <w:vAlign w:val="center"/>
          </w:tcPr>
          <w:p w14:paraId="415C957B">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741" w:type="dxa"/>
            <w:vAlign w:val="center"/>
          </w:tcPr>
          <w:p w14:paraId="6527DDF2">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773" w:type="dxa"/>
            <w:vAlign w:val="center"/>
          </w:tcPr>
          <w:p w14:paraId="0FAB0A63">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26C1F117">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825" w:type="dxa"/>
            <w:vAlign w:val="top"/>
          </w:tcPr>
          <w:p w14:paraId="10016468">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4B37B7FA">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775" w:type="dxa"/>
            <w:vAlign w:val="center"/>
          </w:tcPr>
          <w:p w14:paraId="072345ED">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备注                  </w:t>
            </w:r>
          </w:p>
        </w:tc>
      </w:tr>
      <w:tr w14:paraId="42FAC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49" w:type="dxa"/>
            <w:vAlign w:val="center"/>
          </w:tcPr>
          <w:p w14:paraId="14E15CF6">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一</w:t>
            </w:r>
          </w:p>
        </w:tc>
        <w:tc>
          <w:tcPr>
            <w:tcW w:w="2537" w:type="dxa"/>
            <w:vAlign w:val="center"/>
          </w:tcPr>
          <w:p w14:paraId="2323521D">
            <w:pP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修剪标准</w:t>
            </w:r>
          </w:p>
        </w:tc>
        <w:tc>
          <w:tcPr>
            <w:tcW w:w="900" w:type="dxa"/>
            <w:vAlign w:val="center"/>
          </w:tcPr>
          <w:p w14:paraId="3B524CAF">
            <w:pPr>
              <w:jc w:val="center"/>
              <w:rPr>
                <w:rFonts w:hint="eastAsia" w:ascii="宋体" w:hAnsi="宋体" w:eastAsia="宋体" w:cs="宋体"/>
                <w:b/>
                <w:color w:val="auto"/>
                <w:sz w:val="20"/>
                <w:szCs w:val="20"/>
                <w:highlight w:val="none"/>
                <w:lang w:val="en-US" w:eastAsia="zh-CN"/>
              </w:rPr>
            </w:pPr>
            <w:r>
              <w:rPr>
                <w:rFonts w:hint="eastAsia" w:ascii="宋体" w:hAnsi="宋体" w:eastAsia="宋体" w:cs="宋体"/>
                <w:b/>
                <w:color w:val="auto"/>
                <w:sz w:val="20"/>
                <w:szCs w:val="20"/>
                <w:highlight w:val="none"/>
                <w:lang w:val="en-US" w:eastAsia="zh-CN"/>
              </w:rPr>
              <w:t>20</w:t>
            </w:r>
          </w:p>
        </w:tc>
        <w:tc>
          <w:tcPr>
            <w:tcW w:w="2741" w:type="dxa"/>
            <w:vAlign w:val="center"/>
          </w:tcPr>
          <w:p w14:paraId="3DDBFF23">
            <w:pPr>
              <w:rPr>
                <w:rFonts w:hint="eastAsia" w:ascii="宋体" w:hAnsi="宋体" w:eastAsia="宋体" w:cs="宋体"/>
                <w:b/>
                <w:color w:val="auto"/>
                <w:sz w:val="20"/>
                <w:szCs w:val="20"/>
                <w:highlight w:val="none"/>
              </w:rPr>
            </w:pPr>
          </w:p>
        </w:tc>
        <w:tc>
          <w:tcPr>
            <w:tcW w:w="773" w:type="dxa"/>
            <w:vAlign w:val="center"/>
          </w:tcPr>
          <w:p w14:paraId="66DE31FD">
            <w:pPr>
              <w:jc w:val="left"/>
              <w:rPr>
                <w:rFonts w:hint="eastAsia" w:ascii="宋体" w:hAnsi="宋体" w:eastAsia="宋体" w:cs="宋体"/>
                <w:b/>
                <w:color w:val="auto"/>
                <w:sz w:val="20"/>
                <w:szCs w:val="20"/>
                <w:highlight w:val="none"/>
              </w:rPr>
            </w:pPr>
          </w:p>
        </w:tc>
        <w:tc>
          <w:tcPr>
            <w:tcW w:w="825" w:type="dxa"/>
            <w:vAlign w:val="top"/>
          </w:tcPr>
          <w:p w14:paraId="4DA75318">
            <w:pPr>
              <w:rPr>
                <w:rFonts w:hint="eastAsia" w:ascii="宋体" w:hAnsi="宋体" w:eastAsia="宋体" w:cs="宋体"/>
                <w:b/>
                <w:color w:val="auto"/>
                <w:sz w:val="20"/>
                <w:szCs w:val="20"/>
                <w:highlight w:val="none"/>
              </w:rPr>
            </w:pPr>
          </w:p>
        </w:tc>
        <w:tc>
          <w:tcPr>
            <w:tcW w:w="775" w:type="dxa"/>
            <w:vAlign w:val="center"/>
          </w:tcPr>
          <w:p w14:paraId="6E21B99D">
            <w:pPr>
              <w:rPr>
                <w:rFonts w:hint="eastAsia" w:ascii="宋体" w:hAnsi="宋体" w:eastAsia="宋体" w:cs="宋体"/>
                <w:b/>
                <w:color w:val="auto"/>
                <w:sz w:val="20"/>
                <w:szCs w:val="20"/>
                <w:highlight w:val="none"/>
              </w:rPr>
            </w:pPr>
          </w:p>
        </w:tc>
      </w:tr>
      <w:tr w14:paraId="7EFB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Align w:val="center"/>
          </w:tcPr>
          <w:p w14:paraId="5BD7799B">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2537" w:type="dxa"/>
            <w:vAlign w:val="center"/>
          </w:tcPr>
          <w:p w14:paraId="10F38454">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乔木无</w:t>
            </w:r>
            <w:r>
              <w:rPr>
                <w:rFonts w:hint="eastAsia" w:ascii="宋体" w:hAnsi="宋体" w:eastAsia="宋体" w:cs="宋体"/>
                <w:color w:val="auto"/>
                <w:sz w:val="20"/>
                <w:szCs w:val="20"/>
                <w:highlight w:val="none"/>
                <w:lang w:val="en-US" w:eastAsia="zh-CN"/>
              </w:rPr>
              <w:t>无断枝和枯枝</w:t>
            </w:r>
            <w:r>
              <w:rPr>
                <w:rFonts w:hint="eastAsia" w:ascii="宋体" w:hAnsi="宋体" w:eastAsia="宋体" w:cs="宋体"/>
                <w:color w:val="auto"/>
                <w:sz w:val="20"/>
                <w:szCs w:val="20"/>
                <w:highlight w:val="none"/>
              </w:rPr>
              <w:t>，树不阻车辆行人通过</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主侧枝分布均匀</w:t>
            </w:r>
            <w:r>
              <w:rPr>
                <w:rFonts w:hint="eastAsia" w:ascii="宋体" w:hAnsi="宋体" w:eastAsia="宋体" w:cs="宋体"/>
                <w:color w:val="auto"/>
                <w:sz w:val="20"/>
                <w:szCs w:val="20"/>
                <w:highlight w:val="none"/>
              </w:rPr>
              <w:t>。</w:t>
            </w:r>
          </w:p>
        </w:tc>
        <w:tc>
          <w:tcPr>
            <w:tcW w:w="900" w:type="dxa"/>
            <w:vAlign w:val="center"/>
          </w:tcPr>
          <w:p w14:paraId="328AEB38">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2A71C214">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抽查乔木有</w:t>
            </w:r>
            <w:r>
              <w:rPr>
                <w:rFonts w:hint="eastAsia" w:ascii="宋体" w:hAnsi="宋体" w:eastAsia="宋体" w:cs="宋体"/>
                <w:color w:val="auto"/>
                <w:sz w:val="20"/>
                <w:szCs w:val="20"/>
                <w:highlight w:val="none"/>
                <w:lang w:val="en-US" w:eastAsia="zh-CN"/>
              </w:rPr>
              <w:t>断枝和枯枝</w:t>
            </w:r>
            <w:r>
              <w:rPr>
                <w:rFonts w:hint="eastAsia" w:ascii="宋体" w:hAnsi="宋体" w:eastAsia="宋体" w:cs="宋体"/>
                <w:color w:val="auto"/>
                <w:sz w:val="20"/>
                <w:szCs w:val="20"/>
                <w:highlight w:val="none"/>
              </w:rPr>
              <w:t>严重影响环境及车辆行人通过，每一项</w:t>
            </w:r>
            <w:r>
              <w:rPr>
                <w:rFonts w:hint="eastAsia" w:ascii="宋体" w:hAnsi="宋体" w:eastAsia="宋体" w:cs="宋体"/>
                <w:color w:val="auto"/>
                <w:sz w:val="20"/>
                <w:szCs w:val="20"/>
                <w:highlight w:val="none"/>
                <w:lang w:eastAsia="zh-CN"/>
              </w:rPr>
              <w:t>。</w:t>
            </w:r>
          </w:p>
        </w:tc>
        <w:tc>
          <w:tcPr>
            <w:tcW w:w="773" w:type="dxa"/>
            <w:vAlign w:val="center"/>
          </w:tcPr>
          <w:p w14:paraId="4C77BC44">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center"/>
          </w:tcPr>
          <w:p w14:paraId="78938234">
            <w:pPr>
              <w:jc w:val="left"/>
              <w:rPr>
                <w:rFonts w:hint="eastAsia" w:ascii="宋体" w:hAnsi="宋体" w:eastAsia="宋体" w:cs="宋体"/>
                <w:color w:val="auto"/>
                <w:sz w:val="20"/>
                <w:szCs w:val="20"/>
                <w:highlight w:val="none"/>
              </w:rPr>
            </w:pPr>
          </w:p>
        </w:tc>
        <w:tc>
          <w:tcPr>
            <w:tcW w:w="775" w:type="dxa"/>
            <w:vAlign w:val="center"/>
          </w:tcPr>
          <w:p w14:paraId="663AD8FE">
            <w:pPr>
              <w:rPr>
                <w:rFonts w:hint="eastAsia" w:ascii="宋体" w:hAnsi="宋体" w:eastAsia="宋体" w:cs="宋体"/>
                <w:color w:val="auto"/>
                <w:sz w:val="20"/>
                <w:szCs w:val="20"/>
                <w:highlight w:val="none"/>
              </w:rPr>
            </w:pPr>
          </w:p>
        </w:tc>
      </w:tr>
      <w:tr w14:paraId="0B252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9" w:type="dxa"/>
            <w:vAlign w:val="center"/>
          </w:tcPr>
          <w:p w14:paraId="3955AABB">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2537" w:type="dxa"/>
            <w:vAlign w:val="center"/>
          </w:tcPr>
          <w:p w14:paraId="273B27F7">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花乔灌木成型、整齐、无陡长枝、砧木无萌发枝。</w:t>
            </w:r>
          </w:p>
        </w:tc>
        <w:tc>
          <w:tcPr>
            <w:tcW w:w="900" w:type="dxa"/>
            <w:vAlign w:val="center"/>
          </w:tcPr>
          <w:p w14:paraId="062CB787">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1E16B6FD">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抽查3处有不符合要求</w:t>
            </w:r>
            <w:r>
              <w:rPr>
                <w:rFonts w:hint="eastAsia" w:ascii="宋体" w:hAnsi="宋体" w:eastAsia="宋体" w:cs="宋体"/>
                <w:color w:val="auto"/>
                <w:sz w:val="20"/>
                <w:szCs w:val="20"/>
                <w:highlight w:val="none"/>
                <w:lang w:eastAsia="zh-CN"/>
              </w:rPr>
              <w:t>。</w:t>
            </w:r>
          </w:p>
        </w:tc>
        <w:tc>
          <w:tcPr>
            <w:tcW w:w="773" w:type="dxa"/>
            <w:vAlign w:val="center"/>
          </w:tcPr>
          <w:p w14:paraId="3AEFE1E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center"/>
          </w:tcPr>
          <w:p w14:paraId="2A124CCA">
            <w:pPr>
              <w:jc w:val="left"/>
              <w:rPr>
                <w:rFonts w:hint="eastAsia" w:ascii="宋体" w:hAnsi="宋体" w:eastAsia="宋体" w:cs="宋体"/>
                <w:color w:val="auto"/>
                <w:sz w:val="20"/>
                <w:szCs w:val="20"/>
                <w:highlight w:val="none"/>
              </w:rPr>
            </w:pPr>
          </w:p>
        </w:tc>
        <w:tc>
          <w:tcPr>
            <w:tcW w:w="775" w:type="dxa"/>
            <w:vAlign w:val="center"/>
          </w:tcPr>
          <w:p w14:paraId="1742BDAD">
            <w:pPr>
              <w:rPr>
                <w:rFonts w:hint="eastAsia" w:ascii="宋体" w:hAnsi="宋体" w:eastAsia="宋体" w:cs="宋体"/>
                <w:color w:val="auto"/>
                <w:sz w:val="20"/>
                <w:szCs w:val="20"/>
                <w:highlight w:val="none"/>
              </w:rPr>
            </w:pPr>
          </w:p>
        </w:tc>
      </w:tr>
      <w:tr w14:paraId="7FE3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49" w:type="dxa"/>
            <w:vAlign w:val="center"/>
          </w:tcPr>
          <w:p w14:paraId="05EE371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2537" w:type="dxa"/>
            <w:vAlign w:val="center"/>
          </w:tcPr>
          <w:p w14:paraId="5A961977">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灌木绿篱成型、美观、新长枝</w:t>
            </w:r>
            <w:r>
              <w:rPr>
                <w:rFonts w:hint="eastAsia" w:ascii="宋体" w:hAnsi="宋体" w:eastAsia="宋体" w:cs="宋体"/>
                <w:color w:val="auto"/>
                <w:sz w:val="20"/>
                <w:szCs w:val="20"/>
                <w:highlight w:val="none"/>
                <w:lang w:val="en-US" w:eastAsia="zh-CN"/>
              </w:rPr>
              <w:t>达标</w:t>
            </w:r>
            <w:r>
              <w:rPr>
                <w:rFonts w:hint="eastAsia" w:ascii="宋体" w:hAnsi="宋体" w:eastAsia="宋体" w:cs="宋体"/>
                <w:color w:val="auto"/>
                <w:sz w:val="20"/>
                <w:szCs w:val="20"/>
                <w:highlight w:val="none"/>
              </w:rPr>
              <w:t>。</w:t>
            </w:r>
          </w:p>
        </w:tc>
        <w:tc>
          <w:tcPr>
            <w:tcW w:w="900" w:type="dxa"/>
            <w:vAlign w:val="center"/>
          </w:tcPr>
          <w:p w14:paraId="79D3B74F">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1B299C6E">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抽查3处不符合要求</w:t>
            </w:r>
            <w:r>
              <w:rPr>
                <w:rFonts w:hint="eastAsia" w:ascii="宋体" w:hAnsi="宋体" w:eastAsia="宋体" w:cs="宋体"/>
                <w:color w:val="auto"/>
                <w:sz w:val="20"/>
                <w:szCs w:val="20"/>
                <w:highlight w:val="none"/>
                <w:lang w:eastAsia="zh-CN"/>
              </w:rPr>
              <w:t>。</w:t>
            </w:r>
          </w:p>
        </w:tc>
        <w:tc>
          <w:tcPr>
            <w:tcW w:w="773" w:type="dxa"/>
            <w:vAlign w:val="center"/>
          </w:tcPr>
          <w:p w14:paraId="61163F3F">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center"/>
          </w:tcPr>
          <w:p w14:paraId="3E502476">
            <w:pPr>
              <w:jc w:val="left"/>
              <w:rPr>
                <w:rFonts w:hint="eastAsia" w:ascii="宋体" w:hAnsi="宋体" w:eastAsia="宋体" w:cs="宋体"/>
                <w:color w:val="auto"/>
                <w:sz w:val="20"/>
                <w:szCs w:val="20"/>
                <w:highlight w:val="none"/>
              </w:rPr>
            </w:pPr>
          </w:p>
        </w:tc>
        <w:tc>
          <w:tcPr>
            <w:tcW w:w="775" w:type="dxa"/>
            <w:vAlign w:val="center"/>
          </w:tcPr>
          <w:p w14:paraId="3101905E">
            <w:pPr>
              <w:jc w:val="center"/>
              <w:rPr>
                <w:rFonts w:hint="eastAsia" w:ascii="宋体" w:hAnsi="宋体" w:eastAsia="宋体" w:cs="宋体"/>
                <w:color w:val="auto"/>
                <w:sz w:val="20"/>
                <w:szCs w:val="20"/>
                <w:highlight w:val="none"/>
              </w:rPr>
            </w:pPr>
          </w:p>
        </w:tc>
      </w:tr>
      <w:tr w14:paraId="111F8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Align w:val="center"/>
          </w:tcPr>
          <w:p w14:paraId="58E28E09">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2537" w:type="dxa"/>
            <w:vAlign w:val="center"/>
          </w:tcPr>
          <w:p w14:paraId="67C55212">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yellow"/>
              </w:rPr>
              <w:t>草坪路边、水沟、树周边，目视平整，整体</w:t>
            </w:r>
            <w:r>
              <w:rPr>
                <w:rFonts w:hint="eastAsia" w:ascii="宋体" w:hAnsi="宋体" w:cs="宋体"/>
                <w:color w:val="auto"/>
                <w:sz w:val="20"/>
                <w:szCs w:val="20"/>
                <w:highlight w:val="yellow"/>
                <w:lang w:val="en-US" w:eastAsia="zh-CN"/>
              </w:rPr>
              <w:t>美观平整</w:t>
            </w:r>
            <w:r>
              <w:rPr>
                <w:rFonts w:hint="eastAsia" w:ascii="宋体" w:hAnsi="宋体" w:eastAsia="宋体" w:cs="宋体"/>
                <w:color w:val="auto"/>
                <w:sz w:val="20"/>
                <w:szCs w:val="20"/>
                <w:highlight w:val="yellow"/>
              </w:rPr>
              <w:t>。</w:t>
            </w:r>
          </w:p>
        </w:tc>
        <w:tc>
          <w:tcPr>
            <w:tcW w:w="900" w:type="dxa"/>
            <w:vAlign w:val="center"/>
          </w:tcPr>
          <w:p w14:paraId="730CD077">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2EB580F6">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抽查3处不符合要求</w:t>
            </w:r>
            <w:r>
              <w:rPr>
                <w:rFonts w:hint="eastAsia" w:ascii="宋体" w:hAnsi="宋体" w:eastAsia="宋体" w:cs="宋体"/>
                <w:color w:val="auto"/>
                <w:sz w:val="20"/>
                <w:szCs w:val="20"/>
                <w:highlight w:val="none"/>
                <w:lang w:eastAsia="zh-CN"/>
              </w:rPr>
              <w:t>。</w:t>
            </w:r>
          </w:p>
        </w:tc>
        <w:tc>
          <w:tcPr>
            <w:tcW w:w="773" w:type="dxa"/>
            <w:vAlign w:val="center"/>
          </w:tcPr>
          <w:p w14:paraId="6C2DA55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center"/>
          </w:tcPr>
          <w:p w14:paraId="4B8A6571">
            <w:pPr>
              <w:jc w:val="left"/>
              <w:rPr>
                <w:rFonts w:hint="eastAsia" w:ascii="宋体" w:hAnsi="宋体" w:eastAsia="宋体" w:cs="宋体"/>
                <w:color w:val="auto"/>
                <w:sz w:val="20"/>
                <w:szCs w:val="20"/>
                <w:highlight w:val="none"/>
              </w:rPr>
            </w:pPr>
          </w:p>
        </w:tc>
        <w:tc>
          <w:tcPr>
            <w:tcW w:w="775" w:type="dxa"/>
            <w:vAlign w:val="center"/>
          </w:tcPr>
          <w:p w14:paraId="31A90C54">
            <w:pPr>
              <w:jc w:val="center"/>
              <w:rPr>
                <w:rFonts w:hint="eastAsia" w:ascii="宋体" w:hAnsi="宋体" w:eastAsia="宋体" w:cs="宋体"/>
                <w:color w:val="auto"/>
                <w:sz w:val="20"/>
                <w:szCs w:val="20"/>
                <w:highlight w:val="none"/>
              </w:rPr>
            </w:pPr>
          </w:p>
        </w:tc>
      </w:tr>
      <w:tr w14:paraId="4C038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49" w:type="dxa"/>
            <w:vAlign w:val="center"/>
          </w:tcPr>
          <w:p w14:paraId="200E9896">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二</w:t>
            </w:r>
          </w:p>
        </w:tc>
        <w:tc>
          <w:tcPr>
            <w:tcW w:w="2537" w:type="dxa"/>
            <w:vAlign w:val="center"/>
          </w:tcPr>
          <w:p w14:paraId="40BD0F32">
            <w:pP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施肥标准</w:t>
            </w:r>
          </w:p>
        </w:tc>
        <w:tc>
          <w:tcPr>
            <w:tcW w:w="900" w:type="dxa"/>
            <w:vAlign w:val="center"/>
          </w:tcPr>
          <w:p w14:paraId="6BCF5FD7">
            <w:pPr>
              <w:jc w:val="center"/>
              <w:rPr>
                <w:rFonts w:hint="eastAsia" w:ascii="宋体" w:hAnsi="宋体" w:eastAsia="宋体" w:cs="宋体"/>
                <w:b/>
                <w:color w:val="auto"/>
                <w:sz w:val="20"/>
                <w:szCs w:val="20"/>
                <w:highlight w:val="none"/>
                <w:lang w:val="en-US" w:eastAsia="zh-CN"/>
              </w:rPr>
            </w:pPr>
            <w:r>
              <w:rPr>
                <w:rFonts w:hint="eastAsia" w:ascii="宋体" w:hAnsi="宋体" w:eastAsia="宋体" w:cs="宋体"/>
                <w:b/>
                <w:color w:val="auto"/>
                <w:sz w:val="20"/>
                <w:szCs w:val="20"/>
                <w:highlight w:val="none"/>
                <w:lang w:val="en-US" w:eastAsia="zh-CN"/>
              </w:rPr>
              <w:t>15</w:t>
            </w:r>
          </w:p>
        </w:tc>
        <w:tc>
          <w:tcPr>
            <w:tcW w:w="2741" w:type="dxa"/>
            <w:vAlign w:val="center"/>
          </w:tcPr>
          <w:p w14:paraId="4741AA11">
            <w:pPr>
              <w:rPr>
                <w:rFonts w:hint="eastAsia" w:ascii="宋体" w:hAnsi="宋体" w:eastAsia="宋体" w:cs="宋体"/>
                <w:b/>
                <w:color w:val="auto"/>
                <w:sz w:val="20"/>
                <w:szCs w:val="20"/>
                <w:highlight w:val="none"/>
              </w:rPr>
            </w:pPr>
          </w:p>
        </w:tc>
        <w:tc>
          <w:tcPr>
            <w:tcW w:w="773" w:type="dxa"/>
            <w:vAlign w:val="center"/>
          </w:tcPr>
          <w:p w14:paraId="2587E48C">
            <w:pPr>
              <w:jc w:val="center"/>
              <w:rPr>
                <w:rFonts w:hint="eastAsia" w:ascii="宋体" w:hAnsi="宋体" w:eastAsia="宋体" w:cs="宋体"/>
                <w:color w:val="auto"/>
                <w:sz w:val="20"/>
                <w:szCs w:val="20"/>
                <w:highlight w:val="none"/>
              </w:rPr>
            </w:pPr>
          </w:p>
        </w:tc>
        <w:tc>
          <w:tcPr>
            <w:tcW w:w="825" w:type="dxa"/>
            <w:vAlign w:val="center"/>
          </w:tcPr>
          <w:p w14:paraId="013DBA48">
            <w:pPr>
              <w:jc w:val="left"/>
              <w:rPr>
                <w:rFonts w:hint="eastAsia" w:ascii="宋体" w:hAnsi="宋体" w:eastAsia="宋体" w:cs="宋体"/>
                <w:b/>
                <w:color w:val="auto"/>
                <w:sz w:val="20"/>
                <w:szCs w:val="20"/>
                <w:highlight w:val="none"/>
              </w:rPr>
            </w:pPr>
          </w:p>
        </w:tc>
        <w:tc>
          <w:tcPr>
            <w:tcW w:w="775" w:type="dxa"/>
            <w:vAlign w:val="center"/>
          </w:tcPr>
          <w:p w14:paraId="1F1504E2">
            <w:pPr>
              <w:jc w:val="center"/>
              <w:rPr>
                <w:rFonts w:hint="eastAsia" w:ascii="宋体" w:hAnsi="宋体" w:eastAsia="宋体" w:cs="宋体"/>
                <w:b/>
                <w:color w:val="auto"/>
                <w:sz w:val="20"/>
                <w:szCs w:val="20"/>
                <w:highlight w:val="none"/>
              </w:rPr>
            </w:pPr>
          </w:p>
        </w:tc>
      </w:tr>
      <w:tr w14:paraId="12B14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Align w:val="center"/>
          </w:tcPr>
          <w:p w14:paraId="40E97C8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2537" w:type="dxa"/>
            <w:vAlign w:val="center"/>
          </w:tcPr>
          <w:p w14:paraId="012869F1">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乔木、灌木采用穴施或沟施，施肥后浇水及时，肥料不外露。</w:t>
            </w:r>
          </w:p>
        </w:tc>
        <w:tc>
          <w:tcPr>
            <w:tcW w:w="900" w:type="dxa"/>
            <w:vAlign w:val="center"/>
          </w:tcPr>
          <w:p w14:paraId="22E3A5FA">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64356937">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抽查3处不符合要求</w:t>
            </w:r>
            <w:r>
              <w:rPr>
                <w:rFonts w:hint="eastAsia" w:ascii="宋体" w:hAnsi="宋体" w:eastAsia="宋体" w:cs="宋体"/>
                <w:color w:val="auto"/>
                <w:sz w:val="20"/>
                <w:szCs w:val="20"/>
                <w:highlight w:val="none"/>
                <w:lang w:eastAsia="zh-CN"/>
              </w:rPr>
              <w:t>。</w:t>
            </w:r>
          </w:p>
        </w:tc>
        <w:tc>
          <w:tcPr>
            <w:tcW w:w="773" w:type="dxa"/>
            <w:vAlign w:val="center"/>
          </w:tcPr>
          <w:p w14:paraId="60E30A13">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center"/>
          </w:tcPr>
          <w:p w14:paraId="0F48959D">
            <w:pPr>
              <w:jc w:val="left"/>
              <w:rPr>
                <w:rFonts w:hint="eastAsia" w:ascii="宋体" w:hAnsi="宋体" w:eastAsia="宋体" w:cs="宋体"/>
                <w:color w:val="auto"/>
                <w:sz w:val="20"/>
                <w:szCs w:val="20"/>
                <w:highlight w:val="none"/>
              </w:rPr>
            </w:pPr>
          </w:p>
        </w:tc>
        <w:tc>
          <w:tcPr>
            <w:tcW w:w="775" w:type="dxa"/>
            <w:vAlign w:val="center"/>
          </w:tcPr>
          <w:p w14:paraId="0928FED7">
            <w:pPr>
              <w:jc w:val="center"/>
              <w:rPr>
                <w:rFonts w:hint="eastAsia" w:ascii="宋体" w:hAnsi="宋体" w:eastAsia="宋体" w:cs="宋体"/>
                <w:color w:val="auto"/>
                <w:sz w:val="20"/>
                <w:szCs w:val="20"/>
                <w:highlight w:val="none"/>
              </w:rPr>
            </w:pPr>
          </w:p>
        </w:tc>
      </w:tr>
      <w:tr w14:paraId="3E51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49" w:type="dxa"/>
            <w:vAlign w:val="center"/>
          </w:tcPr>
          <w:p w14:paraId="08367CA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2537" w:type="dxa"/>
            <w:vAlign w:val="center"/>
          </w:tcPr>
          <w:p w14:paraId="19430BC8">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草坪撒施或喷施，不伤叶，早上有露水时不施肥，施后及时浇水、补浇。</w:t>
            </w:r>
          </w:p>
        </w:tc>
        <w:tc>
          <w:tcPr>
            <w:tcW w:w="900" w:type="dxa"/>
            <w:vAlign w:val="center"/>
          </w:tcPr>
          <w:p w14:paraId="689F7EFF">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411E2A02">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抽查3处不符合要求</w:t>
            </w:r>
            <w:r>
              <w:rPr>
                <w:rFonts w:hint="eastAsia" w:ascii="宋体" w:hAnsi="宋体" w:eastAsia="宋体" w:cs="宋体"/>
                <w:color w:val="auto"/>
                <w:sz w:val="20"/>
                <w:szCs w:val="20"/>
                <w:highlight w:val="none"/>
                <w:lang w:eastAsia="zh-CN"/>
              </w:rPr>
              <w:t>。</w:t>
            </w:r>
          </w:p>
        </w:tc>
        <w:tc>
          <w:tcPr>
            <w:tcW w:w="773" w:type="dxa"/>
            <w:vAlign w:val="center"/>
          </w:tcPr>
          <w:p w14:paraId="35547363">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center"/>
          </w:tcPr>
          <w:p w14:paraId="481C247B">
            <w:pPr>
              <w:jc w:val="left"/>
              <w:rPr>
                <w:rFonts w:hint="eastAsia" w:ascii="宋体" w:hAnsi="宋体" w:eastAsia="宋体" w:cs="宋体"/>
                <w:color w:val="auto"/>
                <w:sz w:val="20"/>
                <w:szCs w:val="20"/>
                <w:highlight w:val="none"/>
              </w:rPr>
            </w:pPr>
          </w:p>
        </w:tc>
        <w:tc>
          <w:tcPr>
            <w:tcW w:w="775" w:type="dxa"/>
            <w:vAlign w:val="center"/>
          </w:tcPr>
          <w:p w14:paraId="68575F8B">
            <w:pPr>
              <w:jc w:val="center"/>
              <w:rPr>
                <w:rFonts w:hint="eastAsia" w:ascii="宋体" w:hAnsi="宋体" w:eastAsia="宋体" w:cs="宋体"/>
                <w:color w:val="auto"/>
                <w:sz w:val="20"/>
                <w:szCs w:val="20"/>
                <w:highlight w:val="none"/>
              </w:rPr>
            </w:pPr>
          </w:p>
        </w:tc>
      </w:tr>
      <w:tr w14:paraId="1B85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49" w:type="dxa"/>
            <w:vAlign w:val="center"/>
          </w:tcPr>
          <w:p w14:paraId="2F151F1B">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2537" w:type="dxa"/>
            <w:vAlign w:val="center"/>
          </w:tcPr>
          <w:p w14:paraId="7BE641BF">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花卉保证基肥足，追肥量少多次，不伤花卉。</w:t>
            </w:r>
          </w:p>
        </w:tc>
        <w:tc>
          <w:tcPr>
            <w:tcW w:w="900" w:type="dxa"/>
            <w:vAlign w:val="center"/>
          </w:tcPr>
          <w:p w14:paraId="4C3E9A8F">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73346B4C">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抽查3处不符合要求</w:t>
            </w:r>
            <w:r>
              <w:rPr>
                <w:rFonts w:hint="eastAsia" w:ascii="宋体" w:hAnsi="宋体" w:eastAsia="宋体" w:cs="宋体"/>
                <w:color w:val="auto"/>
                <w:sz w:val="20"/>
                <w:szCs w:val="20"/>
                <w:highlight w:val="none"/>
                <w:lang w:eastAsia="zh-CN"/>
              </w:rPr>
              <w:t>。</w:t>
            </w:r>
          </w:p>
        </w:tc>
        <w:tc>
          <w:tcPr>
            <w:tcW w:w="773" w:type="dxa"/>
            <w:vAlign w:val="center"/>
          </w:tcPr>
          <w:p w14:paraId="3CFD606A">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center"/>
          </w:tcPr>
          <w:p w14:paraId="6ADAADCC">
            <w:pPr>
              <w:jc w:val="left"/>
              <w:rPr>
                <w:rFonts w:hint="eastAsia" w:ascii="宋体" w:hAnsi="宋体" w:eastAsia="宋体" w:cs="宋体"/>
                <w:color w:val="auto"/>
                <w:sz w:val="20"/>
                <w:szCs w:val="20"/>
                <w:highlight w:val="none"/>
              </w:rPr>
            </w:pPr>
          </w:p>
        </w:tc>
        <w:tc>
          <w:tcPr>
            <w:tcW w:w="775" w:type="dxa"/>
            <w:vAlign w:val="center"/>
          </w:tcPr>
          <w:p w14:paraId="4889102F">
            <w:pPr>
              <w:jc w:val="center"/>
              <w:rPr>
                <w:rFonts w:hint="eastAsia" w:ascii="宋体" w:hAnsi="宋体" w:eastAsia="宋体" w:cs="宋体"/>
                <w:color w:val="auto"/>
                <w:sz w:val="20"/>
                <w:szCs w:val="20"/>
                <w:highlight w:val="none"/>
              </w:rPr>
            </w:pPr>
          </w:p>
        </w:tc>
      </w:tr>
      <w:tr w14:paraId="00C70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49" w:type="dxa"/>
            <w:vAlign w:val="center"/>
          </w:tcPr>
          <w:p w14:paraId="795D1217">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三</w:t>
            </w:r>
          </w:p>
        </w:tc>
        <w:tc>
          <w:tcPr>
            <w:tcW w:w="2537" w:type="dxa"/>
            <w:vAlign w:val="center"/>
          </w:tcPr>
          <w:p w14:paraId="2240A4E0">
            <w:pP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防治病虫标准及抗旱标准</w:t>
            </w:r>
          </w:p>
        </w:tc>
        <w:tc>
          <w:tcPr>
            <w:tcW w:w="900" w:type="dxa"/>
            <w:vAlign w:val="center"/>
          </w:tcPr>
          <w:p w14:paraId="28459A2F">
            <w:pPr>
              <w:jc w:val="center"/>
              <w:rPr>
                <w:rFonts w:hint="default" w:ascii="宋体" w:hAnsi="宋体" w:eastAsia="宋体" w:cs="宋体"/>
                <w:b/>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30</w:t>
            </w:r>
          </w:p>
        </w:tc>
        <w:tc>
          <w:tcPr>
            <w:tcW w:w="2741" w:type="dxa"/>
            <w:vAlign w:val="center"/>
          </w:tcPr>
          <w:p w14:paraId="26CB7515">
            <w:pPr>
              <w:rPr>
                <w:rFonts w:hint="eastAsia" w:ascii="宋体" w:hAnsi="宋体" w:eastAsia="宋体" w:cs="宋体"/>
                <w:b/>
                <w:color w:val="auto"/>
                <w:sz w:val="20"/>
                <w:szCs w:val="20"/>
                <w:highlight w:val="none"/>
              </w:rPr>
            </w:pPr>
          </w:p>
        </w:tc>
        <w:tc>
          <w:tcPr>
            <w:tcW w:w="773" w:type="dxa"/>
            <w:vAlign w:val="center"/>
          </w:tcPr>
          <w:p w14:paraId="2944BC37">
            <w:pPr>
              <w:jc w:val="center"/>
              <w:rPr>
                <w:rFonts w:hint="eastAsia" w:ascii="宋体" w:hAnsi="宋体" w:eastAsia="宋体" w:cs="宋体"/>
                <w:color w:val="auto"/>
                <w:sz w:val="20"/>
                <w:szCs w:val="20"/>
                <w:highlight w:val="none"/>
              </w:rPr>
            </w:pPr>
          </w:p>
        </w:tc>
        <w:tc>
          <w:tcPr>
            <w:tcW w:w="825" w:type="dxa"/>
            <w:vAlign w:val="center"/>
          </w:tcPr>
          <w:p w14:paraId="0FC8F0F1">
            <w:pPr>
              <w:jc w:val="left"/>
              <w:rPr>
                <w:rFonts w:hint="eastAsia" w:ascii="宋体" w:hAnsi="宋体" w:eastAsia="宋体" w:cs="宋体"/>
                <w:b/>
                <w:color w:val="auto"/>
                <w:sz w:val="20"/>
                <w:szCs w:val="20"/>
                <w:highlight w:val="none"/>
              </w:rPr>
            </w:pPr>
          </w:p>
        </w:tc>
        <w:tc>
          <w:tcPr>
            <w:tcW w:w="775" w:type="dxa"/>
            <w:vAlign w:val="center"/>
          </w:tcPr>
          <w:p w14:paraId="2D312432">
            <w:pPr>
              <w:rPr>
                <w:rFonts w:hint="eastAsia" w:ascii="宋体" w:hAnsi="宋体" w:eastAsia="宋体" w:cs="宋体"/>
                <w:b/>
                <w:color w:val="auto"/>
                <w:sz w:val="20"/>
                <w:szCs w:val="20"/>
                <w:highlight w:val="none"/>
              </w:rPr>
            </w:pPr>
          </w:p>
        </w:tc>
      </w:tr>
      <w:tr w14:paraId="53A20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9" w:type="dxa"/>
            <w:vAlign w:val="center"/>
          </w:tcPr>
          <w:p w14:paraId="66FEFB72">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2537" w:type="dxa"/>
            <w:vAlign w:val="center"/>
          </w:tcPr>
          <w:p w14:paraId="5094DE93">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无明显枯枝，死枝，病虫害枝条</w:t>
            </w:r>
            <w:r>
              <w:rPr>
                <w:rFonts w:hint="eastAsia" w:ascii="宋体" w:hAnsi="宋体" w:eastAsia="宋体" w:cs="宋体"/>
                <w:color w:val="auto"/>
                <w:sz w:val="20"/>
                <w:szCs w:val="20"/>
                <w:highlight w:val="none"/>
                <w:lang w:val="en-US" w:eastAsia="zh-CN"/>
              </w:rPr>
              <w:t>达标</w:t>
            </w:r>
            <w:r>
              <w:rPr>
                <w:rFonts w:hint="eastAsia" w:ascii="宋体" w:hAnsi="宋体" w:eastAsia="宋体" w:cs="宋体"/>
                <w:color w:val="auto"/>
                <w:sz w:val="20"/>
                <w:szCs w:val="20"/>
                <w:highlight w:val="none"/>
              </w:rPr>
              <w:t>，草被害面积</w:t>
            </w:r>
            <w:r>
              <w:rPr>
                <w:rFonts w:hint="eastAsia" w:ascii="宋体" w:hAnsi="宋体" w:eastAsia="宋体" w:cs="宋体"/>
                <w:color w:val="auto"/>
                <w:sz w:val="20"/>
                <w:szCs w:val="20"/>
                <w:highlight w:val="none"/>
                <w:lang w:val="en-US" w:eastAsia="zh-CN"/>
              </w:rPr>
              <w:t>达标</w:t>
            </w:r>
            <w:r>
              <w:rPr>
                <w:rFonts w:hint="eastAsia" w:ascii="宋体" w:hAnsi="宋体" w:eastAsia="宋体" w:cs="宋体"/>
                <w:color w:val="auto"/>
                <w:sz w:val="20"/>
                <w:szCs w:val="20"/>
                <w:highlight w:val="none"/>
              </w:rPr>
              <w:t>，病虫害预防为主，病期</w:t>
            </w:r>
            <w:r>
              <w:rPr>
                <w:rFonts w:hint="eastAsia" w:ascii="宋体" w:hAnsi="宋体" w:eastAsia="宋体" w:cs="宋体"/>
                <w:color w:val="auto"/>
                <w:sz w:val="20"/>
                <w:szCs w:val="20"/>
                <w:highlight w:val="none"/>
                <w:lang w:val="en-US" w:eastAsia="zh-CN"/>
              </w:rPr>
              <w:t>喷药每</w:t>
            </w:r>
            <w:r>
              <w:rPr>
                <w:rFonts w:hint="eastAsia" w:ascii="宋体" w:hAnsi="宋体" w:cs="宋体"/>
                <w:color w:val="auto"/>
                <w:sz w:val="20"/>
                <w:szCs w:val="20"/>
                <w:highlight w:val="none"/>
                <w:lang w:val="en-US" w:eastAsia="zh-CN"/>
              </w:rPr>
              <w:t>季度</w:t>
            </w:r>
            <w:r>
              <w:rPr>
                <w:rFonts w:hint="eastAsia" w:ascii="宋体" w:hAnsi="宋体" w:eastAsia="宋体" w:cs="宋体"/>
                <w:color w:val="auto"/>
                <w:sz w:val="20"/>
                <w:szCs w:val="20"/>
                <w:highlight w:val="none"/>
                <w:lang w:val="en-US" w:eastAsia="zh-CN"/>
              </w:rPr>
              <w:t>1次，每年不少于</w:t>
            </w:r>
            <w:r>
              <w:rPr>
                <w:rFonts w:hint="eastAsia" w:ascii="宋体" w:hAnsi="宋体" w:cs="宋体"/>
                <w:color w:val="auto"/>
                <w:sz w:val="20"/>
                <w:szCs w:val="20"/>
                <w:highlight w:val="none"/>
                <w:lang w:val="en-US" w:eastAsia="zh-CN"/>
              </w:rPr>
              <w:t>4</w:t>
            </w:r>
            <w:r>
              <w:rPr>
                <w:rFonts w:hint="eastAsia" w:ascii="宋体" w:hAnsi="宋体" w:eastAsia="宋体" w:cs="宋体"/>
                <w:color w:val="auto"/>
                <w:sz w:val="20"/>
                <w:szCs w:val="20"/>
                <w:highlight w:val="none"/>
                <w:lang w:val="en-US" w:eastAsia="zh-CN"/>
              </w:rPr>
              <w:t>次</w:t>
            </w:r>
            <w:r>
              <w:rPr>
                <w:rFonts w:hint="eastAsia" w:ascii="宋体" w:hAnsi="宋体" w:cs="宋体"/>
                <w:color w:val="auto"/>
                <w:sz w:val="20"/>
                <w:szCs w:val="20"/>
                <w:highlight w:val="none"/>
                <w:lang w:val="en-US" w:eastAsia="zh-CN"/>
              </w:rPr>
              <w:t>，可视实际情况增加次数</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办公区每次喷药需口头报备</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rPr>
              <w:t>综合服务中心</w:t>
            </w:r>
            <w:r>
              <w:rPr>
                <w:rFonts w:hint="eastAsia" w:ascii="宋体" w:hAnsi="宋体" w:cs="宋体"/>
                <w:color w:val="auto"/>
                <w:sz w:val="20"/>
                <w:szCs w:val="20"/>
                <w:highlight w:val="none"/>
                <w:lang w:eastAsia="zh-CN"/>
              </w:rPr>
              <w:t>并出示告知通知</w:t>
            </w:r>
            <w:r>
              <w:rPr>
                <w:rFonts w:hint="eastAsia" w:ascii="宋体" w:hAnsi="宋体" w:eastAsia="宋体" w:cs="宋体"/>
                <w:color w:val="auto"/>
                <w:sz w:val="20"/>
                <w:szCs w:val="20"/>
                <w:highlight w:val="none"/>
              </w:rPr>
              <w:t>，综合服务中心同意后才安排进行喷药，并在喷药现场做好已喷农药温馨提示。每次喷药提前通知。</w:t>
            </w:r>
          </w:p>
        </w:tc>
        <w:tc>
          <w:tcPr>
            <w:tcW w:w="900" w:type="dxa"/>
            <w:vAlign w:val="center"/>
          </w:tcPr>
          <w:p w14:paraId="72E0A7A6">
            <w:p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2741" w:type="dxa"/>
            <w:vAlign w:val="center"/>
          </w:tcPr>
          <w:p w14:paraId="73EA78AA">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w:t>
            </w:r>
            <w:r>
              <w:rPr>
                <w:rFonts w:hint="eastAsia" w:ascii="宋体" w:hAnsi="宋体" w:eastAsia="宋体" w:cs="宋体"/>
                <w:color w:val="auto"/>
                <w:sz w:val="20"/>
                <w:szCs w:val="20"/>
                <w:highlight w:val="none"/>
                <w:lang w:val="en-US" w:eastAsia="zh-CN"/>
              </w:rPr>
              <w:t>不达标</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不按时喷药或喷药次数少于</w:t>
            </w:r>
            <w:r>
              <w:rPr>
                <w:rFonts w:hint="eastAsia" w:ascii="宋体" w:hAnsi="宋体" w:cs="宋体"/>
                <w:color w:val="auto"/>
                <w:sz w:val="20"/>
                <w:szCs w:val="20"/>
                <w:highlight w:val="none"/>
                <w:lang w:val="en-US" w:eastAsia="zh-CN"/>
              </w:rPr>
              <w:t>4</w:t>
            </w:r>
            <w:r>
              <w:rPr>
                <w:rFonts w:hint="eastAsia" w:ascii="宋体" w:hAnsi="宋体" w:eastAsia="宋体" w:cs="宋体"/>
                <w:color w:val="auto"/>
                <w:sz w:val="20"/>
                <w:szCs w:val="20"/>
                <w:highlight w:val="none"/>
                <w:lang w:val="en-US" w:eastAsia="zh-CN"/>
              </w:rPr>
              <w:t>次；</w:t>
            </w:r>
            <w:r>
              <w:rPr>
                <w:rFonts w:hint="eastAsia" w:ascii="宋体" w:hAnsi="宋体" w:eastAsia="宋体" w:cs="宋体"/>
                <w:color w:val="auto"/>
                <w:sz w:val="20"/>
                <w:szCs w:val="20"/>
                <w:highlight w:val="none"/>
              </w:rPr>
              <w:t>喷药不按要求报备和提前出通知。每一项</w:t>
            </w:r>
            <w:r>
              <w:rPr>
                <w:rFonts w:hint="eastAsia" w:ascii="宋体" w:hAnsi="宋体" w:eastAsia="宋体" w:cs="宋体"/>
                <w:color w:val="auto"/>
                <w:sz w:val="20"/>
                <w:szCs w:val="20"/>
                <w:highlight w:val="none"/>
                <w:lang w:eastAsia="zh-CN"/>
              </w:rPr>
              <w:t>。</w:t>
            </w:r>
          </w:p>
        </w:tc>
        <w:tc>
          <w:tcPr>
            <w:tcW w:w="773" w:type="dxa"/>
            <w:vAlign w:val="center"/>
          </w:tcPr>
          <w:p w14:paraId="17D0035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-0.1分/项处</w:t>
            </w:r>
          </w:p>
        </w:tc>
        <w:tc>
          <w:tcPr>
            <w:tcW w:w="825" w:type="dxa"/>
            <w:vAlign w:val="center"/>
          </w:tcPr>
          <w:p w14:paraId="27012B85">
            <w:pPr>
              <w:jc w:val="left"/>
              <w:rPr>
                <w:rFonts w:hint="eastAsia" w:ascii="宋体" w:hAnsi="宋体" w:eastAsia="宋体" w:cs="宋体"/>
                <w:color w:val="auto"/>
                <w:sz w:val="20"/>
                <w:szCs w:val="20"/>
                <w:highlight w:val="none"/>
              </w:rPr>
            </w:pPr>
          </w:p>
        </w:tc>
        <w:tc>
          <w:tcPr>
            <w:tcW w:w="775" w:type="dxa"/>
            <w:vAlign w:val="center"/>
          </w:tcPr>
          <w:p w14:paraId="37BE38D3">
            <w:pPr>
              <w:jc w:val="center"/>
              <w:rPr>
                <w:rFonts w:hint="eastAsia" w:ascii="宋体" w:hAnsi="宋体" w:eastAsia="宋体" w:cs="宋体"/>
                <w:color w:val="auto"/>
                <w:sz w:val="20"/>
                <w:szCs w:val="20"/>
                <w:highlight w:val="none"/>
              </w:rPr>
            </w:pPr>
          </w:p>
        </w:tc>
      </w:tr>
      <w:tr w14:paraId="6FAE1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649" w:type="dxa"/>
            <w:vAlign w:val="center"/>
          </w:tcPr>
          <w:p w14:paraId="7DED5704">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2537" w:type="dxa"/>
            <w:vAlign w:val="center"/>
          </w:tcPr>
          <w:p w14:paraId="400C0185">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花木草坪土壤保墒好，冬季早晚不浇水，夏季中午不浇水，浇水不漏浇，</w:t>
            </w:r>
            <w:r>
              <w:rPr>
                <w:rFonts w:hint="eastAsia" w:ascii="宋体" w:hAnsi="宋体" w:cs="宋体"/>
                <w:color w:val="auto"/>
                <w:sz w:val="20"/>
                <w:szCs w:val="20"/>
                <w:highlight w:val="none"/>
                <w:lang w:eastAsia="zh-CN"/>
              </w:rPr>
              <w:t>土壤浇湿、</w:t>
            </w:r>
            <w:r>
              <w:rPr>
                <w:rFonts w:hint="eastAsia" w:ascii="宋体" w:hAnsi="宋体" w:eastAsia="宋体" w:cs="宋体"/>
                <w:color w:val="auto"/>
                <w:sz w:val="20"/>
                <w:szCs w:val="20"/>
                <w:highlight w:val="none"/>
              </w:rPr>
              <w:t>浇透，适时浇水。</w:t>
            </w:r>
          </w:p>
        </w:tc>
        <w:tc>
          <w:tcPr>
            <w:tcW w:w="900" w:type="dxa"/>
            <w:vAlign w:val="center"/>
          </w:tcPr>
          <w:p w14:paraId="3612B012">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2741" w:type="dxa"/>
            <w:vAlign w:val="center"/>
          </w:tcPr>
          <w:p w14:paraId="39C1C48F">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w:t>
            </w:r>
            <w:r>
              <w:rPr>
                <w:rFonts w:hint="eastAsia" w:ascii="宋体" w:hAnsi="宋体" w:eastAsia="宋体" w:cs="宋体"/>
                <w:color w:val="auto"/>
                <w:sz w:val="20"/>
                <w:szCs w:val="20"/>
                <w:highlight w:val="none"/>
                <w:lang w:val="en-US" w:eastAsia="zh-CN"/>
              </w:rPr>
              <w:t>不达标</w:t>
            </w:r>
            <w:r>
              <w:rPr>
                <w:rFonts w:hint="eastAsia" w:ascii="宋体" w:hAnsi="宋体" w:eastAsia="宋体" w:cs="宋体"/>
                <w:color w:val="auto"/>
                <w:sz w:val="20"/>
                <w:szCs w:val="20"/>
                <w:highlight w:val="none"/>
                <w:lang w:eastAsia="zh-CN"/>
              </w:rPr>
              <w:t>。</w:t>
            </w:r>
          </w:p>
        </w:tc>
        <w:tc>
          <w:tcPr>
            <w:tcW w:w="773" w:type="dxa"/>
            <w:vAlign w:val="center"/>
          </w:tcPr>
          <w:p w14:paraId="762D6118">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-0.1分/项处</w:t>
            </w:r>
          </w:p>
        </w:tc>
        <w:tc>
          <w:tcPr>
            <w:tcW w:w="825" w:type="dxa"/>
            <w:vAlign w:val="center"/>
          </w:tcPr>
          <w:p w14:paraId="227A1FF9">
            <w:pPr>
              <w:jc w:val="left"/>
              <w:rPr>
                <w:rFonts w:hint="eastAsia" w:ascii="宋体" w:hAnsi="宋体" w:eastAsia="宋体" w:cs="宋体"/>
                <w:color w:val="auto"/>
                <w:sz w:val="20"/>
                <w:szCs w:val="20"/>
                <w:highlight w:val="none"/>
              </w:rPr>
            </w:pPr>
          </w:p>
        </w:tc>
        <w:tc>
          <w:tcPr>
            <w:tcW w:w="775" w:type="dxa"/>
            <w:vAlign w:val="center"/>
          </w:tcPr>
          <w:p w14:paraId="43906CBB">
            <w:pPr>
              <w:rPr>
                <w:rFonts w:hint="eastAsia" w:ascii="宋体" w:hAnsi="宋体" w:eastAsia="宋体" w:cs="宋体"/>
                <w:color w:val="auto"/>
                <w:sz w:val="20"/>
                <w:szCs w:val="20"/>
                <w:highlight w:val="none"/>
              </w:rPr>
            </w:pPr>
          </w:p>
        </w:tc>
      </w:tr>
      <w:tr w14:paraId="1B30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49" w:type="dxa"/>
            <w:vAlign w:val="center"/>
          </w:tcPr>
          <w:p w14:paraId="63097FE6">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四</w:t>
            </w:r>
          </w:p>
        </w:tc>
        <w:tc>
          <w:tcPr>
            <w:tcW w:w="2537" w:type="dxa"/>
            <w:vAlign w:val="center"/>
          </w:tcPr>
          <w:p w14:paraId="4F4C2F21">
            <w:pP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日常养护标准</w:t>
            </w:r>
          </w:p>
        </w:tc>
        <w:tc>
          <w:tcPr>
            <w:tcW w:w="900" w:type="dxa"/>
            <w:vAlign w:val="center"/>
          </w:tcPr>
          <w:p w14:paraId="2FF0539E">
            <w:pPr>
              <w:jc w:val="center"/>
              <w:rPr>
                <w:rFonts w:hint="eastAsia" w:ascii="宋体" w:hAnsi="宋体" w:eastAsia="宋体" w:cs="宋体"/>
                <w:b/>
                <w:color w:val="auto"/>
                <w:sz w:val="20"/>
                <w:szCs w:val="20"/>
                <w:highlight w:val="none"/>
                <w:lang w:val="en-US" w:eastAsia="zh-CN"/>
              </w:rPr>
            </w:pPr>
            <w:r>
              <w:rPr>
                <w:rFonts w:hint="eastAsia" w:ascii="宋体" w:hAnsi="宋体" w:eastAsia="宋体" w:cs="宋体"/>
                <w:b/>
                <w:color w:val="auto"/>
                <w:sz w:val="20"/>
                <w:szCs w:val="20"/>
                <w:highlight w:val="none"/>
                <w:lang w:val="en-US" w:eastAsia="zh-CN"/>
              </w:rPr>
              <w:t>20</w:t>
            </w:r>
          </w:p>
        </w:tc>
        <w:tc>
          <w:tcPr>
            <w:tcW w:w="2741" w:type="dxa"/>
            <w:vAlign w:val="center"/>
          </w:tcPr>
          <w:p w14:paraId="0E65B54C">
            <w:pPr>
              <w:rPr>
                <w:rFonts w:hint="eastAsia" w:ascii="宋体" w:hAnsi="宋体" w:eastAsia="宋体" w:cs="宋体"/>
                <w:b/>
                <w:color w:val="auto"/>
                <w:sz w:val="20"/>
                <w:szCs w:val="20"/>
                <w:highlight w:val="none"/>
              </w:rPr>
            </w:pPr>
          </w:p>
        </w:tc>
        <w:tc>
          <w:tcPr>
            <w:tcW w:w="773" w:type="dxa"/>
            <w:vAlign w:val="center"/>
          </w:tcPr>
          <w:p w14:paraId="445CCA2B">
            <w:pPr>
              <w:jc w:val="center"/>
              <w:rPr>
                <w:rFonts w:hint="eastAsia" w:ascii="宋体" w:hAnsi="宋体" w:eastAsia="宋体" w:cs="宋体"/>
                <w:color w:val="auto"/>
                <w:sz w:val="20"/>
                <w:szCs w:val="20"/>
                <w:highlight w:val="none"/>
              </w:rPr>
            </w:pPr>
          </w:p>
        </w:tc>
        <w:tc>
          <w:tcPr>
            <w:tcW w:w="825" w:type="dxa"/>
            <w:vAlign w:val="center"/>
          </w:tcPr>
          <w:p w14:paraId="31569B22">
            <w:pPr>
              <w:jc w:val="left"/>
              <w:rPr>
                <w:rFonts w:hint="eastAsia" w:ascii="宋体" w:hAnsi="宋体" w:eastAsia="宋体" w:cs="宋体"/>
                <w:color w:val="auto"/>
                <w:sz w:val="20"/>
                <w:szCs w:val="20"/>
                <w:highlight w:val="none"/>
              </w:rPr>
            </w:pPr>
          </w:p>
        </w:tc>
        <w:tc>
          <w:tcPr>
            <w:tcW w:w="775" w:type="dxa"/>
            <w:vAlign w:val="center"/>
          </w:tcPr>
          <w:p w14:paraId="329D18D4">
            <w:pPr>
              <w:rPr>
                <w:rFonts w:hint="eastAsia" w:ascii="宋体" w:hAnsi="宋体" w:eastAsia="宋体" w:cs="宋体"/>
                <w:color w:val="auto"/>
                <w:sz w:val="20"/>
                <w:szCs w:val="20"/>
                <w:highlight w:val="none"/>
              </w:rPr>
            </w:pPr>
          </w:p>
        </w:tc>
      </w:tr>
      <w:tr w14:paraId="210A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649" w:type="dxa"/>
            <w:vAlign w:val="center"/>
          </w:tcPr>
          <w:p w14:paraId="48C026B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2537" w:type="dxa"/>
            <w:vAlign w:val="center"/>
          </w:tcPr>
          <w:p w14:paraId="615F2E17">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绿化带内无明显杂草、枯枝，盆景生长良好，无虫害，无枯枝。</w:t>
            </w:r>
          </w:p>
        </w:tc>
        <w:tc>
          <w:tcPr>
            <w:tcW w:w="900" w:type="dxa"/>
            <w:vAlign w:val="center"/>
          </w:tcPr>
          <w:p w14:paraId="149C1281">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38F999C6">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w:t>
            </w:r>
            <w:r>
              <w:rPr>
                <w:rFonts w:hint="eastAsia" w:ascii="宋体" w:hAnsi="宋体" w:eastAsia="宋体" w:cs="宋体"/>
                <w:color w:val="auto"/>
                <w:sz w:val="20"/>
                <w:szCs w:val="20"/>
                <w:highlight w:val="none"/>
                <w:lang w:val="en-US" w:eastAsia="zh-CN"/>
              </w:rPr>
              <w:t>不达标</w:t>
            </w:r>
            <w:r>
              <w:rPr>
                <w:rFonts w:hint="eastAsia" w:ascii="宋体" w:hAnsi="宋体" w:eastAsia="宋体" w:cs="宋体"/>
                <w:color w:val="auto"/>
                <w:sz w:val="20"/>
                <w:szCs w:val="20"/>
                <w:highlight w:val="none"/>
              </w:rPr>
              <w:t>。盆景生长不好，有虫害或枯枝</w:t>
            </w:r>
            <w:r>
              <w:rPr>
                <w:rFonts w:hint="eastAsia" w:ascii="宋体" w:hAnsi="宋体" w:eastAsia="宋体" w:cs="宋体"/>
                <w:color w:val="auto"/>
                <w:sz w:val="20"/>
                <w:szCs w:val="20"/>
                <w:highlight w:val="none"/>
                <w:lang w:eastAsia="zh-CN"/>
              </w:rPr>
              <w:t>。</w:t>
            </w:r>
          </w:p>
        </w:tc>
        <w:tc>
          <w:tcPr>
            <w:tcW w:w="773" w:type="dxa"/>
            <w:vAlign w:val="center"/>
          </w:tcPr>
          <w:p w14:paraId="5D544AA1">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center"/>
          </w:tcPr>
          <w:p w14:paraId="50FB3713">
            <w:pPr>
              <w:jc w:val="left"/>
              <w:rPr>
                <w:rFonts w:hint="eastAsia" w:ascii="宋体" w:hAnsi="宋体" w:eastAsia="宋体" w:cs="宋体"/>
                <w:color w:val="auto"/>
                <w:sz w:val="20"/>
                <w:szCs w:val="20"/>
                <w:highlight w:val="none"/>
              </w:rPr>
            </w:pPr>
          </w:p>
        </w:tc>
        <w:tc>
          <w:tcPr>
            <w:tcW w:w="775" w:type="dxa"/>
            <w:vAlign w:val="center"/>
          </w:tcPr>
          <w:p w14:paraId="3AD51B12">
            <w:pPr>
              <w:jc w:val="center"/>
              <w:rPr>
                <w:rFonts w:hint="eastAsia" w:ascii="宋体" w:hAnsi="宋体" w:eastAsia="宋体" w:cs="宋体"/>
                <w:color w:val="auto"/>
                <w:sz w:val="20"/>
                <w:szCs w:val="20"/>
                <w:highlight w:val="none"/>
              </w:rPr>
            </w:pPr>
          </w:p>
        </w:tc>
      </w:tr>
      <w:tr w14:paraId="68F5A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49" w:type="dxa"/>
            <w:vAlign w:val="center"/>
          </w:tcPr>
          <w:p w14:paraId="10C9EA6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2537" w:type="dxa"/>
            <w:vAlign w:val="center"/>
          </w:tcPr>
          <w:p w14:paraId="30B7E2C8">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补栽补种草坪无明显裸露，裸露面积在总面积</w:t>
            </w:r>
            <w:r>
              <w:rPr>
                <w:rFonts w:hint="eastAsia" w:ascii="宋体" w:hAnsi="宋体" w:eastAsia="宋体" w:cs="宋体"/>
                <w:color w:val="auto"/>
                <w:sz w:val="20"/>
                <w:szCs w:val="20"/>
                <w:highlight w:val="none"/>
                <w:lang w:val="en-US" w:eastAsia="zh-CN"/>
              </w:rPr>
              <w:t>率达标</w:t>
            </w:r>
            <w:r>
              <w:rPr>
                <w:rFonts w:hint="eastAsia" w:ascii="宋体" w:hAnsi="宋体" w:eastAsia="宋体" w:cs="宋体"/>
                <w:color w:val="auto"/>
                <w:sz w:val="20"/>
                <w:szCs w:val="20"/>
                <w:highlight w:val="none"/>
              </w:rPr>
              <w:t>，树木缺株</w:t>
            </w:r>
            <w:r>
              <w:rPr>
                <w:rFonts w:hint="eastAsia" w:ascii="宋体" w:hAnsi="宋体" w:eastAsia="宋体" w:cs="宋体"/>
                <w:color w:val="auto"/>
                <w:sz w:val="20"/>
                <w:szCs w:val="20"/>
                <w:highlight w:val="none"/>
                <w:lang w:val="en-US" w:eastAsia="zh-CN"/>
              </w:rPr>
              <w:t>率达标</w:t>
            </w:r>
            <w:r>
              <w:rPr>
                <w:rFonts w:hint="eastAsia" w:ascii="宋体" w:hAnsi="宋体" w:eastAsia="宋体" w:cs="宋体"/>
                <w:color w:val="auto"/>
                <w:sz w:val="20"/>
                <w:szCs w:val="20"/>
                <w:highlight w:val="none"/>
              </w:rPr>
              <w:t>。</w:t>
            </w:r>
          </w:p>
        </w:tc>
        <w:tc>
          <w:tcPr>
            <w:tcW w:w="900" w:type="dxa"/>
            <w:vAlign w:val="center"/>
          </w:tcPr>
          <w:p w14:paraId="79D2935F">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42F151D7">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w:t>
            </w:r>
            <w:r>
              <w:rPr>
                <w:rFonts w:hint="eastAsia" w:ascii="宋体" w:hAnsi="宋体" w:eastAsia="宋体" w:cs="宋体"/>
                <w:color w:val="auto"/>
                <w:sz w:val="20"/>
                <w:szCs w:val="20"/>
                <w:highlight w:val="none"/>
                <w:lang w:val="en-US" w:eastAsia="zh-CN"/>
              </w:rPr>
              <w:t>不达标</w:t>
            </w:r>
            <w:r>
              <w:rPr>
                <w:rFonts w:hint="eastAsia" w:ascii="宋体" w:hAnsi="宋体" w:eastAsia="宋体" w:cs="宋体"/>
                <w:color w:val="auto"/>
                <w:sz w:val="20"/>
                <w:szCs w:val="20"/>
                <w:highlight w:val="none"/>
                <w:lang w:eastAsia="zh-CN"/>
              </w:rPr>
              <w:t>。</w:t>
            </w:r>
          </w:p>
        </w:tc>
        <w:tc>
          <w:tcPr>
            <w:tcW w:w="773" w:type="dxa"/>
            <w:vAlign w:val="center"/>
          </w:tcPr>
          <w:p w14:paraId="3F49D0D1">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center"/>
          </w:tcPr>
          <w:p w14:paraId="26AACFC6">
            <w:pPr>
              <w:jc w:val="left"/>
              <w:rPr>
                <w:rFonts w:hint="eastAsia" w:ascii="宋体" w:hAnsi="宋体" w:eastAsia="宋体" w:cs="宋体"/>
                <w:color w:val="auto"/>
                <w:sz w:val="20"/>
                <w:szCs w:val="20"/>
                <w:highlight w:val="none"/>
              </w:rPr>
            </w:pPr>
          </w:p>
        </w:tc>
        <w:tc>
          <w:tcPr>
            <w:tcW w:w="775" w:type="dxa"/>
            <w:vAlign w:val="center"/>
          </w:tcPr>
          <w:p w14:paraId="345EFE0C">
            <w:pPr>
              <w:jc w:val="center"/>
              <w:rPr>
                <w:rFonts w:hint="eastAsia" w:ascii="宋体" w:hAnsi="宋体" w:eastAsia="宋体" w:cs="宋体"/>
                <w:color w:val="auto"/>
                <w:sz w:val="20"/>
                <w:szCs w:val="20"/>
                <w:highlight w:val="none"/>
              </w:rPr>
            </w:pPr>
          </w:p>
        </w:tc>
      </w:tr>
      <w:tr w14:paraId="140AD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649" w:type="dxa"/>
            <w:vAlign w:val="center"/>
          </w:tcPr>
          <w:p w14:paraId="05B4D038">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2537" w:type="dxa"/>
            <w:vAlign w:val="center"/>
          </w:tcPr>
          <w:p w14:paraId="194FC99A">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防风保护。风雨过后，检查树木有无倒斜、断技，</w:t>
            </w:r>
            <w:r>
              <w:rPr>
                <w:rFonts w:hint="eastAsia" w:ascii="宋体" w:hAnsi="宋体" w:eastAsia="宋体" w:cs="宋体"/>
                <w:color w:val="auto"/>
                <w:sz w:val="20"/>
                <w:szCs w:val="20"/>
                <w:highlight w:val="none"/>
                <w:lang w:val="en-US" w:eastAsia="zh-CN"/>
              </w:rPr>
              <w:t>及时</w:t>
            </w:r>
            <w:r>
              <w:rPr>
                <w:rFonts w:hint="eastAsia" w:ascii="宋体" w:hAnsi="宋体" w:eastAsia="宋体" w:cs="宋体"/>
                <w:color w:val="auto"/>
                <w:sz w:val="20"/>
                <w:szCs w:val="20"/>
                <w:highlight w:val="none"/>
              </w:rPr>
              <w:t>清理，绿化区设警示牌。</w:t>
            </w:r>
          </w:p>
        </w:tc>
        <w:tc>
          <w:tcPr>
            <w:tcW w:w="900" w:type="dxa"/>
            <w:vAlign w:val="center"/>
          </w:tcPr>
          <w:p w14:paraId="7B68D04D">
            <w:pPr>
              <w:tabs>
                <w:tab w:val="left" w:pos="3312"/>
              </w:tabs>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79225CEE">
            <w:pPr>
              <w:tabs>
                <w:tab w:val="left" w:pos="3312"/>
              </w:tabs>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树木倒斜、断枝未及时处理或绿化区未设警示牌，每一项</w:t>
            </w:r>
            <w:r>
              <w:rPr>
                <w:rFonts w:hint="eastAsia" w:ascii="宋体" w:hAnsi="宋体" w:eastAsia="宋体" w:cs="宋体"/>
                <w:color w:val="auto"/>
                <w:sz w:val="20"/>
                <w:szCs w:val="20"/>
                <w:highlight w:val="none"/>
                <w:lang w:eastAsia="zh-CN"/>
              </w:rPr>
              <w:t>。</w:t>
            </w:r>
          </w:p>
        </w:tc>
        <w:tc>
          <w:tcPr>
            <w:tcW w:w="773" w:type="dxa"/>
            <w:vAlign w:val="center"/>
          </w:tcPr>
          <w:p w14:paraId="3633CA5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-0.1分/棵</w:t>
            </w:r>
          </w:p>
        </w:tc>
        <w:tc>
          <w:tcPr>
            <w:tcW w:w="825" w:type="dxa"/>
            <w:vAlign w:val="center"/>
          </w:tcPr>
          <w:p w14:paraId="436339D4">
            <w:pPr>
              <w:jc w:val="left"/>
              <w:rPr>
                <w:rFonts w:hint="eastAsia" w:ascii="宋体" w:hAnsi="宋体" w:eastAsia="宋体" w:cs="宋体"/>
                <w:color w:val="auto"/>
                <w:sz w:val="20"/>
                <w:szCs w:val="20"/>
                <w:highlight w:val="none"/>
              </w:rPr>
            </w:pPr>
          </w:p>
        </w:tc>
        <w:tc>
          <w:tcPr>
            <w:tcW w:w="775" w:type="dxa"/>
            <w:vAlign w:val="center"/>
          </w:tcPr>
          <w:p w14:paraId="671BFCA6">
            <w:pPr>
              <w:jc w:val="center"/>
              <w:rPr>
                <w:rFonts w:hint="eastAsia" w:ascii="宋体" w:hAnsi="宋体" w:eastAsia="宋体" w:cs="宋体"/>
                <w:color w:val="auto"/>
                <w:sz w:val="20"/>
                <w:szCs w:val="20"/>
                <w:highlight w:val="none"/>
              </w:rPr>
            </w:pPr>
          </w:p>
        </w:tc>
      </w:tr>
      <w:tr w14:paraId="597B9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9" w:type="dxa"/>
            <w:vAlign w:val="center"/>
          </w:tcPr>
          <w:p w14:paraId="33C5665A">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2537" w:type="dxa"/>
            <w:vAlign w:val="center"/>
          </w:tcPr>
          <w:p w14:paraId="4DD34952">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清理绿化区卫生，</w:t>
            </w:r>
            <w:r>
              <w:rPr>
                <w:rFonts w:hint="eastAsia" w:ascii="宋体" w:hAnsi="宋体" w:eastAsia="宋体" w:cs="宋体"/>
                <w:color w:val="auto"/>
                <w:sz w:val="20"/>
                <w:szCs w:val="20"/>
                <w:highlight w:val="none"/>
                <w:lang w:val="en-US" w:eastAsia="zh-CN"/>
              </w:rPr>
              <w:t>清理后</w:t>
            </w:r>
            <w:r>
              <w:rPr>
                <w:rFonts w:hint="eastAsia" w:ascii="宋体" w:hAnsi="宋体" w:eastAsia="宋体" w:cs="宋体"/>
                <w:color w:val="auto"/>
                <w:sz w:val="20"/>
                <w:szCs w:val="20"/>
                <w:highlight w:val="none"/>
              </w:rPr>
              <w:t>无垃圾</w:t>
            </w:r>
            <w:r>
              <w:rPr>
                <w:rFonts w:hint="eastAsia" w:ascii="宋体" w:hAnsi="宋体" w:cs="宋体"/>
                <w:color w:val="auto"/>
                <w:sz w:val="20"/>
                <w:szCs w:val="20"/>
                <w:highlight w:val="none"/>
                <w:lang w:eastAsia="zh-CN"/>
              </w:rPr>
              <w:t>、杂物</w:t>
            </w:r>
            <w:r>
              <w:rPr>
                <w:rFonts w:hint="eastAsia" w:ascii="宋体" w:hAnsi="宋体" w:eastAsia="宋体" w:cs="宋体"/>
                <w:color w:val="auto"/>
                <w:sz w:val="20"/>
                <w:szCs w:val="20"/>
                <w:highlight w:val="none"/>
              </w:rPr>
              <w:t>。</w:t>
            </w:r>
          </w:p>
        </w:tc>
        <w:tc>
          <w:tcPr>
            <w:tcW w:w="900" w:type="dxa"/>
            <w:vAlign w:val="center"/>
          </w:tcPr>
          <w:p w14:paraId="4E0192B5">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4C5D0018">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抽查</w:t>
            </w:r>
            <w:r>
              <w:rPr>
                <w:rFonts w:hint="eastAsia" w:ascii="宋体" w:hAnsi="宋体" w:eastAsia="宋体" w:cs="宋体"/>
                <w:color w:val="auto"/>
                <w:sz w:val="20"/>
                <w:szCs w:val="20"/>
                <w:highlight w:val="none"/>
                <w:lang w:val="en-US" w:eastAsia="zh-CN"/>
              </w:rPr>
              <w:t>不达标</w:t>
            </w:r>
            <w:r>
              <w:rPr>
                <w:rFonts w:hint="eastAsia" w:ascii="宋体" w:hAnsi="宋体" w:eastAsia="宋体" w:cs="宋体"/>
                <w:color w:val="auto"/>
                <w:sz w:val="20"/>
                <w:szCs w:val="20"/>
                <w:highlight w:val="none"/>
                <w:lang w:eastAsia="zh-CN"/>
              </w:rPr>
              <w:t>。</w:t>
            </w:r>
          </w:p>
        </w:tc>
        <w:tc>
          <w:tcPr>
            <w:tcW w:w="773" w:type="dxa"/>
            <w:vAlign w:val="center"/>
          </w:tcPr>
          <w:p w14:paraId="216832DF">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top"/>
          </w:tcPr>
          <w:p w14:paraId="0FA2A283">
            <w:pPr>
              <w:jc w:val="center"/>
              <w:rPr>
                <w:rFonts w:hint="eastAsia" w:ascii="宋体" w:hAnsi="宋体" w:eastAsia="宋体" w:cs="宋体"/>
                <w:color w:val="auto"/>
                <w:sz w:val="20"/>
                <w:szCs w:val="20"/>
                <w:highlight w:val="none"/>
              </w:rPr>
            </w:pPr>
          </w:p>
        </w:tc>
        <w:tc>
          <w:tcPr>
            <w:tcW w:w="775" w:type="dxa"/>
            <w:vAlign w:val="center"/>
          </w:tcPr>
          <w:p w14:paraId="1D0D3D2F">
            <w:pPr>
              <w:jc w:val="center"/>
              <w:rPr>
                <w:rFonts w:hint="eastAsia" w:ascii="宋体" w:hAnsi="宋体" w:eastAsia="宋体" w:cs="宋体"/>
                <w:color w:val="auto"/>
                <w:sz w:val="20"/>
                <w:szCs w:val="20"/>
                <w:highlight w:val="none"/>
              </w:rPr>
            </w:pPr>
          </w:p>
        </w:tc>
      </w:tr>
      <w:tr w14:paraId="29B1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49" w:type="dxa"/>
            <w:vAlign w:val="center"/>
          </w:tcPr>
          <w:p w14:paraId="79827D5B">
            <w:pPr>
              <w:jc w:val="center"/>
              <w:rPr>
                <w:rFonts w:hint="eastAsia" w:ascii="宋体" w:hAnsi="宋体" w:eastAsia="宋体" w:cs="宋体"/>
                <w:b/>
                <w:color w:val="auto"/>
                <w:sz w:val="20"/>
                <w:szCs w:val="20"/>
                <w:highlight w:val="none"/>
                <w:lang w:eastAsia="zh-CN"/>
              </w:rPr>
            </w:pPr>
            <w:r>
              <w:rPr>
                <w:rFonts w:hint="eastAsia" w:ascii="宋体" w:hAnsi="宋体" w:eastAsia="宋体" w:cs="宋体"/>
                <w:b/>
                <w:color w:val="auto"/>
                <w:sz w:val="20"/>
                <w:szCs w:val="20"/>
                <w:highlight w:val="none"/>
                <w:lang w:eastAsia="zh-CN"/>
              </w:rPr>
              <w:t>五</w:t>
            </w:r>
          </w:p>
        </w:tc>
        <w:tc>
          <w:tcPr>
            <w:tcW w:w="2537" w:type="dxa"/>
            <w:vAlign w:val="center"/>
          </w:tcPr>
          <w:p w14:paraId="60A253AB">
            <w:pPr>
              <w:jc w:val="both"/>
              <w:rPr>
                <w:rFonts w:hint="eastAsia" w:ascii="宋体" w:hAnsi="宋体" w:eastAsia="宋体" w:cs="宋体"/>
                <w:b/>
                <w:color w:val="auto"/>
                <w:sz w:val="20"/>
                <w:szCs w:val="20"/>
                <w:highlight w:val="none"/>
                <w:lang w:eastAsia="zh-CN"/>
              </w:rPr>
            </w:pPr>
            <w:r>
              <w:rPr>
                <w:rFonts w:hint="eastAsia" w:ascii="宋体" w:hAnsi="宋体" w:eastAsia="宋体" w:cs="宋体"/>
                <w:b/>
                <w:color w:val="auto"/>
                <w:sz w:val="20"/>
                <w:szCs w:val="20"/>
                <w:highlight w:val="none"/>
                <w:lang w:eastAsia="zh-CN"/>
              </w:rPr>
              <w:t>室内绿植、花卉、盆栽维护保养标准</w:t>
            </w:r>
          </w:p>
        </w:tc>
        <w:tc>
          <w:tcPr>
            <w:tcW w:w="900" w:type="dxa"/>
            <w:vAlign w:val="center"/>
          </w:tcPr>
          <w:p w14:paraId="6606F6EA">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10</w:t>
            </w:r>
          </w:p>
        </w:tc>
        <w:tc>
          <w:tcPr>
            <w:tcW w:w="2741" w:type="dxa"/>
            <w:vAlign w:val="center"/>
          </w:tcPr>
          <w:p w14:paraId="71BE90DC">
            <w:pPr>
              <w:rPr>
                <w:rFonts w:hint="eastAsia" w:ascii="宋体" w:hAnsi="宋体" w:eastAsia="宋体" w:cs="宋体"/>
                <w:color w:val="auto"/>
                <w:sz w:val="20"/>
                <w:szCs w:val="20"/>
                <w:highlight w:val="none"/>
              </w:rPr>
            </w:pPr>
          </w:p>
        </w:tc>
        <w:tc>
          <w:tcPr>
            <w:tcW w:w="773" w:type="dxa"/>
            <w:vAlign w:val="center"/>
          </w:tcPr>
          <w:p w14:paraId="230AF94F">
            <w:pPr>
              <w:jc w:val="center"/>
              <w:rPr>
                <w:rFonts w:hint="eastAsia" w:ascii="宋体" w:hAnsi="宋体" w:eastAsia="宋体" w:cs="宋体"/>
                <w:color w:val="auto"/>
                <w:sz w:val="20"/>
                <w:szCs w:val="20"/>
                <w:highlight w:val="none"/>
              </w:rPr>
            </w:pPr>
          </w:p>
        </w:tc>
        <w:tc>
          <w:tcPr>
            <w:tcW w:w="825" w:type="dxa"/>
            <w:vAlign w:val="top"/>
          </w:tcPr>
          <w:p w14:paraId="24035882">
            <w:pPr>
              <w:jc w:val="center"/>
              <w:rPr>
                <w:rFonts w:hint="eastAsia" w:ascii="宋体" w:hAnsi="宋体" w:eastAsia="宋体" w:cs="宋体"/>
                <w:color w:val="auto"/>
                <w:sz w:val="20"/>
                <w:szCs w:val="20"/>
                <w:highlight w:val="none"/>
              </w:rPr>
            </w:pPr>
          </w:p>
        </w:tc>
        <w:tc>
          <w:tcPr>
            <w:tcW w:w="775" w:type="dxa"/>
            <w:vAlign w:val="center"/>
          </w:tcPr>
          <w:p w14:paraId="38FF6C11">
            <w:pPr>
              <w:jc w:val="center"/>
              <w:rPr>
                <w:rFonts w:hint="eastAsia" w:ascii="宋体" w:hAnsi="宋体" w:eastAsia="宋体" w:cs="宋体"/>
                <w:color w:val="auto"/>
                <w:sz w:val="20"/>
                <w:szCs w:val="20"/>
                <w:highlight w:val="none"/>
              </w:rPr>
            </w:pPr>
          </w:p>
        </w:tc>
      </w:tr>
      <w:tr w14:paraId="6495F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9" w:type="dxa"/>
            <w:vAlign w:val="center"/>
          </w:tcPr>
          <w:p w14:paraId="3502C76F">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2537" w:type="dxa"/>
            <w:vAlign w:val="center"/>
          </w:tcPr>
          <w:p w14:paraId="19933019">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每周</w:t>
            </w:r>
            <w:r>
              <w:rPr>
                <w:rFonts w:hint="eastAsia" w:ascii="宋体" w:hAnsi="宋体" w:eastAsia="宋体" w:cs="宋体"/>
                <w:color w:val="auto"/>
                <w:sz w:val="20"/>
                <w:szCs w:val="20"/>
                <w:highlight w:val="none"/>
                <w:lang w:eastAsia="zh-CN"/>
              </w:rPr>
              <w:t>对室内绿植、花卉、盆栽浇水、修剪、灭虫养护</w:t>
            </w:r>
            <w:r>
              <w:rPr>
                <w:rFonts w:hint="eastAsia" w:ascii="宋体" w:hAnsi="宋体" w:eastAsia="宋体" w:cs="宋体"/>
                <w:color w:val="auto"/>
                <w:sz w:val="20"/>
                <w:szCs w:val="20"/>
                <w:highlight w:val="none"/>
                <w:lang w:val="en-US" w:eastAsia="zh-CN"/>
              </w:rPr>
              <w:t>1次</w:t>
            </w:r>
            <w:r>
              <w:rPr>
                <w:rFonts w:hint="eastAsia" w:ascii="宋体" w:hAnsi="宋体" w:eastAsia="宋体" w:cs="宋体"/>
                <w:color w:val="auto"/>
                <w:sz w:val="20"/>
                <w:szCs w:val="20"/>
                <w:highlight w:val="none"/>
                <w:lang w:eastAsia="zh-CN"/>
              </w:rPr>
              <w:t>。</w:t>
            </w:r>
          </w:p>
        </w:tc>
        <w:tc>
          <w:tcPr>
            <w:tcW w:w="900" w:type="dxa"/>
            <w:vAlign w:val="center"/>
          </w:tcPr>
          <w:p w14:paraId="7076383E">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33712CAA">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抽查发现有绿植、花卉、盆栽因未及时浇水而枯死，有病虫害发生。</w:t>
            </w:r>
          </w:p>
        </w:tc>
        <w:tc>
          <w:tcPr>
            <w:tcW w:w="773" w:type="dxa"/>
            <w:vAlign w:val="center"/>
          </w:tcPr>
          <w:p w14:paraId="1E70FE4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-0.1分/棵</w:t>
            </w:r>
          </w:p>
        </w:tc>
        <w:tc>
          <w:tcPr>
            <w:tcW w:w="825" w:type="dxa"/>
            <w:vAlign w:val="top"/>
          </w:tcPr>
          <w:p w14:paraId="3693D2F4">
            <w:pPr>
              <w:jc w:val="center"/>
              <w:rPr>
                <w:rFonts w:hint="eastAsia" w:ascii="宋体" w:hAnsi="宋体" w:eastAsia="宋体" w:cs="宋体"/>
                <w:color w:val="auto"/>
                <w:sz w:val="20"/>
                <w:szCs w:val="20"/>
                <w:highlight w:val="none"/>
              </w:rPr>
            </w:pPr>
          </w:p>
        </w:tc>
        <w:tc>
          <w:tcPr>
            <w:tcW w:w="775" w:type="dxa"/>
            <w:vAlign w:val="center"/>
          </w:tcPr>
          <w:p w14:paraId="2316A4B9">
            <w:pPr>
              <w:jc w:val="center"/>
              <w:rPr>
                <w:rFonts w:hint="eastAsia" w:ascii="宋体" w:hAnsi="宋体" w:eastAsia="宋体" w:cs="宋体"/>
                <w:color w:val="auto"/>
                <w:sz w:val="20"/>
                <w:szCs w:val="20"/>
                <w:highlight w:val="none"/>
              </w:rPr>
            </w:pPr>
          </w:p>
        </w:tc>
      </w:tr>
      <w:tr w14:paraId="63FC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9" w:type="dxa"/>
            <w:vAlign w:val="center"/>
          </w:tcPr>
          <w:p w14:paraId="4EE53115">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2537" w:type="dxa"/>
            <w:vAlign w:val="center"/>
          </w:tcPr>
          <w:p w14:paraId="59FD3161">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根据</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lang w:eastAsia="zh-CN"/>
              </w:rPr>
              <w:t>工作需求摆放更换绿植、花卉。</w:t>
            </w:r>
          </w:p>
        </w:tc>
        <w:tc>
          <w:tcPr>
            <w:tcW w:w="900" w:type="dxa"/>
            <w:vAlign w:val="center"/>
          </w:tcPr>
          <w:p w14:paraId="0AD0CCBF">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5123FB9C">
            <w:pP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抽查发现绿植、花卉摆放散乱，未按</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lang w:eastAsia="zh-CN"/>
              </w:rPr>
              <w:t>要求更换绿植、花卉。</w:t>
            </w:r>
          </w:p>
        </w:tc>
        <w:tc>
          <w:tcPr>
            <w:tcW w:w="773" w:type="dxa"/>
            <w:vAlign w:val="center"/>
          </w:tcPr>
          <w:p w14:paraId="30443DE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-0.1分/处</w:t>
            </w:r>
          </w:p>
        </w:tc>
        <w:tc>
          <w:tcPr>
            <w:tcW w:w="825" w:type="dxa"/>
            <w:vAlign w:val="top"/>
          </w:tcPr>
          <w:p w14:paraId="37A8F598">
            <w:pPr>
              <w:jc w:val="center"/>
              <w:rPr>
                <w:rFonts w:hint="eastAsia" w:ascii="宋体" w:hAnsi="宋体" w:eastAsia="宋体" w:cs="宋体"/>
                <w:color w:val="auto"/>
                <w:sz w:val="20"/>
                <w:szCs w:val="20"/>
                <w:highlight w:val="none"/>
              </w:rPr>
            </w:pPr>
          </w:p>
        </w:tc>
        <w:tc>
          <w:tcPr>
            <w:tcW w:w="775" w:type="dxa"/>
            <w:vAlign w:val="center"/>
          </w:tcPr>
          <w:p w14:paraId="64F80D88">
            <w:pPr>
              <w:jc w:val="center"/>
              <w:rPr>
                <w:rFonts w:hint="eastAsia" w:ascii="宋体" w:hAnsi="宋体" w:eastAsia="宋体" w:cs="宋体"/>
                <w:color w:val="auto"/>
                <w:sz w:val="20"/>
                <w:szCs w:val="20"/>
                <w:highlight w:val="none"/>
              </w:rPr>
            </w:pPr>
          </w:p>
        </w:tc>
      </w:tr>
      <w:tr w14:paraId="49DDF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49" w:type="dxa"/>
            <w:vAlign w:val="center"/>
          </w:tcPr>
          <w:p w14:paraId="40863305">
            <w:pPr>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六</w:t>
            </w:r>
          </w:p>
        </w:tc>
        <w:tc>
          <w:tcPr>
            <w:tcW w:w="2537" w:type="dxa"/>
            <w:vAlign w:val="center"/>
          </w:tcPr>
          <w:p w14:paraId="4BD34E82">
            <w:pP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服务响应</w:t>
            </w:r>
          </w:p>
        </w:tc>
        <w:tc>
          <w:tcPr>
            <w:tcW w:w="900" w:type="dxa"/>
            <w:vAlign w:val="center"/>
          </w:tcPr>
          <w:p w14:paraId="3083DE1D">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2741" w:type="dxa"/>
            <w:vAlign w:val="center"/>
          </w:tcPr>
          <w:p w14:paraId="54AF9E39">
            <w:pPr>
              <w:rPr>
                <w:rFonts w:hint="eastAsia" w:ascii="宋体" w:hAnsi="宋体" w:eastAsia="宋体" w:cs="宋体"/>
                <w:color w:val="auto"/>
                <w:sz w:val="20"/>
                <w:szCs w:val="20"/>
                <w:highlight w:val="none"/>
              </w:rPr>
            </w:pPr>
          </w:p>
        </w:tc>
        <w:tc>
          <w:tcPr>
            <w:tcW w:w="773" w:type="dxa"/>
            <w:vAlign w:val="center"/>
          </w:tcPr>
          <w:p w14:paraId="4CC11D4B">
            <w:pPr>
              <w:jc w:val="center"/>
              <w:rPr>
                <w:rFonts w:hint="eastAsia" w:ascii="宋体" w:hAnsi="宋体" w:eastAsia="宋体" w:cs="宋体"/>
                <w:color w:val="auto"/>
                <w:sz w:val="20"/>
                <w:szCs w:val="20"/>
                <w:highlight w:val="none"/>
              </w:rPr>
            </w:pPr>
          </w:p>
        </w:tc>
        <w:tc>
          <w:tcPr>
            <w:tcW w:w="825" w:type="dxa"/>
            <w:vAlign w:val="top"/>
          </w:tcPr>
          <w:p w14:paraId="12C1023D">
            <w:pPr>
              <w:jc w:val="center"/>
              <w:rPr>
                <w:rFonts w:hint="eastAsia" w:ascii="宋体" w:hAnsi="宋体" w:eastAsia="宋体" w:cs="宋体"/>
                <w:color w:val="auto"/>
                <w:sz w:val="20"/>
                <w:szCs w:val="20"/>
                <w:highlight w:val="none"/>
              </w:rPr>
            </w:pPr>
          </w:p>
        </w:tc>
        <w:tc>
          <w:tcPr>
            <w:tcW w:w="775" w:type="dxa"/>
            <w:vAlign w:val="center"/>
          </w:tcPr>
          <w:p w14:paraId="6D8CFF1D">
            <w:pPr>
              <w:jc w:val="center"/>
              <w:rPr>
                <w:rFonts w:hint="eastAsia" w:ascii="宋体" w:hAnsi="宋体" w:eastAsia="宋体" w:cs="宋体"/>
                <w:color w:val="auto"/>
                <w:sz w:val="20"/>
                <w:szCs w:val="20"/>
                <w:highlight w:val="none"/>
              </w:rPr>
            </w:pPr>
          </w:p>
        </w:tc>
      </w:tr>
      <w:tr w14:paraId="52B4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9" w:type="dxa"/>
            <w:vMerge w:val="restart"/>
            <w:vAlign w:val="center"/>
          </w:tcPr>
          <w:p w14:paraId="380B8434">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2537" w:type="dxa"/>
            <w:vMerge w:val="restart"/>
            <w:vAlign w:val="center"/>
          </w:tcPr>
          <w:p w14:paraId="3053BCFA">
            <w:pP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eastAsia="zh-CN"/>
              </w:rPr>
              <w:t>服务商</w:t>
            </w:r>
            <w:r>
              <w:rPr>
                <w:rFonts w:hint="eastAsia" w:ascii="宋体" w:hAnsi="宋体" w:eastAsia="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布置的工作要求、任务有落实，有反馈。</w:t>
            </w:r>
          </w:p>
        </w:tc>
        <w:tc>
          <w:tcPr>
            <w:tcW w:w="900" w:type="dxa"/>
            <w:vMerge w:val="restart"/>
            <w:vAlign w:val="center"/>
          </w:tcPr>
          <w:p w14:paraId="55B1CDC0">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w:t>
            </w:r>
          </w:p>
        </w:tc>
        <w:tc>
          <w:tcPr>
            <w:tcW w:w="2741" w:type="dxa"/>
            <w:shd w:val="clear" w:color="auto" w:fill="auto"/>
            <w:vAlign w:val="center"/>
          </w:tcPr>
          <w:p w14:paraId="315D99FC">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773" w:type="dxa"/>
            <w:shd w:val="clear" w:color="auto" w:fill="auto"/>
            <w:vAlign w:val="center"/>
          </w:tcPr>
          <w:p w14:paraId="2F2442BB">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825" w:type="dxa"/>
            <w:vAlign w:val="top"/>
          </w:tcPr>
          <w:p w14:paraId="24146FB3">
            <w:pPr>
              <w:jc w:val="center"/>
              <w:rPr>
                <w:rFonts w:hint="eastAsia" w:ascii="宋体" w:hAnsi="宋体" w:eastAsia="宋体" w:cs="宋体"/>
                <w:color w:val="auto"/>
                <w:sz w:val="20"/>
                <w:szCs w:val="20"/>
                <w:highlight w:val="none"/>
              </w:rPr>
            </w:pPr>
          </w:p>
        </w:tc>
        <w:tc>
          <w:tcPr>
            <w:tcW w:w="775" w:type="dxa"/>
            <w:vAlign w:val="center"/>
          </w:tcPr>
          <w:p w14:paraId="61DD7CF6">
            <w:pPr>
              <w:jc w:val="center"/>
              <w:rPr>
                <w:rFonts w:hint="eastAsia" w:ascii="宋体" w:hAnsi="宋体" w:eastAsia="宋体" w:cs="宋体"/>
                <w:color w:val="auto"/>
                <w:sz w:val="20"/>
                <w:szCs w:val="20"/>
                <w:highlight w:val="none"/>
              </w:rPr>
            </w:pPr>
          </w:p>
        </w:tc>
      </w:tr>
      <w:tr w14:paraId="315B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9" w:type="dxa"/>
            <w:vMerge w:val="continue"/>
            <w:vAlign w:val="center"/>
          </w:tcPr>
          <w:p w14:paraId="522CD968">
            <w:pPr>
              <w:jc w:val="center"/>
              <w:rPr>
                <w:rFonts w:hint="eastAsia" w:ascii="宋体" w:hAnsi="宋体" w:eastAsia="宋体" w:cs="宋体"/>
                <w:color w:val="auto"/>
                <w:sz w:val="20"/>
                <w:szCs w:val="20"/>
                <w:highlight w:val="none"/>
                <w:lang w:val="en-US" w:eastAsia="zh-CN"/>
              </w:rPr>
            </w:pPr>
          </w:p>
        </w:tc>
        <w:tc>
          <w:tcPr>
            <w:tcW w:w="2537" w:type="dxa"/>
            <w:vMerge w:val="continue"/>
            <w:vAlign w:val="center"/>
          </w:tcPr>
          <w:p w14:paraId="2FD61363">
            <w:pPr>
              <w:rPr>
                <w:rFonts w:hint="eastAsia" w:ascii="宋体" w:hAnsi="宋体" w:eastAsia="宋体" w:cs="宋体"/>
                <w:color w:val="auto"/>
                <w:sz w:val="20"/>
                <w:szCs w:val="20"/>
                <w:highlight w:val="none"/>
              </w:rPr>
            </w:pPr>
          </w:p>
        </w:tc>
        <w:tc>
          <w:tcPr>
            <w:tcW w:w="900" w:type="dxa"/>
            <w:vMerge w:val="continue"/>
            <w:vAlign w:val="center"/>
          </w:tcPr>
          <w:p w14:paraId="7CD697E0">
            <w:pPr>
              <w:jc w:val="center"/>
              <w:rPr>
                <w:rFonts w:hint="eastAsia" w:ascii="宋体" w:hAnsi="宋体" w:eastAsia="宋体" w:cs="宋体"/>
                <w:color w:val="auto"/>
                <w:sz w:val="20"/>
                <w:szCs w:val="20"/>
                <w:highlight w:val="none"/>
                <w:lang w:val="en-US" w:eastAsia="zh-CN"/>
              </w:rPr>
            </w:pPr>
          </w:p>
        </w:tc>
        <w:tc>
          <w:tcPr>
            <w:tcW w:w="2741" w:type="dxa"/>
            <w:shd w:val="clear" w:color="auto" w:fill="auto"/>
            <w:vAlign w:val="center"/>
          </w:tcPr>
          <w:p w14:paraId="48C9B4CD">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773" w:type="dxa"/>
            <w:shd w:val="clear" w:color="auto" w:fill="auto"/>
            <w:vAlign w:val="center"/>
          </w:tcPr>
          <w:p w14:paraId="43956A58">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825" w:type="dxa"/>
            <w:vAlign w:val="top"/>
          </w:tcPr>
          <w:p w14:paraId="7A62945B">
            <w:pPr>
              <w:jc w:val="center"/>
              <w:rPr>
                <w:rFonts w:hint="eastAsia" w:ascii="宋体" w:hAnsi="宋体" w:eastAsia="宋体" w:cs="宋体"/>
                <w:color w:val="auto"/>
                <w:sz w:val="20"/>
                <w:szCs w:val="20"/>
                <w:highlight w:val="none"/>
              </w:rPr>
            </w:pPr>
          </w:p>
        </w:tc>
        <w:tc>
          <w:tcPr>
            <w:tcW w:w="775" w:type="dxa"/>
            <w:vAlign w:val="center"/>
          </w:tcPr>
          <w:p w14:paraId="51C6FA9A">
            <w:pPr>
              <w:jc w:val="center"/>
              <w:rPr>
                <w:rFonts w:hint="eastAsia" w:ascii="宋体" w:hAnsi="宋体" w:eastAsia="宋体" w:cs="宋体"/>
                <w:color w:val="auto"/>
                <w:sz w:val="20"/>
                <w:szCs w:val="20"/>
                <w:highlight w:val="none"/>
              </w:rPr>
            </w:pPr>
          </w:p>
        </w:tc>
      </w:tr>
      <w:tr w14:paraId="63A6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 w:hRule="atLeast"/>
          <w:jc w:val="center"/>
        </w:trPr>
        <w:tc>
          <w:tcPr>
            <w:tcW w:w="649" w:type="dxa"/>
            <w:vMerge w:val="continue"/>
            <w:vAlign w:val="center"/>
          </w:tcPr>
          <w:p w14:paraId="2560271D">
            <w:pPr>
              <w:jc w:val="center"/>
              <w:rPr>
                <w:rFonts w:hint="eastAsia" w:ascii="宋体" w:hAnsi="宋体" w:eastAsia="宋体" w:cs="宋体"/>
                <w:color w:val="auto"/>
                <w:sz w:val="20"/>
                <w:szCs w:val="20"/>
                <w:highlight w:val="none"/>
                <w:lang w:val="en-US" w:eastAsia="zh-CN"/>
              </w:rPr>
            </w:pPr>
          </w:p>
        </w:tc>
        <w:tc>
          <w:tcPr>
            <w:tcW w:w="2537" w:type="dxa"/>
            <w:vMerge w:val="continue"/>
            <w:vAlign w:val="center"/>
          </w:tcPr>
          <w:p w14:paraId="4B8E73D0">
            <w:pPr>
              <w:rPr>
                <w:rFonts w:hint="eastAsia" w:ascii="宋体" w:hAnsi="宋体" w:eastAsia="宋体" w:cs="宋体"/>
                <w:color w:val="auto"/>
                <w:sz w:val="20"/>
                <w:szCs w:val="20"/>
                <w:highlight w:val="none"/>
                <w:lang w:eastAsia="zh-CN"/>
              </w:rPr>
            </w:pPr>
          </w:p>
        </w:tc>
        <w:tc>
          <w:tcPr>
            <w:tcW w:w="900" w:type="dxa"/>
            <w:vMerge w:val="continue"/>
            <w:vAlign w:val="center"/>
          </w:tcPr>
          <w:p w14:paraId="53BCEEDC">
            <w:pPr>
              <w:jc w:val="center"/>
              <w:rPr>
                <w:rFonts w:hint="eastAsia" w:ascii="宋体" w:hAnsi="宋体" w:eastAsia="宋体" w:cs="宋体"/>
                <w:color w:val="auto"/>
                <w:sz w:val="20"/>
                <w:szCs w:val="20"/>
                <w:highlight w:val="none"/>
                <w:lang w:val="en-US" w:eastAsia="zh-CN"/>
              </w:rPr>
            </w:pPr>
          </w:p>
        </w:tc>
        <w:tc>
          <w:tcPr>
            <w:tcW w:w="2741" w:type="dxa"/>
            <w:shd w:val="clear" w:color="auto" w:fill="auto"/>
            <w:vAlign w:val="center"/>
          </w:tcPr>
          <w:p w14:paraId="48FDA6B3">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773" w:type="dxa"/>
            <w:shd w:val="clear" w:color="auto" w:fill="auto"/>
            <w:vAlign w:val="center"/>
          </w:tcPr>
          <w:p w14:paraId="330D5EC0">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-1至-3分/项</w:t>
            </w:r>
          </w:p>
        </w:tc>
        <w:tc>
          <w:tcPr>
            <w:tcW w:w="825" w:type="dxa"/>
            <w:vAlign w:val="top"/>
          </w:tcPr>
          <w:p w14:paraId="2D12BE8A">
            <w:pPr>
              <w:jc w:val="center"/>
              <w:rPr>
                <w:rFonts w:hint="eastAsia" w:ascii="宋体" w:hAnsi="宋体" w:eastAsia="宋体" w:cs="宋体"/>
                <w:color w:val="auto"/>
                <w:sz w:val="20"/>
                <w:szCs w:val="20"/>
                <w:highlight w:val="none"/>
              </w:rPr>
            </w:pPr>
          </w:p>
        </w:tc>
        <w:tc>
          <w:tcPr>
            <w:tcW w:w="775" w:type="dxa"/>
            <w:vAlign w:val="center"/>
          </w:tcPr>
          <w:p w14:paraId="24002255">
            <w:pPr>
              <w:jc w:val="center"/>
              <w:rPr>
                <w:rFonts w:hint="eastAsia" w:ascii="宋体" w:hAnsi="宋体" w:eastAsia="宋体" w:cs="宋体"/>
                <w:color w:val="auto"/>
                <w:sz w:val="20"/>
                <w:szCs w:val="20"/>
                <w:highlight w:val="none"/>
              </w:rPr>
            </w:pPr>
          </w:p>
        </w:tc>
      </w:tr>
      <w:tr w14:paraId="36F3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9200" w:type="dxa"/>
            <w:gridSpan w:val="7"/>
            <w:vAlign w:val="center"/>
          </w:tcPr>
          <w:p w14:paraId="1E94B8D0">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lang w:eastAsia="zh-CN"/>
              </w:rPr>
              <w:t>考核分数：</w:t>
            </w:r>
          </w:p>
        </w:tc>
      </w:tr>
      <w:tr w14:paraId="3811B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9200" w:type="dxa"/>
            <w:gridSpan w:val="7"/>
            <w:vAlign w:val="center"/>
          </w:tcPr>
          <w:p w14:paraId="7B1C45D8">
            <w:pPr>
              <w:rPr>
                <w:rFonts w:hint="eastAsia" w:ascii="宋体" w:hAnsi="宋体" w:eastAsia="宋体" w:cs="宋体"/>
                <w:b w:val="0"/>
                <w:bCs w:val="0"/>
                <w:color w:val="auto"/>
                <w:sz w:val="20"/>
                <w:szCs w:val="20"/>
                <w:highlight w:val="none"/>
              </w:rPr>
            </w:pPr>
            <w:r>
              <w:rPr>
                <w:rFonts w:hint="eastAsia" w:ascii="宋体" w:hAnsi="宋体" w:eastAsia="宋体" w:cs="宋体"/>
                <w:color w:val="auto"/>
                <w:sz w:val="20"/>
                <w:szCs w:val="20"/>
                <w:highlight w:val="none"/>
                <w:lang w:eastAsia="zh-CN"/>
              </w:rPr>
              <w:t>考核意见：</w:t>
            </w:r>
          </w:p>
          <w:p w14:paraId="5BC7B511">
            <w:pPr>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 xml:space="preserve">                                                        </w:t>
            </w:r>
            <w:r>
              <w:rPr>
                <w:rFonts w:hint="eastAsia" w:ascii="宋体" w:hAnsi="宋体" w:eastAsia="宋体" w:cs="宋体"/>
                <w:color w:val="auto"/>
                <w:kern w:val="2"/>
                <w:sz w:val="20"/>
                <w:szCs w:val="20"/>
                <w:highlight w:val="none"/>
                <w:lang w:val="en-US" w:eastAsia="zh-CN" w:bidi="ar-SA"/>
              </w:rPr>
              <w:t>签名：</w:t>
            </w:r>
          </w:p>
          <w:p w14:paraId="0DB65FFD">
            <w:pPr>
              <w:ind w:firstLine="5600" w:firstLineChars="280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kern w:val="2"/>
                <w:sz w:val="20"/>
                <w:szCs w:val="20"/>
                <w:highlight w:val="none"/>
                <w:lang w:val="en-US" w:eastAsia="zh-CN" w:bidi="ar-SA"/>
              </w:rPr>
              <w:t>日期：</w:t>
            </w:r>
          </w:p>
        </w:tc>
      </w:tr>
    </w:tbl>
    <w:p w14:paraId="0A67141A">
      <w:pPr>
        <w:keepNext/>
        <w:keepLines w:val="0"/>
        <w:pageBreakBefore w:val="0"/>
        <w:widowControl w:val="0"/>
        <w:kinsoku/>
        <w:wordWrap/>
        <w:overflowPunct/>
        <w:topLinePunct w:val="0"/>
        <w:autoSpaceDE/>
        <w:autoSpaceDN/>
        <w:bidi w:val="0"/>
        <w:adjustRightInd/>
        <w:snapToGrid/>
        <w:spacing w:line="560" w:lineRule="exact"/>
        <w:ind w:firstLine="402" w:firstLineChars="200"/>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4.3秩序维护服务内容及标准（100分）</w:t>
      </w:r>
    </w:p>
    <w:tbl>
      <w:tblPr>
        <w:tblStyle w:val="15"/>
        <w:tblW w:w="951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5"/>
        <w:gridCol w:w="2953"/>
        <w:gridCol w:w="665"/>
        <w:gridCol w:w="2894"/>
        <w:gridCol w:w="780"/>
        <w:gridCol w:w="825"/>
        <w:gridCol w:w="750"/>
      </w:tblGrid>
      <w:tr w14:paraId="2A86AD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523778FD">
            <w:pPr>
              <w:jc w:val="center"/>
              <w:rPr>
                <w:b/>
                <w:bCs/>
                <w:color w:val="auto"/>
                <w:sz w:val="20"/>
                <w:szCs w:val="20"/>
                <w:highlight w:val="none"/>
              </w:rPr>
            </w:pPr>
            <w:r>
              <w:rPr>
                <w:rFonts w:hint="eastAsia"/>
                <w:b/>
                <w:bCs/>
                <w:color w:val="auto"/>
                <w:sz w:val="20"/>
                <w:szCs w:val="20"/>
                <w:highlight w:val="none"/>
              </w:rPr>
              <w:t>序号</w:t>
            </w:r>
          </w:p>
        </w:tc>
        <w:tc>
          <w:tcPr>
            <w:tcW w:w="2953" w:type="dxa"/>
            <w:tcBorders>
              <w:top w:val="single" w:color="auto" w:sz="4" w:space="0"/>
              <w:left w:val="single" w:color="auto" w:sz="4" w:space="0"/>
              <w:bottom w:val="single" w:color="auto" w:sz="4" w:space="0"/>
              <w:right w:val="single" w:color="auto" w:sz="4" w:space="0"/>
            </w:tcBorders>
            <w:vAlign w:val="center"/>
          </w:tcPr>
          <w:p w14:paraId="454C4A80">
            <w:pPr>
              <w:jc w:val="center"/>
              <w:rPr>
                <w:b/>
                <w:bCs/>
                <w:color w:val="auto"/>
                <w:sz w:val="20"/>
                <w:szCs w:val="20"/>
                <w:highlight w:val="none"/>
              </w:rPr>
            </w:pPr>
            <w:r>
              <w:rPr>
                <w:rFonts w:hint="eastAsia"/>
                <w:b/>
                <w:bCs/>
                <w:color w:val="auto"/>
                <w:sz w:val="20"/>
                <w:szCs w:val="20"/>
                <w:highlight w:val="none"/>
              </w:rPr>
              <w:t>服务内容及标准要求</w:t>
            </w:r>
          </w:p>
        </w:tc>
        <w:tc>
          <w:tcPr>
            <w:tcW w:w="665" w:type="dxa"/>
            <w:tcBorders>
              <w:top w:val="single" w:color="auto" w:sz="4" w:space="0"/>
              <w:left w:val="single" w:color="auto" w:sz="4" w:space="0"/>
              <w:bottom w:val="single" w:color="auto" w:sz="4" w:space="0"/>
              <w:right w:val="single" w:color="auto" w:sz="4" w:space="0"/>
            </w:tcBorders>
            <w:vAlign w:val="center"/>
          </w:tcPr>
          <w:p w14:paraId="343DD659">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标准分</w:t>
            </w:r>
          </w:p>
        </w:tc>
        <w:tc>
          <w:tcPr>
            <w:tcW w:w="2894" w:type="dxa"/>
            <w:tcBorders>
              <w:top w:val="single" w:color="auto" w:sz="4" w:space="0"/>
              <w:left w:val="single" w:color="auto" w:sz="4" w:space="0"/>
              <w:bottom w:val="single" w:color="auto" w:sz="4" w:space="0"/>
              <w:right w:val="single" w:color="auto" w:sz="4" w:space="0"/>
            </w:tcBorders>
            <w:vAlign w:val="center"/>
          </w:tcPr>
          <w:p w14:paraId="6306DB31">
            <w:pPr>
              <w:jc w:val="center"/>
              <w:rPr>
                <w:b/>
                <w:bCs/>
                <w:color w:val="auto"/>
                <w:sz w:val="20"/>
                <w:szCs w:val="20"/>
                <w:highlight w:val="none"/>
              </w:rPr>
            </w:pPr>
            <w:r>
              <w:rPr>
                <w:rFonts w:hint="eastAsia"/>
                <w:b/>
                <w:bCs/>
                <w:color w:val="auto"/>
                <w:sz w:val="20"/>
                <w:szCs w:val="20"/>
                <w:highlight w:val="none"/>
              </w:rPr>
              <w:t>检查内容</w:t>
            </w:r>
          </w:p>
        </w:tc>
        <w:tc>
          <w:tcPr>
            <w:tcW w:w="780" w:type="dxa"/>
            <w:tcBorders>
              <w:top w:val="single" w:color="auto" w:sz="4" w:space="0"/>
              <w:left w:val="single" w:color="auto" w:sz="4" w:space="0"/>
              <w:bottom w:val="single" w:color="auto" w:sz="4" w:space="0"/>
              <w:right w:val="single" w:color="auto" w:sz="4" w:space="0"/>
            </w:tcBorders>
            <w:vAlign w:val="center"/>
          </w:tcPr>
          <w:p w14:paraId="7A5033F0">
            <w:pPr>
              <w:jc w:val="center"/>
              <w:rPr>
                <w:b/>
                <w:bCs/>
                <w:color w:val="auto"/>
                <w:sz w:val="20"/>
                <w:szCs w:val="20"/>
                <w:highlight w:val="none"/>
              </w:rPr>
            </w:pPr>
            <w:r>
              <w:rPr>
                <w:rFonts w:hint="eastAsia"/>
                <w:b/>
                <w:bCs/>
                <w:color w:val="auto"/>
                <w:sz w:val="20"/>
                <w:szCs w:val="20"/>
                <w:highlight w:val="none"/>
              </w:rPr>
              <w:t>扣分</w:t>
            </w:r>
          </w:p>
          <w:p w14:paraId="64A69C5D">
            <w:pPr>
              <w:jc w:val="center"/>
              <w:rPr>
                <w:b/>
                <w:bCs/>
                <w:color w:val="auto"/>
                <w:sz w:val="20"/>
                <w:szCs w:val="20"/>
                <w:highlight w:val="none"/>
              </w:rPr>
            </w:pPr>
            <w:r>
              <w:rPr>
                <w:rFonts w:hint="eastAsia"/>
                <w:b/>
                <w:bCs/>
                <w:color w:val="auto"/>
                <w:sz w:val="20"/>
                <w:szCs w:val="20"/>
                <w:highlight w:val="none"/>
              </w:rPr>
              <w:t>标准</w:t>
            </w:r>
          </w:p>
        </w:tc>
        <w:tc>
          <w:tcPr>
            <w:tcW w:w="825" w:type="dxa"/>
            <w:tcBorders>
              <w:top w:val="single" w:color="auto" w:sz="4" w:space="0"/>
              <w:left w:val="single" w:color="auto" w:sz="4" w:space="0"/>
              <w:bottom w:val="single" w:color="auto" w:sz="4" w:space="0"/>
              <w:right w:val="single" w:color="auto" w:sz="4" w:space="0"/>
            </w:tcBorders>
            <w:vAlign w:val="center"/>
          </w:tcPr>
          <w:p w14:paraId="2C319367">
            <w:pPr>
              <w:jc w:val="center"/>
              <w:rPr>
                <w:b/>
                <w:bCs/>
                <w:color w:val="auto"/>
                <w:sz w:val="20"/>
                <w:szCs w:val="20"/>
                <w:highlight w:val="none"/>
              </w:rPr>
            </w:pPr>
            <w:r>
              <w:rPr>
                <w:rFonts w:hint="eastAsia"/>
                <w:b/>
                <w:bCs/>
                <w:color w:val="auto"/>
                <w:sz w:val="20"/>
                <w:szCs w:val="20"/>
                <w:highlight w:val="none"/>
              </w:rPr>
              <w:t>实际</w:t>
            </w:r>
          </w:p>
          <w:p w14:paraId="361FE01A">
            <w:pPr>
              <w:jc w:val="center"/>
              <w:rPr>
                <w:b/>
                <w:bCs/>
                <w:color w:val="auto"/>
                <w:sz w:val="20"/>
                <w:szCs w:val="20"/>
                <w:highlight w:val="none"/>
              </w:rPr>
            </w:pPr>
            <w:r>
              <w:rPr>
                <w:rFonts w:hint="eastAsia"/>
                <w:b/>
                <w:bCs/>
                <w:color w:val="auto"/>
                <w:sz w:val="20"/>
                <w:szCs w:val="20"/>
                <w:highlight w:val="none"/>
              </w:rPr>
              <w:t>扣分</w:t>
            </w:r>
          </w:p>
        </w:tc>
        <w:tc>
          <w:tcPr>
            <w:tcW w:w="750" w:type="dxa"/>
            <w:tcBorders>
              <w:top w:val="single" w:color="auto" w:sz="4" w:space="0"/>
              <w:left w:val="single" w:color="auto" w:sz="4" w:space="0"/>
              <w:bottom w:val="single" w:color="auto" w:sz="4" w:space="0"/>
              <w:right w:val="single" w:color="auto" w:sz="4" w:space="0"/>
            </w:tcBorders>
            <w:vAlign w:val="center"/>
          </w:tcPr>
          <w:p w14:paraId="1D848304">
            <w:pPr>
              <w:ind w:firstLine="201" w:firstLineChars="100"/>
              <w:jc w:val="center"/>
              <w:rPr>
                <w:b/>
                <w:bCs/>
                <w:color w:val="auto"/>
                <w:sz w:val="20"/>
                <w:szCs w:val="20"/>
                <w:highlight w:val="none"/>
              </w:rPr>
            </w:pPr>
            <w:r>
              <w:rPr>
                <w:rFonts w:hint="eastAsia"/>
                <w:b/>
                <w:bCs/>
                <w:color w:val="auto"/>
                <w:sz w:val="20"/>
                <w:szCs w:val="20"/>
                <w:highlight w:val="none"/>
              </w:rPr>
              <w:t>备注</w:t>
            </w:r>
          </w:p>
        </w:tc>
      </w:tr>
      <w:tr w14:paraId="198BE8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6EEB6DC9">
            <w:pPr>
              <w:jc w:val="center"/>
              <w:rPr>
                <w:b/>
                <w:color w:val="auto"/>
                <w:sz w:val="20"/>
                <w:szCs w:val="20"/>
                <w:highlight w:val="none"/>
              </w:rPr>
            </w:pPr>
            <w:r>
              <w:rPr>
                <w:rFonts w:hint="eastAsia"/>
                <w:b/>
                <w:color w:val="auto"/>
                <w:sz w:val="20"/>
                <w:szCs w:val="20"/>
                <w:highlight w:val="none"/>
              </w:rPr>
              <w:t>一</w:t>
            </w:r>
          </w:p>
        </w:tc>
        <w:tc>
          <w:tcPr>
            <w:tcW w:w="2953" w:type="dxa"/>
            <w:tcBorders>
              <w:top w:val="single" w:color="auto" w:sz="4" w:space="0"/>
              <w:left w:val="single" w:color="auto" w:sz="4" w:space="0"/>
              <w:bottom w:val="single" w:color="auto" w:sz="4" w:space="0"/>
              <w:right w:val="single" w:color="auto" w:sz="4" w:space="0"/>
            </w:tcBorders>
            <w:vAlign w:val="center"/>
          </w:tcPr>
          <w:p w14:paraId="07BDDE05">
            <w:pPr>
              <w:rPr>
                <w:b/>
                <w:color w:val="auto"/>
                <w:sz w:val="20"/>
                <w:szCs w:val="20"/>
                <w:highlight w:val="none"/>
              </w:rPr>
            </w:pPr>
            <w:r>
              <w:rPr>
                <w:rFonts w:hint="eastAsia"/>
                <w:b/>
                <w:color w:val="auto"/>
                <w:sz w:val="20"/>
                <w:szCs w:val="20"/>
                <w:highlight w:val="none"/>
              </w:rPr>
              <w:t>治安秩序维护</w:t>
            </w:r>
          </w:p>
        </w:tc>
        <w:tc>
          <w:tcPr>
            <w:tcW w:w="665" w:type="dxa"/>
            <w:tcBorders>
              <w:top w:val="single" w:color="auto" w:sz="4" w:space="0"/>
              <w:left w:val="single" w:color="auto" w:sz="4" w:space="0"/>
              <w:bottom w:val="single" w:color="auto" w:sz="4" w:space="0"/>
              <w:right w:val="single" w:color="auto" w:sz="4" w:space="0"/>
            </w:tcBorders>
            <w:vAlign w:val="center"/>
          </w:tcPr>
          <w:p w14:paraId="30F0AC7C">
            <w:pPr>
              <w:jc w:val="center"/>
              <w:rPr>
                <w:rFonts w:hint="eastAsia" w:ascii="宋体" w:hAnsi="宋体" w:eastAsia="宋体" w:cs="宋体"/>
                <w:color w:val="auto"/>
                <w:sz w:val="20"/>
                <w:szCs w:val="20"/>
                <w:highlight w:val="none"/>
                <w:lang w:val="en-US" w:eastAsia="zh-CN"/>
              </w:rPr>
            </w:pPr>
            <w:r>
              <w:rPr>
                <w:rFonts w:hint="eastAsia" w:ascii="宋体" w:hAnsi="宋体" w:cs="宋体"/>
                <w:b/>
                <w:bCs/>
                <w:color w:val="auto"/>
                <w:sz w:val="20"/>
                <w:szCs w:val="20"/>
                <w:highlight w:val="none"/>
                <w:lang w:val="en-US" w:eastAsia="zh-CN"/>
              </w:rPr>
              <w:t>18</w:t>
            </w:r>
          </w:p>
        </w:tc>
        <w:tc>
          <w:tcPr>
            <w:tcW w:w="2894" w:type="dxa"/>
            <w:tcBorders>
              <w:top w:val="single" w:color="auto" w:sz="4" w:space="0"/>
              <w:left w:val="single" w:color="auto" w:sz="4" w:space="0"/>
              <w:bottom w:val="single" w:color="auto" w:sz="4" w:space="0"/>
              <w:right w:val="single" w:color="auto" w:sz="4" w:space="0"/>
            </w:tcBorders>
            <w:vAlign w:val="center"/>
          </w:tcPr>
          <w:p w14:paraId="7F3A297D">
            <w:pPr>
              <w:rPr>
                <w:b/>
                <w:color w:val="auto"/>
                <w:sz w:val="20"/>
                <w:szCs w:val="20"/>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59980F2C">
            <w:pPr>
              <w:jc w:val="center"/>
              <w:rPr>
                <w:rFonts w:hint="eastAsia" w:eastAsia="宋体"/>
                <w:b/>
                <w:color w:val="auto"/>
                <w:sz w:val="20"/>
                <w:szCs w:val="20"/>
                <w:highlight w:val="none"/>
                <w:lang w:eastAsia="zh-CN"/>
              </w:rPr>
            </w:pPr>
          </w:p>
        </w:tc>
        <w:tc>
          <w:tcPr>
            <w:tcW w:w="825" w:type="dxa"/>
            <w:tcBorders>
              <w:top w:val="single" w:color="auto" w:sz="4" w:space="0"/>
              <w:left w:val="single" w:color="auto" w:sz="4" w:space="0"/>
              <w:bottom w:val="single" w:color="auto" w:sz="4" w:space="0"/>
              <w:right w:val="single" w:color="auto" w:sz="4" w:space="0"/>
            </w:tcBorders>
            <w:vAlign w:val="center"/>
          </w:tcPr>
          <w:p w14:paraId="496CFB64">
            <w:pPr>
              <w:jc w:val="center"/>
              <w:rPr>
                <w:rFonts w:hint="eastAsia" w:ascii="宋体" w:hAnsi="宋体" w:eastAsia="宋体" w:cs="宋体"/>
                <w:b/>
                <w:color w:val="auto"/>
                <w:sz w:val="20"/>
                <w:szCs w:val="20"/>
                <w:highlight w:val="none"/>
                <w:lang w:eastAsia="zh-CN"/>
              </w:rPr>
            </w:pPr>
          </w:p>
        </w:tc>
        <w:tc>
          <w:tcPr>
            <w:tcW w:w="750" w:type="dxa"/>
            <w:tcBorders>
              <w:top w:val="single" w:color="auto" w:sz="4" w:space="0"/>
              <w:left w:val="single" w:color="auto" w:sz="4" w:space="0"/>
              <w:bottom w:val="single" w:color="auto" w:sz="4" w:space="0"/>
              <w:right w:val="single" w:color="auto" w:sz="4" w:space="0"/>
            </w:tcBorders>
            <w:vAlign w:val="center"/>
          </w:tcPr>
          <w:p w14:paraId="0BB8FDB7">
            <w:pPr>
              <w:jc w:val="center"/>
              <w:rPr>
                <w:rFonts w:hint="eastAsia" w:eastAsia="宋体"/>
                <w:b/>
                <w:color w:val="auto"/>
                <w:sz w:val="20"/>
                <w:szCs w:val="20"/>
                <w:highlight w:val="none"/>
                <w:lang w:val="en-US" w:eastAsia="zh-CN"/>
              </w:rPr>
            </w:pPr>
          </w:p>
        </w:tc>
      </w:tr>
      <w:tr w14:paraId="68B9D9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restart"/>
            <w:tcBorders>
              <w:top w:val="single" w:color="auto" w:sz="4" w:space="0"/>
              <w:left w:val="single" w:color="auto" w:sz="4" w:space="0"/>
              <w:right w:val="single" w:color="auto" w:sz="4" w:space="0"/>
            </w:tcBorders>
            <w:vAlign w:val="center"/>
          </w:tcPr>
          <w:p w14:paraId="7947E9FC">
            <w:pPr>
              <w:jc w:val="center"/>
              <w:rPr>
                <w:color w:val="auto"/>
                <w:sz w:val="20"/>
                <w:szCs w:val="20"/>
                <w:highlight w:val="none"/>
              </w:rPr>
            </w:pPr>
            <w:r>
              <w:rPr>
                <w:color w:val="auto"/>
                <w:sz w:val="20"/>
                <w:szCs w:val="20"/>
                <w:highlight w:val="none"/>
              </w:rPr>
              <w:t>1</w:t>
            </w:r>
          </w:p>
        </w:tc>
        <w:tc>
          <w:tcPr>
            <w:tcW w:w="2953" w:type="dxa"/>
            <w:vMerge w:val="restart"/>
            <w:tcBorders>
              <w:top w:val="single" w:color="auto" w:sz="4" w:space="0"/>
              <w:left w:val="single" w:color="auto" w:sz="4" w:space="0"/>
              <w:right w:val="single" w:color="auto" w:sz="4" w:space="0"/>
            </w:tcBorders>
            <w:vAlign w:val="center"/>
          </w:tcPr>
          <w:p w14:paraId="5CC8A7A1">
            <w:pPr>
              <w:bidi w:val="0"/>
              <w:rPr>
                <w:rFonts w:hint="eastAsia" w:asciiTheme="minorHAnsi" w:hAnsiTheme="minorHAnsi" w:eastAsiaTheme="minorEastAsia" w:cstheme="minorBidi"/>
                <w:color w:val="auto"/>
                <w:kern w:val="2"/>
                <w:szCs w:val="20"/>
                <w:highlight w:val="none"/>
                <w:lang w:val="en-US" w:eastAsia="zh-CN" w:bidi="ar-SA"/>
              </w:rPr>
            </w:pPr>
            <w:r>
              <w:rPr>
                <w:rFonts w:hint="eastAsia"/>
                <w:highlight w:val="none"/>
                <w:lang w:val="en-US" w:eastAsia="zh-CN"/>
              </w:rPr>
              <w:t>制定秩序维护服务各项规章制度及突发事件预案，编制秩序维护服务工作计划并组织实施。每月10日前，向采购方综合服务中心报送月度工作总结及工作计划。积极做好社会治安综合治理工作。</w:t>
            </w:r>
          </w:p>
        </w:tc>
        <w:tc>
          <w:tcPr>
            <w:tcW w:w="665" w:type="dxa"/>
            <w:vMerge w:val="restart"/>
            <w:tcBorders>
              <w:top w:val="single" w:color="auto" w:sz="4" w:space="0"/>
              <w:left w:val="single" w:color="auto" w:sz="4" w:space="0"/>
              <w:right w:val="single" w:color="auto" w:sz="4" w:space="0"/>
            </w:tcBorders>
            <w:vAlign w:val="center"/>
          </w:tcPr>
          <w:p w14:paraId="43DDED24">
            <w:pPr>
              <w:jc w:val="center"/>
              <w:rPr>
                <w:rFonts w:hint="default" w:asciiTheme="minorHAnsi" w:hAnsiTheme="minorHAnsi" w:eastAsiaTheme="minorEastAsia" w:cstheme="minorBidi"/>
                <w:color w:val="auto"/>
                <w:kern w:val="2"/>
                <w:sz w:val="20"/>
                <w:szCs w:val="20"/>
                <w:highlight w:val="none"/>
                <w:lang w:val="en-US" w:eastAsia="zh-CN" w:bidi="ar-SA"/>
              </w:rPr>
            </w:pPr>
            <w:r>
              <w:rPr>
                <w:rFonts w:hint="eastAsia" w:asciiTheme="minorHAnsi" w:hAnsiTheme="minorHAnsi" w:eastAsiaTheme="minorEastAsia" w:cstheme="minorBidi"/>
                <w:color w:val="auto"/>
                <w:kern w:val="2"/>
                <w:sz w:val="20"/>
                <w:szCs w:val="20"/>
                <w:highlight w:val="none"/>
                <w:lang w:val="en-US" w:eastAsia="zh-CN" w:bidi="ar-SA"/>
              </w:rPr>
              <w:t>8</w:t>
            </w:r>
          </w:p>
        </w:tc>
        <w:tc>
          <w:tcPr>
            <w:tcW w:w="2894" w:type="dxa"/>
            <w:tcBorders>
              <w:top w:val="single" w:color="auto" w:sz="4" w:space="0"/>
              <w:left w:val="single" w:color="auto" w:sz="4" w:space="0"/>
              <w:bottom w:val="single" w:color="auto" w:sz="4" w:space="0"/>
              <w:right w:val="single" w:color="auto" w:sz="4" w:space="0"/>
            </w:tcBorders>
            <w:vAlign w:val="center"/>
          </w:tcPr>
          <w:p w14:paraId="46904F97">
            <w:pPr>
              <w:rPr>
                <w:rFonts w:hint="eastAsia" w:asciiTheme="minorHAnsi" w:hAnsiTheme="minorHAnsi" w:eastAsiaTheme="minorEastAsia" w:cstheme="minorBidi"/>
                <w:color w:val="auto"/>
                <w:kern w:val="2"/>
                <w:sz w:val="20"/>
                <w:szCs w:val="20"/>
                <w:highlight w:val="none"/>
                <w:lang w:val="en-US" w:eastAsia="zh-CN" w:bidi="ar-SA"/>
              </w:rPr>
            </w:pPr>
            <w:r>
              <w:rPr>
                <w:rFonts w:hint="eastAsia" w:asciiTheme="minorHAnsi" w:hAnsiTheme="minorHAnsi" w:eastAsiaTheme="minorEastAsia" w:cstheme="minorBidi"/>
                <w:color w:val="auto"/>
                <w:kern w:val="2"/>
                <w:sz w:val="20"/>
                <w:szCs w:val="20"/>
                <w:highlight w:val="none"/>
                <w:lang w:val="en-US" w:eastAsia="zh-CN" w:bidi="ar-SA"/>
              </w:rPr>
              <w:t>无管理制度、无突发事件预案或有制度不执行，处理突发事件不及时或不妥善处置。</w:t>
            </w:r>
          </w:p>
        </w:tc>
        <w:tc>
          <w:tcPr>
            <w:tcW w:w="780" w:type="dxa"/>
            <w:tcBorders>
              <w:top w:val="single" w:color="auto" w:sz="4" w:space="0"/>
              <w:left w:val="single" w:color="auto" w:sz="4" w:space="0"/>
              <w:bottom w:val="single" w:color="auto" w:sz="4" w:space="0"/>
              <w:right w:val="single" w:color="auto" w:sz="4" w:space="0"/>
            </w:tcBorders>
            <w:vAlign w:val="center"/>
          </w:tcPr>
          <w:p w14:paraId="39FF5616">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-0.1分/项次</w:t>
            </w:r>
          </w:p>
        </w:tc>
        <w:tc>
          <w:tcPr>
            <w:tcW w:w="825" w:type="dxa"/>
            <w:tcBorders>
              <w:top w:val="single" w:color="auto" w:sz="4" w:space="0"/>
              <w:left w:val="single" w:color="auto" w:sz="4" w:space="0"/>
              <w:bottom w:val="single" w:color="auto" w:sz="4" w:space="0"/>
              <w:right w:val="single" w:color="auto" w:sz="4" w:space="0"/>
            </w:tcBorders>
            <w:vAlign w:val="center"/>
          </w:tcPr>
          <w:p w14:paraId="75B19F26">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4C5A4A1">
            <w:pPr>
              <w:jc w:val="center"/>
              <w:rPr>
                <w:color w:val="auto"/>
                <w:sz w:val="20"/>
                <w:szCs w:val="20"/>
                <w:highlight w:val="none"/>
              </w:rPr>
            </w:pPr>
          </w:p>
        </w:tc>
      </w:tr>
      <w:tr w14:paraId="7B57CA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left w:val="single" w:color="auto" w:sz="4" w:space="0"/>
              <w:bottom w:val="single" w:color="auto" w:sz="4" w:space="0"/>
              <w:right w:val="single" w:color="auto" w:sz="4" w:space="0"/>
            </w:tcBorders>
            <w:vAlign w:val="center"/>
          </w:tcPr>
          <w:p w14:paraId="5DB7EEC9">
            <w:pPr>
              <w:jc w:val="center"/>
              <w:rPr>
                <w:color w:val="auto"/>
                <w:sz w:val="20"/>
                <w:szCs w:val="20"/>
                <w:highlight w:val="none"/>
              </w:rPr>
            </w:pPr>
          </w:p>
        </w:tc>
        <w:tc>
          <w:tcPr>
            <w:tcW w:w="2953" w:type="dxa"/>
            <w:vMerge w:val="continue"/>
            <w:tcBorders>
              <w:left w:val="single" w:color="auto" w:sz="4" w:space="0"/>
              <w:bottom w:val="single" w:color="auto" w:sz="4" w:space="0"/>
              <w:right w:val="single" w:color="auto" w:sz="4" w:space="0"/>
            </w:tcBorders>
            <w:vAlign w:val="center"/>
          </w:tcPr>
          <w:p w14:paraId="1CC4777B">
            <w:pPr>
              <w:pStyle w:val="2"/>
              <w:outlineLvl w:val="9"/>
              <w:rPr>
                <w:rFonts w:hint="eastAsia" w:asciiTheme="minorHAnsi" w:hAnsiTheme="minorHAnsi" w:eastAsiaTheme="minorEastAsia" w:cstheme="minorBidi"/>
                <w:color w:val="auto"/>
                <w:kern w:val="2"/>
                <w:sz w:val="20"/>
                <w:szCs w:val="20"/>
                <w:highlight w:val="none"/>
                <w:lang w:val="en-US" w:eastAsia="zh-CN" w:bidi="ar-SA"/>
              </w:rPr>
            </w:pPr>
          </w:p>
        </w:tc>
        <w:tc>
          <w:tcPr>
            <w:tcW w:w="665" w:type="dxa"/>
            <w:vMerge w:val="continue"/>
            <w:tcBorders>
              <w:left w:val="single" w:color="auto" w:sz="4" w:space="0"/>
              <w:bottom w:val="single" w:color="auto" w:sz="4" w:space="0"/>
              <w:right w:val="single" w:color="auto" w:sz="4" w:space="0"/>
            </w:tcBorders>
            <w:vAlign w:val="center"/>
          </w:tcPr>
          <w:p w14:paraId="7540E7E5">
            <w:pPr>
              <w:jc w:val="center"/>
              <w:rPr>
                <w:rFonts w:hint="default" w:asciiTheme="minorHAnsi" w:hAnsiTheme="minorHAnsi" w:eastAsiaTheme="minorEastAsia" w:cstheme="minorBidi"/>
                <w:color w:val="auto"/>
                <w:kern w:val="2"/>
                <w:sz w:val="20"/>
                <w:szCs w:val="20"/>
                <w:highlight w:val="none"/>
                <w:lang w:val="en-US" w:eastAsia="zh-CN" w:bidi="ar-SA"/>
              </w:rPr>
            </w:pPr>
          </w:p>
        </w:tc>
        <w:tc>
          <w:tcPr>
            <w:tcW w:w="2894" w:type="dxa"/>
            <w:tcBorders>
              <w:top w:val="single" w:color="auto" w:sz="4" w:space="0"/>
              <w:left w:val="single" w:color="auto" w:sz="4" w:space="0"/>
              <w:bottom w:val="single" w:color="auto" w:sz="4" w:space="0"/>
              <w:right w:val="single" w:color="auto" w:sz="4" w:space="0"/>
            </w:tcBorders>
            <w:vAlign w:val="center"/>
          </w:tcPr>
          <w:p w14:paraId="293C1939">
            <w:pPr>
              <w:rPr>
                <w:rFonts w:hint="eastAsia" w:asciiTheme="minorHAnsi" w:hAnsiTheme="minorHAnsi" w:eastAsiaTheme="minorEastAsia" w:cstheme="minorBidi"/>
                <w:color w:val="auto"/>
                <w:kern w:val="2"/>
                <w:sz w:val="20"/>
                <w:szCs w:val="20"/>
                <w:highlight w:val="none"/>
                <w:lang w:val="en-US" w:eastAsia="zh-CN" w:bidi="ar-SA"/>
              </w:rPr>
            </w:pPr>
            <w:r>
              <w:rPr>
                <w:rFonts w:hint="eastAsia" w:asciiTheme="minorHAnsi" w:hAnsiTheme="minorHAnsi" w:eastAsiaTheme="minorEastAsia" w:cstheme="minorBidi"/>
                <w:color w:val="auto"/>
                <w:kern w:val="2"/>
                <w:sz w:val="20"/>
                <w:szCs w:val="20"/>
                <w:highlight w:val="none"/>
                <w:lang w:val="en-US" w:eastAsia="zh-CN" w:bidi="ar-SA"/>
              </w:rPr>
              <w:t>不按要求做好社会综合治理工作</w:t>
            </w:r>
            <w:r>
              <w:rPr>
                <w:rFonts w:hint="eastAsia" w:cstheme="minorBidi"/>
                <w:color w:val="auto"/>
                <w:kern w:val="2"/>
                <w:sz w:val="20"/>
                <w:szCs w:val="20"/>
                <w:highlight w:val="none"/>
                <w:lang w:val="en-US" w:eastAsia="zh-CN" w:bidi="ar-SA"/>
              </w:rPr>
              <w:t>。</w:t>
            </w:r>
          </w:p>
        </w:tc>
        <w:tc>
          <w:tcPr>
            <w:tcW w:w="780" w:type="dxa"/>
            <w:tcBorders>
              <w:top w:val="single" w:color="auto" w:sz="4" w:space="0"/>
              <w:left w:val="single" w:color="auto" w:sz="4" w:space="0"/>
              <w:bottom w:val="single" w:color="auto" w:sz="4" w:space="0"/>
              <w:right w:val="single" w:color="auto" w:sz="4" w:space="0"/>
            </w:tcBorders>
            <w:vAlign w:val="center"/>
          </w:tcPr>
          <w:p w14:paraId="54374992">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-0.1分/项次</w:t>
            </w:r>
          </w:p>
        </w:tc>
        <w:tc>
          <w:tcPr>
            <w:tcW w:w="825" w:type="dxa"/>
            <w:tcBorders>
              <w:top w:val="single" w:color="auto" w:sz="4" w:space="0"/>
              <w:left w:val="single" w:color="auto" w:sz="4" w:space="0"/>
              <w:bottom w:val="single" w:color="auto" w:sz="4" w:space="0"/>
              <w:right w:val="single" w:color="auto" w:sz="4" w:space="0"/>
            </w:tcBorders>
            <w:vAlign w:val="center"/>
          </w:tcPr>
          <w:p w14:paraId="597DB47E">
            <w:pPr>
              <w:jc w:val="center"/>
              <w:rPr>
                <w:rFonts w:hint="eastAsia" w:ascii="宋体" w:hAnsi="宋体" w:eastAsia="宋体" w:cs="宋体"/>
                <w:color w:val="auto"/>
                <w:sz w:val="20"/>
                <w:szCs w:val="20"/>
                <w:highlight w:val="none"/>
                <w:lang w:eastAsia="zh-CN"/>
              </w:rPr>
            </w:pPr>
          </w:p>
        </w:tc>
        <w:tc>
          <w:tcPr>
            <w:tcW w:w="750" w:type="dxa"/>
            <w:tcBorders>
              <w:top w:val="single" w:color="auto" w:sz="4" w:space="0"/>
              <w:left w:val="single" w:color="auto" w:sz="4" w:space="0"/>
              <w:bottom w:val="single" w:color="auto" w:sz="4" w:space="0"/>
              <w:right w:val="single" w:color="auto" w:sz="4" w:space="0"/>
            </w:tcBorders>
            <w:vAlign w:val="center"/>
          </w:tcPr>
          <w:p w14:paraId="7B26F6CE">
            <w:pPr>
              <w:jc w:val="center"/>
              <w:rPr>
                <w:rFonts w:hint="eastAsia" w:eastAsia="宋体"/>
                <w:color w:val="auto"/>
                <w:sz w:val="20"/>
                <w:szCs w:val="20"/>
                <w:highlight w:val="none"/>
                <w:lang w:eastAsia="zh-CN"/>
              </w:rPr>
            </w:pPr>
          </w:p>
        </w:tc>
      </w:tr>
      <w:tr w14:paraId="6BCBF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restart"/>
            <w:tcBorders>
              <w:top w:val="single" w:color="auto" w:sz="4" w:space="0"/>
              <w:left w:val="single" w:color="auto" w:sz="4" w:space="0"/>
              <w:bottom w:val="single" w:color="auto" w:sz="4" w:space="0"/>
              <w:right w:val="single" w:color="auto" w:sz="4" w:space="0"/>
            </w:tcBorders>
            <w:vAlign w:val="center"/>
          </w:tcPr>
          <w:p w14:paraId="5B0500DF">
            <w:pPr>
              <w:jc w:val="center"/>
              <w:rPr>
                <w:color w:val="auto"/>
                <w:sz w:val="20"/>
                <w:szCs w:val="20"/>
                <w:highlight w:val="none"/>
              </w:rPr>
            </w:pPr>
            <w:r>
              <w:rPr>
                <w:color w:val="auto"/>
                <w:sz w:val="20"/>
                <w:szCs w:val="20"/>
                <w:highlight w:val="none"/>
              </w:rPr>
              <w:t>2</w:t>
            </w:r>
          </w:p>
        </w:tc>
        <w:tc>
          <w:tcPr>
            <w:tcW w:w="2953" w:type="dxa"/>
            <w:vMerge w:val="restart"/>
            <w:tcBorders>
              <w:top w:val="single" w:color="auto" w:sz="4" w:space="0"/>
              <w:left w:val="single" w:color="auto" w:sz="4" w:space="0"/>
              <w:bottom w:val="single" w:color="auto" w:sz="4" w:space="0"/>
              <w:right w:val="single" w:color="auto" w:sz="4" w:space="0"/>
            </w:tcBorders>
            <w:vAlign w:val="center"/>
          </w:tcPr>
          <w:p w14:paraId="59B75C32">
            <w:pPr>
              <w:rPr>
                <w:color w:val="auto"/>
                <w:sz w:val="20"/>
                <w:szCs w:val="20"/>
                <w:highlight w:val="none"/>
              </w:rPr>
            </w:pPr>
            <w:r>
              <w:rPr>
                <w:rFonts w:hint="eastAsia"/>
                <w:color w:val="auto"/>
                <w:sz w:val="20"/>
                <w:szCs w:val="20"/>
                <w:highlight w:val="none"/>
              </w:rPr>
              <w:t>依据合同为职工提供秩序维护服务工作，保护办公场所、营业场所内的公共设施，保护人员的人身和财产安全，维护办公场所、营业场所内部的正常秩序。协助公安机关查处内部案件，发生案件一小时内</w:t>
            </w:r>
            <w:r>
              <w:rPr>
                <w:rFonts w:hint="eastAsia"/>
                <w:color w:val="auto"/>
                <w:sz w:val="20"/>
                <w:szCs w:val="20"/>
                <w:highlight w:val="none"/>
                <w:lang w:eastAsia="zh-CN"/>
              </w:rPr>
              <w:t>服务商</w:t>
            </w:r>
            <w:r>
              <w:rPr>
                <w:rFonts w:hint="eastAsia"/>
                <w:color w:val="auto"/>
                <w:sz w:val="20"/>
                <w:szCs w:val="20"/>
                <w:highlight w:val="none"/>
              </w:rPr>
              <w:t>口头向</w:t>
            </w:r>
            <w:r>
              <w:rPr>
                <w:rFonts w:hint="eastAsia"/>
                <w:color w:val="auto"/>
                <w:sz w:val="20"/>
                <w:szCs w:val="20"/>
                <w:highlight w:val="none"/>
                <w:lang w:eastAsia="zh-CN"/>
              </w:rPr>
              <w:t>采购方</w:t>
            </w:r>
            <w:r>
              <w:rPr>
                <w:rFonts w:hint="eastAsia"/>
                <w:color w:val="auto"/>
                <w:sz w:val="20"/>
                <w:szCs w:val="20"/>
                <w:highlight w:val="none"/>
              </w:rPr>
              <w:t>报告案发情况。</w:t>
            </w:r>
          </w:p>
        </w:tc>
        <w:tc>
          <w:tcPr>
            <w:tcW w:w="665" w:type="dxa"/>
            <w:vMerge w:val="restart"/>
            <w:tcBorders>
              <w:top w:val="single" w:color="auto" w:sz="4" w:space="0"/>
              <w:left w:val="single" w:color="auto" w:sz="4" w:space="0"/>
              <w:right w:val="single" w:color="auto" w:sz="4" w:space="0"/>
            </w:tcBorders>
            <w:vAlign w:val="center"/>
          </w:tcPr>
          <w:p w14:paraId="4DDE48E9">
            <w:pPr>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10</w:t>
            </w:r>
          </w:p>
        </w:tc>
        <w:tc>
          <w:tcPr>
            <w:tcW w:w="2894" w:type="dxa"/>
            <w:tcBorders>
              <w:top w:val="single" w:color="auto" w:sz="4" w:space="0"/>
              <w:left w:val="single" w:color="auto" w:sz="4" w:space="0"/>
              <w:bottom w:val="single" w:color="auto" w:sz="4" w:space="0"/>
              <w:right w:val="single" w:color="auto" w:sz="4" w:space="0"/>
            </w:tcBorders>
            <w:vAlign w:val="center"/>
          </w:tcPr>
          <w:p w14:paraId="59BFF551">
            <w:pPr>
              <w:rPr>
                <w:color w:val="auto"/>
                <w:sz w:val="20"/>
                <w:szCs w:val="20"/>
                <w:highlight w:val="none"/>
              </w:rPr>
            </w:pPr>
            <w:r>
              <w:rPr>
                <w:rFonts w:hint="eastAsia"/>
                <w:color w:val="auto"/>
                <w:sz w:val="20"/>
                <w:szCs w:val="20"/>
                <w:highlight w:val="none"/>
              </w:rPr>
              <w:t>不维护办公场所、营业场所内部的正常秩序、不配合公安机关处理发生案件或发生案件不按时报告的</w:t>
            </w:r>
          </w:p>
        </w:tc>
        <w:tc>
          <w:tcPr>
            <w:tcW w:w="780" w:type="dxa"/>
            <w:tcBorders>
              <w:top w:val="single" w:color="auto" w:sz="4" w:space="0"/>
              <w:left w:val="single" w:color="auto" w:sz="4" w:space="0"/>
              <w:bottom w:val="single" w:color="auto" w:sz="4" w:space="0"/>
              <w:right w:val="single" w:color="auto" w:sz="4" w:space="0"/>
            </w:tcBorders>
            <w:vAlign w:val="center"/>
          </w:tcPr>
          <w:p w14:paraId="1B7F092A">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分/项次</w:t>
            </w:r>
          </w:p>
        </w:tc>
        <w:tc>
          <w:tcPr>
            <w:tcW w:w="825" w:type="dxa"/>
            <w:tcBorders>
              <w:top w:val="single" w:color="auto" w:sz="4" w:space="0"/>
              <w:left w:val="single" w:color="auto" w:sz="4" w:space="0"/>
              <w:bottom w:val="single" w:color="auto" w:sz="4" w:space="0"/>
              <w:right w:val="single" w:color="auto" w:sz="4" w:space="0"/>
            </w:tcBorders>
            <w:vAlign w:val="center"/>
          </w:tcPr>
          <w:p w14:paraId="073D27FF">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51B28A03">
            <w:pPr>
              <w:jc w:val="center"/>
              <w:rPr>
                <w:color w:val="auto"/>
                <w:sz w:val="20"/>
                <w:szCs w:val="20"/>
                <w:highlight w:val="none"/>
              </w:rPr>
            </w:pPr>
          </w:p>
        </w:tc>
      </w:tr>
      <w:tr w14:paraId="4022D0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top w:val="single" w:color="auto" w:sz="4" w:space="0"/>
              <w:left w:val="single" w:color="auto" w:sz="4" w:space="0"/>
              <w:bottom w:val="single" w:color="auto" w:sz="4" w:space="0"/>
              <w:right w:val="single" w:color="auto" w:sz="4" w:space="0"/>
            </w:tcBorders>
            <w:vAlign w:val="center"/>
          </w:tcPr>
          <w:p w14:paraId="2D00DC8A">
            <w:pPr>
              <w:widowControl/>
              <w:jc w:val="left"/>
              <w:rPr>
                <w:color w:val="auto"/>
                <w:sz w:val="20"/>
                <w:szCs w:val="20"/>
                <w:highlight w:val="none"/>
              </w:rPr>
            </w:pPr>
          </w:p>
        </w:tc>
        <w:tc>
          <w:tcPr>
            <w:tcW w:w="2953" w:type="dxa"/>
            <w:vMerge w:val="continue"/>
            <w:tcBorders>
              <w:top w:val="single" w:color="auto" w:sz="4" w:space="0"/>
              <w:left w:val="single" w:color="auto" w:sz="4" w:space="0"/>
              <w:bottom w:val="single" w:color="auto" w:sz="4" w:space="0"/>
              <w:right w:val="single" w:color="auto" w:sz="4" w:space="0"/>
            </w:tcBorders>
            <w:vAlign w:val="center"/>
          </w:tcPr>
          <w:p w14:paraId="5B85DA91">
            <w:pPr>
              <w:widowControl/>
              <w:jc w:val="left"/>
              <w:rPr>
                <w:color w:val="auto"/>
                <w:sz w:val="20"/>
                <w:szCs w:val="20"/>
                <w:highlight w:val="none"/>
              </w:rPr>
            </w:pPr>
          </w:p>
        </w:tc>
        <w:tc>
          <w:tcPr>
            <w:tcW w:w="665" w:type="dxa"/>
            <w:vMerge w:val="continue"/>
            <w:tcBorders>
              <w:left w:val="single" w:color="auto" w:sz="4" w:space="0"/>
              <w:right w:val="single" w:color="auto" w:sz="4" w:space="0"/>
            </w:tcBorders>
            <w:vAlign w:val="center"/>
          </w:tcPr>
          <w:p w14:paraId="1D4EDB44">
            <w:pPr>
              <w:jc w:val="center"/>
              <w:rPr>
                <w:rFonts w:hint="eastAsia" w:ascii="宋体" w:hAnsi="宋体" w:eastAsia="宋体" w:cs="宋体"/>
                <w:color w:val="auto"/>
                <w:sz w:val="20"/>
                <w:szCs w:val="20"/>
                <w:highlight w:val="none"/>
                <w:lang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6698C4F0">
            <w:pPr>
              <w:rPr>
                <w:rFonts w:hint="eastAsia" w:eastAsiaTheme="minorEastAsia"/>
                <w:color w:val="auto"/>
                <w:sz w:val="20"/>
                <w:szCs w:val="20"/>
                <w:highlight w:val="none"/>
                <w:lang w:eastAsia="zh-CN"/>
              </w:rPr>
            </w:pPr>
            <w:r>
              <w:rPr>
                <w:rFonts w:hint="eastAsia"/>
                <w:color w:val="auto"/>
                <w:sz w:val="20"/>
                <w:szCs w:val="20"/>
                <w:highlight w:val="none"/>
              </w:rPr>
              <w:t>发生一般刑事案件或治安案件经济损失在3000元以下的</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528310A6">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3</w:t>
            </w:r>
            <w:r>
              <w:rPr>
                <w:rFonts w:hint="eastAsia" w:ascii="宋体" w:hAnsi="宋体" w:cs="宋体"/>
                <w:color w:val="auto"/>
                <w:sz w:val="20"/>
                <w:szCs w:val="20"/>
                <w:highlight w:val="none"/>
              </w:rPr>
              <w:t>分/次</w:t>
            </w:r>
          </w:p>
        </w:tc>
        <w:tc>
          <w:tcPr>
            <w:tcW w:w="825" w:type="dxa"/>
            <w:tcBorders>
              <w:top w:val="single" w:color="auto" w:sz="4" w:space="0"/>
              <w:left w:val="single" w:color="auto" w:sz="4" w:space="0"/>
              <w:bottom w:val="single" w:color="auto" w:sz="4" w:space="0"/>
              <w:right w:val="single" w:color="auto" w:sz="4" w:space="0"/>
            </w:tcBorders>
            <w:vAlign w:val="center"/>
          </w:tcPr>
          <w:p w14:paraId="55294104">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6F46F5E">
            <w:pPr>
              <w:jc w:val="center"/>
              <w:rPr>
                <w:color w:val="auto"/>
                <w:sz w:val="20"/>
                <w:szCs w:val="20"/>
                <w:highlight w:val="none"/>
              </w:rPr>
            </w:pPr>
          </w:p>
        </w:tc>
      </w:tr>
      <w:tr w14:paraId="2E549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top w:val="single" w:color="auto" w:sz="4" w:space="0"/>
              <w:left w:val="single" w:color="auto" w:sz="4" w:space="0"/>
              <w:bottom w:val="single" w:color="auto" w:sz="4" w:space="0"/>
              <w:right w:val="single" w:color="auto" w:sz="4" w:space="0"/>
            </w:tcBorders>
            <w:vAlign w:val="center"/>
          </w:tcPr>
          <w:p w14:paraId="753F9539">
            <w:pPr>
              <w:widowControl/>
              <w:jc w:val="left"/>
              <w:rPr>
                <w:color w:val="auto"/>
                <w:sz w:val="20"/>
                <w:szCs w:val="20"/>
                <w:highlight w:val="none"/>
              </w:rPr>
            </w:pPr>
          </w:p>
        </w:tc>
        <w:tc>
          <w:tcPr>
            <w:tcW w:w="2953" w:type="dxa"/>
            <w:vMerge w:val="continue"/>
            <w:tcBorders>
              <w:top w:val="single" w:color="auto" w:sz="4" w:space="0"/>
              <w:left w:val="single" w:color="auto" w:sz="4" w:space="0"/>
              <w:bottom w:val="single" w:color="auto" w:sz="4" w:space="0"/>
              <w:right w:val="single" w:color="auto" w:sz="4" w:space="0"/>
            </w:tcBorders>
            <w:vAlign w:val="center"/>
          </w:tcPr>
          <w:p w14:paraId="4FED2146">
            <w:pPr>
              <w:widowControl/>
              <w:jc w:val="left"/>
              <w:rPr>
                <w:color w:val="auto"/>
                <w:sz w:val="20"/>
                <w:szCs w:val="20"/>
                <w:highlight w:val="none"/>
              </w:rPr>
            </w:pPr>
          </w:p>
        </w:tc>
        <w:tc>
          <w:tcPr>
            <w:tcW w:w="665" w:type="dxa"/>
            <w:vMerge w:val="continue"/>
            <w:tcBorders>
              <w:left w:val="single" w:color="auto" w:sz="4" w:space="0"/>
              <w:right w:val="single" w:color="auto" w:sz="4" w:space="0"/>
            </w:tcBorders>
            <w:vAlign w:val="center"/>
          </w:tcPr>
          <w:p w14:paraId="46EE8568">
            <w:pPr>
              <w:jc w:val="center"/>
              <w:rPr>
                <w:rFonts w:hint="eastAsia" w:ascii="宋体" w:hAnsi="宋体" w:eastAsia="宋体" w:cs="宋体"/>
                <w:color w:val="auto"/>
                <w:sz w:val="20"/>
                <w:szCs w:val="20"/>
                <w:highlight w:val="none"/>
                <w:lang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49211F8C">
            <w:pPr>
              <w:rPr>
                <w:rFonts w:hint="eastAsia" w:eastAsiaTheme="minorEastAsia"/>
                <w:color w:val="auto"/>
                <w:sz w:val="20"/>
                <w:szCs w:val="20"/>
                <w:highlight w:val="none"/>
                <w:lang w:eastAsia="zh-CN"/>
              </w:rPr>
            </w:pPr>
            <w:r>
              <w:rPr>
                <w:rFonts w:hint="eastAsia"/>
                <w:color w:val="auto"/>
                <w:sz w:val="20"/>
                <w:szCs w:val="20"/>
                <w:highlight w:val="none"/>
              </w:rPr>
              <w:t>发生一般治安案件，每次经济损失在3000元以上10000元以下的（含10000元）发生重、特大以上刑事案件及治安案件的</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660310C5">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825" w:type="dxa"/>
            <w:tcBorders>
              <w:top w:val="single" w:color="auto" w:sz="4" w:space="0"/>
              <w:left w:val="single" w:color="auto" w:sz="4" w:space="0"/>
              <w:bottom w:val="single" w:color="auto" w:sz="4" w:space="0"/>
              <w:right w:val="single" w:color="auto" w:sz="4" w:space="0"/>
            </w:tcBorders>
            <w:vAlign w:val="center"/>
          </w:tcPr>
          <w:p w14:paraId="740C92B3">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5F96B0E">
            <w:pPr>
              <w:jc w:val="center"/>
              <w:rPr>
                <w:color w:val="auto"/>
                <w:sz w:val="20"/>
                <w:szCs w:val="20"/>
                <w:highlight w:val="none"/>
              </w:rPr>
            </w:pPr>
          </w:p>
        </w:tc>
      </w:tr>
      <w:tr w14:paraId="3DD24E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563B9C08">
            <w:pPr>
              <w:jc w:val="center"/>
              <w:rPr>
                <w:b/>
                <w:color w:val="auto"/>
                <w:sz w:val="20"/>
                <w:szCs w:val="20"/>
                <w:highlight w:val="none"/>
              </w:rPr>
            </w:pPr>
            <w:r>
              <w:rPr>
                <w:rFonts w:hint="eastAsia"/>
                <w:b/>
                <w:color w:val="auto"/>
                <w:sz w:val="20"/>
                <w:szCs w:val="20"/>
                <w:highlight w:val="none"/>
              </w:rPr>
              <w:t>二</w:t>
            </w:r>
          </w:p>
        </w:tc>
        <w:tc>
          <w:tcPr>
            <w:tcW w:w="2953" w:type="dxa"/>
            <w:tcBorders>
              <w:top w:val="single" w:color="auto" w:sz="4" w:space="0"/>
              <w:left w:val="single" w:color="auto" w:sz="4" w:space="0"/>
              <w:bottom w:val="single" w:color="auto" w:sz="4" w:space="0"/>
              <w:right w:val="single" w:color="auto" w:sz="4" w:space="0"/>
            </w:tcBorders>
            <w:vAlign w:val="center"/>
          </w:tcPr>
          <w:p w14:paraId="515BE187">
            <w:pPr>
              <w:rPr>
                <w:b/>
                <w:color w:val="auto"/>
                <w:sz w:val="20"/>
                <w:szCs w:val="20"/>
                <w:highlight w:val="none"/>
              </w:rPr>
            </w:pPr>
            <w:r>
              <w:rPr>
                <w:rFonts w:hint="eastAsia"/>
                <w:b/>
                <w:color w:val="auto"/>
                <w:sz w:val="20"/>
                <w:szCs w:val="20"/>
                <w:highlight w:val="none"/>
              </w:rPr>
              <w:t>治安防范</w:t>
            </w:r>
          </w:p>
        </w:tc>
        <w:tc>
          <w:tcPr>
            <w:tcW w:w="665" w:type="dxa"/>
            <w:tcBorders>
              <w:top w:val="single" w:color="auto" w:sz="4" w:space="0"/>
              <w:left w:val="single" w:color="auto" w:sz="4" w:space="0"/>
              <w:bottom w:val="single" w:color="auto" w:sz="4" w:space="0"/>
              <w:right w:val="single" w:color="auto" w:sz="4" w:space="0"/>
            </w:tcBorders>
            <w:vAlign w:val="center"/>
          </w:tcPr>
          <w:p w14:paraId="28767278">
            <w:pPr>
              <w:jc w:val="center"/>
              <w:rPr>
                <w:rFonts w:hint="eastAsia" w:ascii="宋体" w:hAnsi="宋体" w:eastAsia="宋体" w:cs="宋体"/>
                <w:color w:val="auto"/>
                <w:sz w:val="20"/>
                <w:szCs w:val="20"/>
                <w:highlight w:val="none"/>
                <w:lang w:val="en-US" w:eastAsia="zh-CN"/>
              </w:rPr>
            </w:pPr>
            <w:r>
              <w:rPr>
                <w:rFonts w:hint="eastAsia" w:ascii="宋体" w:hAnsi="宋体" w:cs="宋体"/>
                <w:b/>
                <w:bCs/>
                <w:color w:val="auto"/>
                <w:sz w:val="20"/>
                <w:szCs w:val="20"/>
                <w:highlight w:val="none"/>
                <w:lang w:val="en-US" w:eastAsia="zh-CN"/>
              </w:rPr>
              <w:t>15</w:t>
            </w:r>
          </w:p>
        </w:tc>
        <w:tc>
          <w:tcPr>
            <w:tcW w:w="2894" w:type="dxa"/>
            <w:tcBorders>
              <w:top w:val="single" w:color="auto" w:sz="4" w:space="0"/>
              <w:left w:val="single" w:color="auto" w:sz="4" w:space="0"/>
              <w:bottom w:val="single" w:color="auto" w:sz="4" w:space="0"/>
              <w:right w:val="single" w:color="auto" w:sz="4" w:space="0"/>
            </w:tcBorders>
            <w:vAlign w:val="center"/>
          </w:tcPr>
          <w:p w14:paraId="5B73029F">
            <w:pPr>
              <w:rPr>
                <w:b/>
                <w:color w:val="auto"/>
                <w:sz w:val="20"/>
                <w:szCs w:val="20"/>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69250F02">
            <w:pPr>
              <w:jc w:val="left"/>
              <w:rPr>
                <w:rFonts w:ascii="宋体" w:hAnsi="宋体" w:cs="宋体"/>
                <w:b/>
                <w:color w:val="auto"/>
                <w:sz w:val="20"/>
                <w:szCs w:val="20"/>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3DE1734B">
            <w:pPr>
              <w:jc w:val="left"/>
              <w:rPr>
                <w:rFonts w:ascii="宋体" w:hAnsi="宋体" w:cs="宋体"/>
                <w:b/>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7B48444B">
            <w:pPr>
              <w:jc w:val="left"/>
              <w:rPr>
                <w:b/>
                <w:color w:val="auto"/>
                <w:sz w:val="20"/>
                <w:szCs w:val="20"/>
                <w:highlight w:val="none"/>
              </w:rPr>
            </w:pPr>
          </w:p>
        </w:tc>
      </w:tr>
      <w:tr w14:paraId="25DE7E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restart"/>
            <w:tcBorders>
              <w:top w:val="single" w:color="auto" w:sz="4" w:space="0"/>
              <w:left w:val="single" w:color="auto" w:sz="4" w:space="0"/>
              <w:right w:val="single" w:color="auto" w:sz="4" w:space="0"/>
            </w:tcBorders>
            <w:vAlign w:val="center"/>
          </w:tcPr>
          <w:p w14:paraId="06D232E6">
            <w:pPr>
              <w:jc w:val="center"/>
              <w:rPr>
                <w:color w:val="auto"/>
                <w:sz w:val="20"/>
                <w:szCs w:val="20"/>
                <w:highlight w:val="none"/>
              </w:rPr>
            </w:pPr>
            <w:r>
              <w:rPr>
                <w:color w:val="auto"/>
                <w:sz w:val="20"/>
                <w:szCs w:val="20"/>
                <w:highlight w:val="none"/>
              </w:rPr>
              <w:t>1</w:t>
            </w:r>
          </w:p>
        </w:tc>
        <w:tc>
          <w:tcPr>
            <w:tcW w:w="2953" w:type="dxa"/>
            <w:vMerge w:val="restart"/>
            <w:tcBorders>
              <w:top w:val="single" w:color="auto" w:sz="4" w:space="0"/>
              <w:left w:val="single" w:color="auto" w:sz="4" w:space="0"/>
              <w:right w:val="single" w:color="auto" w:sz="4" w:space="0"/>
            </w:tcBorders>
            <w:vAlign w:val="center"/>
          </w:tcPr>
          <w:p w14:paraId="25928E87">
            <w:pPr>
              <w:rPr>
                <w:color w:val="auto"/>
                <w:sz w:val="20"/>
                <w:szCs w:val="20"/>
                <w:highlight w:val="none"/>
              </w:rPr>
            </w:pPr>
            <w:r>
              <w:rPr>
                <w:rFonts w:hint="eastAsia"/>
                <w:color w:val="auto"/>
                <w:sz w:val="20"/>
                <w:szCs w:val="20"/>
                <w:highlight w:val="none"/>
                <w:lang w:val="en-US" w:eastAsia="zh-CN"/>
              </w:rPr>
              <w:t>按采购方工作要求做好辖区内的治安防范</w:t>
            </w:r>
            <w:r>
              <w:rPr>
                <w:rFonts w:hint="eastAsia"/>
                <w:color w:val="auto"/>
                <w:sz w:val="20"/>
                <w:szCs w:val="20"/>
                <w:highlight w:val="none"/>
              </w:rPr>
              <w:t>，每两小时巡逻一次并做好巡逻检查记录。留心观察可疑情况，严防盗窃抢劫，做好治安防范控制，确保办公场所、营业场所安全。值班人员执勤时要保持饱满的精神状态，做到恪守职责，文明执勤。</w:t>
            </w:r>
          </w:p>
        </w:tc>
        <w:tc>
          <w:tcPr>
            <w:tcW w:w="665" w:type="dxa"/>
            <w:vMerge w:val="restart"/>
            <w:tcBorders>
              <w:top w:val="single" w:color="auto" w:sz="4" w:space="0"/>
              <w:left w:val="single" w:color="auto" w:sz="4" w:space="0"/>
              <w:right w:val="single" w:color="auto" w:sz="4" w:space="0"/>
            </w:tcBorders>
            <w:vAlign w:val="center"/>
          </w:tcPr>
          <w:p w14:paraId="0F9D6119">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5</w:t>
            </w:r>
          </w:p>
        </w:tc>
        <w:tc>
          <w:tcPr>
            <w:tcW w:w="2894" w:type="dxa"/>
            <w:tcBorders>
              <w:top w:val="single" w:color="auto" w:sz="4" w:space="0"/>
              <w:left w:val="single" w:color="auto" w:sz="4" w:space="0"/>
              <w:bottom w:val="single" w:color="auto" w:sz="4" w:space="0"/>
              <w:right w:val="single" w:color="auto" w:sz="4" w:space="0"/>
            </w:tcBorders>
            <w:vAlign w:val="center"/>
          </w:tcPr>
          <w:p w14:paraId="119D627B">
            <w:pPr>
              <w:rPr>
                <w:rFonts w:hint="eastAsia" w:eastAsiaTheme="minorEastAsia"/>
                <w:color w:val="auto"/>
                <w:sz w:val="20"/>
                <w:szCs w:val="20"/>
                <w:highlight w:val="none"/>
                <w:lang w:eastAsia="zh-CN"/>
              </w:rPr>
            </w:pPr>
            <w:r>
              <w:rPr>
                <w:rFonts w:hint="eastAsia"/>
                <w:color w:val="auto"/>
                <w:sz w:val="20"/>
                <w:szCs w:val="20"/>
                <w:highlight w:val="none"/>
                <w:lang w:val="en-US" w:eastAsia="zh-CN"/>
              </w:rPr>
              <w:t>不按要求巡逻</w:t>
            </w:r>
            <w:r>
              <w:rPr>
                <w:rFonts w:hint="eastAsia"/>
                <w:color w:val="auto"/>
                <w:sz w:val="20"/>
                <w:szCs w:val="20"/>
                <w:highlight w:val="none"/>
              </w:rPr>
              <w:t>，缺巡逻检查记录，治安防范失控造成案件发生的，每一项</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6ED852A1">
            <w:pPr>
              <w:jc w:val="center"/>
              <w:rPr>
                <w:rFonts w:ascii="宋体" w:hAnsi="宋体" w:cs="宋体"/>
                <w:color w:val="auto"/>
                <w:sz w:val="20"/>
                <w:szCs w:val="20"/>
                <w:highlight w:val="none"/>
              </w:rPr>
            </w:pPr>
            <w:r>
              <w:rPr>
                <w:rFonts w:hint="eastAsia" w:ascii="宋体" w:hAnsi="宋体" w:cs="宋体"/>
                <w:color w:val="auto"/>
                <w:sz w:val="20"/>
                <w:szCs w:val="20"/>
                <w:highlight w:val="none"/>
              </w:rPr>
              <w:t>-0.1分/项次</w:t>
            </w:r>
          </w:p>
        </w:tc>
        <w:tc>
          <w:tcPr>
            <w:tcW w:w="825" w:type="dxa"/>
            <w:tcBorders>
              <w:top w:val="single" w:color="auto" w:sz="4" w:space="0"/>
              <w:left w:val="single" w:color="auto" w:sz="4" w:space="0"/>
              <w:bottom w:val="single" w:color="auto" w:sz="4" w:space="0"/>
              <w:right w:val="single" w:color="auto" w:sz="4" w:space="0"/>
            </w:tcBorders>
            <w:vAlign w:val="center"/>
          </w:tcPr>
          <w:p w14:paraId="6A6BE1BC">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74B0FE96">
            <w:pPr>
              <w:jc w:val="center"/>
              <w:rPr>
                <w:color w:val="auto"/>
                <w:sz w:val="20"/>
                <w:szCs w:val="20"/>
                <w:highlight w:val="none"/>
              </w:rPr>
            </w:pPr>
          </w:p>
        </w:tc>
      </w:tr>
      <w:tr w14:paraId="6815C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left w:val="single" w:color="auto" w:sz="4" w:space="0"/>
              <w:bottom w:val="single" w:color="auto" w:sz="4" w:space="0"/>
              <w:right w:val="single" w:color="auto" w:sz="4" w:space="0"/>
            </w:tcBorders>
            <w:vAlign w:val="center"/>
          </w:tcPr>
          <w:p w14:paraId="56E93B7F">
            <w:pPr>
              <w:jc w:val="center"/>
              <w:rPr>
                <w:color w:val="auto"/>
                <w:sz w:val="20"/>
                <w:szCs w:val="20"/>
                <w:highlight w:val="none"/>
              </w:rPr>
            </w:pPr>
          </w:p>
        </w:tc>
        <w:tc>
          <w:tcPr>
            <w:tcW w:w="2953" w:type="dxa"/>
            <w:vMerge w:val="continue"/>
            <w:tcBorders>
              <w:left w:val="single" w:color="auto" w:sz="4" w:space="0"/>
              <w:bottom w:val="single" w:color="auto" w:sz="4" w:space="0"/>
              <w:right w:val="single" w:color="auto" w:sz="4" w:space="0"/>
            </w:tcBorders>
            <w:vAlign w:val="center"/>
          </w:tcPr>
          <w:p w14:paraId="74AEC0C5">
            <w:pPr>
              <w:rPr>
                <w:color w:val="auto"/>
                <w:sz w:val="20"/>
                <w:szCs w:val="20"/>
                <w:highlight w:val="none"/>
              </w:rPr>
            </w:pPr>
          </w:p>
        </w:tc>
        <w:tc>
          <w:tcPr>
            <w:tcW w:w="665" w:type="dxa"/>
            <w:vMerge w:val="continue"/>
            <w:tcBorders>
              <w:left w:val="single" w:color="auto" w:sz="4" w:space="0"/>
              <w:bottom w:val="single" w:color="auto" w:sz="4" w:space="0"/>
              <w:right w:val="single" w:color="auto" w:sz="4" w:space="0"/>
            </w:tcBorders>
            <w:vAlign w:val="center"/>
          </w:tcPr>
          <w:p w14:paraId="37FE0D12">
            <w:pPr>
              <w:jc w:val="center"/>
              <w:rPr>
                <w:rFonts w:hint="eastAsia" w:ascii="宋体" w:hAnsi="宋体" w:eastAsia="宋体" w:cs="宋体"/>
                <w:color w:val="auto"/>
                <w:sz w:val="20"/>
                <w:szCs w:val="20"/>
                <w:highlight w:val="none"/>
                <w:lang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2A691F11">
            <w:pPr>
              <w:rPr>
                <w:rFonts w:hint="eastAsia" w:eastAsiaTheme="minorEastAsia"/>
                <w:color w:val="auto"/>
                <w:sz w:val="20"/>
                <w:szCs w:val="20"/>
                <w:highlight w:val="none"/>
                <w:lang w:eastAsia="zh-CN"/>
              </w:rPr>
            </w:pPr>
            <w:r>
              <w:rPr>
                <w:rFonts w:hint="eastAsia"/>
                <w:color w:val="auto"/>
                <w:sz w:val="20"/>
                <w:szCs w:val="20"/>
                <w:highlight w:val="none"/>
              </w:rPr>
              <w:t>不文明执勤或缺岗的</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6D8DF69A">
            <w:pPr>
              <w:jc w:val="center"/>
              <w:rPr>
                <w:rFonts w:ascii="宋体" w:hAnsi="宋体" w:cs="宋体"/>
                <w:color w:val="auto"/>
                <w:sz w:val="20"/>
                <w:szCs w:val="20"/>
                <w:highlight w:val="none"/>
              </w:rPr>
            </w:pPr>
            <w:r>
              <w:rPr>
                <w:rFonts w:hint="eastAsia" w:ascii="宋体" w:hAnsi="宋体" w:cs="宋体"/>
                <w:color w:val="auto"/>
                <w:sz w:val="20"/>
                <w:szCs w:val="20"/>
                <w:highlight w:val="none"/>
              </w:rPr>
              <w:t>-0.1分/人次</w:t>
            </w:r>
          </w:p>
        </w:tc>
        <w:tc>
          <w:tcPr>
            <w:tcW w:w="825" w:type="dxa"/>
            <w:tcBorders>
              <w:top w:val="single" w:color="auto" w:sz="4" w:space="0"/>
              <w:left w:val="single" w:color="auto" w:sz="4" w:space="0"/>
              <w:bottom w:val="single" w:color="auto" w:sz="4" w:space="0"/>
              <w:right w:val="single" w:color="auto" w:sz="4" w:space="0"/>
            </w:tcBorders>
            <w:vAlign w:val="center"/>
          </w:tcPr>
          <w:p w14:paraId="141FA2DF">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31C799F0">
            <w:pPr>
              <w:jc w:val="center"/>
              <w:rPr>
                <w:color w:val="auto"/>
                <w:sz w:val="20"/>
                <w:szCs w:val="20"/>
                <w:highlight w:val="none"/>
              </w:rPr>
            </w:pPr>
          </w:p>
        </w:tc>
      </w:tr>
      <w:tr w14:paraId="72DEB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restart"/>
            <w:tcBorders>
              <w:top w:val="single" w:color="auto" w:sz="4" w:space="0"/>
              <w:left w:val="single" w:color="auto" w:sz="4" w:space="0"/>
              <w:right w:val="single" w:color="auto" w:sz="4" w:space="0"/>
            </w:tcBorders>
            <w:vAlign w:val="center"/>
          </w:tcPr>
          <w:p w14:paraId="3BB2089F">
            <w:pPr>
              <w:jc w:val="center"/>
              <w:rPr>
                <w:color w:val="auto"/>
                <w:sz w:val="20"/>
                <w:szCs w:val="20"/>
                <w:highlight w:val="none"/>
              </w:rPr>
            </w:pPr>
            <w:r>
              <w:rPr>
                <w:rFonts w:hint="eastAsia"/>
                <w:color w:val="auto"/>
                <w:sz w:val="20"/>
                <w:szCs w:val="20"/>
                <w:highlight w:val="none"/>
              </w:rPr>
              <w:t>2</w:t>
            </w:r>
          </w:p>
        </w:tc>
        <w:tc>
          <w:tcPr>
            <w:tcW w:w="2953" w:type="dxa"/>
            <w:vMerge w:val="restart"/>
            <w:tcBorders>
              <w:top w:val="single" w:color="auto" w:sz="4" w:space="0"/>
              <w:left w:val="single" w:color="auto" w:sz="4" w:space="0"/>
              <w:right w:val="single" w:color="auto" w:sz="4" w:space="0"/>
            </w:tcBorders>
            <w:vAlign w:val="center"/>
          </w:tcPr>
          <w:p w14:paraId="11C226D4">
            <w:pPr>
              <w:rPr>
                <w:color w:val="auto"/>
                <w:sz w:val="20"/>
                <w:szCs w:val="20"/>
                <w:highlight w:val="none"/>
              </w:rPr>
            </w:pPr>
            <w:r>
              <w:rPr>
                <w:rFonts w:hint="eastAsia"/>
                <w:color w:val="auto"/>
                <w:sz w:val="20"/>
                <w:szCs w:val="20"/>
                <w:highlight w:val="none"/>
              </w:rPr>
              <w:t>做好办公场所、营业场所停车场管理和车辆的进出及停放管理。劝阻、制止任何损害停放车辆的行为，引导、提醒车主按规定车位停放车辆，避免乱停、乱放机动车现象，严防机动车辆在办公场所、营业场所内被盗和被撞等事件的发生，劝阻、制止未经许可的人员、车辆、物资擅自出入办公场所、营业场所。</w:t>
            </w:r>
          </w:p>
        </w:tc>
        <w:tc>
          <w:tcPr>
            <w:tcW w:w="665" w:type="dxa"/>
            <w:vMerge w:val="restart"/>
            <w:tcBorders>
              <w:top w:val="single" w:color="auto" w:sz="4" w:space="0"/>
              <w:left w:val="single" w:color="auto" w:sz="4" w:space="0"/>
              <w:right w:val="single" w:color="auto" w:sz="4" w:space="0"/>
            </w:tcBorders>
            <w:vAlign w:val="center"/>
          </w:tcPr>
          <w:p w14:paraId="2D8BA7C4">
            <w:pPr>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6</w:t>
            </w:r>
          </w:p>
        </w:tc>
        <w:tc>
          <w:tcPr>
            <w:tcW w:w="2894" w:type="dxa"/>
            <w:tcBorders>
              <w:top w:val="single" w:color="auto" w:sz="4" w:space="0"/>
              <w:left w:val="single" w:color="auto" w:sz="4" w:space="0"/>
              <w:bottom w:val="single" w:color="auto" w:sz="4" w:space="0"/>
              <w:right w:val="single" w:color="auto" w:sz="4" w:space="0"/>
            </w:tcBorders>
            <w:vAlign w:val="center"/>
          </w:tcPr>
          <w:p w14:paraId="73926B70">
            <w:pPr>
              <w:rPr>
                <w:rFonts w:hint="eastAsia" w:eastAsiaTheme="minorEastAsia"/>
                <w:color w:val="auto"/>
                <w:sz w:val="20"/>
                <w:szCs w:val="20"/>
                <w:highlight w:val="none"/>
                <w:lang w:eastAsia="zh-CN"/>
              </w:rPr>
            </w:pPr>
            <w:r>
              <w:rPr>
                <w:rFonts w:hint="eastAsia"/>
                <w:color w:val="auto"/>
                <w:sz w:val="20"/>
                <w:szCs w:val="20"/>
                <w:highlight w:val="none"/>
              </w:rPr>
              <w:t>不执行管理规定，不引导、不提醒车主按规定车位停放车辆</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3E89540D">
            <w:pPr>
              <w:jc w:val="center"/>
              <w:rPr>
                <w:rFonts w:ascii="宋体" w:hAnsi="宋体" w:cs="宋体"/>
                <w:color w:val="auto"/>
                <w:sz w:val="20"/>
                <w:szCs w:val="20"/>
                <w:highlight w:val="none"/>
              </w:rPr>
            </w:pPr>
            <w:r>
              <w:rPr>
                <w:rFonts w:hint="eastAsia" w:ascii="宋体" w:hAnsi="宋体" w:cs="宋体"/>
                <w:color w:val="auto"/>
                <w:sz w:val="20"/>
                <w:szCs w:val="20"/>
                <w:highlight w:val="none"/>
              </w:rPr>
              <w:t>-0.2分/次</w:t>
            </w:r>
          </w:p>
        </w:tc>
        <w:tc>
          <w:tcPr>
            <w:tcW w:w="825" w:type="dxa"/>
            <w:tcBorders>
              <w:top w:val="single" w:color="auto" w:sz="4" w:space="0"/>
              <w:left w:val="single" w:color="auto" w:sz="4" w:space="0"/>
              <w:bottom w:val="single" w:color="auto" w:sz="4" w:space="0"/>
              <w:right w:val="single" w:color="auto" w:sz="4" w:space="0"/>
            </w:tcBorders>
            <w:vAlign w:val="center"/>
          </w:tcPr>
          <w:p w14:paraId="67F00805">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5A0AB1F8">
            <w:pPr>
              <w:jc w:val="center"/>
              <w:rPr>
                <w:color w:val="auto"/>
                <w:sz w:val="20"/>
                <w:szCs w:val="20"/>
                <w:highlight w:val="none"/>
              </w:rPr>
            </w:pPr>
          </w:p>
        </w:tc>
      </w:tr>
      <w:tr w14:paraId="4AC872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top w:val="single" w:color="auto" w:sz="4" w:space="0"/>
              <w:left w:val="single" w:color="auto" w:sz="4" w:space="0"/>
              <w:right w:val="single" w:color="auto" w:sz="4" w:space="0"/>
            </w:tcBorders>
            <w:vAlign w:val="center"/>
          </w:tcPr>
          <w:p w14:paraId="7987B326">
            <w:pPr>
              <w:jc w:val="center"/>
              <w:rPr>
                <w:color w:val="auto"/>
                <w:sz w:val="20"/>
                <w:szCs w:val="20"/>
                <w:highlight w:val="none"/>
              </w:rPr>
            </w:pPr>
          </w:p>
        </w:tc>
        <w:tc>
          <w:tcPr>
            <w:tcW w:w="2953" w:type="dxa"/>
            <w:vMerge w:val="continue"/>
            <w:tcBorders>
              <w:top w:val="single" w:color="auto" w:sz="4" w:space="0"/>
              <w:left w:val="single" w:color="auto" w:sz="4" w:space="0"/>
              <w:right w:val="single" w:color="auto" w:sz="4" w:space="0"/>
            </w:tcBorders>
            <w:vAlign w:val="center"/>
          </w:tcPr>
          <w:p w14:paraId="3B459FE3">
            <w:pPr>
              <w:rPr>
                <w:color w:val="auto"/>
                <w:sz w:val="20"/>
                <w:szCs w:val="20"/>
                <w:highlight w:val="none"/>
              </w:rPr>
            </w:pPr>
          </w:p>
        </w:tc>
        <w:tc>
          <w:tcPr>
            <w:tcW w:w="665" w:type="dxa"/>
            <w:vMerge w:val="continue"/>
            <w:tcBorders>
              <w:left w:val="single" w:color="auto" w:sz="4" w:space="0"/>
              <w:right w:val="single" w:color="auto" w:sz="4" w:space="0"/>
            </w:tcBorders>
            <w:vAlign w:val="center"/>
          </w:tcPr>
          <w:p w14:paraId="3FCEDE61">
            <w:pPr>
              <w:jc w:val="center"/>
              <w:rPr>
                <w:rFonts w:hint="eastAsia" w:ascii="宋体" w:hAnsi="宋体" w:eastAsia="宋体" w:cs="宋体"/>
                <w:color w:val="auto"/>
                <w:sz w:val="20"/>
                <w:szCs w:val="20"/>
                <w:highlight w:val="none"/>
                <w:lang w:val="en-US"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5363A0C2">
            <w:pPr>
              <w:rPr>
                <w:rFonts w:hint="eastAsia" w:eastAsiaTheme="minorEastAsia"/>
                <w:color w:val="auto"/>
                <w:sz w:val="20"/>
                <w:szCs w:val="20"/>
                <w:highlight w:val="none"/>
                <w:lang w:eastAsia="zh-CN"/>
              </w:rPr>
            </w:pPr>
            <w:r>
              <w:rPr>
                <w:rFonts w:hint="eastAsia"/>
                <w:color w:val="auto"/>
                <w:sz w:val="20"/>
                <w:szCs w:val="20"/>
                <w:highlight w:val="none"/>
              </w:rPr>
              <w:t>不设专人24小时</w:t>
            </w:r>
            <w:r>
              <w:rPr>
                <w:rFonts w:hint="eastAsia"/>
                <w:color w:val="auto"/>
                <w:sz w:val="20"/>
                <w:szCs w:val="20"/>
                <w:highlight w:val="none"/>
                <w:lang w:val="en-US" w:eastAsia="zh-CN"/>
              </w:rPr>
              <w:t>执勤</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041CA9E6">
            <w:pPr>
              <w:jc w:val="center"/>
              <w:rPr>
                <w:rFonts w:ascii="宋体" w:hAnsi="宋体" w:cs="宋体"/>
                <w:color w:val="auto"/>
                <w:sz w:val="20"/>
                <w:szCs w:val="20"/>
                <w:highlight w:val="none"/>
              </w:rPr>
            </w:pPr>
            <w:r>
              <w:rPr>
                <w:rFonts w:hint="eastAsia" w:ascii="宋体" w:hAnsi="宋体" w:cs="宋体"/>
                <w:color w:val="auto"/>
                <w:sz w:val="20"/>
                <w:szCs w:val="20"/>
                <w:highlight w:val="none"/>
              </w:rPr>
              <w:t>-0.2分/次</w:t>
            </w:r>
          </w:p>
        </w:tc>
        <w:tc>
          <w:tcPr>
            <w:tcW w:w="825" w:type="dxa"/>
            <w:tcBorders>
              <w:top w:val="single" w:color="auto" w:sz="4" w:space="0"/>
              <w:left w:val="single" w:color="auto" w:sz="4" w:space="0"/>
              <w:bottom w:val="single" w:color="auto" w:sz="4" w:space="0"/>
              <w:right w:val="single" w:color="auto" w:sz="4" w:space="0"/>
            </w:tcBorders>
            <w:vAlign w:val="center"/>
          </w:tcPr>
          <w:p w14:paraId="5B934E67">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30293B22">
            <w:pPr>
              <w:jc w:val="center"/>
              <w:rPr>
                <w:color w:val="auto"/>
                <w:sz w:val="20"/>
                <w:szCs w:val="20"/>
                <w:highlight w:val="none"/>
              </w:rPr>
            </w:pPr>
          </w:p>
        </w:tc>
      </w:tr>
      <w:tr w14:paraId="19BFC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top w:val="single" w:color="auto" w:sz="4" w:space="0"/>
              <w:left w:val="single" w:color="auto" w:sz="4" w:space="0"/>
              <w:right w:val="single" w:color="auto" w:sz="4" w:space="0"/>
            </w:tcBorders>
            <w:vAlign w:val="center"/>
          </w:tcPr>
          <w:p w14:paraId="487B00CC">
            <w:pPr>
              <w:jc w:val="center"/>
              <w:rPr>
                <w:color w:val="auto"/>
                <w:sz w:val="20"/>
                <w:szCs w:val="20"/>
                <w:highlight w:val="none"/>
              </w:rPr>
            </w:pPr>
          </w:p>
        </w:tc>
        <w:tc>
          <w:tcPr>
            <w:tcW w:w="2953" w:type="dxa"/>
            <w:vMerge w:val="continue"/>
            <w:tcBorders>
              <w:top w:val="single" w:color="auto" w:sz="4" w:space="0"/>
              <w:left w:val="single" w:color="auto" w:sz="4" w:space="0"/>
              <w:right w:val="single" w:color="auto" w:sz="4" w:space="0"/>
            </w:tcBorders>
            <w:vAlign w:val="center"/>
          </w:tcPr>
          <w:p w14:paraId="6F81BD6B">
            <w:pPr>
              <w:rPr>
                <w:color w:val="auto"/>
                <w:sz w:val="20"/>
                <w:szCs w:val="20"/>
                <w:highlight w:val="none"/>
              </w:rPr>
            </w:pPr>
          </w:p>
        </w:tc>
        <w:tc>
          <w:tcPr>
            <w:tcW w:w="665" w:type="dxa"/>
            <w:vMerge w:val="continue"/>
            <w:tcBorders>
              <w:left w:val="single" w:color="auto" w:sz="4" w:space="0"/>
              <w:right w:val="single" w:color="auto" w:sz="4" w:space="0"/>
            </w:tcBorders>
            <w:vAlign w:val="center"/>
          </w:tcPr>
          <w:p w14:paraId="49CB9BD8">
            <w:pPr>
              <w:jc w:val="center"/>
              <w:rPr>
                <w:rFonts w:hint="eastAsia" w:ascii="宋体" w:hAnsi="宋体" w:eastAsia="宋体" w:cs="宋体"/>
                <w:color w:val="auto"/>
                <w:sz w:val="20"/>
                <w:szCs w:val="20"/>
                <w:highlight w:val="none"/>
                <w:lang w:val="en-US"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61866926">
            <w:pPr>
              <w:rPr>
                <w:rFonts w:hint="eastAsia" w:eastAsiaTheme="minorEastAsia"/>
                <w:color w:val="auto"/>
                <w:sz w:val="20"/>
                <w:szCs w:val="20"/>
                <w:highlight w:val="none"/>
                <w:lang w:eastAsia="zh-CN"/>
              </w:rPr>
            </w:pPr>
            <w:r>
              <w:rPr>
                <w:rFonts w:hint="eastAsia"/>
                <w:color w:val="auto"/>
                <w:sz w:val="20"/>
                <w:szCs w:val="20"/>
                <w:highlight w:val="none"/>
              </w:rPr>
              <w:t>不劝阻、制止未经许可的人员、车辆、物资擅自出入办公场所、营业场所，影响到内部治安管理秩序的</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0D9AB2E5">
            <w:pPr>
              <w:jc w:val="center"/>
              <w:rPr>
                <w:rFonts w:ascii="宋体" w:hAnsi="宋体" w:cs="宋体"/>
                <w:color w:val="auto"/>
                <w:sz w:val="20"/>
                <w:szCs w:val="20"/>
                <w:highlight w:val="none"/>
              </w:rPr>
            </w:pPr>
            <w:r>
              <w:rPr>
                <w:rFonts w:hint="eastAsia" w:ascii="宋体" w:hAnsi="宋体" w:cs="宋体"/>
                <w:color w:val="auto"/>
                <w:sz w:val="20"/>
                <w:szCs w:val="20"/>
                <w:highlight w:val="none"/>
              </w:rPr>
              <w:t>-0.2分/次</w:t>
            </w:r>
          </w:p>
        </w:tc>
        <w:tc>
          <w:tcPr>
            <w:tcW w:w="825" w:type="dxa"/>
            <w:tcBorders>
              <w:top w:val="single" w:color="auto" w:sz="4" w:space="0"/>
              <w:left w:val="single" w:color="auto" w:sz="4" w:space="0"/>
              <w:bottom w:val="single" w:color="auto" w:sz="4" w:space="0"/>
              <w:right w:val="single" w:color="auto" w:sz="4" w:space="0"/>
            </w:tcBorders>
            <w:vAlign w:val="center"/>
          </w:tcPr>
          <w:p w14:paraId="5F65FFAA">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113B5D4F">
            <w:pPr>
              <w:jc w:val="center"/>
              <w:rPr>
                <w:color w:val="auto"/>
                <w:sz w:val="20"/>
                <w:szCs w:val="20"/>
                <w:highlight w:val="none"/>
              </w:rPr>
            </w:pPr>
          </w:p>
        </w:tc>
      </w:tr>
      <w:tr w14:paraId="66B80F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left w:val="single" w:color="auto" w:sz="4" w:space="0"/>
              <w:bottom w:val="single" w:color="auto" w:sz="4" w:space="0"/>
              <w:right w:val="single" w:color="auto" w:sz="4" w:space="0"/>
            </w:tcBorders>
            <w:vAlign w:val="center"/>
          </w:tcPr>
          <w:p w14:paraId="2B2AE7B9">
            <w:pPr>
              <w:jc w:val="center"/>
              <w:rPr>
                <w:color w:val="auto"/>
                <w:sz w:val="20"/>
                <w:szCs w:val="20"/>
                <w:highlight w:val="none"/>
              </w:rPr>
            </w:pPr>
          </w:p>
        </w:tc>
        <w:tc>
          <w:tcPr>
            <w:tcW w:w="2953" w:type="dxa"/>
            <w:vMerge w:val="continue"/>
            <w:tcBorders>
              <w:left w:val="single" w:color="auto" w:sz="4" w:space="0"/>
              <w:bottom w:val="single" w:color="auto" w:sz="4" w:space="0"/>
              <w:right w:val="single" w:color="auto" w:sz="4" w:space="0"/>
            </w:tcBorders>
            <w:vAlign w:val="center"/>
          </w:tcPr>
          <w:p w14:paraId="640F65AC">
            <w:pPr>
              <w:rPr>
                <w:color w:val="auto"/>
                <w:sz w:val="20"/>
                <w:szCs w:val="20"/>
                <w:highlight w:val="none"/>
              </w:rPr>
            </w:pPr>
          </w:p>
        </w:tc>
        <w:tc>
          <w:tcPr>
            <w:tcW w:w="665" w:type="dxa"/>
            <w:vMerge w:val="continue"/>
            <w:tcBorders>
              <w:left w:val="single" w:color="auto" w:sz="4" w:space="0"/>
              <w:bottom w:val="single" w:color="auto" w:sz="4" w:space="0"/>
              <w:right w:val="single" w:color="auto" w:sz="4" w:space="0"/>
            </w:tcBorders>
            <w:vAlign w:val="center"/>
          </w:tcPr>
          <w:p w14:paraId="2F708D19">
            <w:pPr>
              <w:jc w:val="center"/>
              <w:rPr>
                <w:rFonts w:hint="default" w:ascii="宋体" w:hAnsi="宋体" w:eastAsia="宋体" w:cs="宋体"/>
                <w:color w:val="auto"/>
                <w:sz w:val="20"/>
                <w:szCs w:val="20"/>
                <w:highlight w:val="none"/>
                <w:lang w:val="en-US"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59B1D5E2">
            <w:pPr>
              <w:rPr>
                <w:rFonts w:hint="eastAsia" w:eastAsiaTheme="minorEastAsia"/>
                <w:color w:val="auto"/>
                <w:sz w:val="20"/>
                <w:szCs w:val="20"/>
                <w:highlight w:val="none"/>
                <w:lang w:eastAsia="zh-CN"/>
              </w:rPr>
            </w:pPr>
            <w:r>
              <w:rPr>
                <w:rFonts w:hint="eastAsia"/>
                <w:color w:val="auto"/>
                <w:sz w:val="20"/>
                <w:szCs w:val="20"/>
                <w:highlight w:val="none"/>
              </w:rPr>
              <w:t>发生机动车辆被盗</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08CC3C5F">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0.4</w:t>
            </w:r>
            <w:r>
              <w:rPr>
                <w:rFonts w:hint="eastAsia" w:ascii="宋体" w:hAnsi="宋体" w:cs="宋体"/>
                <w:color w:val="auto"/>
                <w:sz w:val="20"/>
                <w:szCs w:val="20"/>
                <w:highlight w:val="none"/>
              </w:rPr>
              <w:t>分/辆</w:t>
            </w:r>
          </w:p>
        </w:tc>
        <w:tc>
          <w:tcPr>
            <w:tcW w:w="825" w:type="dxa"/>
            <w:tcBorders>
              <w:top w:val="single" w:color="auto" w:sz="4" w:space="0"/>
              <w:left w:val="single" w:color="auto" w:sz="4" w:space="0"/>
              <w:bottom w:val="single" w:color="auto" w:sz="4" w:space="0"/>
              <w:right w:val="single" w:color="auto" w:sz="4" w:space="0"/>
            </w:tcBorders>
            <w:vAlign w:val="center"/>
          </w:tcPr>
          <w:p w14:paraId="59D0D9DD">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59DFD56">
            <w:pPr>
              <w:jc w:val="center"/>
              <w:rPr>
                <w:color w:val="auto"/>
                <w:sz w:val="20"/>
                <w:szCs w:val="20"/>
                <w:highlight w:val="none"/>
              </w:rPr>
            </w:pPr>
          </w:p>
        </w:tc>
      </w:tr>
      <w:tr w14:paraId="30F749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restart"/>
            <w:tcBorders>
              <w:top w:val="single" w:color="auto" w:sz="4" w:space="0"/>
              <w:left w:val="single" w:color="auto" w:sz="4" w:space="0"/>
              <w:right w:val="single" w:color="auto" w:sz="4" w:space="0"/>
            </w:tcBorders>
            <w:vAlign w:val="center"/>
          </w:tcPr>
          <w:p w14:paraId="1746034F">
            <w:pPr>
              <w:jc w:val="center"/>
              <w:rPr>
                <w:color w:val="auto"/>
                <w:sz w:val="20"/>
                <w:szCs w:val="20"/>
                <w:highlight w:val="none"/>
              </w:rPr>
            </w:pPr>
            <w:r>
              <w:rPr>
                <w:rFonts w:hint="eastAsia"/>
                <w:color w:val="auto"/>
                <w:sz w:val="20"/>
                <w:szCs w:val="20"/>
                <w:highlight w:val="none"/>
              </w:rPr>
              <w:t>3</w:t>
            </w:r>
          </w:p>
        </w:tc>
        <w:tc>
          <w:tcPr>
            <w:tcW w:w="2953" w:type="dxa"/>
            <w:vMerge w:val="restart"/>
            <w:tcBorders>
              <w:top w:val="single" w:color="auto" w:sz="4" w:space="0"/>
              <w:left w:val="single" w:color="auto" w:sz="4" w:space="0"/>
              <w:right w:val="single" w:color="auto" w:sz="4" w:space="0"/>
            </w:tcBorders>
            <w:vAlign w:val="center"/>
          </w:tcPr>
          <w:p w14:paraId="4E642F5F">
            <w:pPr>
              <w:rPr>
                <w:color w:val="auto"/>
                <w:sz w:val="20"/>
                <w:szCs w:val="20"/>
                <w:highlight w:val="none"/>
              </w:rPr>
            </w:pPr>
            <w:r>
              <w:rPr>
                <w:rFonts w:hint="eastAsia"/>
                <w:color w:val="auto"/>
                <w:sz w:val="20"/>
                <w:szCs w:val="20"/>
                <w:highlight w:val="none"/>
              </w:rPr>
              <w:t>严格执行防监控管理规定，做好值班监控工作。交接班记录清楚、资料记录完好。</w:t>
            </w:r>
          </w:p>
        </w:tc>
        <w:tc>
          <w:tcPr>
            <w:tcW w:w="665" w:type="dxa"/>
            <w:vMerge w:val="restart"/>
            <w:tcBorders>
              <w:top w:val="single" w:color="auto" w:sz="4" w:space="0"/>
              <w:left w:val="single" w:color="auto" w:sz="4" w:space="0"/>
              <w:right w:val="single" w:color="auto" w:sz="4" w:space="0"/>
            </w:tcBorders>
            <w:vAlign w:val="center"/>
          </w:tcPr>
          <w:p w14:paraId="59A0D3B9">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4</w:t>
            </w:r>
          </w:p>
        </w:tc>
        <w:tc>
          <w:tcPr>
            <w:tcW w:w="2894" w:type="dxa"/>
            <w:tcBorders>
              <w:top w:val="single" w:color="auto" w:sz="4" w:space="0"/>
              <w:left w:val="single" w:color="auto" w:sz="4" w:space="0"/>
              <w:bottom w:val="single" w:color="auto" w:sz="4" w:space="0"/>
              <w:right w:val="single" w:color="auto" w:sz="4" w:space="0"/>
            </w:tcBorders>
            <w:vAlign w:val="center"/>
          </w:tcPr>
          <w:p w14:paraId="4F8EC82A">
            <w:pPr>
              <w:rPr>
                <w:rFonts w:hint="eastAsia" w:eastAsiaTheme="minorEastAsia"/>
                <w:color w:val="auto"/>
                <w:sz w:val="20"/>
                <w:szCs w:val="20"/>
                <w:highlight w:val="none"/>
                <w:lang w:eastAsia="zh-CN"/>
              </w:rPr>
            </w:pPr>
            <w:r>
              <w:rPr>
                <w:rFonts w:hint="eastAsia"/>
                <w:color w:val="auto"/>
                <w:sz w:val="20"/>
                <w:szCs w:val="20"/>
                <w:highlight w:val="none"/>
              </w:rPr>
              <w:t>不落实监控管理制度的</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477F1D02">
            <w:pPr>
              <w:jc w:val="center"/>
              <w:rPr>
                <w:rFonts w:ascii="宋体" w:hAnsi="宋体" w:cs="宋体"/>
                <w:color w:val="auto"/>
                <w:sz w:val="20"/>
                <w:szCs w:val="20"/>
                <w:highlight w:val="none"/>
              </w:rPr>
            </w:pPr>
            <w:r>
              <w:rPr>
                <w:rFonts w:hint="eastAsia" w:ascii="宋体" w:hAnsi="宋体" w:cs="宋体"/>
                <w:color w:val="auto"/>
                <w:sz w:val="20"/>
                <w:szCs w:val="20"/>
                <w:highlight w:val="none"/>
              </w:rPr>
              <w:t>-0.1分/次</w:t>
            </w:r>
          </w:p>
        </w:tc>
        <w:tc>
          <w:tcPr>
            <w:tcW w:w="825" w:type="dxa"/>
            <w:tcBorders>
              <w:top w:val="single" w:color="auto" w:sz="4" w:space="0"/>
              <w:left w:val="single" w:color="auto" w:sz="4" w:space="0"/>
              <w:bottom w:val="single" w:color="auto" w:sz="4" w:space="0"/>
              <w:right w:val="single" w:color="auto" w:sz="4" w:space="0"/>
            </w:tcBorders>
            <w:vAlign w:val="center"/>
          </w:tcPr>
          <w:p w14:paraId="55B9C09B">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2C2EDDD4">
            <w:pPr>
              <w:jc w:val="center"/>
              <w:rPr>
                <w:color w:val="auto"/>
                <w:sz w:val="20"/>
                <w:szCs w:val="20"/>
                <w:highlight w:val="none"/>
              </w:rPr>
            </w:pPr>
          </w:p>
        </w:tc>
      </w:tr>
      <w:tr w14:paraId="13313B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left w:val="single" w:color="auto" w:sz="4" w:space="0"/>
              <w:bottom w:val="single" w:color="auto" w:sz="4" w:space="0"/>
              <w:right w:val="single" w:color="auto" w:sz="4" w:space="0"/>
            </w:tcBorders>
            <w:vAlign w:val="center"/>
          </w:tcPr>
          <w:p w14:paraId="50E109D0">
            <w:pPr>
              <w:jc w:val="center"/>
              <w:rPr>
                <w:color w:val="auto"/>
                <w:sz w:val="20"/>
                <w:szCs w:val="20"/>
                <w:highlight w:val="none"/>
              </w:rPr>
            </w:pPr>
          </w:p>
        </w:tc>
        <w:tc>
          <w:tcPr>
            <w:tcW w:w="2953" w:type="dxa"/>
            <w:vMerge w:val="continue"/>
            <w:tcBorders>
              <w:left w:val="single" w:color="auto" w:sz="4" w:space="0"/>
              <w:bottom w:val="single" w:color="auto" w:sz="4" w:space="0"/>
              <w:right w:val="single" w:color="auto" w:sz="4" w:space="0"/>
            </w:tcBorders>
            <w:vAlign w:val="center"/>
          </w:tcPr>
          <w:p w14:paraId="147030B8">
            <w:pPr>
              <w:rPr>
                <w:color w:val="auto"/>
                <w:sz w:val="20"/>
                <w:szCs w:val="20"/>
                <w:highlight w:val="none"/>
              </w:rPr>
            </w:pPr>
          </w:p>
        </w:tc>
        <w:tc>
          <w:tcPr>
            <w:tcW w:w="665" w:type="dxa"/>
            <w:vMerge w:val="continue"/>
            <w:tcBorders>
              <w:left w:val="single" w:color="auto" w:sz="4" w:space="0"/>
              <w:bottom w:val="single" w:color="auto" w:sz="4" w:space="0"/>
              <w:right w:val="single" w:color="auto" w:sz="4" w:space="0"/>
            </w:tcBorders>
            <w:vAlign w:val="center"/>
          </w:tcPr>
          <w:p w14:paraId="1DEE8E22">
            <w:pPr>
              <w:jc w:val="center"/>
              <w:rPr>
                <w:rFonts w:hint="eastAsia" w:ascii="宋体" w:hAnsi="宋体" w:eastAsia="宋体" w:cs="宋体"/>
                <w:color w:val="auto"/>
                <w:sz w:val="20"/>
                <w:szCs w:val="20"/>
                <w:highlight w:val="none"/>
                <w:lang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3905FB9D">
            <w:pPr>
              <w:rPr>
                <w:rFonts w:hint="eastAsia" w:eastAsiaTheme="minorEastAsia"/>
                <w:color w:val="auto"/>
                <w:sz w:val="20"/>
                <w:szCs w:val="20"/>
                <w:highlight w:val="none"/>
                <w:lang w:eastAsia="zh-CN"/>
              </w:rPr>
            </w:pPr>
            <w:r>
              <w:rPr>
                <w:rFonts w:hint="eastAsia"/>
                <w:color w:val="auto"/>
                <w:sz w:val="20"/>
                <w:szCs w:val="20"/>
                <w:highlight w:val="none"/>
              </w:rPr>
              <w:t>交接班记录不清楚、记录不完好的</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59DEDA00">
            <w:pPr>
              <w:jc w:val="center"/>
              <w:rPr>
                <w:rFonts w:ascii="宋体" w:hAnsi="宋体" w:cs="宋体"/>
                <w:color w:val="auto"/>
                <w:sz w:val="20"/>
                <w:szCs w:val="20"/>
                <w:highlight w:val="none"/>
              </w:rPr>
            </w:pPr>
            <w:r>
              <w:rPr>
                <w:rFonts w:hint="eastAsia" w:ascii="宋体" w:hAnsi="宋体" w:cs="宋体"/>
                <w:color w:val="auto"/>
                <w:sz w:val="20"/>
                <w:szCs w:val="20"/>
                <w:highlight w:val="none"/>
              </w:rPr>
              <w:t>-0.1分/次</w:t>
            </w:r>
          </w:p>
        </w:tc>
        <w:tc>
          <w:tcPr>
            <w:tcW w:w="825" w:type="dxa"/>
            <w:tcBorders>
              <w:top w:val="single" w:color="auto" w:sz="4" w:space="0"/>
              <w:left w:val="single" w:color="auto" w:sz="4" w:space="0"/>
              <w:bottom w:val="single" w:color="auto" w:sz="4" w:space="0"/>
              <w:right w:val="single" w:color="auto" w:sz="4" w:space="0"/>
            </w:tcBorders>
            <w:vAlign w:val="center"/>
          </w:tcPr>
          <w:p w14:paraId="1E2EF524">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9F16179">
            <w:pPr>
              <w:jc w:val="center"/>
              <w:rPr>
                <w:color w:val="auto"/>
                <w:sz w:val="20"/>
                <w:szCs w:val="20"/>
                <w:highlight w:val="none"/>
              </w:rPr>
            </w:pPr>
          </w:p>
        </w:tc>
      </w:tr>
      <w:tr w14:paraId="30AACE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3880B98D">
            <w:pPr>
              <w:jc w:val="center"/>
              <w:rPr>
                <w:b/>
                <w:color w:val="auto"/>
                <w:sz w:val="20"/>
                <w:szCs w:val="20"/>
                <w:highlight w:val="none"/>
              </w:rPr>
            </w:pPr>
            <w:r>
              <w:rPr>
                <w:rFonts w:hint="eastAsia"/>
                <w:b/>
                <w:color w:val="auto"/>
                <w:sz w:val="20"/>
                <w:szCs w:val="20"/>
                <w:highlight w:val="none"/>
              </w:rPr>
              <w:t>三</w:t>
            </w:r>
          </w:p>
        </w:tc>
        <w:tc>
          <w:tcPr>
            <w:tcW w:w="2953" w:type="dxa"/>
            <w:tcBorders>
              <w:top w:val="single" w:color="auto" w:sz="4" w:space="0"/>
              <w:left w:val="single" w:color="auto" w:sz="4" w:space="0"/>
              <w:bottom w:val="single" w:color="auto" w:sz="4" w:space="0"/>
              <w:right w:val="single" w:color="auto" w:sz="4" w:space="0"/>
            </w:tcBorders>
            <w:vAlign w:val="center"/>
          </w:tcPr>
          <w:p w14:paraId="7F912041">
            <w:pPr>
              <w:rPr>
                <w:b/>
                <w:color w:val="auto"/>
                <w:sz w:val="20"/>
                <w:szCs w:val="20"/>
                <w:highlight w:val="none"/>
              </w:rPr>
            </w:pPr>
            <w:r>
              <w:rPr>
                <w:rFonts w:hint="eastAsia"/>
                <w:b/>
                <w:color w:val="auto"/>
                <w:sz w:val="20"/>
                <w:szCs w:val="20"/>
                <w:highlight w:val="none"/>
              </w:rPr>
              <w:t>秩序维护管理</w:t>
            </w:r>
          </w:p>
        </w:tc>
        <w:tc>
          <w:tcPr>
            <w:tcW w:w="665" w:type="dxa"/>
            <w:tcBorders>
              <w:top w:val="single" w:color="auto" w:sz="4" w:space="0"/>
              <w:left w:val="single" w:color="auto" w:sz="4" w:space="0"/>
              <w:bottom w:val="single" w:color="auto" w:sz="4" w:space="0"/>
              <w:right w:val="single" w:color="auto" w:sz="4" w:space="0"/>
            </w:tcBorders>
            <w:vAlign w:val="center"/>
          </w:tcPr>
          <w:p w14:paraId="29A7F5FA">
            <w:pPr>
              <w:jc w:val="center"/>
              <w:rPr>
                <w:rFonts w:hint="eastAsia" w:ascii="宋体" w:hAnsi="宋体" w:eastAsia="宋体" w:cs="宋体"/>
                <w:color w:val="auto"/>
                <w:sz w:val="20"/>
                <w:szCs w:val="20"/>
                <w:highlight w:val="none"/>
                <w:lang w:val="en-US" w:eastAsia="zh-CN"/>
              </w:rPr>
            </w:pPr>
            <w:r>
              <w:rPr>
                <w:rFonts w:hint="eastAsia" w:ascii="宋体" w:hAnsi="宋体" w:cs="宋体"/>
                <w:b/>
                <w:bCs/>
                <w:color w:val="auto"/>
                <w:sz w:val="20"/>
                <w:szCs w:val="20"/>
                <w:highlight w:val="none"/>
                <w:lang w:val="en-US" w:eastAsia="zh-CN"/>
              </w:rPr>
              <w:t>40</w:t>
            </w:r>
          </w:p>
        </w:tc>
        <w:tc>
          <w:tcPr>
            <w:tcW w:w="2894" w:type="dxa"/>
            <w:tcBorders>
              <w:top w:val="single" w:color="auto" w:sz="4" w:space="0"/>
              <w:left w:val="single" w:color="auto" w:sz="4" w:space="0"/>
              <w:bottom w:val="single" w:color="auto" w:sz="4" w:space="0"/>
              <w:right w:val="single" w:color="auto" w:sz="4" w:space="0"/>
            </w:tcBorders>
            <w:vAlign w:val="center"/>
          </w:tcPr>
          <w:p w14:paraId="02A4F352">
            <w:pPr>
              <w:rPr>
                <w:b/>
                <w:color w:val="auto"/>
                <w:sz w:val="20"/>
                <w:szCs w:val="20"/>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6C2354AA">
            <w:pPr>
              <w:jc w:val="left"/>
              <w:rPr>
                <w:rFonts w:ascii="宋体" w:hAnsi="宋体" w:cs="宋体"/>
                <w:color w:val="auto"/>
                <w:sz w:val="20"/>
                <w:szCs w:val="20"/>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672B617D">
            <w:pPr>
              <w:jc w:val="left"/>
              <w:rPr>
                <w:rFonts w:ascii="宋体" w:hAnsi="宋体" w:cs="宋体"/>
                <w:b/>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33707F0">
            <w:pPr>
              <w:jc w:val="left"/>
              <w:rPr>
                <w:b/>
                <w:color w:val="auto"/>
                <w:sz w:val="20"/>
                <w:szCs w:val="20"/>
                <w:highlight w:val="none"/>
              </w:rPr>
            </w:pPr>
          </w:p>
        </w:tc>
      </w:tr>
      <w:tr w14:paraId="3C8081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restart"/>
            <w:tcBorders>
              <w:top w:val="single" w:color="auto" w:sz="4" w:space="0"/>
              <w:left w:val="single" w:color="auto" w:sz="4" w:space="0"/>
              <w:right w:val="single" w:color="auto" w:sz="4" w:space="0"/>
            </w:tcBorders>
            <w:vAlign w:val="center"/>
          </w:tcPr>
          <w:p w14:paraId="03E98892">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1</w:t>
            </w:r>
          </w:p>
        </w:tc>
        <w:tc>
          <w:tcPr>
            <w:tcW w:w="2953" w:type="dxa"/>
            <w:vMerge w:val="restart"/>
            <w:tcBorders>
              <w:top w:val="single" w:color="auto" w:sz="4" w:space="0"/>
              <w:left w:val="single" w:color="auto" w:sz="4" w:space="0"/>
              <w:right w:val="single" w:color="auto" w:sz="4" w:space="0"/>
            </w:tcBorders>
            <w:vAlign w:val="center"/>
          </w:tcPr>
          <w:p w14:paraId="66FADBCB">
            <w:pPr>
              <w:rPr>
                <w:color w:val="auto"/>
                <w:sz w:val="20"/>
                <w:szCs w:val="20"/>
                <w:highlight w:val="none"/>
              </w:rPr>
            </w:pPr>
            <w:r>
              <w:rPr>
                <w:rFonts w:hint="eastAsia"/>
                <w:color w:val="auto"/>
                <w:sz w:val="20"/>
                <w:szCs w:val="20"/>
                <w:highlight w:val="none"/>
              </w:rPr>
              <w:t>加强对各个勤务岗点检查，做到勤务规范。值班交接清楚、记录内容齐全。</w:t>
            </w:r>
          </w:p>
        </w:tc>
        <w:tc>
          <w:tcPr>
            <w:tcW w:w="665" w:type="dxa"/>
            <w:vMerge w:val="restart"/>
            <w:tcBorders>
              <w:top w:val="single" w:color="auto" w:sz="4" w:space="0"/>
              <w:left w:val="single" w:color="auto" w:sz="4" w:space="0"/>
              <w:right w:val="single" w:color="auto" w:sz="4" w:space="0"/>
            </w:tcBorders>
            <w:vAlign w:val="center"/>
          </w:tcPr>
          <w:p w14:paraId="44D5DB7F">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10</w:t>
            </w:r>
          </w:p>
        </w:tc>
        <w:tc>
          <w:tcPr>
            <w:tcW w:w="2894" w:type="dxa"/>
            <w:tcBorders>
              <w:top w:val="single" w:color="auto" w:sz="4" w:space="0"/>
              <w:left w:val="single" w:color="auto" w:sz="4" w:space="0"/>
              <w:bottom w:val="single" w:color="auto" w:sz="4" w:space="0"/>
              <w:right w:val="single" w:color="auto" w:sz="4" w:space="0"/>
            </w:tcBorders>
            <w:vAlign w:val="center"/>
          </w:tcPr>
          <w:p w14:paraId="021F34CA">
            <w:pPr>
              <w:rPr>
                <w:rFonts w:hint="eastAsia" w:eastAsiaTheme="minorEastAsia"/>
                <w:color w:val="auto"/>
                <w:sz w:val="20"/>
                <w:szCs w:val="20"/>
                <w:highlight w:val="none"/>
                <w:lang w:eastAsia="zh-CN"/>
              </w:rPr>
            </w:pPr>
            <w:r>
              <w:rPr>
                <w:rFonts w:hint="eastAsia"/>
                <w:color w:val="auto"/>
                <w:sz w:val="20"/>
                <w:szCs w:val="20"/>
                <w:highlight w:val="none"/>
              </w:rPr>
              <w:t>检查岗点勤务不规范</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781504CC">
            <w:pPr>
              <w:jc w:val="center"/>
              <w:rPr>
                <w:rFonts w:ascii="宋体" w:hAnsi="宋体" w:cs="宋体"/>
                <w:color w:val="auto"/>
                <w:sz w:val="20"/>
                <w:szCs w:val="20"/>
                <w:highlight w:val="none"/>
              </w:rPr>
            </w:pPr>
            <w:r>
              <w:rPr>
                <w:rFonts w:hint="eastAsia" w:ascii="宋体" w:hAnsi="宋体" w:cs="宋体"/>
                <w:color w:val="auto"/>
                <w:sz w:val="20"/>
                <w:szCs w:val="20"/>
                <w:highlight w:val="none"/>
              </w:rPr>
              <w:t>-0.1分/次</w:t>
            </w:r>
          </w:p>
        </w:tc>
        <w:tc>
          <w:tcPr>
            <w:tcW w:w="825" w:type="dxa"/>
            <w:tcBorders>
              <w:top w:val="single" w:color="auto" w:sz="4" w:space="0"/>
              <w:left w:val="single" w:color="auto" w:sz="4" w:space="0"/>
              <w:bottom w:val="single" w:color="auto" w:sz="4" w:space="0"/>
              <w:right w:val="single" w:color="auto" w:sz="4" w:space="0"/>
            </w:tcBorders>
            <w:vAlign w:val="center"/>
          </w:tcPr>
          <w:p w14:paraId="4ED8B5A3">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21F62DBC">
            <w:pPr>
              <w:jc w:val="center"/>
              <w:rPr>
                <w:color w:val="auto"/>
                <w:sz w:val="20"/>
                <w:szCs w:val="20"/>
                <w:highlight w:val="none"/>
              </w:rPr>
            </w:pPr>
          </w:p>
        </w:tc>
      </w:tr>
      <w:tr w14:paraId="1135CF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left w:val="single" w:color="auto" w:sz="4" w:space="0"/>
              <w:right w:val="single" w:color="auto" w:sz="4" w:space="0"/>
            </w:tcBorders>
            <w:vAlign w:val="center"/>
          </w:tcPr>
          <w:p w14:paraId="34ACE9B5">
            <w:pPr>
              <w:jc w:val="center"/>
              <w:rPr>
                <w:rFonts w:hint="eastAsia" w:ascii="宋体" w:hAnsi="宋体" w:cs="宋体"/>
                <w:color w:val="auto"/>
                <w:sz w:val="20"/>
                <w:szCs w:val="20"/>
                <w:highlight w:val="none"/>
                <w:lang w:val="en-US" w:eastAsia="zh-CN"/>
              </w:rPr>
            </w:pPr>
          </w:p>
        </w:tc>
        <w:tc>
          <w:tcPr>
            <w:tcW w:w="2953" w:type="dxa"/>
            <w:vMerge w:val="continue"/>
            <w:tcBorders>
              <w:left w:val="single" w:color="auto" w:sz="4" w:space="0"/>
              <w:right w:val="single" w:color="auto" w:sz="4" w:space="0"/>
            </w:tcBorders>
            <w:vAlign w:val="center"/>
          </w:tcPr>
          <w:p w14:paraId="60EDFBAE">
            <w:pPr>
              <w:rPr>
                <w:color w:val="auto"/>
                <w:sz w:val="20"/>
                <w:szCs w:val="20"/>
                <w:highlight w:val="none"/>
              </w:rPr>
            </w:pPr>
          </w:p>
        </w:tc>
        <w:tc>
          <w:tcPr>
            <w:tcW w:w="665" w:type="dxa"/>
            <w:vMerge w:val="continue"/>
            <w:tcBorders>
              <w:left w:val="single" w:color="auto" w:sz="4" w:space="0"/>
              <w:right w:val="single" w:color="auto" w:sz="4" w:space="0"/>
            </w:tcBorders>
            <w:vAlign w:val="center"/>
          </w:tcPr>
          <w:p w14:paraId="6011CBE3">
            <w:pPr>
              <w:jc w:val="center"/>
              <w:rPr>
                <w:rFonts w:hint="eastAsia" w:ascii="宋体" w:hAnsi="宋体" w:eastAsia="宋体" w:cs="宋体"/>
                <w:color w:val="auto"/>
                <w:sz w:val="20"/>
                <w:szCs w:val="20"/>
                <w:highlight w:val="none"/>
                <w:lang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02443B76">
            <w:pPr>
              <w:rPr>
                <w:rFonts w:hint="eastAsia" w:eastAsiaTheme="minorEastAsia"/>
                <w:color w:val="auto"/>
                <w:sz w:val="20"/>
                <w:szCs w:val="20"/>
                <w:highlight w:val="none"/>
                <w:lang w:eastAsia="zh-CN"/>
              </w:rPr>
            </w:pPr>
            <w:r>
              <w:rPr>
                <w:rFonts w:hint="eastAsia"/>
                <w:color w:val="auto"/>
                <w:sz w:val="20"/>
                <w:szCs w:val="20"/>
                <w:highlight w:val="none"/>
              </w:rPr>
              <w:t>无交接班记录、或记录内容不齐全的</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48743BF9">
            <w:pPr>
              <w:jc w:val="center"/>
              <w:rPr>
                <w:rFonts w:ascii="宋体" w:hAnsi="宋体" w:cs="宋体"/>
                <w:color w:val="auto"/>
                <w:sz w:val="20"/>
                <w:szCs w:val="20"/>
                <w:highlight w:val="none"/>
              </w:rPr>
            </w:pPr>
            <w:r>
              <w:rPr>
                <w:rFonts w:hint="eastAsia" w:ascii="宋体" w:hAnsi="宋体" w:cs="宋体"/>
                <w:color w:val="auto"/>
                <w:sz w:val="20"/>
                <w:szCs w:val="20"/>
                <w:highlight w:val="none"/>
              </w:rPr>
              <w:t>-0.1分/次</w:t>
            </w:r>
          </w:p>
        </w:tc>
        <w:tc>
          <w:tcPr>
            <w:tcW w:w="825" w:type="dxa"/>
            <w:tcBorders>
              <w:top w:val="single" w:color="auto" w:sz="4" w:space="0"/>
              <w:left w:val="single" w:color="auto" w:sz="4" w:space="0"/>
              <w:bottom w:val="single" w:color="auto" w:sz="4" w:space="0"/>
              <w:right w:val="single" w:color="auto" w:sz="4" w:space="0"/>
            </w:tcBorders>
            <w:vAlign w:val="center"/>
          </w:tcPr>
          <w:p w14:paraId="4230B25E">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1CFAEB12">
            <w:pPr>
              <w:jc w:val="center"/>
              <w:rPr>
                <w:color w:val="auto"/>
                <w:sz w:val="20"/>
                <w:szCs w:val="20"/>
                <w:highlight w:val="none"/>
              </w:rPr>
            </w:pPr>
          </w:p>
        </w:tc>
      </w:tr>
      <w:tr w14:paraId="2A4B05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 w:hRule="atLeast"/>
          <w:jc w:val="center"/>
        </w:trPr>
        <w:tc>
          <w:tcPr>
            <w:tcW w:w="645" w:type="dxa"/>
            <w:vMerge w:val="continue"/>
            <w:tcBorders>
              <w:left w:val="single" w:color="auto" w:sz="4" w:space="0"/>
              <w:bottom w:val="single" w:color="auto" w:sz="4" w:space="0"/>
              <w:right w:val="single" w:color="auto" w:sz="4" w:space="0"/>
            </w:tcBorders>
            <w:vAlign w:val="center"/>
          </w:tcPr>
          <w:p w14:paraId="4AFF18F2">
            <w:pPr>
              <w:jc w:val="center"/>
              <w:rPr>
                <w:rFonts w:hint="eastAsia" w:ascii="宋体" w:hAnsi="宋体" w:cs="宋体"/>
                <w:color w:val="auto"/>
                <w:sz w:val="20"/>
                <w:szCs w:val="20"/>
                <w:highlight w:val="none"/>
                <w:lang w:val="en-US" w:eastAsia="zh-CN"/>
              </w:rPr>
            </w:pPr>
          </w:p>
        </w:tc>
        <w:tc>
          <w:tcPr>
            <w:tcW w:w="2953" w:type="dxa"/>
            <w:vMerge w:val="continue"/>
            <w:tcBorders>
              <w:left w:val="single" w:color="auto" w:sz="4" w:space="0"/>
              <w:bottom w:val="single" w:color="auto" w:sz="4" w:space="0"/>
              <w:right w:val="single" w:color="auto" w:sz="4" w:space="0"/>
            </w:tcBorders>
            <w:vAlign w:val="center"/>
          </w:tcPr>
          <w:p w14:paraId="7A91E1E6">
            <w:pPr>
              <w:rPr>
                <w:color w:val="auto"/>
                <w:sz w:val="20"/>
                <w:szCs w:val="20"/>
                <w:highlight w:val="none"/>
              </w:rPr>
            </w:pPr>
          </w:p>
        </w:tc>
        <w:tc>
          <w:tcPr>
            <w:tcW w:w="665" w:type="dxa"/>
            <w:vMerge w:val="continue"/>
            <w:tcBorders>
              <w:left w:val="single" w:color="auto" w:sz="4" w:space="0"/>
              <w:bottom w:val="single" w:color="auto" w:sz="4" w:space="0"/>
              <w:right w:val="single" w:color="auto" w:sz="4" w:space="0"/>
            </w:tcBorders>
            <w:vAlign w:val="center"/>
          </w:tcPr>
          <w:p w14:paraId="214C8E24">
            <w:pPr>
              <w:jc w:val="center"/>
              <w:rPr>
                <w:rFonts w:hint="eastAsia" w:ascii="宋体" w:hAnsi="宋体" w:eastAsia="宋体" w:cs="宋体"/>
                <w:color w:val="auto"/>
                <w:sz w:val="20"/>
                <w:szCs w:val="20"/>
                <w:highlight w:val="none"/>
                <w:lang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0CA388C7">
            <w:pPr>
              <w:rPr>
                <w:rFonts w:hint="eastAsia" w:eastAsiaTheme="minorEastAsia"/>
                <w:color w:val="auto"/>
                <w:sz w:val="20"/>
                <w:szCs w:val="20"/>
                <w:highlight w:val="none"/>
                <w:lang w:eastAsia="zh-CN"/>
              </w:rPr>
            </w:pPr>
            <w:r>
              <w:rPr>
                <w:rFonts w:hint="eastAsia"/>
                <w:color w:val="auto"/>
                <w:sz w:val="20"/>
                <w:szCs w:val="20"/>
                <w:highlight w:val="none"/>
              </w:rPr>
              <w:t>值勤时睡觉的</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5795E9B0">
            <w:pPr>
              <w:jc w:val="center"/>
              <w:rPr>
                <w:rFonts w:ascii="宋体" w:hAnsi="宋体" w:cs="宋体"/>
                <w:color w:val="auto"/>
                <w:sz w:val="20"/>
                <w:szCs w:val="20"/>
                <w:highlight w:val="none"/>
              </w:rPr>
            </w:pPr>
            <w:r>
              <w:rPr>
                <w:rFonts w:hint="eastAsia" w:ascii="宋体" w:hAnsi="宋体" w:cs="宋体"/>
                <w:color w:val="auto"/>
                <w:sz w:val="20"/>
                <w:szCs w:val="20"/>
                <w:highlight w:val="none"/>
              </w:rPr>
              <w:t>-0.1分/次</w:t>
            </w:r>
          </w:p>
        </w:tc>
        <w:tc>
          <w:tcPr>
            <w:tcW w:w="825" w:type="dxa"/>
            <w:tcBorders>
              <w:top w:val="single" w:color="auto" w:sz="4" w:space="0"/>
              <w:left w:val="single" w:color="auto" w:sz="4" w:space="0"/>
              <w:bottom w:val="single" w:color="auto" w:sz="4" w:space="0"/>
              <w:right w:val="single" w:color="auto" w:sz="4" w:space="0"/>
            </w:tcBorders>
            <w:vAlign w:val="center"/>
          </w:tcPr>
          <w:p w14:paraId="5F19D830">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7050F751">
            <w:pPr>
              <w:jc w:val="center"/>
              <w:rPr>
                <w:color w:val="auto"/>
                <w:sz w:val="20"/>
                <w:szCs w:val="20"/>
                <w:highlight w:val="none"/>
              </w:rPr>
            </w:pPr>
          </w:p>
        </w:tc>
      </w:tr>
      <w:tr w14:paraId="09D4FA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5D786681">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2</w:t>
            </w:r>
          </w:p>
        </w:tc>
        <w:tc>
          <w:tcPr>
            <w:tcW w:w="2953" w:type="dxa"/>
            <w:tcBorders>
              <w:top w:val="single" w:color="auto" w:sz="4" w:space="0"/>
              <w:left w:val="single" w:color="auto" w:sz="4" w:space="0"/>
              <w:bottom w:val="single" w:color="auto" w:sz="4" w:space="0"/>
              <w:right w:val="single" w:color="auto" w:sz="4" w:space="0"/>
            </w:tcBorders>
            <w:vAlign w:val="center"/>
          </w:tcPr>
          <w:p w14:paraId="243F3DAD">
            <w:pPr>
              <w:jc w:val="left"/>
              <w:rPr>
                <w:rFonts w:hint="default"/>
                <w:color w:val="auto"/>
                <w:sz w:val="20"/>
                <w:szCs w:val="20"/>
                <w:highlight w:val="none"/>
                <w:lang w:val="en-US"/>
              </w:rPr>
            </w:pPr>
            <w:r>
              <w:rPr>
                <w:rFonts w:hint="eastAsia"/>
                <w:color w:val="auto"/>
                <w:sz w:val="20"/>
                <w:szCs w:val="20"/>
                <w:highlight w:val="none"/>
                <w:lang w:val="en-US" w:eastAsia="zh-CN"/>
              </w:rPr>
              <w:t>秩序维护人员每月考核1次。</w:t>
            </w:r>
          </w:p>
        </w:tc>
        <w:tc>
          <w:tcPr>
            <w:tcW w:w="665" w:type="dxa"/>
            <w:tcBorders>
              <w:top w:val="single" w:color="auto" w:sz="4" w:space="0"/>
              <w:left w:val="single" w:color="auto" w:sz="4" w:space="0"/>
              <w:bottom w:val="single" w:color="auto" w:sz="4" w:space="0"/>
              <w:right w:val="single" w:color="auto" w:sz="4" w:space="0"/>
            </w:tcBorders>
            <w:vAlign w:val="center"/>
          </w:tcPr>
          <w:p w14:paraId="1556544A">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10</w:t>
            </w:r>
          </w:p>
        </w:tc>
        <w:tc>
          <w:tcPr>
            <w:tcW w:w="2894" w:type="dxa"/>
            <w:tcBorders>
              <w:top w:val="single" w:color="auto" w:sz="4" w:space="0"/>
              <w:left w:val="single" w:color="auto" w:sz="4" w:space="0"/>
              <w:bottom w:val="single" w:color="auto" w:sz="4" w:space="0"/>
              <w:right w:val="single" w:color="auto" w:sz="4" w:space="0"/>
            </w:tcBorders>
            <w:vAlign w:val="center"/>
          </w:tcPr>
          <w:p w14:paraId="30CF1955">
            <w:pPr>
              <w:jc w:val="left"/>
              <w:rPr>
                <w:rFonts w:hint="eastAsia" w:eastAsiaTheme="minorEastAsia"/>
                <w:color w:val="auto"/>
                <w:sz w:val="20"/>
                <w:szCs w:val="20"/>
                <w:highlight w:val="none"/>
                <w:lang w:eastAsia="zh-CN"/>
              </w:rPr>
            </w:pPr>
            <w:r>
              <w:rPr>
                <w:rFonts w:hint="eastAsia"/>
                <w:color w:val="auto"/>
                <w:sz w:val="20"/>
                <w:szCs w:val="20"/>
                <w:highlight w:val="none"/>
              </w:rPr>
              <w:t>秩序维护人员缺岗</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49DCF11E">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分/人次</w:t>
            </w:r>
          </w:p>
        </w:tc>
        <w:tc>
          <w:tcPr>
            <w:tcW w:w="825" w:type="dxa"/>
            <w:tcBorders>
              <w:top w:val="single" w:color="auto" w:sz="4" w:space="0"/>
              <w:left w:val="single" w:color="auto" w:sz="4" w:space="0"/>
              <w:bottom w:val="single" w:color="auto" w:sz="4" w:space="0"/>
              <w:right w:val="single" w:color="auto" w:sz="4" w:space="0"/>
            </w:tcBorders>
            <w:vAlign w:val="center"/>
          </w:tcPr>
          <w:p w14:paraId="3AC7A6A7">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3441976F">
            <w:pPr>
              <w:jc w:val="center"/>
              <w:rPr>
                <w:color w:val="auto"/>
                <w:sz w:val="20"/>
                <w:szCs w:val="20"/>
                <w:highlight w:val="none"/>
              </w:rPr>
            </w:pPr>
          </w:p>
        </w:tc>
      </w:tr>
      <w:tr w14:paraId="3646E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vMerge w:val="restart"/>
            <w:tcBorders>
              <w:top w:val="single" w:color="auto" w:sz="4" w:space="0"/>
              <w:left w:val="single" w:color="auto" w:sz="4" w:space="0"/>
              <w:right w:val="single" w:color="auto" w:sz="4" w:space="0"/>
            </w:tcBorders>
            <w:vAlign w:val="center"/>
          </w:tcPr>
          <w:p w14:paraId="4B3FB591">
            <w:pPr>
              <w:jc w:val="center"/>
              <w:rPr>
                <w:rFonts w:hint="eastAsia" w:ascii="宋体" w:hAnsi="宋体" w:cs="宋体"/>
                <w:color w:val="auto"/>
                <w:sz w:val="20"/>
                <w:szCs w:val="20"/>
                <w:highlight w:val="none"/>
                <w:lang w:val="en-US" w:eastAsia="zh-CN"/>
              </w:rPr>
            </w:pPr>
            <w:bookmarkStart w:id="76" w:name="OLE_LINK171" w:colFirst="4" w:colLast="4"/>
          </w:p>
          <w:p w14:paraId="40D22D95">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3</w:t>
            </w:r>
          </w:p>
        </w:tc>
        <w:tc>
          <w:tcPr>
            <w:tcW w:w="2953" w:type="dxa"/>
            <w:vMerge w:val="restart"/>
            <w:tcBorders>
              <w:top w:val="single" w:color="auto" w:sz="4" w:space="0"/>
              <w:left w:val="single" w:color="auto" w:sz="4" w:space="0"/>
              <w:bottom w:val="single" w:color="auto" w:sz="4" w:space="0"/>
              <w:right w:val="single" w:color="auto" w:sz="4" w:space="0"/>
            </w:tcBorders>
            <w:vAlign w:val="center"/>
          </w:tcPr>
          <w:p w14:paraId="79B84F4E">
            <w:pPr>
              <w:rPr>
                <w:color w:val="auto"/>
                <w:sz w:val="20"/>
                <w:szCs w:val="20"/>
                <w:highlight w:val="none"/>
              </w:rPr>
            </w:pPr>
            <w:r>
              <w:rPr>
                <w:rFonts w:hint="eastAsia" w:ascii="宋体" w:hAnsi="宋体" w:cs="宋体"/>
                <w:color w:val="auto"/>
                <w:sz w:val="20"/>
                <w:szCs w:val="20"/>
                <w:highlight w:val="none"/>
                <w:lang w:eastAsia="zh-CN"/>
              </w:rPr>
              <w:t>服务商</w:t>
            </w:r>
            <w:r>
              <w:rPr>
                <w:rFonts w:hint="eastAsia" w:ascii="宋体" w:hAnsi="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布置的工作要求、任务有落实，有反馈。</w:t>
            </w:r>
          </w:p>
        </w:tc>
        <w:tc>
          <w:tcPr>
            <w:tcW w:w="665" w:type="dxa"/>
            <w:vMerge w:val="restart"/>
            <w:tcBorders>
              <w:top w:val="single" w:color="auto" w:sz="4" w:space="0"/>
              <w:left w:val="single" w:color="auto" w:sz="4" w:space="0"/>
              <w:right w:val="single" w:color="auto" w:sz="4" w:space="0"/>
            </w:tcBorders>
            <w:vAlign w:val="center"/>
          </w:tcPr>
          <w:p w14:paraId="7DB5706D">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20</w:t>
            </w:r>
          </w:p>
        </w:tc>
        <w:tc>
          <w:tcPr>
            <w:tcW w:w="2894" w:type="dxa"/>
            <w:tcBorders>
              <w:top w:val="single" w:color="auto" w:sz="4" w:space="0"/>
              <w:left w:val="single" w:color="auto" w:sz="4" w:space="0"/>
              <w:bottom w:val="single" w:color="auto" w:sz="4" w:space="0"/>
              <w:right w:val="single" w:color="auto" w:sz="4" w:space="0"/>
            </w:tcBorders>
            <w:shd w:val="clear" w:color="auto" w:fill="auto"/>
            <w:vAlign w:val="center"/>
          </w:tcPr>
          <w:p w14:paraId="05C13812">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73F9B8C2">
            <w:pPr>
              <w:jc w:val="center"/>
              <w:rPr>
                <w:rFonts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825" w:type="dxa"/>
            <w:tcBorders>
              <w:top w:val="single" w:color="auto" w:sz="4" w:space="0"/>
              <w:left w:val="single" w:color="auto" w:sz="4" w:space="0"/>
              <w:bottom w:val="single" w:color="auto" w:sz="4" w:space="0"/>
              <w:right w:val="single" w:color="auto" w:sz="4" w:space="0"/>
            </w:tcBorders>
            <w:vAlign w:val="center"/>
          </w:tcPr>
          <w:p w14:paraId="080C498B">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FD1DD90">
            <w:pPr>
              <w:jc w:val="center"/>
              <w:rPr>
                <w:color w:val="auto"/>
                <w:sz w:val="20"/>
                <w:szCs w:val="20"/>
                <w:highlight w:val="none"/>
              </w:rPr>
            </w:pPr>
          </w:p>
        </w:tc>
      </w:tr>
      <w:tr w14:paraId="2EE153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vMerge w:val="continue"/>
            <w:tcBorders>
              <w:left w:val="single" w:color="auto" w:sz="4" w:space="0"/>
              <w:right w:val="single" w:color="auto" w:sz="4" w:space="0"/>
            </w:tcBorders>
            <w:vAlign w:val="center"/>
          </w:tcPr>
          <w:p w14:paraId="592E3A6A">
            <w:pPr>
              <w:jc w:val="center"/>
              <w:rPr>
                <w:rFonts w:hint="eastAsia"/>
                <w:color w:val="auto"/>
                <w:sz w:val="20"/>
                <w:szCs w:val="20"/>
                <w:highlight w:val="none"/>
                <w:lang w:val="en-US" w:eastAsia="zh-CN"/>
              </w:rPr>
            </w:pPr>
          </w:p>
        </w:tc>
        <w:tc>
          <w:tcPr>
            <w:tcW w:w="2953" w:type="dxa"/>
            <w:vMerge w:val="continue"/>
            <w:tcBorders>
              <w:left w:val="single" w:color="auto" w:sz="4" w:space="0"/>
              <w:right w:val="single" w:color="auto" w:sz="4" w:space="0"/>
            </w:tcBorders>
            <w:vAlign w:val="center"/>
          </w:tcPr>
          <w:p w14:paraId="2A475349">
            <w:pPr>
              <w:rPr>
                <w:rFonts w:hint="eastAsia" w:ascii="宋体" w:hAnsi="宋体" w:cs="宋体"/>
                <w:color w:val="auto"/>
                <w:sz w:val="20"/>
                <w:szCs w:val="20"/>
                <w:highlight w:val="none"/>
              </w:rPr>
            </w:pPr>
          </w:p>
        </w:tc>
        <w:tc>
          <w:tcPr>
            <w:tcW w:w="665" w:type="dxa"/>
            <w:vMerge w:val="continue"/>
            <w:tcBorders>
              <w:left w:val="single" w:color="auto" w:sz="4" w:space="0"/>
              <w:right w:val="single" w:color="auto" w:sz="4" w:space="0"/>
            </w:tcBorders>
            <w:vAlign w:val="center"/>
          </w:tcPr>
          <w:p w14:paraId="233869FE">
            <w:pPr>
              <w:jc w:val="center"/>
              <w:rPr>
                <w:rFonts w:hint="eastAsia" w:ascii="宋体" w:hAnsi="宋体" w:cs="宋体"/>
                <w:color w:val="auto"/>
                <w:sz w:val="20"/>
                <w:szCs w:val="20"/>
                <w:highlight w:val="none"/>
                <w:lang w:val="en-US" w:eastAsia="zh-CN"/>
              </w:rPr>
            </w:pPr>
          </w:p>
        </w:tc>
        <w:tc>
          <w:tcPr>
            <w:tcW w:w="2894" w:type="dxa"/>
            <w:tcBorders>
              <w:top w:val="single" w:color="auto" w:sz="4" w:space="0"/>
              <w:left w:val="single" w:color="auto" w:sz="4" w:space="0"/>
              <w:bottom w:val="single" w:color="auto" w:sz="4" w:space="0"/>
              <w:right w:val="single" w:color="auto" w:sz="4" w:space="0"/>
            </w:tcBorders>
            <w:shd w:val="clear" w:color="auto" w:fill="auto"/>
            <w:vAlign w:val="center"/>
          </w:tcPr>
          <w:p w14:paraId="073C41F3">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106AF448">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825" w:type="dxa"/>
            <w:tcBorders>
              <w:top w:val="single" w:color="auto" w:sz="4" w:space="0"/>
              <w:left w:val="single" w:color="auto" w:sz="4" w:space="0"/>
              <w:bottom w:val="single" w:color="auto" w:sz="4" w:space="0"/>
              <w:right w:val="single" w:color="auto" w:sz="4" w:space="0"/>
            </w:tcBorders>
            <w:vAlign w:val="center"/>
          </w:tcPr>
          <w:p w14:paraId="63DEEFBE">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3A81F29C">
            <w:pPr>
              <w:jc w:val="center"/>
              <w:rPr>
                <w:color w:val="auto"/>
                <w:sz w:val="20"/>
                <w:szCs w:val="20"/>
                <w:highlight w:val="none"/>
              </w:rPr>
            </w:pPr>
          </w:p>
        </w:tc>
      </w:tr>
      <w:tr w14:paraId="4E001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vMerge w:val="continue"/>
            <w:tcBorders>
              <w:left w:val="single" w:color="auto" w:sz="4" w:space="0"/>
              <w:bottom w:val="single" w:color="auto" w:sz="4" w:space="0"/>
              <w:right w:val="single" w:color="auto" w:sz="4" w:space="0"/>
            </w:tcBorders>
            <w:vAlign w:val="center"/>
          </w:tcPr>
          <w:p w14:paraId="33052358">
            <w:pPr>
              <w:jc w:val="center"/>
              <w:rPr>
                <w:color w:val="auto"/>
                <w:sz w:val="20"/>
                <w:szCs w:val="20"/>
                <w:highlight w:val="none"/>
              </w:rPr>
            </w:pPr>
          </w:p>
        </w:tc>
        <w:tc>
          <w:tcPr>
            <w:tcW w:w="2953" w:type="dxa"/>
            <w:vMerge w:val="continue"/>
            <w:tcBorders>
              <w:top w:val="single" w:color="auto" w:sz="4" w:space="0"/>
              <w:left w:val="single" w:color="auto" w:sz="4" w:space="0"/>
              <w:bottom w:val="single" w:color="auto" w:sz="4" w:space="0"/>
              <w:right w:val="single" w:color="auto" w:sz="4" w:space="0"/>
            </w:tcBorders>
            <w:vAlign w:val="center"/>
          </w:tcPr>
          <w:p w14:paraId="706EBD7D">
            <w:pPr>
              <w:rPr>
                <w:color w:val="auto"/>
                <w:sz w:val="20"/>
                <w:szCs w:val="20"/>
                <w:highlight w:val="none"/>
              </w:rPr>
            </w:pPr>
          </w:p>
        </w:tc>
        <w:tc>
          <w:tcPr>
            <w:tcW w:w="665" w:type="dxa"/>
            <w:vMerge w:val="continue"/>
            <w:tcBorders>
              <w:left w:val="single" w:color="auto" w:sz="4" w:space="0"/>
              <w:bottom w:val="single" w:color="auto" w:sz="4" w:space="0"/>
              <w:right w:val="single" w:color="auto" w:sz="4" w:space="0"/>
            </w:tcBorders>
            <w:vAlign w:val="center"/>
          </w:tcPr>
          <w:p w14:paraId="36FDEFB1">
            <w:pPr>
              <w:jc w:val="center"/>
              <w:rPr>
                <w:rFonts w:hint="eastAsia" w:ascii="宋体" w:hAnsi="宋体" w:eastAsia="宋体" w:cs="宋体"/>
                <w:color w:val="auto"/>
                <w:sz w:val="20"/>
                <w:szCs w:val="20"/>
                <w:highlight w:val="none"/>
                <w:lang w:eastAsia="zh-CN"/>
              </w:rPr>
            </w:pPr>
          </w:p>
        </w:tc>
        <w:tc>
          <w:tcPr>
            <w:tcW w:w="2894" w:type="dxa"/>
            <w:tcBorders>
              <w:top w:val="single" w:color="auto" w:sz="4" w:space="0"/>
              <w:left w:val="single" w:color="auto" w:sz="4" w:space="0"/>
              <w:bottom w:val="single" w:color="auto" w:sz="4" w:space="0"/>
              <w:right w:val="single" w:color="auto" w:sz="4" w:space="0"/>
            </w:tcBorders>
            <w:shd w:val="clear" w:color="auto" w:fill="auto"/>
            <w:vAlign w:val="center"/>
          </w:tcPr>
          <w:p w14:paraId="2BFD1665">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70927AF9">
            <w:pPr>
              <w:jc w:val="center"/>
              <w:rPr>
                <w:rFonts w:hint="default"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-1至-5分/项</w:t>
            </w:r>
          </w:p>
        </w:tc>
        <w:tc>
          <w:tcPr>
            <w:tcW w:w="825" w:type="dxa"/>
            <w:tcBorders>
              <w:top w:val="single" w:color="auto" w:sz="4" w:space="0"/>
              <w:left w:val="single" w:color="auto" w:sz="4" w:space="0"/>
              <w:bottom w:val="single" w:color="auto" w:sz="4" w:space="0"/>
              <w:right w:val="single" w:color="auto" w:sz="4" w:space="0"/>
            </w:tcBorders>
            <w:vAlign w:val="center"/>
          </w:tcPr>
          <w:p w14:paraId="7FD7A41F">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21BC56C">
            <w:pPr>
              <w:jc w:val="center"/>
              <w:rPr>
                <w:color w:val="auto"/>
                <w:sz w:val="20"/>
                <w:szCs w:val="20"/>
                <w:highlight w:val="none"/>
              </w:rPr>
            </w:pPr>
          </w:p>
        </w:tc>
      </w:tr>
      <w:bookmarkEnd w:id="76"/>
      <w:tr w14:paraId="1BFD3A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4C5F3188">
            <w:pPr>
              <w:jc w:val="center"/>
              <w:rPr>
                <w:b/>
                <w:color w:val="auto"/>
                <w:sz w:val="20"/>
                <w:szCs w:val="20"/>
                <w:highlight w:val="none"/>
              </w:rPr>
            </w:pPr>
            <w:r>
              <w:rPr>
                <w:rFonts w:hint="eastAsia"/>
                <w:b/>
                <w:color w:val="auto"/>
                <w:sz w:val="20"/>
                <w:szCs w:val="20"/>
                <w:highlight w:val="none"/>
              </w:rPr>
              <w:t>四</w:t>
            </w:r>
          </w:p>
        </w:tc>
        <w:tc>
          <w:tcPr>
            <w:tcW w:w="2953" w:type="dxa"/>
            <w:tcBorders>
              <w:top w:val="single" w:color="auto" w:sz="4" w:space="0"/>
              <w:left w:val="single" w:color="auto" w:sz="4" w:space="0"/>
              <w:bottom w:val="single" w:color="auto" w:sz="4" w:space="0"/>
              <w:right w:val="single" w:color="auto" w:sz="4" w:space="0"/>
            </w:tcBorders>
            <w:vAlign w:val="center"/>
          </w:tcPr>
          <w:p w14:paraId="6E3F47F0">
            <w:pPr>
              <w:rPr>
                <w:b/>
                <w:color w:val="auto"/>
                <w:sz w:val="20"/>
                <w:szCs w:val="20"/>
                <w:highlight w:val="none"/>
              </w:rPr>
            </w:pPr>
            <w:r>
              <w:rPr>
                <w:rFonts w:hint="eastAsia"/>
                <w:b/>
                <w:color w:val="auto"/>
                <w:sz w:val="20"/>
                <w:szCs w:val="20"/>
                <w:highlight w:val="none"/>
              </w:rPr>
              <w:t>消防防火及设备保护的考核标准</w:t>
            </w:r>
          </w:p>
        </w:tc>
        <w:tc>
          <w:tcPr>
            <w:tcW w:w="665" w:type="dxa"/>
            <w:tcBorders>
              <w:top w:val="single" w:color="auto" w:sz="4" w:space="0"/>
              <w:left w:val="single" w:color="auto" w:sz="4" w:space="0"/>
              <w:bottom w:val="single" w:color="auto" w:sz="4" w:space="0"/>
              <w:right w:val="single" w:color="auto" w:sz="4" w:space="0"/>
            </w:tcBorders>
            <w:vAlign w:val="center"/>
          </w:tcPr>
          <w:p w14:paraId="505C70C0">
            <w:pPr>
              <w:jc w:val="center"/>
              <w:rPr>
                <w:rFonts w:hint="eastAsia" w:ascii="宋体" w:hAnsi="宋体" w:eastAsia="宋体" w:cs="宋体"/>
                <w:color w:val="auto"/>
                <w:sz w:val="20"/>
                <w:szCs w:val="20"/>
                <w:highlight w:val="none"/>
                <w:lang w:val="en-US" w:eastAsia="zh-CN"/>
              </w:rPr>
            </w:pPr>
            <w:r>
              <w:rPr>
                <w:rFonts w:hint="eastAsia" w:ascii="宋体" w:hAnsi="宋体" w:cs="宋体"/>
                <w:b/>
                <w:bCs/>
                <w:color w:val="auto"/>
                <w:sz w:val="20"/>
                <w:szCs w:val="20"/>
                <w:highlight w:val="none"/>
                <w:lang w:val="en-US" w:eastAsia="zh-CN"/>
              </w:rPr>
              <w:t>27</w:t>
            </w:r>
          </w:p>
        </w:tc>
        <w:tc>
          <w:tcPr>
            <w:tcW w:w="2894" w:type="dxa"/>
            <w:tcBorders>
              <w:top w:val="single" w:color="auto" w:sz="4" w:space="0"/>
              <w:left w:val="single" w:color="auto" w:sz="4" w:space="0"/>
              <w:bottom w:val="single" w:color="auto" w:sz="4" w:space="0"/>
              <w:right w:val="single" w:color="auto" w:sz="4" w:space="0"/>
            </w:tcBorders>
            <w:vAlign w:val="center"/>
          </w:tcPr>
          <w:p w14:paraId="02228BEC">
            <w:pPr>
              <w:rPr>
                <w:b/>
                <w:color w:val="auto"/>
                <w:sz w:val="20"/>
                <w:szCs w:val="20"/>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4511B9E2">
            <w:pPr>
              <w:jc w:val="center"/>
              <w:rPr>
                <w:rFonts w:ascii="宋体" w:hAnsi="宋体" w:cs="宋体"/>
                <w:color w:val="auto"/>
                <w:sz w:val="20"/>
                <w:szCs w:val="20"/>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734D7F4E">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7F9C9843">
            <w:pPr>
              <w:jc w:val="center"/>
              <w:rPr>
                <w:color w:val="auto"/>
                <w:sz w:val="20"/>
                <w:szCs w:val="20"/>
                <w:highlight w:val="none"/>
              </w:rPr>
            </w:pPr>
          </w:p>
        </w:tc>
      </w:tr>
      <w:tr w14:paraId="7D1BED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74DDC906">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1</w:t>
            </w:r>
          </w:p>
        </w:tc>
        <w:tc>
          <w:tcPr>
            <w:tcW w:w="2953" w:type="dxa"/>
            <w:tcBorders>
              <w:top w:val="single" w:color="auto" w:sz="4" w:space="0"/>
              <w:left w:val="single" w:color="auto" w:sz="4" w:space="0"/>
              <w:bottom w:val="single" w:color="auto" w:sz="4" w:space="0"/>
              <w:right w:val="single" w:color="auto" w:sz="4" w:space="0"/>
            </w:tcBorders>
            <w:vAlign w:val="center"/>
          </w:tcPr>
          <w:p w14:paraId="15B51ADF">
            <w:pPr>
              <w:rPr>
                <w:rFonts w:hint="eastAsia" w:eastAsiaTheme="minorEastAsia"/>
                <w:color w:val="auto"/>
                <w:sz w:val="20"/>
                <w:szCs w:val="20"/>
                <w:highlight w:val="none"/>
                <w:lang w:val="en-US" w:eastAsia="zh-CN"/>
              </w:rPr>
            </w:pPr>
            <w:r>
              <w:rPr>
                <w:rFonts w:hint="eastAsia"/>
                <w:color w:val="auto"/>
                <w:sz w:val="20"/>
                <w:szCs w:val="20"/>
                <w:highlight w:val="none"/>
              </w:rPr>
              <w:t>消防值班：严格消防值班制度、不得缺岗离岗、做好值班记录，交接要清楚</w:t>
            </w:r>
            <w:r>
              <w:rPr>
                <w:rFonts w:hint="eastAsia"/>
                <w:color w:val="auto"/>
                <w:sz w:val="20"/>
                <w:szCs w:val="20"/>
                <w:highlight w:val="none"/>
                <w:lang w:eastAsia="zh-CN"/>
              </w:rPr>
              <w:t>。</w:t>
            </w:r>
          </w:p>
        </w:tc>
        <w:tc>
          <w:tcPr>
            <w:tcW w:w="665" w:type="dxa"/>
            <w:tcBorders>
              <w:top w:val="single" w:color="auto" w:sz="4" w:space="0"/>
              <w:left w:val="single" w:color="auto" w:sz="4" w:space="0"/>
              <w:bottom w:val="single" w:color="auto" w:sz="4" w:space="0"/>
              <w:right w:val="single" w:color="auto" w:sz="4" w:space="0"/>
            </w:tcBorders>
            <w:vAlign w:val="center"/>
          </w:tcPr>
          <w:p w14:paraId="60FBEBBC">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4</w:t>
            </w:r>
          </w:p>
        </w:tc>
        <w:tc>
          <w:tcPr>
            <w:tcW w:w="2894" w:type="dxa"/>
            <w:tcBorders>
              <w:top w:val="single" w:color="auto" w:sz="4" w:space="0"/>
              <w:left w:val="single" w:color="auto" w:sz="4" w:space="0"/>
              <w:bottom w:val="single" w:color="auto" w:sz="4" w:space="0"/>
              <w:right w:val="single" w:color="auto" w:sz="4" w:space="0"/>
            </w:tcBorders>
            <w:vAlign w:val="center"/>
          </w:tcPr>
          <w:p w14:paraId="2F2AECDF">
            <w:pPr>
              <w:rPr>
                <w:rFonts w:hint="eastAsia" w:eastAsiaTheme="minorEastAsia"/>
                <w:color w:val="auto"/>
                <w:sz w:val="20"/>
                <w:szCs w:val="20"/>
                <w:highlight w:val="none"/>
                <w:lang w:eastAsia="zh-CN"/>
              </w:rPr>
            </w:pPr>
            <w:r>
              <w:rPr>
                <w:rFonts w:hint="eastAsia"/>
                <w:color w:val="auto"/>
                <w:sz w:val="20"/>
                <w:szCs w:val="20"/>
                <w:highlight w:val="none"/>
              </w:rPr>
              <w:t>缺岗离岗或交接班内容不清楚、记录不完整，每一项</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59E6B418">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825" w:type="dxa"/>
            <w:tcBorders>
              <w:top w:val="single" w:color="auto" w:sz="4" w:space="0"/>
              <w:left w:val="single" w:color="auto" w:sz="4" w:space="0"/>
              <w:bottom w:val="single" w:color="auto" w:sz="4" w:space="0"/>
              <w:right w:val="single" w:color="auto" w:sz="4" w:space="0"/>
            </w:tcBorders>
            <w:vAlign w:val="center"/>
          </w:tcPr>
          <w:p w14:paraId="67C9B306">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0AE4FFDF">
            <w:pPr>
              <w:jc w:val="center"/>
              <w:rPr>
                <w:color w:val="auto"/>
                <w:sz w:val="20"/>
                <w:szCs w:val="20"/>
                <w:highlight w:val="none"/>
              </w:rPr>
            </w:pPr>
          </w:p>
        </w:tc>
      </w:tr>
      <w:tr w14:paraId="4A4F64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30C8DE1F">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2</w:t>
            </w:r>
          </w:p>
        </w:tc>
        <w:tc>
          <w:tcPr>
            <w:tcW w:w="2953" w:type="dxa"/>
            <w:tcBorders>
              <w:top w:val="single" w:color="auto" w:sz="4" w:space="0"/>
              <w:left w:val="single" w:color="auto" w:sz="4" w:space="0"/>
              <w:bottom w:val="single" w:color="auto" w:sz="4" w:space="0"/>
              <w:right w:val="single" w:color="auto" w:sz="4" w:space="0"/>
            </w:tcBorders>
            <w:vAlign w:val="center"/>
          </w:tcPr>
          <w:p w14:paraId="3C2CD933">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加强消防器材、设备管理及维护保养</w:t>
            </w:r>
            <w:r>
              <w:rPr>
                <w:rFonts w:hint="eastAsia"/>
                <w:color w:val="auto"/>
                <w:sz w:val="20"/>
                <w:szCs w:val="20"/>
                <w:highlight w:val="none"/>
                <w:lang w:val="en-US" w:eastAsia="zh-CN"/>
              </w:rPr>
              <w:t>跟进工作，</w:t>
            </w:r>
            <w:r>
              <w:rPr>
                <w:rFonts w:hint="eastAsia"/>
                <w:color w:val="auto"/>
                <w:sz w:val="20"/>
                <w:szCs w:val="20"/>
                <w:highlight w:val="none"/>
              </w:rPr>
              <w:t>保持消防通道畅通，</w:t>
            </w:r>
            <w:r>
              <w:rPr>
                <w:rFonts w:hint="eastAsia"/>
                <w:color w:val="auto"/>
                <w:sz w:val="20"/>
                <w:szCs w:val="20"/>
                <w:highlight w:val="none"/>
                <w:lang w:val="en-US" w:eastAsia="zh-CN"/>
              </w:rPr>
              <w:t>每月检查1次</w:t>
            </w:r>
            <w:r>
              <w:rPr>
                <w:rFonts w:hint="eastAsia"/>
                <w:color w:val="auto"/>
                <w:sz w:val="20"/>
                <w:szCs w:val="20"/>
                <w:highlight w:val="none"/>
              </w:rPr>
              <w:t>，并做好记录。</w:t>
            </w:r>
          </w:p>
        </w:tc>
        <w:tc>
          <w:tcPr>
            <w:tcW w:w="665" w:type="dxa"/>
            <w:tcBorders>
              <w:top w:val="single" w:color="auto" w:sz="4" w:space="0"/>
              <w:left w:val="single" w:color="auto" w:sz="4" w:space="0"/>
              <w:bottom w:val="single" w:color="auto" w:sz="4" w:space="0"/>
              <w:right w:val="single" w:color="auto" w:sz="4" w:space="0"/>
            </w:tcBorders>
            <w:vAlign w:val="center"/>
          </w:tcPr>
          <w:p w14:paraId="1A70495F">
            <w:pPr>
              <w:jc w:val="center"/>
              <w:rPr>
                <w:rFonts w:hint="default"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4</w:t>
            </w:r>
          </w:p>
        </w:tc>
        <w:tc>
          <w:tcPr>
            <w:tcW w:w="2894" w:type="dxa"/>
            <w:tcBorders>
              <w:top w:val="single" w:color="auto" w:sz="4" w:space="0"/>
              <w:left w:val="single" w:color="auto" w:sz="4" w:space="0"/>
              <w:bottom w:val="single" w:color="auto" w:sz="4" w:space="0"/>
              <w:right w:val="single" w:color="auto" w:sz="4" w:space="0"/>
            </w:tcBorders>
            <w:vAlign w:val="center"/>
          </w:tcPr>
          <w:p w14:paraId="0B0786EC">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rPr>
              <w:t>1、因管理不到位造成消防隐患的，2、没有落实</w:t>
            </w:r>
            <w:r>
              <w:rPr>
                <w:rFonts w:hint="eastAsia"/>
                <w:color w:val="auto"/>
                <w:sz w:val="20"/>
                <w:szCs w:val="20"/>
                <w:highlight w:val="none"/>
                <w:lang w:val="en-US" w:eastAsia="zh-CN"/>
              </w:rPr>
              <w:t>检查</w:t>
            </w:r>
            <w:r>
              <w:rPr>
                <w:rFonts w:hint="eastAsia"/>
                <w:color w:val="auto"/>
                <w:sz w:val="20"/>
                <w:szCs w:val="20"/>
                <w:highlight w:val="none"/>
              </w:rPr>
              <w:t>，3、没有检查记录的，每一项</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43B30A4D">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825" w:type="dxa"/>
            <w:tcBorders>
              <w:top w:val="single" w:color="auto" w:sz="4" w:space="0"/>
              <w:left w:val="single" w:color="auto" w:sz="4" w:space="0"/>
              <w:bottom w:val="single" w:color="auto" w:sz="4" w:space="0"/>
              <w:right w:val="single" w:color="auto" w:sz="4" w:space="0"/>
            </w:tcBorders>
            <w:vAlign w:val="center"/>
          </w:tcPr>
          <w:p w14:paraId="5C70FAEB">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01537A54">
            <w:pPr>
              <w:jc w:val="center"/>
              <w:rPr>
                <w:color w:val="auto"/>
                <w:sz w:val="20"/>
                <w:szCs w:val="20"/>
                <w:highlight w:val="none"/>
              </w:rPr>
            </w:pPr>
          </w:p>
        </w:tc>
      </w:tr>
      <w:tr w14:paraId="56C871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vMerge w:val="restart"/>
            <w:tcBorders>
              <w:top w:val="single" w:color="auto" w:sz="4" w:space="0"/>
              <w:left w:val="single" w:color="auto" w:sz="4" w:space="0"/>
              <w:bottom w:val="single" w:color="auto" w:sz="4" w:space="0"/>
              <w:right w:val="single" w:color="auto" w:sz="4" w:space="0"/>
            </w:tcBorders>
            <w:vAlign w:val="center"/>
          </w:tcPr>
          <w:p w14:paraId="2A99E057">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3</w:t>
            </w:r>
          </w:p>
        </w:tc>
        <w:tc>
          <w:tcPr>
            <w:tcW w:w="2953" w:type="dxa"/>
            <w:vMerge w:val="restart"/>
            <w:tcBorders>
              <w:top w:val="single" w:color="auto" w:sz="4" w:space="0"/>
              <w:left w:val="single" w:color="auto" w:sz="4" w:space="0"/>
              <w:bottom w:val="single" w:color="auto" w:sz="4" w:space="0"/>
              <w:right w:val="single" w:color="auto" w:sz="4" w:space="0"/>
            </w:tcBorders>
            <w:vAlign w:val="center"/>
          </w:tcPr>
          <w:p w14:paraId="7083F8CC">
            <w:pPr>
              <w:rPr>
                <w:color w:val="auto"/>
                <w:sz w:val="20"/>
                <w:szCs w:val="20"/>
                <w:highlight w:val="none"/>
              </w:rPr>
            </w:pPr>
            <w:r>
              <w:rPr>
                <w:rFonts w:hint="eastAsia"/>
                <w:color w:val="auto"/>
                <w:sz w:val="20"/>
                <w:szCs w:val="20"/>
                <w:highlight w:val="none"/>
                <w:lang w:val="en-US" w:eastAsia="zh-CN"/>
              </w:rPr>
              <w:t>每月</w:t>
            </w:r>
            <w:r>
              <w:rPr>
                <w:rFonts w:hint="eastAsia"/>
                <w:color w:val="auto"/>
                <w:sz w:val="20"/>
                <w:szCs w:val="20"/>
                <w:highlight w:val="none"/>
              </w:rPr>
              <w:t>巡视检查消防安全情况</w:t>
            </w:r>
            <w:r>
              <w:rPr>
                <w:rFonts w:hint="eastAsia"/>
                <w:color w:val="auto"/>
                <w:sz w:val="20"/>
                <w:szCs w:val="20"/>
                <w:highlight w:val="none"/>
                <w:lang w:val="en-US" w:eastAsia="zh-CN"/>
              </w:rPr>
              <w:t>1次，</w:t>
            </w:r>
            <w:r>
              <w:rPr>
                <w:rFonts w:hint="eastAsia"/>
                <w:color w:val="auto"/>
                <w:sz w:val="20"/>
                <w:szCs w:val="20"/>
                <w:highlight w:val="none"/>
              </w:rPr>
              <w:t>并做好记录，发现消防隐患及时整改，保证消防设备安全运行，消防通道保持畅通。</w:t>
            </w:r>
          </w:p>
        </w:tc>
        <w:tc>
          <w:tcPr>
            <w:tcW w:w="665" w:type="dxa"/>
            <w:vMerge w:val="restart"/>
            <w:tcBorders>
              <w:top w:val="single" w:color="auto" w:sz="4" w:space="0"/>
              <w:left w:val="single" w:color="auto" w:sz="4" w:space="0"/>
              <w:right w:val="single" w:color="auto" w:sz="4" w:space="0"/>
            </w:tcBorders>
            <w:vAlign w:val="center"/>
          </w:tcPr>
          <w:p w14:paraId="486901CE">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5</w:t>
            </w:r>
          </w:p>
        </w:tc>
        <w:tc>
          <w:tcPr>
            <w:tcW w:w="2894" w:type="dxa"/>
            <w:tcBorders>
              <w:top w:val="single" w:color="auto" w:sz="4" w:space="0"/>
              <w:left w:val="single" w:color="auto" w:sz="4" w:space="0"/>
              <w:bottom w:val="single" w:color="auto" w:sz="4" w:space="0"/>
              <w:right w:val="single" w:color="auto" w:sz="4" w:space="0"/>
            </w:tcBorders>
            <w:vAlign w:val="center"/>
          </w:tcPr>
          <w:p w14:paraId="4B27DD8B">
            <w:pPr>
              <w:rPr>
                <w:rFonts w:hint="eastAsia" w:eastAsiaTheme="minorEastAsia"/>
                <w:color w:val="auto"/>
                <w:sz w:val="20"/>
                <w:szCs w:val="20"/>
                <w:highlight w:val="none"/>
                <w:lang w:eastAsia="zh-CN"/>
              </w:rPr>
            </w:pPr>
            <w:r>
              <w:rPr>
                <w:rFonts w:hint="eastAsia"/>
                <w:color w:val="auto"/>
                <w:sz w:val="20"/>
                <w:szCs w:val="20"/>
                <w:highlight w:val="none"/>
              </w:rPr>
              <w:t>无巡视检查</w:t>
            </w:r>
            <w:r>
              <w:rPr>
                <w:rFonts w:hint="eastAsia"/>
                <w:color w:val="auto"/>
                <w:sz w:val="20"/>
                <w:szCs w:val="20"/>
                <w:highlight w:val="none"/>
                <w:lang w:val="en-US" w:eastAsia="zh-CN"/>
              </w:rPr>
              <w:t>记录</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5452F60B">
            <w:pPr>
              <w:jc w:val="center"/>
              <w:rPr>
                <w:rFonts w:ascii="宋体" w:hAnsi="宋体" w:cs="宋体"/>
                <w:color w:val="auto"/>
                <w:sz w:val="20"/>
                <w:szCs w:val="20"/>
                <w:highlight w:val="none"/>
              </w:rPr>
            </w:pPr>
            <w:r>
              <w:rPr>
                <w:rFonts w:hint="eastAsia" w:ascii="宋体" w:hAnsi="宋体" w:cs="宋体"/>
                <w:color w:val="auto"/>
                <w:sz w:val="20"/>
                <w:szCs w:val="20"/>
                <w:highlight w:val="none"/>
              </w:rPr>
              <w:t>-0.1分/次</w:t>
            </w:r>
          </w:p>
        </w:tc>
        <w:tc>
          <w:tcPr>
            <w:tcW w:w="825" w:type="dxa"/>
            <w:tcBorders>
              <w:top w:val="single" w:color="auto" w:sz="4" w:space="0"/>
              <w:left w:val="single" w:color="auto" w:sz="4" w:space="0"/>
              <w:bottom w:val="single" w:color="auto" w:sz="4" w:space="0"/>
              <w:right w:val="single" w:color="auto" w:sz="4" w:space="0"/>
            </w:tcBorders>
            <w:vAlign w:val="center"/>
          </w:tcPr>
          <w:p w14:paraId="3F663F94">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211F1D0">
            <w:pPr>
              <w:jc w:val="center"/>
              <w:rPr>
                <w:color w:val="auto"/>
                <w:sz w:val="20"/>
                <w:szCs w:val="20"/>
                <w:highlight w:val="none"/>
              </w:rPr>
            </w:pPr>
          </w:p>
        </w:tc>
      </w:tr>
      <w:tr w14:paraId="61DE23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vMerge w:val="continue"/>
            <w:tcBorders>
              <w:top w:val="single" w:color="auto" w:sz="4" w:space="0"/>
              <w:left w:val="single" w:color="auto" w:sz="4" w:space="0"/>
              <w:bottom w:val="single" w:color="auto" w:sz="4" w:space="0"/>
              <w:right w:val="single" w:color="auto" w:sz="4" w:space="0"/>
            </w:tcBorders>
            <w:vAlign w:val="center"/>
          </w:tcPr>
          <w:p w14:paraId="77B9E784">
            <w:pPr>
              <w:jc w:val="center"/>
              <w:rPr>
                <w:color w:val="auto"/>
                <w:sz w:val="20"/>
                <w:szCs w:val="20"/>
                <w:highlight w:val="none"/>
              </w:rPr>
            </w:pPr>
          </w:p>
        </w:tc>
        <w:tc>
          <w:tcPr>
            <w:tcW w:w="2953" w:type="dxa"/>
            <w:vMerge w:val="continue"/>
            <w:tcBorders>
              <w:top w:val="single" w:color="auto" w:sz="4" w:space="0"/>
              <w:left w:val="single" w:color="auto" w:sz="4" w:space="0"/>
              <w:bottom w:val="single" w:color="auto" w:sz="4" w:space="0"/>
              <w:right w:val="single" w:color="auto" w:sz="4" w:space="0"/>
            </w:tcBorders>
            <w:vAlign w:val="center"/>
          </w:tcPr>
          <w:p w14:paraId="2F4ECAAB">
            <w:pPr>
              <w:rPr>
                <w:color w:val="auto"/>
                <w:sz w:val="20"/>
                <w:szCs w:val="20"/>
                <w:highlight w:val="none"/>
              </w:rPr>
            </w:pPr>
          </w:p>
        </w:tc>
        <w:tc>
          <w:tcPr>
            <w:tcW w:w="665" w:type="dxa"/>
            <w:vMerge w:val="continue"/>
            <w:tcBorders>
              <w:left w:val="single" w:color="auto" w:sz="4" w:space="0"/>
              <w:bottom w:val="single" w:color="auto" w:sz="4" w:space="0"/>
              <w:right w:val="single" w:color="auto" w:sz="4" w:space="0"/>
            </w:tcBorders>
            <w:vAlign w:val="center"/>
          </w:tcPr>
          <w:p w14:paraId="4C7AE1DF">
            <w:pPr>
              <w:jc w:val="center"/>
              <w:rPr>
                <w:rFonts w:hint="eastAsia" w:ascii="宋体" w:hAnsi="宋体" w:eastAsia="宋体" w:cs="宋体"/>
                <w:color w:val="auto"/>
                <w:sz w:val="20"/>
                <w:szCs w:val="20"/>
                <w:highlight w:val="none"/>
                <w:lang w:eastAsia="zh-CN"/>
              </w:rPr>
            </w:pPr>
          </w:p>
        </w:tc>
        <w:tc>
          <w:tcPr>
            <w:tcW w:w="2894" w:type="dxa"/>
            <w:tcBorders>
              <w:top w:val="single" w:color="auto" w:sz="4" w:space="0"/>
              <w:left w:val="single" w:color="auto" w:sz="4" w:space="0"/>
              <w:bottom w:val="single" w:color="auto" w:sz="4" w:space="0"/>
              <w:right w:val="single" w:color="auto" w:sz="4" w:space="0"/>
            </w:tcBorders>
            <w:vAlign w:val="center"/>
          </w:tcPr>
          <w:p w14:paraId="19D925BB">
            <w:pPr>
              <w:rPr>
                <w:rFonts w:hint="eastAsia" w:eastAsiaTheme="minorEastAsia"/>
                <w:color w:val="auto"/>
                <w:sz w:val="20"/>
                <w:szCs w:val="20"/>
                <w:highlight w:val="none"/>
                <w:lang w:eastAsia="zh-CN"/>
              </w:rPr>
            </w:pPr>
            <w:r>
              <w:rPr>
                <w:rFonts w:hint="eastAsia"/>
                <w:color w:val="auto"/>
                <w:sz w:val="20"/>
                <w:szCs w:val="20"/>
                <w:highlight w:val="none"/>
              </w:rPr>
              <w:t>未及时消除安全隐患，或消防通道阻塞的</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0AFA143A">
            <w:pPr>
              <w:jc w:val="center"/>
              <w:rPr>
                <w:rFonts w:ascii="宋体" w:hAnsi="宋体" w:cs="宋体"/>
                <w:color w:val="auto"/>
                <w:sz w:val="20"/>
                <w:szCs w:val="20"/>
                <w:highlight w:val="none"/>
              </w:rPr>
            </w:pPr>
            <w:r>
              <w:rPr>
                <w:rFonts w:hint="eastAsia" w:ascii="宋体" w:hAnsi="宋体" w:cs="宋体"/>
                <w:color w:val="auto"/>
                <w:sz w:val="20"/>
                <w:szCs w:val="20"/>
                <w:highlight w:val="none"/>
              </w:rPr>
              <w:t>-0.1分/次</w:t>
            </w:r>
          </w:p>
        </w:tc>
        <w:tc>
          <w:tcPr>
            <w:tcW w:w="825" w:type="dxa"/>
            <w:tcBorders>
              <w:top w:val="single" w:color="auto" w:sz="4" w:space="0"/>
              <w:left w:val="single" w:color="auto" w:sz="4" w:space="0"/>
              <w:bottom w:val="single" w:color="auto" w:sz="4" w:space="0"/>
              <w:right w:val="single" w:color="auto" w:sz="4" w:space="0"/>
            </w:tcBorders>
            <w:vAlign w:val="center"/>
          </w:tcPr>
          <w:p w14:paraId="179B8900">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00072095">
            <w:pPr>
              <w:jc w:val="center"/>
              <w:rPr>
                <w:color w:val="auto"/>
                <w:sz w:val="20"/>
                <w:szCs w:val="20"/>
                <w:highlight w:val="none"/>
              </w:rPr>
            </w:pPr>
          </w:p>
        </w:tc>
      </w:tr>
      <w:tr w14:paraId="4C8184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755886EF">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4</w:t>
            </w:r>
          </w:p>
        </w:tc>
        <w:tc>
          <w:tcPr>
            <w:tcW w:w="2953" w:type="dxa"/>
            <w:tcBorders>
              <w:top w:val="single" w:color="auto" w:sz="4" w:space="0"/>
              <w:left w:val="single" w:color="auto" w:sz="4" w:space="0"/>
              <w:bottom w:val="single" w:color="auto" w:sz="4" w:space="0"/>
              <w:right w:val="single" w:color="auto" w:sz="4" w:space="0"/>
            </w:tcBorders>
            <w:vAlign w:val="center"/>
          </w:tcPr>
          <w:p w14:paraId="33600324">
            <w:pPr>
              <w:rPr>
                <w:rFonts w:hint="eastAsia"/>
                <w:color w:val="auto"/>
                <w:sz w:val="20"/>
                <w:szCs w:val="20"/>
                <w:highlight w:val="none"/>
              </w:rPr>
            </w:pPr>
            <w:r>
              <w:rPr>
                <w:rFonts w:hint="eastAsia"/>
                <w:color w:val="auto"/>
                <w:sz w:val="20"/>
                <w:szCs w:val="20"/>
                <w:highlight w:val="none"/>
              </w:rPr>
              <w:t>建立消防器材</w:t>
            </w:r>
            <w:r>
              <w:rPr>
                <w:rFonts w:hint="eastAsia"/>
                <w:color w:val="auto"/>
                <w:sz w:val="20"/>
                <w:szCs w:val="20"/>
                <w:highlight w:val="none"/>
                <w:lang w:val="en-US" w:eastAsia="zh-CN"/>
              </w:rPr>
              <w:t>台账</w:t>
            </w:r>
            <w:r>
              <w:rPr>
                <w:rFonts w:hint="eastAsia"/>
                <w:color w:val="auto"/>
                <w:sz w:val="20"/>
                <w:szCs w:val="20"/>
                <w:highlight w:val="none"/>
              </w:rPr>
              <w:t>；</w:t>
            </w:r>
            <w:r>
              <w:rPr>
                <w:rFonts w:hint="eastAsia"/>
                <w:color w:val="auto"/>
                <w:sz w:val="20"/>
                <w:szCs w:val="20"/>
                <w:highlight w:val="none"/>
                <w:lang w:val="en-US" w:eastAsia="zh-CN"/>
              </w:rPr>
              <w:t>每月</w:t>
            </w:r>
            <w:r>
              <w:rPr>
                <w:rFonts w:hint="eastAsia"/>
                <w:color w:val="auto"/>
                <w:sz w:val="20"/>
                <w:szCs w:val="20"/>
                <w:highlight w:val="none"/>
              </w:rPr>
              <w:t>对消防器材及灭火器</w:t>
            </w:r>
            <w:r>
              <w:rPr>
                <w:rFonts w:hint="eastAsia"/>
                <w:color w:val="auto"/>
                <w:sz w:val="20"/>
                <w:szCs w:val="20"/>
                <w:highlight w:val="none"/>
                <w:lang w:val="en-US" w:eastAsia="zh-CN"/>
              </w:rPr>
              <w:t>进行检查1次</w:t>
            </w:r>
            <w:r>
              <w:rPr>
                <w:rFonts w:hint="eastAsia"/>
                <w:color w:val="auto"/>
                <w:sz w:val="20"/>
                <w:szCs w:val="20"/>
                <w:highlight w:val="none"/>
              </w:rPr>
              <w:t>，并做好记录；对过期、失效或不符合安全要求的消防器材、设备及时向</w:t>
            </w:r>
            <w:r>
              <w:rPr>
                <w:rFonts w:hint="eastAsia"/>
                <w:color w:val="auto"/>
                <w:sz w:val="20"/>
                <w:szCs w:val="20"/>
                <w:highlight w:val="none"/>
                <w:lang w:eastAsia="zh-CN"/>
              </w:rPr>
              <w:t>采购方</w:t>
            </w:r>
            <w:r>
              <w:rPr>
                <w:rFonts w:hint="eastAsia"/>
                <w:color w:val="auto"/>
                <w:sz w:val="20"/>
                <w:szCs w:val="20"/>
                <w:highlight w:val="none"/>
                <w:lang w:val="en-US" w:eastAsia="zh-CN"/>
              </w:rPr>
              <w:t>报备</w:t>
            </w:r>
            <w:r>
              <w:rPr>
                <w:rFonts w:hint="eastAsia"/>
                <w:color w:val="auto"/>
                <w:sz w:val="20"/>
                <w:szCs w:val="20"/>
                <w:highlight w:val="none"/>
              </w:rPr>
              <w:t>。</w:t>
            </w:r>
          </w:p>
        </w:tc>
        <w:tc>
          <w:tcPr>
            <w:tcW w:w="665" w:type="dxa"/>
            <w:tcBorders>
              <w:top w:val="single" w:color="auto" w:sz="4" w:space="0"/>
              <w:left w:val="single" w:color="auto" w:sz="4" w:space="0"/>
              <w:bottom w:val="single" w:color="auto" w:sz="4" w:space="0"/>
              <w:right w:val="single" w:color="auto" w:sz="4" w:space="0"/>
            </w:tcBorders>
            <w:vAlign w:val="center"/>
          </w:tcPr>
          <w:p w14:paraId="112E6816">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4</w:t>
            </w:r>
          </w:p>
        </w:tc>
        <w:tc>
          <w:tcPr>
            <w:tcW w:w="2894" w:type="dxa"/>
            <w:tcBorders>
              <w:top w:val="single" w:color="auto" w:sz="4" w:space="0"/>
              <w:left w:val="single" w:color="auto" w:sz="4" w:space="0"/>
              <w:bottom w:val="single" w:color="auto" w:sz="4" w:space="0"/>
              <w:right w:val="single" w:color="auto" w:sz="4" w:space="0"/>
            </w:tcBorders>
            <w:vAlign w:val="center"/>
          </w:tcPr>
          <w:p w14:paraId="70A973FB">
            <w:pPr>
              <w:rPr>
                <w:rFonts w:hint="eastAsia"/>
                <w:color w:val="auto"/>
                <w:sz w:val="20"/>
                <w:szCs w:val="20"/>
                <w:highlight w:val="none"/>
                <w:lang w:eastAsia="zh-CN"/>
              </w:rPr>
            </w:pPr>
            <w:r>
              <w:rPr>
                <w:rFonts w:hint="eastAsia"/>
                <w:color w:val="auto"/>
                <w:sz w:val="20"/>
                <w:szCs w:val="20"/>
                <w:highlight w:val="none"/>
              </w:rPr>
              <w:t>1、无消防设备及器材管理</w:t>
            </w:r>
            <w:r>
              <w:rPr>
                <w:rFonts w:hint="eastAsia"/>
                <w:color w:val="auto"/>
                <w:sz w:val="20"/>
                <w:szCs w:val="20"/>
                <w:highlight w:val="none"/>
                <w:lang w:val="en-US" w:eastAsia="zh-CN"/>
              </w:rPr>
              <w:t>台账</w:t>
            </w:r>
            <w:r>
              <w:rPr>
                <w:rFonts w:hint="eastAsia"/>
                <w:color w:val="auto"/>
                <w:sz w:val="20"/>
                <w:szCs w:val="20"/>
                <w:highlight w:val="none"/>
              </w:rPr>
              <w:t>；2、不按规定检查；3、检查发现隐患后，要求整改，不按期限进行整改的；4、消防器材运行情况</w:t>
            </w:r>
            <w:r>
              <w:rPr>
                <w:rFonts w:hint="eastAsia"/>
                <w:color w:val="auto"/>
                <w:sz w:val="20"/>
                <w:szCs w:val="20"/>
                <w:highlight w:val="none"/>
                <w:lang w:val="en-US" w:eastAsia="zh-CN"/>
              </w:rPr>
              <w:t>不向采购方报备</w:t>
            </w:r>
            <w:r>
              <w:rPr>
                <w:rFonts w:hint="eastAsia"/>
                <w:color w:val="auto"/>
                <w:sz w:val="20"/>
                <w:szCs w:val="20"/>
                <w:highlight w:val="none"/>
              </w:rPr>
              <w:t>；5、发现灭火器、消防设备被损坏或被盗没有及时补上的，每一项</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02037243">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825" w:type="dxa"/>
            <w:tcBorders>
              <w:top w:val="single" w:color="auto" w:sz="4" w:space="0"/>
              <w:left w:val="single" w:color="auto" w:sz="4" w:space="0"/>
              <w:bottom w:val="single" w:color="auto" w:sz="4" w:space="0"/>
              <w:right w:val="single" w:color="auto" w:sz="4" w:space="0"/>
            </w:tcBorders>
            <w:vAlign w:val="center"/>
          </w:tcPr>
          <w:p w14:paraId="3301919F">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1631B032">
            <w:pPr>
              <w:jc w:val="center"/>
              <w:rPr>
                <w:color w:val="auto"/>
                <w:sz w:val="20"/>
                <w:szCs w:val="20"/>
                <w:highlight w:val="none"/>
              </w:rPr>
            </w:pPr>
          </w:p>
        </w:tc>
      </w:tr>
      <w:tr w14:paraId="34A59F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43B20F9A">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5</w:t>
            </w:r>
          </w:p>
        </w:tc>
        <w:tc>
          <w:tcPr>
            <w:tcW w:w="2953" w:type="dxa"/>
            <w:tcBorders>
              <w:top w:val="single" w:color="auto" w:sz="4" w:space="0"/>
              <w:left w:val="single" w:color="auto" w:sz="4" w:space="0"/>
              <w:bottom w:val="single" w:color="auto" w:sz="4" w:space="0"/>
              <w:right w:val="single" w:color="auto" w:sz="4" w:space="0"/>
            </w:tcBorders>
            <w:vAlign w:val="center"/>
          </w:tcPr>
          <w:p w14:paraId="287D05B4">
            <w:pPr>
              <w:rPr>
                <w:rFonts w:hint="eastAsia"/>
                <w:color w:val="auto"/>
                <w:sz w:val="20"/>
                <w:szCs w:val="20"/>
                <w:highlight w:val="none"/>
              </w:rPr>
            </w:pPr>
            <w:r>
              <w:rPr>
                <w:rFonts w:hint="eastAsia"/>
                <w:color w:val="auto"/>
                <w:sz w:val="20"/>
                <w:szCs w:val="20"/>
                <w:highlight w:val="none"/>
              </w:rPr>
              <w:t>制订消防灭火预案，</w:t>
            </w:r>
            <w:r>
              <w:rPr>
                <w:rFonts w:hint="eastAsia"/>
                <w:color w:val="auto"/>
                <w:sz w:val="20"/>
                <w:szCs w:val="20"/>
                <w:highlight w:val="none"/>
                <w:lang w:val="en-US" w:eastAsia="zh-CN"/>
              </w:rPr>
              <w:t>服务期内</w:t>
            </w:r>
            <w:r>
              <w:rPr>
                <w:rFonts w:hint="eastAsia"/>
                <w:color w:val="auto"/>
                <w:sz w:val="20"/>
                <w:szCs w:val="20"/>
                <w:highlight w:val="none"/>
              </w:rPr>
              <w:t>配合</w:t>
            </w:r>
            <w:r>
              <w:rPr>
                <w:rFonts w:hint="eastAsia"/>
                <w:color w:val="auto"/>
                <w:sz w:val="20"/>
                <w:szCs w:val="20"/>
                <w:highlight w:val="none"/>
                <w:lang w:val="en-US" w:eastAsia="zh-CN"/>
              </w:rPr>
              <w:t>采购方</w:t>
            </w:r>
            <w:r>
              <w:rPr>
                <w:rFonts w:hint="eastAsia"/>
                <w:color w:val="auto"/>
                <w:sz w:val="20"/>
                <w:szCs w:val="20"/>
                <w:highlight w:val="none"/>
              </w:rPr>
              <w:t xml:space="preserve">做好灭火预案演练工作。   </w:t>
            </w:r>
          </w:p>
        </w:tc>
        <w:tc>
          <w:tcPr>
            <w:tcW w:w="665" w:type="dxa"/>
            <w:tcBorders>
              <w:top w:val="single" w:color="auto" w:sz="4" w:space="0"/>
              <w:left w:val="single" w:color="auto" w:sz="4" w:space="0"/>
              <w:bottom w:val="single" w:color="auto" w:sz="4" w:space="0"/>
              <w:right w:val="single" w:color="auto" w:sz="4" w:space="0"/>
            </w:tcBorders>
            <w:vAlign w:val="center"/>
          </w:tcPr>
          <w:p w14:paraId="39B8E237">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6</w:t>
            </w:r>
          </w:p>
        </w:tc>
        <w:tc>
          <w:tcPr>
            <w:tcW w:w="2894" w:type="dxa"/>
            <w:tcBorders>
              <w:top w:val="single" w:color="auto" w:sz="4" w:space="0"/>
              <w:left w:val="single" w:color="auto" w:sz="4" w:space="0"/>
              <w:bottom w:val="single" w:color="auto" w:sz="4" w:space="0"/>
              <w:right w:val="single" w:color="auto" w:sz="4" w:space="0"/>
            </w:tcBorders>
            <w:vAlign w:val="center"/>
          </w:tcPr>
          <w:p w14:paraId="2731184C">
            <w:pPr>
              <w:rPr>
                <w:rFonts w:hint="eastAsia"/>
                <w:color w:val="auto"/>
                <w:sz w:val="20"/>
                <w:szCs w:val="20"/>
                <w:highlight w:val="none"/>
                <w:lang w:eastAsia="zh-CN"/>
              </w:rPr>
            </w:pPr>
            <w:r>
              <w:rPr>
                <w:rFonts w:hint="eastAsia"/>
                <w:color w:val="auto"/>
                <w:sz w:val="20"/>
                <w:szCs w:val="20"/>
                <w:highlight w:val="none"/>
              </w:rPr>
              <w:t>不制订预案，工作不落实、配合不好的，无火灾突发事件应急预案，每一项</w:t>
            </w:r>
            <w:r>
              <w:rPr>
                <w:rFonts w:hint="eastAsia"/>
                <w:color w:val="auto"/>
                <w:sz w:val="20"/>
                <w:szCs w:val="20"/>
                <w:highlight w:val="none"/>
                <w:lang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4F40FEF5">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825" w:type="dxa"/>
            <w:tcBorders>
              <w:top w:val="single" w:color="auto" w:sz="4" w:space="0"/>
              <w:left w:val="single" w:color="auto" w:sz="4" w:space="0"/>
              <w:bottom w:val="single" w:color="auto" w:sz="4" w:space="0"/>
              <w:right w:val="single" w:color="auto" w:sz="4" w:space="0"/>
            </w:tcBorders>
            <w:vAlign w:val="center"/>
          </w:tcPr>
          <w:p w14:paraId="13152DF0">
            <w:pPr>
              <w:jc w:val="center"/>
              <w:rPr>
                <w:rFonts w:ascii="宋体" w:hAnsi="宋体" w:cs="宋体"/>
                <w:color w:val="auto"/>
                <w:sz w:val="20"/>
                <w:szCs w:val="20"/>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BF54384">
            <w:pPr>
              <w:jc w:val="center"/>
              <w:rPr>
                <w:color w:val="auto"/>
                <w:sz w:val="20"/>
                <w:szCs w:val="20"/>
                <w:highlight w:val="none"/>
              </w:rPr>
            </w:pPr>
          </w:p>
        </w:tc>
      </w:tr>
      <w:tr w14:paraId="39AD62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75C55F1B">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6</w:t>
            </w:r>
          </w:p>
        </w:tc>
        <w:tc>
          <w:tcPr>
            <w:tcW w:w="2953" w:type="dxa"/>
            <w:tcBorders>
              <w:top w:val="single" w:color="auto" w:sz="4" w:space="0"/>
              <w:left w:val="single" w:color="auto" w:sz="4" w:space="0"/>
              <w:bottom w:val="single" w:color="auto" w:sz="4" w:space="0"/>
              <w:right w:val="single" w:color="auto" w:sz="4" w:space="0"/>
            </w:tcBorders>
            <w:vAlign w:val="center"/>
          </w:tcPr>
          <w:p w14:paraId="658362B4">
            <w:pPr>
              <w:rPr>
                <w:rFonts w:hint="eastAsia"/>
                <w:color w:val="auto"/>
                <w:sz w:val="20"/>
                <w:szCs w:val="20"/>
                <w:highlight w:val="none"/>
              </w:rPr>
            </w:pPr>
            <w:r>
              <w:rPr>
                <w:rFonts w:hint="eastAsia"/>
                <w:color w:val="auto"/>
                <w:sz w:val="20"/>
                <w:szCs w:val="20"/>
                <w:highlight w:val="none"/>
              </w:rPr>
              <w:t>灭火知识培训</w:t>
            </w:r>
            <w:r>
              <w:rPr>
                <w:rFonts w:hint="eastAsia"/>
                <w:color w:val="auto"/>
                <w:sz w:val="20"/>
                <w:szCs w:val="20"/>
                <w:highlight w:val="none"/>
                <w:lang w:eastAsia="zh-CN"/>
              </w:rPr>
              <w:t>：</w:t>
            </w:r>
            <w:r>
              <w:rPr>
                <w:rFonts w:hint="eastAsia"/>
                <w:color w:val="auto"/>
                <w:sz w:val="20"/>
                <w:szCs w:val="20"/>
                <w:highlight w:val="none"/>
                <w:lang w:val="en-US" w:eastAsia="zh-CN"/>
              </w:rPr>
              <w:t>服务期内</w:t>
            </w:r>
            <w:r>
              <w:rPr>
                <w:rFonts w:hint="eastAsia"/>
                <w:color w:val="auto"/>
                <w:sz w:val="20"/>
                <w:szCs w:val="20"/>
                <w:highlight w:val="none"/>
              </w:rPr>
              <w:t>对</w:t>
            </w:r>
            <w:r>
              <w:rPr>
                <w:rFonts w:hint="eastAsia"/>
                <w:color w:val="auto"/>
                <w:sz w:val="20"/>
                <w:szCs w:val="20"/>
                <w:highlight w:val="none"/>
                <w:lang w:eastAsia="zh-CN"/>
              </w:rPr>
              <w:t>秩序从业人员</w:t>
            </w:r>
            <w:r>
              <w:rPr>
                <w:rFonts w:hint="eastAsia"/>
                <w:color w:val="auto"/>
                <w:sz w:val="20"/>
                <w:szCs w:val="20"/>
                <w:highlight w:val="none"/>
              </w:rPr>
              <w:t>进行</w:t>
            </w:r>
            <w:r>
              <w:rPr>
                <w:rFonts w:hint="eastAsia"/>
                <w:color w:val="auto"/>
                <w:sz w:val="20"/>
                <w:szCs w:val="20"/>
                <w:highlight w:val="none"/>
                <w:lang w:val="en-US" w:eastAsia="zh-CN"/>
              </w:rPr>
              <w:t>至少1</w:t>
            </w:r>
            <w:r>
              <w:rPr>
                <w:rFonts w:hint="eastAsia"/>
                <w:color w:val="auto"/>
                <w:sz w:val="20"/>
                <w:szCs w:val="20"/>
                <w:highlight w:val="none"/>
              </w:rPr>
              <w:t>次消防知识和灭火技能培训；做好</w:t>
            </w:r>
            <w:r>
              <w:rPr>
                <w:rFonts w:hint="eastAsia"/>
                <w:color w:val="auto"/>
                <w:sz w:val="20"/>
                <w:szCs w:val="20"/>
                <w:highlight w:val="none"/>
                <w:lang w:eastAsia="zh-CN"/>
              </w:rPr>
              <w:t>应急</w:t>
            </w:r>
            <w:r>
              <w:rPr>
                <w:rFonts w:hint="eastAsia"/>
                <w:color w:val="auto"/>
                <w:sz w:val="20"/>
                <w:szCs w:val="20"/>
                <w:highlight w:val="none"/>
              </w:rPr>
              <w:t>队</w:t>
            </w:r>
            <w:r>
              <w:rPr>
                <w:rFonts w:hint="eastAsia"/>
                <w:color w:val="auto"/>
                <w:sz w:val="20"/>
                <w:szCs w:val="20"/>
                <w:highlight w:val="none"/>
                <w:lang w:eastAsia="zh-CN"/>
              </w:rPr>
              <w:t>伍</w:t>
            </w:r>
            <w:r>
              <w:rPr>
                <w:rFonts w:hint="eastAsia"/>
                <w:color w:val="auto"/>
                <w:sz w:val="20"/>
                <w:szCs w:val="20"/>
                <w:highlight w:val="none"/>
              </w:rPr>
              <w:t>的组建和培训以及消防安全教育等工作，达到消防安全管理的标准。</w:t>
            </w:r>
          </w:p>
        </w:tc>
        <w:tc>
          <w:tcPr>
            <w:tcW w:w="665" w:type="dxa"/>
            <w:tcBorders>
              <w:top w:val="single" w:color="auto" w:sz="4" w:space="0"/>
              <w:left w:val="single" w:color="auto" w:sz="4" w:space="0"/>
              <w:bottom w:val="single" w:color="auto" w:sz="4" w:space="0"/>
              <w:right w:val="single" w:color="auto" w:sz="4" w:space="0"/>
            </w:tcBorders>
            <w:vAlign w:val="center"/>
          </w:tcPr>
          <w:p w14:paraId="418DBD2A">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4</w:t>
            </w:r>
          </w:p>
        </w:tc>
        <w:tc>
          <w:tcPr>
            <w:tcW w:w="2894" w:type="dxa"/>
            <w:tcBorders>
              <w:top w:val="single" w:color="auto" w:sz="4" w:space="0"/>
              <w:left w:val="single" w:color="auto" w:sz="4" w:space="0"/>
              <w:bottom w:val="single" w:color="auto" w:sz="4" w:space="0"/>
              <w:right w:val="single" w:color="auto" w:sz="4" w:space="0"/>
            </w:tcBorders>
            <w:vAlign w:val="center"/>
          </w:tcPr>
          <w:p w14:paraId="6EC27126">
            <w:pPr>
              <w:rPr>
                <w:rFonts w:hint="eastAsia"/>
                <w:color w:val="auto"/>
                <w:sz w:val="20"/>
                <w:szCs w:val="20"/>
                <w:highlight w:val="none"/>
                <w:lang w:val="en-US" w:eastAsia="zh-CN"/>
              </w:rPr>
            </w:pPr>
            <w:r>
              <w:rPr>
                <w:rFonts w:hint="eastAsia"/>
                <w:color w:val="auto"/>
                <w:sz w:val="20"/>
                <w:szCs w:val="20"/>
                <w:highlight w:val="none"/>
              </w:rPr>
              <w:t>不按要求进行组织培训的， 对</w:t>
            </w:r>
            <w:r>
              <w:rPr>
                <w:rFonts w:hint="eastAsia"/>
                <w:color w:val="auto"/>
                <w:sz w:val="20"/>
                <w:szCs w:val="20"/>
                <w:highlight w:val="none"/>
                <w:lang w:eastAsia="zh-CN"/>
              </w:rPr>
              <w:t>应急队伍</w:t>
            </w:r>
            <w:r>
              <w:rPr>
                <w:rFonts w:hint="eastAsia"/>
                <w:color w:val="auto"/>
                <w:sz w:val="20"/>
                <w:szCs w:val="20"/>
                <w:highlight w:val="none"/>
              </w:rPr>
              <w:t>队员不培训，消防安全管理不达标的每一项</w:t>
            </w:r>
            <w:r>
              <w:rPr>
                <w:rFonts w:hint="eastAsia"/>
                <w:color w:val="auto"/>
                <w:sz w:val="20"/>
                <w:szCs w:val="20"/>
                <w:highlight w:val="none"/>
                <w:lang w:val="en-US" w:eastAsia="zh-CN"/>
              </w:rPr>
              <w:t>.。</w:t>
            </w:r>
          </w:p>
        </w:tc>
        <w:tc>
          <w:tcPr>
            <w:tcW w:w="780" w:type="dxa"/>
            <w:tcBorders>
              <w:top w:val="single" w:color="auto" w:sz="4" w:space="0"/>
              <w:left w:val="single" w:color="auto" w:sz="4" w:space="0"/>
              <w:bottom w:val="single" w:color="auto" w:sz="4" w:space="0"/>
              <w:right w:val="single" w:color="auto" w:sz="4" w:space="0"/>
            </w:tcBorders>
            <w:vAlign w:val="center"/>
          </w:tcPr>
          <w:p w14:paraId="426FAA63">
            <w:pPr>
              <w:jc w:val="center"/>
              <w:rPr>
                <w:rFonts w:ascii="宋体" w:hAnsi="宋体" w:cs="宋体"/>
                <w:color w:val="auto"/>
                <w:sz w:val="20"/>
                <w:szCs w:val="20"/>
                <w:highlight w:val="none"/>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825" w:type="dxa"/>
            <w:tcBorders>
              <w:top w:val="single" w:color="auto" w:sz="4" w:space="0"/>
              <w:left w:val="single" w:color="auto" w:sz="4" w:space="0"/>
              <w:bottom w:val="single" w:color="auto" w:sz="4" w:space="0"/>
              <w:right w:val="single" w:color="auto" w:sz="4" w:space="0"/>
            </w:tcBorders>
            <w:vAlign w:val="center"/>
          </w:tcPr>
          <w:p w14:paraId="20333DF8">
            <w:pPr>
              <w:jc w:val="center"/>
              <w:rPr>
                <w:rFonts w:hint="eastAsia" w:ascii="宋体" w:hAnsi="宋体" w:eastAsia="宋体" w:cs="宋体"/>
                <w:color w:val="auto"/>
                <w:sz w:val="20"/>
                <w:szCs w:val="20"/>
                <w:highlight w:val="none"/>
                <w:lang w:eastAsia="zh-CN"/>
              </w:rPr>
            </w:pPr>
          </w:p>
        </w:tc>
        <w:tc>
          <w:tcPr>
            <w:tcW w:w="750" w:type="dxa"/>
            <w:tcBorders>
              <w:top w:val="single" w:color="auto" w:sz="4" w:space="0"/>
              <w:left w:val="single" w:color="auto" w:sz="4" w:space="0"/>
              <w:bottom w:val="single" w:color="auto" w:sz="4" w:space="0"/>
              <w:right w:val="single" w:color="auto" w:sz="4" w:space="0"/>
            </w:tcBorders>
            <w:vAlign w:val="center"/>
          </w:tcPr>
          <w:p w14:paraId="7E9D1988">
            <w:pPr>
              <w:jc w:val="center"/>
              <w:rPr>
                <w:color w:val="auto"/>
                <w:sz w:val="20"/>
                <w:szCs w:val="20"/>
                <w:highlight w:val="none"/>
              </w:rPr>
            </w:pPr>
          </w:p>
        </w:tc>
      </w:tr>
      <w:tr w14:paraId="22A9C6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512" w:type="dxa"/>
            <w:gridSpan w:val="7"/>
            <w:tcBorders>
              <w:top w:val="single" w:color="auto" w:sz="4" w:space="0"/>
              <w:left w:val="single" w:color="auto" w:sz="4" w:space="0"/>
              <w:bottom w:val="single" w:color="auto" w:sz="4" w:space="0"/>
              <w:right w:val="single" w:color="auto" w:sz="4" w:space="0"/>
            </w:tcBorders>
            <w:vAlign w:val="center"/>
          </w:tcPr>
          <w:p w14:paraId="7C7D8589">
            <w:pPr>
              <w:jc w:val="center"/>
              <w:rPr>
                <w:color w:val="auto"/>
                <w:sz w:val="20"/>
                <w:szCs w:val="20"/>
                <w:highlight w:val="none"/>
              </w:rPr>
            </w:pPr>
            <w:r>
              <w:rPr>
                <w:rFonts w:hint="eastAsia"/>
                <w:color w:val="auto"/>
                <w:sz w:val="20"/>
                <w:szCs w:val="20"/>
                <w:highlight w:val="none"/>
                <w:lang w:val="en-US" w:eastAsia="zh-CN"/>
              </w:rPr>
              <w:t xml:space="preserve">                                                </w:t>
            </w:r>
            <w:r>
              <w:rPr>
                <w:rFonts w:hint="eastAsia"/>
                <w:color w:val="auto"/>
                <w:sz w:val="20"/>
                <w:szCs w:val="20"/>
                <w:highlight w:val="none"/>
                <w:lang w:eastAsia="zh-CN"/>
              </w:rPr>
              <w:t>考核分数：</w:t>
            </w:r>
          </w:p>
        </w:tc>
      </w:tr>
      <w:tr w14:paraId="782064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512" w:type="dxa"/>
            <w:gridSpan w:val="7"/>
            <w:tcBorders>
              <w:top w:val="single" w:color="auto" w:sz="4" w:space="0"/>
              <w:left w:val="single" w:color="auto" w:sz="4" w:space="0"/>
              <w:bottom w:val="single" w:color="auto" w:sz="4" w:space="0"/>
              <w:right w:val="single" w:color="auto" w:sz="4" w:space="0"/>
            </w:tcBorders>
            <w:vAlign w:val="center"/>
          </w:tcPr>
          <w:p w14:paraId="1E5932E2">
            <w:pPr>
              <w:rPr>
                <w:rFonts w:hint="eastAsia"/>
                <w:b w:val="0"/>
                <w:bCs w:val="0"/>
                <w:color w:val="auto"/>
                <w:sz w:val="20"/>
                <w:szCs w:val="20"/>
                <w:highlight w:val="none"/>
              </w:rPr>
            </w:pPr>
            <w:r>
              <w:rPr>
                <w:rFonts w:hint="eastAsia"/>
                <w:color w:val="auto"/>
                <w:sz w:val="20"/>
                <w:szCs w:val="20"/>
                <w:highlight w:val="none"/>
                <w:lang w:eastAsia="zh-CN"/>
              </w:rPr>
              <w:t>考核意见：</w:t>
            </w:r>
          </w:p>
          <w:p w14:paraId="7DD85118">
            <w:pPr>
              <w:pStyle w:val="18"/>
              <w:rPr>
                <w:rFonts w:hint="default" w:asciiTheme="minorHAnsi" w:hAnsiTheme="minorHAnsi" w:eastAsiaTheme="minorEastAsia" w:cstheme="minorBidi"/>
                <w:color w:val="auto"/>
                <w:kern w:val="2"/>
                <w:sz w:val="20"/>
                <w:szCs w:val="20"/>
                <w:highlight w:val="none"/>
                <w:lang w:val="en-US" w:eastAsia="zh-CN" w:bidi="ar-SA"/>
              </w:rPr>
            </w:pPr>
            <w:r>
              <w:rPr>
                <w:rFonts w:hint="eastAsia"/>
                <w:b w:val="0"/>
                <w:bCs w:val="0"/>
                <w:color w:val="auto"/>
                <w:sz w:val="20"/>
                <w:szCs w:val="20"/>
                <w:highlight w:val="none"/>
                <w:lang w:val="en-US" w:eastAsia="zh-CN"/>
              </w:rPr>
              <w:t xml:space="preserve">                                                               </w:t>
            </w:r>
            <w:r>
              <w:rPr>
                <w:rFonts w:hint="eastAsia" w:asciiTheme="minorHAnsi" w:hAnsiTheme="minorHAnsi" w:eastAsiaTheme="minorEastAsia" w:cstheme="minorBidi"/>
                <w:color w:val="auto"/>
                <w:kern w:val="2"/>
                <w:sz w:val="20"/>
                <w:szCs w:val="20"/>
                <w:highlight w:val="none"/>
                <w:lang w:val="en-US" w:eastAsia="zh-CN" w:bidi="ar-SA"/>
              </w:rPr>
              <w:t>签名：</w:t>
            </w:r>
          </w:p>
          <w:p w14:paraId="1F3D495C">
            <w:pPr>
              <w:jc w:val="both"/>
              <w:rPr>
                <w:rFonts w:hint="eastAsia"/>
                <w:color w:val="auto"/>
                <w:sz w:val="20"/>
                <w:szCs w:val="20"/>
                <w:highlight w:val="none"/>
                <w:lang w:val="en-US" w:eastAsia="zh-CN"/>
              </w:rPr>
            </w:pPr>
            <w:r>
              <w:rPr>
                <w:rFonts w:hint="eastAsia" w:asciiTheme="minorHAnsi" w:hAnsiTheme="minorHAnsi" w:eastAsiaTheme="minorEastAsia" w:cstheme="minorBidi"/>
                <w:color w:val="auto"/>
                <w:kern w:val="2"/>
                <w:sz w:val="20"/>
                <w:szCs w:val="20"/>
                <w:highlight w:val="none"/>
                <w:lang w:val="en-US" w:eastAsia="zh-CN" w:bidi="ar-SA"/>
              </w:rPr>
              <w:t xml:space="preserve">                                                                日期：</w:t>
            </w:r>
          </w:p>
        </w:tc>
      </w:tr>
    </w:tbl>
    <w:p w14:paraId="4709D5E5">
      <w:pPr>
        <w:keepNext/>
        <w:keepLines w:val="0"/>
        <w:pageBreakBefore w:val="0"/>
        <w:widowControl w:val="0"/>
        <w:kinsoku/>
        <w:wordWrap/>
        <w:overflowPunct/>
        <w:topLinePunct w:val="0"/>
        <w:autoSpaceDE/>
        <w:autoSpaceDN/>
        <w:bidi w:val="0"/>
        <w:adjustRightInd/>
        <w:snapToGrid/>
        <w:spacing w:line="560" w:lineRule="exact"/>
        <w:ind w:firstLine="402" w:firstLineChars="200"/>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4.4</w:t>
      </w:r>
      <w:r>
        <w:rPr>
          <w:rFonts w:hint="eastAsia" w:ascii="宋体" w:hAnsi="宋体" w:cs="宋体"/>
          <w:b/>
          <w:bCs w:val="0"/>
          <w:color w:val="auto"/>
          <w:sz w:val="20"/>
          <w:szCs w:val="20"/>
          <w:highlight w:val="none"/>
          <w:lang w:val="en-US" w:eastAsia="zh-CN"/>
        </w:rPr>
        <w:t>行政会务</w:t>
      </w:r>
      <w:r>
        <w:rPr>
          <w:rFonts w:hint="eastAsia" w:ascii="宋体" w:hAnsi="宋体" w:eastAsia="宋体" w:cs="宋体"/>
          <w:b/>
          <w:bCs w:val="0"/>
          <w:color w:val="auto"/>
          <w:sz w:val="20"/>
          <w:szCs w:val="20"/>
          <w:highlight w:val="none"/>
          <w:lang w:val="en-US" w:eastAsia="zh-CN"/>
        </w:rPr>
        <w:t>服务内容及标准（100分）</w:t>
      </w:r>
    </w:p>
    <w:tbl>
      <w:tblPr>
        <w:tblStyle w:val="15"/>
        <w:tblpPr w:leftFromText="180" w:rightFromText="180" w:vertAnchor="text" w:horzAnchor="margin" w:tblpXSpec="center" w:tblpY="158"/>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7"/>
        <w:gridCol w:w="3936"/>
        <w:gridCol w:w="1024"/>
        <w:gridCol w:w="1506"/>
        <w:gridCol w:w="746"/>
        <w:gridCol w:w="1132"/>
      </w:tblGrid>
      <w:tr w14:paraId="101E0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4A6FCE03">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序号</w:t>
            </w:r>
          </w:p>
        </w:tc>
        <w:tc>
          <w:tcPr>
            <w:tcW w:w="3936" w:type="dxa"/>
            <w:vAlign w:val="center"/>
          </w:tcPr>
          <w:p w14:paraId="5674CDCB">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考核内容及标准要求</w:t>
            </w:r>
          </w:p>
        </w:tc>
        <w:tc>
          <w:tcPr>
            <w:tcW w:w="1024" w:type="dxa"/>
            <w:vAlign w:val="center"/>
          </w:tcPr>
          <w:p w14:paraId="140DE639">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标准分</w:t>
            </w:r>
          </w:p>
        </w:tc>
        <w:tc>
          <w:tcPr>
            <w:tcW w:w="1506" w:type="dxa"/>
            <w:vAlign w:val="center"/>
          </w:tcPr>
          <w:p w14:paraId="6E144BED">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扣分</w:t>
            </w:r>
          </w:p>
          <w:p w14:paraId="09293355">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标准</w:t>
            </w:r>
          </w:p>
        </w:tc>
        <w:tc>
          <w:tcPr>
            <w:tcW w:w="746" w:type="dxa"/>
            <w:vAlign w:val="center"/>
          </w:tcPr>
          <w:p w14:paraId="4BC858BA">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实际扣分</w:t>
            </w:r>
          </w:p>
        </w:tc>
        <w:tc>
          <w:tcPr>
            <w:tcW w:w="1132" w:type="dxa"/>
            <w:vAlign w:val="center"/>
          </w:tcPr>
          <w:p w14:paraId="2518B8D6">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备注    </w:t>
            </w:r>
          </w:p>
        </w:tc>
      </w:tr>
      <w:tr w14:paraId="510EC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35533C84">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3936" w:type="dxa"/>
            <w:vAlign w:val="center"/>
          </w:tcPr>
          <w:p w14:paraId="0F60CDA8">
            <w:pPr>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发生重大接待和会务失误的，如接到重要会务和接待不按时间及时准备安排（临时除外）</w:t>
            </w:r>
            <w:r>
              <w:rPr>
                <w:rFonts w:hint="eastAsia" w:ascii="宋体" w:hAnsi="宋体" w:eastAsia="宋体" w:cs="宋体"/>
                <w:color w:val="auto"/>
                <w:sz w:val="20"/>
                <w:szCs w:val="20"/>
                <w:highlight w:val="none"/>
                <w:lang w:eastAsia="zh-CN"/>
              </w:rPr>
              <w:t>。</w:t>
            </w:r>
          </w:p>
        </w:tc>
        <w:tc>
          <w:tcPr>
            <w:tcW w:w="1024" w:type="dxa"/>
            <w:vAlign w:val="center"/>
          </w:tcPr>
          <w:p w14:paraId="079608F3">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50</w:t>
            </w:r>
          </w:p>
        </w:tc>
        <w:tc>
          <w:tcPr>
            <w:tcW w:w="1506" w:type="dxa"/>
            <w:vAlign w:val="center"/>
          </w:tcPr>
          <w:p w14:paraId="0D840E5A">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-10</w:t>
            </w:r>
            <w:r>
              <w:rPr>
                <w:rFonts w:hint="eastAsia" w:ascii="宋体" w:hAnsi="宋体" w:eastAsia="宋体" w:cs="宋体"/>
                <w:color w:val="auto"/>
                <w:sz w:val="20"/>
                <w:szCs w:val="20"/>
                <w:highlight w:val="none"/>
              </w:rPr>
              <w:t>分/次</w:t>
            </w:r>
          </w:p>
        </w:tc>
        <w:tc>
          <w:tcPr>
            <w:tcW w:w="746" w:type="dxa"/>
            <w:vAlign w:val="center"/>
          </w:tcPr>
          <w:p w14:paraId="1C787EE9">
            <w:pPr>
              <w:jc w:val="center"/>
              <w:rPr>
                <w:rFonts w:hint="eastAsia" w:ascii="宋体" w:hAnsi="宋体" w:eastAsia="宋体" w:cs="宋体"/>
                <w:color w:val="auto"/>
                <w:sz w:val="20"/>
                <w:szCs w:val="20"/>
                <w:highlight w:val="none"/>
              </w:rPr>
            </w:pPr>
          </w:p>
        </w:tc>
        <w:tc>
          <w:tcPr>
            <w:tcW w:w="1132" w:type="dxa"/>
            <w:vAlign w:val="center"/>
          </w:tcPr>
          <w:p w14:paraId="4C2C9072">
            <w:pPr>
              <w:jc w:val="center"/>
              <w:rPr>
                <w:rFonts w:hint="eastAsia" w:ascii="宋体" w:hAnsi="宋体" w:eastAsia="宋体" w:cs="宋体"/>
                <w:color w:val="auto"/>
                <w:sz w:val="20"/>
                <w:szCs w:val="20"/>
                <w:highlight w:val="none"/>
              </w:rPr>
            </w:pPr>
          </w:p>
        </w:tc>
      </w:tr>
      <w:tr w14:paraId="45D7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2929385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3936" w:type="dxa"/>
            <w:vAlign w:val="center"/>
          </w:tcPr>
          <w:p w14:paraId="40CE9D93">
            <w:pPr>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每个月月末汇总部门月度会议室申请、服务班考勤和考评情况汇报办公室</w:t>
            </w:r>
            <w:r>
              <w:rPr>
                <w:rFonts w:hint="eastAsia" w:ascii="宋体" w:hAnsi="宋体" w:eastAsia="宋体" w:cs="宋体"/>
                <w:color w:val="1C00C6"/>
                <w:sz w:val="20"/>
                <w:szCs w:val="20"/>
                <w:highlight w:val="none"/>
                <w:lang w:eastAsia="zh-CN"/>
              </w:rPr>
              <w:t>。</w:t>
            </w:r>
          </w:p>
        </w:tc>
        <w:tc>
          <w:tcPr>
            <w:tcW w:w="1024" w:type="dxa"/>
            <w:vAlign w:val="center"/>
          </w:tcPr>
          <w:p w14:paraId="4E67CDBD">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3</w:t>
            </w:r>
          </w:p>
        </w:tc>
        <w:tc>
          <w:tcPr>
            <w:tcW w:w="1506" w:type="dxa"/>
            <w:vAlign w:val="center"/>
          </w:tcPr>
          <w:p w14:paraId="5097084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1</w:t>
            </w:r>
            <w:r>
              <w:rPr>
                <w:rFonts w:hint="eastAsia" w:ascii="宋体" w:hAnsi="宋体" w:eastAsia="宋体" w:cs="宋体"/>
                <w:color w:val="auto"/>
                <w:sz w:val="20"/>
                <w:szCs w:val="20"/>
                <w:highlight w:val="none"/>
              </w:rPr>
              <w:t>分/次</w:t>
            </w:r>
          </w:p>
        </w:tc>
        <w:tc>
          <w:tcPr>
            <w:tcW w:w="746" w:type="dxa"/>
            <w:vAlign w:val="center"/>
          </w:tcPr>
          <w:p w14:paraId="590C03A6">
            <w:pPr>
              <w:jc w:val="center"/>
              <w:rPr>
                <w:rFonts w:hint="eastAsia" w:ascii="宋体" w:hAnsi="宋体" w:eastAsia="宋体" w:cs="宋体"/>
                <w:color w:val="auto"/>
                <w:sz w:val="20"/>
                <w:szCs w:val="20"/>
                <w:highlight w:val="none"/>
              </w:rPr>
            </w:pPr>
          </w:p>
        </w:tc>
        <w:tc>
          <w:tcPr>
            <w:tcW w:w="1132" w:type="dxa"/>
            <w:vAlign w:val="center"/>
          </w:tcPr>
          <w:p w14:paraId="374FE5F6">
            <w:pPr>
              <w:jc w:val="center"/>
              <w:rPr>
                <w:rFonts w:hint="eastAsia" w:ascii="宋体" w:hAnsi="宋体" w:eastAsia="宋体" w:cs="宋体"/>
                <w:color w:val="auto"/>
                <w:sz w:val="20"/>
                <w:szCs w:val="20"/>
                <w:highlight w:val="none"/>
              </w:rPr>
            </w:pPr>
          </w:p>
        </w:tc>
      </w:tr>
      <w:tr w14:paraId="281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4319382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3936" w:type="dxa"/>
            <w:vAlign w:val="center"/>
          </w:tcPr>
          <w:p w14:paraId="78878617">
            <w:pPr>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前台接待员形象</w:t>
            </w:r>
            <w:r>
              <w:rPr>
                <w:rFonts w:hint="eastAsia" w:ascii="宋体" w:hAnsi="宋体" w:eastAsia="宋体" w:cs="宋体"/>
                <w:color w:val="auto"/>
                <w:sz w:val="20"/>
                <w:szCs w:val="20"/>
                <w:highlight w:val="none"/>
                <w:lang w:val="en-US" w:eastAsia="zh-CN"/>
              </w:rPr>
              <w:t>好</w:t>
            </w:r>
            <w:r>
              <w:rPr>
                <w:rFonts w:hint="eastAsia" w:ascii="宋体" w:hAnsi="宋体" w:eastAsia="宋体" w:cs="宋体"/>
                <w:color w:val="auto"/>
                <w:sz w:val="20"/>
                <w:szCs w:val="20"/>
                <w:highlight w:val="none"/>
              </w:rPr>
              <w:t>，服务规范，</w:t>
            </w:r>
            <w:r>
              <w:rPr>
                <w:rFonts w:hint="eastAsia" w:ascii="宋体" w:hAnsi="宋体" w:eastAsia="宋体" w:cs="宋体"/>
                <w:color w:val="auto"/>
                <w:sz w:val="20"/>
                <w:szCs w:val="20"/>
                <w:highlight w:val="none"/>
                <w:lang w:val="en-US" w:eastAsia="zh-CN"/>
              </w:rPr>
              <w:t>服务</w:t>
            </w:r>
            <w:r>
              <w:rPr>
                <w:rFonts w:hint="eastAsia" w:ascii="宋体" w:hAnsi="宋体" w:eastAsia="宋体" w:cs="宋体"/>
                <w:color w:val="auto"/>
                <w:sz w:val="20"/>
                <w:szCs w:val="20"/>
                <w:highlight w:val="none"/>
              </w:rPr>
              <w:t>到位、主动热情亲和周到。</w:t>
            </w:r>
          </w:p>
        </w:tc>
        <w:tc>
          <w:tcPr>
            <w:tcW w:w="1024" w:type="dxa"/>
            <w:vAlign w:val="center"/>
          </w:tcPr>
          <w:p w14:paraId="513B82BD">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3</w:t>
            </w:r>
          </w:p>
        </w:tc>
        <w:tc>
          <w:tcPr>
            <w:tcW w:w="1506" w:type="dxa"/>
            <w:vAlign w:val="center"/>
          </w:tcPr>
          <w:p w14:paraId="02870EEF">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2</w:t>
            </w:r>
            <w:r>
              <w:rPr>
                <w:rFonts w:hint="eastAsia" w:ascii="宋体" w:hAnsi="宋体" w:eastAsia="宋体" w:cs="宋体"/>
                <w:color w:val="auto"/>
                <w:sz w:val="20"/>
                <w:szCs w:val="20"/>
                <w:highlight w:val="none"/>
              </w:rPr>
              <w:t>分/次</w:t>
            </w:r>
          </w:p>
        </w:tc>
        <w:tc>
          <w:tcPr>
            <w:tcW w:w="746" w:type="dxa"/>
            <w:vAlign w:val="center"/>
          </w:tcPr>
          <w:p w14:paraId="45CCD65F">
            <w:pPr>
              <w:jc w:val="center"/>
              <w:rPr>
                <w:rFonts w:hint="eastAsia" w:ascii="宋体" w:hAnsi="宋体" w:eastAsia="宋体" w:cs="宋体"/>
                <w:color w:val="auto"/>
                <w:sz w:val="20"/>
                <w:szCs w:val="20"/>
                <w:highlight w:val="none"/>
              </w:rPr>
            </w:pPr>
          </w:p>
        </w:tc>
        <w:tc>
          <w:tcPr>
            <w:tcW w:w="1132" w:type="dxa"/>
            <w:vAlign w:val="center"/>
          </w:tcPr>
          <w:p w14:paraId="683C631E">
            <w:pPr>
              <w:jc w:val="center"/>
              <w:rPr>
                <w:rFonts w:hint="eastAsia" w:ascii="宋体" w:hAnsi="宋体" w:eastAsia="宋体" w:cs="宋体"/>
                <w:color w:val="auto"/>
                <w:sz w:val="20"/>
                <w:szCs w:val="20"/>
                <w:highlight w:val="none"/>
              </w:rPr>
            </w:pPr>
          </w:p>
        </w:tc>
      </w:tr>
      <w:tr w14:paraId="2D891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2EAE788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3936" w:type="dxa"/>
            <w:vAlign w:val="center"/>
          </w:tcPr>
          <w:p w14:paraId="65B26C1B">
            <w:pPr>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前台在重要接待时要给予来访或者办事一方必要的指引、介绍或者答疑等服务，使之最为迅速、简便的得到满意的服务。</w:t>
            </w:r>
          </w:p>
        </w:tc>
        <w:tc>
          <w:tcPr>
            <w:tcW w:w="1024" w:type="dxa"/>
            <w:vAlign w:val="center"/>
          </w:tcPr>
          <w:p w14:paraId="5445D082">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506" w:type="dxa"/>
            <w:vAlign w:val="center"/>
          </w:tcPr>
          <w:p w14:paraId="0FABEC5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4</w:t>
            </w:r>
            <w:r>
              <w:rPr>
                <w:rFonts w:hint="eastAsia" w:ascii="宋体" w:hAnsi="宋体" w:eastAsia="宋体" w:cs="宋体"/>
                <w:color w:val="auto"/>
                <w:sz w:val="20"/>
                <w:szCs w:val="20"/>
                <w:highlight w:val="none"/>
              </w:rPr>
              <w:t>分/次</w:t>
            </w:r>
          </w:p>
        </w:tc>
        <w:tc>
          <w:tcPr>
            <w:tcW w:w="746" w:type="dxa"/>
            <w:vAlign w:val="center"/>
          </w:tcPr>
          <w:p w14:paraId="7F525DF1">
            <w:pPr>
              <w:jc w:val="center"/>
              <w:rPr>
                <w:rFonts w:hint="eastAsia" w:ascii="宋体" w:hAnsi="宋体" w:eastAsia="宋体" w:cs="宋体"/>
                <w:color w:val="auto"/>
                <w:sz w:val="20"/>
                <w:szCs w:val="20"/>
                <w:highlight w:val="none"/>
              </w:rPr>
            </w:pPr>
          </w:p>
        </w:tc>
        <w:tc>
          <w:tcPr>
            <w:tcW w:w="1132" w:type="dxa"/>
            <w:vAlign w:val="center"/>
          </w:tcPr>
          <w:p w14:paraId="3C96A0FE">
            <w:pPr>
              <w:jc w:val="center"/>
              <w:rPr>
                <w:rFonts w:hint="eastAsia" w:ascii="宋体" w:hAnsi="宋体" w:eastAsia="宋体" w:cs="宋体"/>
                <w:color w:val="auto"/>
                <w:sz w:val="20"/>
                <w:szCs w:val="20"/>
                <w:highlight w:val="none"/>
              </w:rPr>
            </w:pPr>
          </w:p>
        </w:tc>
      </w:tr>
      <w:tr w14:paraId="0C429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391146C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3936" w:type="dxa"/>
            <w:vAlign w:val="center"/>
          </w:tcPr>
          <w:p w14:paraId="5FB41769">
            <w:pPr>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行政服务</w:t>
            </w:r>
            <w:r>
              <w:rPr>
                <w:rFonts w:hint="eastAsia" w:ascii="宋体" w:hAnsi="宋体" w:eastAsia="宋体" w:cs="宋体"/>
                <w:color w:val="auto"/>
                <w:sz w:val="20"/>
                <w:szCs w:val="20"/>
                <w:highlight w:val="none"/>
              </w:rPr>
              <w:t>班员提前到达工作岗位，上班时间保持衣着整齐（佩戴工作牌）精神饱满。</w:t>
            </w:r>
          </w:p>
        </w:tc>
        <w:tc>
          <w:tcPr>
            <w:tcW w:w="1024" w:type="dxa"/>
            <w:vAlign w:val="center"/>
          </w:tcPr>
          <w:p w14:paraId="3ACC3612">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4</w:t>
            </w:r>
          </w:p>
        </w:tc>
        <w:tc>
          <w:tcPr>
            <w:tcW w:w="1506" w:type="dxa"/>
            <w:vAlign w:val="center"/>
          </w:tcPr>
          <w:p w14:paraId="18D3F35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3</w:t>
            </w:r>
            <w:r>
              <w:rPr>
                <w:rFonts w:hint="eastAsia" w:ascii="宋体" w:hAnsi="宋体" w:eastAsia="宋体" w:cs="宋体"/>
                <w:color w:val="auto"/>
                <w:sz w:val="20"/>
                <w:szCs w:val="20"/>
                <w:highlight w:val="none"/>
              </w:rPr>
              <w:t>分/次</w:t>
            </w:r>
          </w:p>
        </w:tc>
        <w:tc>
          <w:tcPr>
            <w:tcW w:w="746" w:type="dxa"/>
            <w:vAlign w:val="center"/>
          </w:tcPr>
          <w:p w14:paraId="6E7F61FF">
            <w:pPr>
              <w:jc w:val="center"/>
              <w:rPr>
                <w:rFonts w:hint="eastAsia" w:ascii="宋体" w:hAnsi="宋体" w:eastAsia="宋体" w:cs="宋体"/>
                <w:color w:val="auto"/>
                <w:sz w:val="20"/>
                <w:szCs w:val="20"/>
                <w:highlight w:val="none"/>
              </w:rPr>
            </w:pPr>
          </w:p>
        </w:tc>
        <w:tc>
          <w:tcPr>
            <w:tcW w:w="1132" w:type="dxa"/>
            <w:vAlign w:val="center"/>
          </w:tcPr>
          <w:p w14:paraId="1131BF41">
            <w:pPr>
              <w:jc w:val="center"/>
              <w:rPr>
                <w:rFonts w:hint="eastAsia" w:ascii="宋体" w:hAnsi="宋体" w:eastAsia="宋体" w:cs="宋体"/>
                <w:color w:val="auto"/>
                <w:sz w:val="20"/>
                <w:szCs w:val="20"/>
                <w:highlight w:val="none"/>
              </w:rPr>
            </w:pPr>
          </w:p>
        </w:tc>
      </w:tr>
      <w:tr w14:paraId="5A5D2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257FE4F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w:t>
            </w:r>
          </w:p>
        </w:tc>
        <w:tc>
          <w:tcPr>
            <w:tcW w:w="3936" w:type="dxa"/>
            <w:vAlign w:val="center"/>
          </w:tcPr>
          <w:p w14:paraId="77B5B61E">
            <w:pPr>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接到会务申请单通知要按照会议申请单的要求及时做好各项会前各项准备，并按照会议类型检查表检查会场。</w:t>
            </w:r>
          </w:p>
        </w:tc>
        <w:tc>
          <w:tcPr>
            <w:tcW w:w="1024" w:type="dxa"/>
            <w:vAlign w:val="center"/>
          </w:tcPr>
          <w:p w14:paraId="452BB1AB">
            <w:pPr>
              <w:jc w:val="center"/>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5</w:t>
            </w:r>
          </w:p>
        </w:tc>
        <w:tc>
          <w:tcPr>
            <w:tcW w:w="1506" w:type="dxa"/>
            <w:vAlign w:val="center"/>
          </w:tcPr>
          <w:p w14:paraId="4643E40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2</w:t>
            </w:r>
            <w:bookmarkStart w:id="77" w:name="OLE_LINK6"/>
            <w:r>
              <w:rPr>
                <w:rFonts w:hint="eastAsia" w:ascii="宋体" w:hAnsi="宋体" w:eastAsia="宋体" w:cs="宋体"/>
                <w:color w:val="auto"/>
                <w:sz w:val="20"/>
                <w:szCs w:val="20"/>
                <w:highlight w:val="none"/>
                <w:lang w:val="en-US" w:eastAsia="zh-CN"/>
              </w:rPr>
              <w:t>至</w:t>
            </w:r>
            <w:bookmarkEnd w:id="77"/>
            <w:r>
              <w:rPr>
                <w:rFonts w:hint="eastAsia" w:ascii="宋体" w:hAnsi="宋体" w:eastAsia="宋体" w:cs="宋体"/>
                <w:color w:val="auto"/>
                <w:sz w:val="20"/>
                <w:szCs w:val="20"/>
                <w:highlight w:val="none"/>
                <w:lang w:val="en-US" w:eastAsia="zh-CN"/>
              </w:rPr>
              <w:t>-</w:t>
            </w:r>
            <w:r>
              <w:rPr>
                <w:rFonts w:hint="eastAsia" w:ascii="宋体" w:hAnsi="宋体" w:cs="宋体"/>
                <w:color w:val="auto"/>
                <w:sz w:val="20"/>
                <w:szCs w:val="20"/>
                <w:highlight w:val="none"/>
                <w:lang w:val="en-US" w:eastAsia="zh-CN"/>
              </w:rPr>
              <w:t>3</w:t>
            </w:r>
            <w:r>
              <w:rPr>
                <w:rFonts w:hint="eastAsia" w:ascii="宋体" w:hAnsi="宋体" w:eastAsia="宋体" w:cs="宋体"/>
                <w:color w:val="auto"/>
                <w:sz w:val="20"/>
                <w:szCs w:val="20"/>
                <w:highlight w:val="none"/>
              </w:rPr>
              <w:t xml:space="preserve">分/次 </w:t>
            </w:r>
          </w:p>
        </w:tc>
        <w:tc>
          <w:tcPr>
            <w:tcW w:w="746" w:type="dxa"/>
            <w:vAlign w:val="center"/>
          </w:tcPr>
          <w:p w14:paraId="13804A6E">
            <w:pPr>
              <w:jc w:val="center"/>
              <w:rPr>
                <w:rFonts w:hint="eastAsia" w:ascii="宋体" w:hAnsi="宋体" w:eastAsia="宋体" w:cs="宋体"/>
                <w:color w:val="auto"/>
                <w:sz w:val="20"/>
                <w:szCs w:val="20"/>
                <w:highlight w:val="none"/>
              </w:rPr>
            </w:pPr>
          </w:p>
        </w:tc>
        <w:tc>
          <w:tcPr>
            <w:tcW w:w="1132" w:type="dxa"/>
            <w:vAlign w:val="center"/>
          </w:tcPr>
          <w:p w14:paraId="5ADC1794">
            <w:pPr>
              <w:jc w:val="center"/>
              <w:rPr>
                <w:rFonts w:hint="eastAsia" w:ascii="宋体" w:hAnsi="宋体" w:eastAsia="宋体" w:cs="宋体"/>
                <w:color w:val="auto"/>
                <w:sz w:val="20"/>
                <w:szCs w:val="20"/>
                <w:highlight w:val="none"/>
              </w:rPr>
            </w:pPr>
          </w:p>
        </w:tc>
      </w:tr>
      <w:tr w14:paraId="1878D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1207" w:type="dxa"/>
            <w:vAlign w:val="center"/>
          </w:tcPr>
          <w:p w14:paraId="4BA9F503">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w:t>
            </w:r>
          </w:p>
        </w:tc>
        <w:tc>
          <w:tcPr>
            <w:tcW w:w="3936" w:type="dxa"/>
            <w:vAlign w:val="center"/>
          </w:tcPr>
          <w:p w14:paraId="72590E56">
            <w:pPr>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会议结束后，应及时恢复会场，检查仪器设备，空调和物品有无遗漏。</w:t>
            </w:r>
          </w:p>
        </w:tc>
        <w:tc>
          <w:tcPr>
            <w:tcW w:w="1024" w:type="dxa"/>
            <w:vAlign w:val="center"/>
          </w:tcPr>
          <w:p w14:paraId="085F634D">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506" w:type="dxa"/>
            <w:vAlign w:val="center"/>
          </w:tcPr>
          <w:p w14:paraId="52D934B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2</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3</w:t>
            </w:r>
            <w:r>
              <w:rPr>
                <w:rFonts w:hint="eastAsia" w:ascii="宋体" w:hAnsi="宋体" w:eastAsia="宋体" w:cs="宋体"/>
                <w:color w:val="auto"/>
                <w:sz w:val="20"/>
                <w:szCs w:val="20"/>
                <w:highlight w:val="none"/>
              </w:rPr>
              <w:t>分</w:t>
            </w:r>
            <w:bookmarkStart w:id="78" w:name="OLE_LINK20"/>
            <w:r>
              <w:rPr>
                <w:rFonts w:hint="eastAsia" w:ascii="宋体" w:hAnsi="宋体" w:eastAsia="宋体" w:cs="宋体"/>
                <w:color w:val="auto"/>
                <w:sz w:val="20"/>
                <w:szCs w:val="20"/>
                <w:highlight w:val="none"/>
              </w:rPr>
              <w:t>/次</w:t>
            </w:r>
            <w:bookmarkEnd w:id="78"/>
          </w:p>
        </w:tc>
        <w:tc>
          <w:tcPr>
            <w:tcW w:w="746" w:type="dxa"/>
            <w:vAlign w:val="center"/>
          </w:tcPr>
          <w:p w14:paraId="0991C24B">
            <w:pPr>
              <w:jc w:val="center"/>
              <w:rPr>
                <w:rFonts w:hint="eastAsia" w:ascii="宋体" w:hAnsi="宋体" w:eastAsia="宋体" w:cs="宋体"/>
                <w:color w:val="auto"/>
                <w:sz w:val="20"/>
                <w:szCs w:val="20"/>
                <w:highlight w:val="none"/>
              </w:rPr>
            </w:pPr>
          </w:p>
        </w:tc>
        <w:tc>
          <w:tcPr>
            <w:tcW w:w="1132" w:type="dxa"/>
            <w:vAlign w:val="center"/>
          </w:tcPr>
          <w:p w14:paraId="1F05CCF9">
            <w:pPr>
              <w:jc w:val="center"/>
              <w:rPr>
                <w:rFonts w:hint="eastAsia" w:ascii="宋体" w:hAnsi="宋体" w:eastAsia="宋体" w:cs="宋体"/>
                <w:color w:val="auto"/>
                <w:sz w:val="20"/>
                <w:szCs w:val="20"/>
                <w:highlight w:val="none"/>
              </w:rPr>
            </w:pPr>
          </w:p>
        </w:tc>
      </w:tr>
      <w:tr w14:paraId="203A5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1207" w:type="dxa"/>
            <w:vAlign w:val="center"/>
          </w:tcPr>
          <w:p w14:paraId="7729644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3936" w:type="dxa"/>
            <w:vAlign w:val="center"/>
          </w:tcPr>
          <w:p w14:paraId="49C6F2D7">
            <w:pPr>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做好办公大楼的广播系统、一楼大厅LED、各会议室会议系统的管理及使用工作,要求每个班员都要熟悉使用会议室的设备，并能够解决基本简单的设备问题。</w:t>
            </w:r>
          </w:p>
        </w:tc>
        <w:tc>
          <w:tcPr>
            <w:tcW w:w="1024" w:type="dxa"/>
            <w:vAlign w:val="center"/>
          </w:tcPr>
          <w:p w14:paraId="698F467F">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1506" w:type="dxa"/>
            <w:vAlign w:val="center"/>
          </w:tcPr>
          <w:p w14:paraId="1C41DCD2">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2</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3</w:t>
            </w:r>
            <w:r>
              <w:rPr>
                <w:rFonts w:hint="eastAsia" w:ascii="宋体" w:hAnsi="宋体" w:eastAsia="宋体" w:cs="宋体"/>
                <w:color w:val="auto"/>
                <w:sz w:val="20"/>
                <w:szCs w:val="20"/>
                <w:highlight w:val="none"/>
              </w:rPr>
              <w:t>分/次</w:t>
            </w:r>
          </w:p>
        </w:tc>
        <w:tc>
          <w:tcPr>
            <w:tcW w:w="746" w:type="dxa"/>
            <w:vAlign w:val="center"/>
          </w:tcPr>
          <w:p w14:paraId="02DBC855">
            <w:pPr>
              <w:jc w:val="center"/>
              <w:rPr>
                <w:rFonts w:hint="eastAsia" w:ascii="宋体" w:hAnsi="宋体" w:eastAsia="宋体" w:cs="宋体"/>
                <w:color w:val="auto"/>
                <w:sz w:val="20"/>
                <w:szCs w:val="20"/>
                <w:highlight w:val="none"/>
              </w:rPr>
            </w:pPr>
          </w:p>
        </w:tc>
        <w:tc>
          <w:tcPr>
            <w:tcW w:w="1132" w:type="dxa"/>
            <w:vAlign w:val="center"/>
          </w:tcPr>
          <w:p w14:paraId="1F62AB10">
            <w:pPr>
              <w:jc w:val="center"/>
              <w:rPr>
                <w:rFonts w:hint="eastAsia" w:ascii="宋体" w:hAnsi="宋体" w:eastAsia="宋体" w:cs="宋体"/>
                <w:color w:val="auto"/>
                <w:sz w:val="20"/>
                <w:szCs w:val="20"/>
                <w:highlight w:val="none"/>
              </w:rPr>
            </w:pPr>
          </w:p>
        </w:tc>
      </w:tr>
      <w:tr w14:paraId="2EA00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715F1D4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w:t>
            </w:r>
          </w:p>
        </w:tc>
        <w:tc>
          <w:tcPr>
            <w:tcW w:w="3936" w:type="dxa"/>
            <w:vAlign w:val="center"/>
          </w:tcPr>
          <w:p w14:paraId="3B6975B7">
            <w:pPr>
              <w:tabs>
                <w:tab w:val="left" w:pos="360"/>
              </w:tabs>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管理好办公大楼的用水情况以及仓库办公用品的档案整理工作，要求每季度盘点清楚并做好记录。</w:t>
            </w:r>
          </w:p>
        </w:tc>
        <w:tc>
          <w:tcPr>
            <w:tcW w:w="1024" w:type="dxa"/>
            <w:vAlign w:val="center"/>
          </w:tcPr>
          <w:p w14:paraId="7A30233B">
            <w:pPr>
              <w:jc w:val="center"/>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4</w:t>
            </w:r>
          </w:p>
        </w:tc>
        <w:tc>
          <w:tcPr>
            <w:tcW w:w="1506" w:type="dxa"/>
            <w:vAlign w:val="center"/>
          </w:tcPr>
          <w:p w14:paraId="7CF0515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2</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/次</w:t>
            </w:r>
          </w:p>
        </w:tc>
        <w:tc>
          <w:tcPr>
            <w:tcW w:w="746" w:type="dxa"/>
            <w:vAlign w:val="center"/>
          </w:tcPr>
          <w:p w14:paraId="4C681D36">
            <w:pPr>
              <w:jc w:val="center"/>
              <w:rPr>
                <w:rFonts w:hint="eastAsia" w:ascii="宋体" w:hAnsi="宋体" w:eastAsia="宋体" w:cs="宋体"/>
                <w:color w:val="auto"/>
                <w:sz w:val="20"/>
                <w:szCs w:val="20"/>
                <w:highlight w:val="none"/>
              </w:rPr>
            </w:pPr>
          </w:p>
        </w:tc>
        <w:tc>
          <w:tcPr>
            <w:tcW w:w="1132" w:type="dxa"/>
            <w:vAlign w:val="center"/>
          </w:tcPr>
          <w:p w14:paraId="36F45E0E">
            <w:pPr>
              <w:jc w:val="center"/>
              <w:rPr>
                <w:rFonts w:hint="eastAsia" w:ascii="宋体" w:hAnsi="宋体" w:eastAsia="宋体" w:cs="宋体"/>
                <w:color w:val="auto"/>
                <w:sz w:val="20"/>
                <w:szCs w:val="20"/>
                <w:highlight w:val="none"/>
              </w:rPr>
            </w:pPr>
          </w:p>
        </w:tc>
      </w:tr>
      <w:tr w14:paraId="7C7C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19627691">
            <w:pPr>
              <w:tabs>
                <w:tab w:val="left" w:pos="360"/>
              </w:tabs>
              <w:ind w:firstLine="200" w:firstLineChars="1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w:t>
            </w:r>
          </w:p>
        </w:tc>
        <w:tc>
          <w:tcPr>
            <w:tcW w:w="3936" w:type="dxa"/>
            <w:vAlign w:val="center"/>
          </w:tcPr>
          <w:p w14:paraId="292B8C21">
            <w:pPr>
              <w:tabs>
                <w:tab w:val="left" w:pos="360"/>
              </w:tabs>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负责住宿安排的负责人应提前按照《住宿检查表》检查好房间，检查并准备好房卡，协助办理入住手续，做好引导。</w:t>
            </w:r>
          </w:p>
        </w:tc>
        <w:tc>
          <w:tcPr>
            <w:tcW w:w="1024" w:type="dxa"/>
            <w:vAlign w:val="center"/>
          </w:tcPr>
          <w:p w14:paraId="10F67B82">
            <w:pPr>
              <w:tabs>
                <w:tab w:val="left" w:pos="360"/>
              </w:tabs>
              <w:ind w:left="2" w:leftChars="1"/>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1506" w:type="dxa"/>
            <w:vAlign w:val="center"/>
          </w:tcPr>
          <w:p w14:paraId="02DDCA13">
            <w:pPr>
              <w:tabs>
                <w:tab w:val="left" w:pos="360"/>
              </w:tabs>
              <w:ind w:left="2" w:leftChars="1"/>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3</w:t>
            </w:r>
            <w:r>
              <w:rPr>
                <w:rFonts w:hint="eastAsia" w:ascii="宋体" w:hAnsi="宋体" w:eastAsia="宋体" w:cs="宋体"/>
                <w:color w:val="auto"/>
                <w:sz w:val="20"/>
                <w:szCs w:val="20"/>
                <w:highlight w:val="none"/>
              </w:rPr>
              <w:t>分</w:t>
            </w:r>
            <w:bookmarkStart w:id="79" w:name="OLE_LINK24"/>
            <w:r>
              <w:rPr>
                <w:rFonts w:hint="eastAsia" w:ascii="宋体" w:hAnsi="宋体" w:eastAsia="宋体" w:cs="宋体"/>
                <w:color w:val="auto"/>
                <w:sz w:val="20"/>
                <w:szCs w:val="20"/>
                <w:highlight w:val="none"/>
              </w:rPr>
              <w:t>/次</w:t>
            </w:r>
            <w:bookmarkEnd w:id="79"/>
          </w:p>
        </w:tc>
        <w:tc>
          <w:tcPr>
            <w:tcW w:w="746" w:type="dxa"/>
            <w:vAlign w:val="center"/>
          </w:tcPr>
          <w:p w14:paraId="4205B24B">
            <w:pPr>
              <w:jc w:val="center"/>
              <w:rPr>
                <w:rFonts w:hint="eastAsia" w:ascii="宋体" w:hAnsi="宋体" w:eastAsia="宋体" w:cs="宋体"/>
                <w:color w:val="auto"/>
                <w:sz w:val="20"/>
                <w:szCs w:val="20"/>
                <w:highlight w:val="none"/>
              </w:rPr>
            </w:pPr>
          </w:p>
        </w:tc>
        <w:tc>
          <w:tcPr>
            <w:tcW w:w="1132" w:type="dxa"/>
            <w:vAlign w:val="center"/>
          </w:tcPr>
          <w:p w14:paraId="746F87DE">
            <w:pPr>
              <w:tabs>
                <w:tab w:val="left" w:pos="360"/>
              </w:tabs>
              <w:ind w:left="2" w:leftChars="1" w:firstLine="400" w:firstLineChars="200"/>
              <w:jc w:val="center"/>
              <w:rPr>
                <w:rFonts w:hint="eastAsia" w:ascii="宋体" w:hAnsi="宋体" w:eastAsia="宋体" w:cs="宋体"/>
                <w:color w:val="auto"/>
                <w:sz w:val="20"/>
                <w:szCs w:val="20"/>
                <w:highlight w:val="none"/>
              </w:rPr>
            </w:pPr>
          </w:p>
        </w:tc>
      </w:tr>
      <w:tr w14:paraId="5AD1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7022AA4C">
            <w:pPr>
              <w:tabs>
                <w:tab w:val="left" w:pos="360"/>
              </w:tabs>
              <w:ind w:firstLine="200" w:firstLineChars="1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w:t>
            </w:r>
          </w:p>
        </w:tc>
        <w:tc>
          <w:tcPr>
            <w:tcW w:w="3936" w:type="dxa"/>
            <w:vAlign w:val="center"/>
          </w:tcPr>
          <w:p w14:paraId="1DD9B70A">
            <w:pPr>
              <w:tabs>
                <w:tab w:val="left" w:pos="360"/>
              </w:tabs>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负责用餐安排的应提前到就餐地点按照《用餐检查表》检查用餐环境，严格按照接待标准安排菜品。</w:t>
            </w:r>
          </w:p>
        </w:tc>
        <w:tc>
          <w:tcPr>
            <w:tcW w:w="1024" w:type="dxa"/>
            <w:vAlign w:val="center"/>
          </w:tcPr>
          <w:p w14:paraId="6615FA55">
            <w:pPr>
              <w:tabs>
                <w:tab w:val="left" w:pos="360"/>
              </w:tabs>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506" w:type="dxa"/>
            <w:vAlign w:val="center"/>
          </w:tcPr>
          <w:p w14:paraId="4C9579F1">
            <w:pPr>
              <w:tabs>
                <w:tab w:val="left" w:pos="360"/>
              </w:tabs>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2</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3</w:t>
            </w:r>
            <w:r>
              <w:rPr>
                <w:rFonts w:hint="eastAsia" w:ascii="宋体" w:hAnsi="宋体" w:eastAsia="宋体" w:cs="宋体"/>
                <w:color w:val="auto"/>
                <w:sz w:val="20"/>
                <w:szCs w:val="20"/>
                <w:highlight w:val="none"/>
              </w:rPr>
              <w:t>分/次</w:t>
            </w:r>
          </w:p>
        </w:tc>
        <w:tc>
          <w:tcPr>
            <w:tcW w:w="746" w:type="dxa"/>
            <w:vAlign w:val="center"/>
          </w:tcPr>
          <w:p w14:paraId="21BC5248">
            <w:pPr>
              <w:jc w:val="center"/>
              <w:rPr>
                <w:rFonts w:hint="eastAsia" w:ascii="宋体" w:hAnsi="宋体" w:eastAsia="宋体" w:cs="宋体"/>
                <w:color w:val="auto"/>
                <w:sz w:val="20"/>
                <w:szCs w:val="20"/>
                <w:highlight w:val="none"/>
              </w:rPr>
            </w:pPr>
          </w:p>
        </w:tc>
        <w:tc>
          <w:tcPr>
            <w:tcW w:w="1132" w:type="dxa"/>
            <w:vAlign w:val="center"/>
          </w:tcPr>
          <w:p w14:paraId="061132FF">
            <w:pPr>
              <w:tabs>
                <w:tab w:val="left" w:pos="360"/>
              </w:tabs>
              <w:ind w:left="2" w:leftChars="1" w:firstLine="400" w:firstLineChars="200"/>
              <w:jc w:val="center"/>
              <w:rPr>
                <w:rFonts w:hint="eastAsia" w:ascii="宋体" w:hAnsi="宋体" w:eastAsia="宋体" w:cs="宋体"/>
                <w:color w:val="auto"/>
                <w:sz w:val="20"/>
                <w:szCs w:val="20"/>
                <w:highlight w:val="none"/>
              </w:rPr>
            </w:pPr>
          </w:p>
        </w:tc>
      </w:tr>
      <w:tr w14:paraId="2D52C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vAlign w:val="center"/>
          </w:tcPr>
          <w:p w14:paraId="57FDB52D">
            <w:pPr>
              <w:tabs>
                <w:tab w:val="left" w:pos="360"/>
              </w:tabs>
              <w:ind w:firstLine="200" w:firstLineChars="1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w:t>
            </w:r>
          </w:p>
        </w:tc>
        <w:tc>
          <w:tcPr>
            <w:tcW w:w="3936" w:type="dxa"/>
            <w:vAlign w:val="center"/>
          </w:tcPr>
          <w:p w14:paraId="5572979E">
            <w:pPr>
              <w:tabs>
                <w:tab w:val="left" w:pos="360"/>
              </w:tabs>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在进行有关接待工作中，擅自离开工作岗位或私自乱拿乱点物品者，造成工作失误或严重影响企业形象者</w:t>
            </w:r>
            <w:r>
              <w:rPr>
                <w:rFonts w:hint="eastAsia" w:ascii="宋体" w:hAnsi="宋体" w:eastAsia="宋体" w:cs="宋体"/>
                <w:color w:val="auto"/>
                <w:sz w:val="20"/>
                <w:szCs w:val="20"/>
                <w:highlight w:val="none"/>
                <w:lang w:eastAsia="zh-CN"/>
              </w:rPr>
              <w:t>。</w:t>
            </w:r>
          </w:p>
        </w:tc>
        <w:tc>
          <w:tcPr>
            <w:tcW w:w="1024" w:type="dxa"/>
            <w:vAlign w:val="center"/>
          </w:tcPr>
          <w:p w14:paraId="2FB2AB80">
            <w:pPr>
              <w:tabs>
                <w:tab w:val="left" w:pos="360"/>
              </w:tabs>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506" w:type="dxa"/>
            <w:vAlign w:val="center"/>
          </w:tcPr>
          <w:p w14:paraId="52452FBB">
            <w:pPr>
              <w:tabs>
                <w:tab w:val="left" w:pos="360"/>
              </w:tabs>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4</w:t>
            </w:r>
            <w:r>
              <w:rPr>
                <w:rFonts w:hint="eastAsia" w:ascii="宋体" w:hAnsi="宋体" w:eastAsia="宋体" w:cs="宋体"/>
                <w:color w:val="auto"/>
                <w:sz w:val="20"/>
                <w:szCs w:val="20"/>
                <w:highlight w:val="none"/>
              </w:rPr>
              <w:t>分/次</w:t>
            </w:r>
          </w:p>
        </w:tc>
        <w:tc>
          <w:tcPr>
            <w:tcW w:w="746" w:type="dxa"/>
            <w:vAlign w:val="center"/>
          </w:tcPr>
          <w:p w14:paraId="0C966F67">
            <w:pPr>
              <w:jc w:val="center"/>
              <w:rPr>
                <w:rFonts w:hint="eastAsia" w:ascii="宋体" w:hAnsi="宋体" w:eastAsia="宋体" w:cs="宋体"/>
                <w:color w:val="auto"/>
                <w:sz w:val="20"/>
                <w:szCs w:val="20"/>
                <w:highlight w:val="none"/>
              </w:rPr>
            </w:pPr>
          </w:p>
        </w:tc>
        <w:tc>
          <w:tcPr>
            <w:tcW w:w="1132" w:type="dxa"/>
            <w:vAlign w:val="center"/>
          </w:tcPr>
          <w:p w14:paraId="14CD2522">
            <w:pPr>
              <w:tabs>
                <w:tab w:val="left" w:pos="360"/>
              </w:tabs>
              <w:ind w:left="2" w:leftChars="1" w:firstLine="400" w:firstLineChars="200"/>
              <w:jc w:val="center"/>
              <w:rPr>
                <w:rFonts w:hint="eastAsia" w:ascii="宋体" w:hAnsi="宋体" w:eastAsia="宋体" w:cs="宋体"/>
                <w:color w:val="auto"/>
                <w:sz w:val="20"/>
                <w:szCs w:val="20"/>
                <w:highlight w:val="none"/>
              </w:rPr>
            </w:pPr>
          </w:p>
        </w:tc>
      </w:tr>
      <w:tr w14:paraId="364A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tcBorders>
              <w:bottom w:val="single" w:color="auto" w:sz="4" w:space="0"/>
            </w:tcBorders>
            <w:vAlign w:val="center"/>
          </w:tcPr>
          <w:p w14:paraId="508178F3">
            <w:pPr>
              <w:tabs>
                <w:tab w:val="left" w:pos="360"/>
              </w:tabs>
              <w:ind w:firstLine="200" w:firstLineChars="1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13</w:t>
            </w:r>
          </w:p>
        </w:tc>
        <w:tc>
          <w:tcPr>
            <w:tcW w:w="3936" w:type="dxa"/>
            <w:tcBorders>
              <w:bottom w:val="single" w:color="auto" w:sz="4" w:space="0"/>
            </w:tcBorders>
            <w:vAlign w:val="center"/>
          </w:tcPr>
          <w:p w14:paraId="62A494FE">
            <w:pPr>
              <w:tabs>
                <w:tab w:val="left" w:pos="360"/>
              </w:tabs>
              <w:ind w:left="2" w:leftChars="1"/>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仓库台账不清晰，少计或漏计的。</w:t>
            </w:r>
          </w:p>
        </w:tc>
        <w:tc>
          <w:tcPr>
            <w:tcW w:w="1024" w:type="dxa"/>
            <w:tcBorders>
              <w:bottom w:val="single" w:color="auto" w:sz="4" w:space="0"/>
            </w:tcBorders>
            <w:vAlign w:val="center"/>
          </w:tcPr>
          <w:p w14:paraId="2758B1F3">
            <w:pPr>
              <w:tabs>
                <w:tab w:val="left" w:pos="360"/>
              </w:tabs>
              <w:jc w:val="center"/>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1</w:t>
            </w:r>
          </w:p>
        </w:tc>
        <w:tc>
          <w:tcPr>
            <w:tcW w:w="1506" w:type="dxa"/>
            <w:tcBorders>
              <w:bottom w:val="single" w:color="auto" w:sz="4" w:space="0"/>
            </w:tcBorders>
            <w:vAlign w:val="center"/>
          </w:tcPr>
          <w:p w14:paraId="69243727">
            <w:pPr>
              <w:tabs>
                <w:tab w:val="left" w:pos="360"/>
              </w:tabs>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3</w:t>
            </w:r>
            <w:r>
              <w:rPr>
                <w:rFonts w:hint="eastAsia" w:ascii="宋体" w:hAnsi="宋体" w:eastAsia="宋体" w:cs="宋体"/>
                <w:color w:val="auto"/>
                <w:sz w:val="20"/>
                <w:szCs w:val="20"/>
                <w:highlight w:val="none"/>
              </w:rPr>
              <w:t>分/次</w:t>
            </w:r>
          </w:p>
        </w:tc>
        <w:tc>
          <w:tcPr>
            <w:tcW w:w="746" w:type="dxa"/>
            <w:tcBorders>
              <w:bottom w:val="single" w:color="auto" w:sz="4" w:space="0"/>
            </w:tcBorders>
            <w:vAlign w:val="center"/>
          </w:tcPr>
          <w:p w14:paraId="354AAC68">
            <w:pPr>
              <w:jc w:val="center"/>
              <w:rPr>
                <w:rFonts w:hint="eastAsia" w:ascii="宋体" w:hAnsi="宋体" w:eastAsia="宋体" w:cs="宋体"/>
                <w:color w:val="auto"/>
                <w:sz w:val="20"/>
                <w:szCs w:val="20"/>
                <w:highlight w:val="none"/>
              </w:rPr>
            </w:pPr>
          </w:p>
        </w:tc>
        <w:tc>
          <w:tcPr>
            <w:tcW w:w="1132" w:type="dxa"/>
            <w:tcBorders>
              <w:bottom w:val="single" w:color="auto" w:sz="4" w:space="0"/>
            </w:tcBorders>
            <w:vAlign w:val="center"/>
          </w:tcPr>
          <w:p w14:paraId="3BB5562A">
            <w:pPr>
              <w:tabs>
                <w:tab w:val="left" w:pos="360"/>
              </w:tabs>
              <w:ind w:left="2" w:leftChars="1" w:firstLine="400" w:firstLineChars="200"/>
              <w:jc w:val="center"/>
              <w:rPr>
                <w:rFonts w:hint="eastAsia" w:ascii="宋体" w:hAnsi="宋体" w:eastAsia="宋体" w:cs="宋体"/>
                <w:color w:val="auto"/>
                <w:sz w:val="20"/>
                <w:szCs w:val="20"/>
                <w:highlight w:val="none"/>
              </w:rPr>
            </w:pPr>
          </w:p>
        </w:tc>
      </w:tr>
      <w:tr w14:paraId="0AB55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tcBorders>
              <w:left w:val="single" w:color="auto" w:sz="4" w:space="0"/>
              <w:bottom w:val="single" w:color="auto" w:sz="4" w:space="0"/>
            </w:tcBorders>
            <w:vAlign w:val="center"/>
          </w:tcPr>
          <w:p w14:paraId="7015F961">
            <w:pPr>
              <w:tabs>
                <w:tab w:val="left" w:pos="360"/>
              </w:tabs>
              <w:ind w:firstLine="200" w:firstLineChars="100"/>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3936" w:type="dxa"/>
            <w:tcBorders>
              <w:bottom w:val="single" w:color="auto" w:sz="4" w:space="0"/>
            </w:tcBorders>
            <w:vAlign w:val="center"/>
          </w:tcPr>
          <w:p w14:paraId="745C13F9">
            <w:pPr>
              <w:rPr>
                <w:rFonts w:hint="eastAsia" w:asciiTheme="minorHAnsi" w:hAnsiTheme="minorHAnsi" w:eastAsiaTheme="minorEastAsia" w:cstheme="minorBidi"/>
                <w:color w:val="auto"/>
                <w:kern w:val="2"/>
                <w:sz w:val="20"/>
                <w:szCs w:val="20"/>
                <w:highlight w:val="none"/>
                <w:lang w:val="en-US" w:eastAsia="zh-CN" w:bidi="ar-SA"/>
              </w:rPr>
            </w:pPr>
            <w:r>
              <w:rPr>
                <w:rFonts w:hint="eastAsia" w:ascii="宋体" w:hAnsi="宋体" w:cs="宋体"/>
                <w:color w:val="auto"/>
                <w:sz w:val="20"/>
                <w:szCs w:val="20"/>
                <w:highlight w:val="none"/>
              </w:rPr>
              <w:t>不按时完成</w:t>
            </w:r>
            <w:r>
              <w:rPr>
                <w:rFonts w:hint="eastAsia" w:ascii="宋体" w:hAnsi="宋体" w:cs="宋体"/>
                <w:color w:val="auto"/>
                <w:sz w:val="20"/>
                <w:szCs w:val="20"/>
                <w:highlight w:val="none"/>
                <w:lang w:val="en-US" w:eastAsia="zh-CN"/>
              </w:rPr>
              <w:t>采购方</w:t>
            </w:r>
            <w:r>
              <w:rPr>
                <w:rFonts w:hint="eastAsia" w:ascii="宋体" w:hAnsi="宋体" w:cs="宋体"/>
                <w:color w:val="auto"/>
                <w:sz w:val="20"/>
                <w:szCs w:val="20"/>
                <w:highlight w:val="none"/>
              </w:rPr>
              <w:t>布置的工作</w:t>
            </w:r>
            <w:r>
              <w:rPr>
                <w:rFonts w:hint="eastAsia" w:ascii="宋体" w:hAnsi="宋体" w:cs="宋体"/>
                <w:color w:val="auto"/>
                <w:sz w:val="20"/>
                <w:szCs w:val="20"/>
                <w:highlight w:val="none"/>
                <w:lang w:eastAsia="zh-CN"/>
              </w:rPr>
              <w:t>。</w:t>
            </w:r>
          </w:p>
        </w:tc>
        <w:tc>
          <w:tcPr>
            <w:tcW w:w="1024" w:type="dxa"/>
            <w:tcBorders>
              <w:bottom w:val="single" w:color="auto" w:sz="4" w:space="0"/>
            </w:tcBorders>
            <w:vAlign w:val="center"/>
          </w:tcPr>
          <w:p w14:paraId="3C26EC78">
            <w:pPr>
              <w:tabs>
                <w:tab w:val="left" w:pos="360"/>
              </w:tabs>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1</w:t>
            </w:r>
          </w:p>
        </w:tc>
        <w:tc>
          <w:tcPr>
            <w:tcW w:w="1506" w:type="dxa"/>
            <w:tcBorders>
              <w:bottom w:val="single" w:color="auto" w:sz="4" w:space="0"/>
            </w:tcBorders>
            <w:vAlign w:val="center"/>
          </w:tcPr>
          <w:p w14:paraId="7249D118">
            <w:pPr>
              <w:tabs>
                <w:tab w:val="left" w:pos="360"/>
              </w:tabs>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-0.</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分/次</w:t>
            </w:r>
          </w:p>
        </w:tc>
        <w:tc>
          <w:tcPr>
            <w:tcW w:w="746" w:type="dxa"/>
            <w:tcBorders>
              <w:bottom w:val="single" w:color="auto" w:sz="4" w:space="0"/>
            </w:tcBorders>
            <w:vAlign w:val="center"/>
          </w:tcPr>
          <w:p w14:paraId="1A1096E1">
            <w:pPr>
              <w:jc w:val="center"/>
              <w:rPr>
                <w:rFonts w:hint="eastAsia" w:ascii="宋体" w:hAnsi="宋体" w:eastAsia="宋体" w:cs="宋体"/>
                <w:color w:val="auto"/>
                <w:sz w:val="20"/>
                <w:szCs w:val="20"/>
                <w:highlight w:val="none"/>
              </w:rPr>
            </w:pPr>
          </w:p>
        </w:tc>
        <w:tc>
          <w:tcPr>
            <w:tcW w:w="1132" w:type="dxa"/>
            <w:tcBorders>
              <w:bottom w:val="single" w:color="auto" w:sz="4" w:space="0"/>
              <w:right w:val="single" w:color="auto" w:sz="4" w:space="0"/>
            </w:tcBorders>
            <w:vAlign w:val="center"/>
          </w:tcPr>
          <w:p w14:paraId="1F3437FB">
            <w:pPr>
              <w:tabs>
                <w:tab w:val="left" w:pos="360"/>
              </w:tabs>
              <w:ind w:left="2" w:leftChars="1" w:firstLine="400" w:firstLineChars="200"/>
              <w:jc w:val="center"/>
              <w:rPr>
                <w:rFonts w:hint="eastAsia" w:ascii="宋体" w:hAnsi="宋体" w:eastAsia="宋体" w:cs="宋体"/>
                <w:color w:val="auto"/>
                <w:sz w:val="20"/>
                <w:szCs w:val="20"/>
                <w:highlight w:val="none"/>
              </w:rPr>
            </w:pPr>
          </w:p>
        </w:tc>
      </w:tr>
      <w:tr w14:paraId="0FFE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tcBorders>
              <w:left w:val="single" w:color="auto" w:sz="4" w:space="0"/>
              <w:bottom w:val="single" w:color="auto" w:sz="4" w:space="0"/>
            </w:tcBorders>
            <w:vAlign w:val="center"/>
          </w:tcPr>
          <w:p w14:paraId="08A1BA2A">
            <w:pPr>
              <w:tabs>
                <w:tab w:val="left" w:pos="360"/>
              </w:tabs>
              <w:ind w:firstLine="200" w:firstLineChars="100"/>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3936" w:type="dxa"/>
            <w:tcBorders>
              <w:bottom w:val="single" w:color="auto" w:sz="4" w:space="0"/>
            </w:tcBorders>
            <w:vAlign w:val="center"/>
          </w:tcPr>
          <w:p w14:paraId="63D1683C">
            <w:pPr>
              <w:rPr>
                <w:rFonts w:hint="eastAsia" w:asciiTheme="minorHAnsi" w:hAnsiTheme="minorHAnsi" w:eastAsiaTheme="minorEastAsia" w:cstheme="minorBidi"/>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1024" w:type="dxa"/>
            <w:tcBorders>
              <w:bottom w:val="single" w:color="auto" w:sz="4" w:space="0"/>
            </w:tcBorders>
            <w:vAlign w:val="center"/>
          </w:tcPr>
          <w:p w14:paraId="17BA9608">
            <w:pPr>
              <w:tabs>
                <w:tab w:val="left" w:pos="360"/>
              </w:tabs>
              <w:jc w:val="center"/>
              <w:rPr>
                <w:rFonts w:hint="default" w:ascii="宋体" w:hAnsi="宋体" w:cs="宋体"/>
                <w:color w:val="auto"/>
                <w:sz w:val="20"/>
                <w:szCs w:val="20"/>
                <w:highlight w:val="none"/>
                <w:lang w:val="en-US" w:eastAsia="zh-CN"/>
              </w:rPr>
            </w:pPr>
            <w:bookmarkStart w:id="80" w:name="OLE_LINK173"/>
            <w:r>
              <w:rPr>
                <w:rFonts w:hint="eastAsia" w:ascii="宋体" w:hAnsi="宋体" w:cs="宋体"/>
                <w:color w:val="auto"/>
                <w:sz w:val="20"/>
                <w:szCs w:val="20"/>
                <w:highlight w:val="none"/>
                <w:lang w:val="en-US" w:eastAsia="zh-CN"/>
              </w:rPr>
              <w:t>1</w:t>
            </w:r>
            <w:bookmarkEnd w:id="80"/>
          </w:p>
        </w:tc>
        <w:tc>
          <w:tcPr>
            <w:tcW w:w="1506" w:type="dxa"/>
            <w:tcBorders>
              <w:bottom w:val="single" w:color="auto" w:sz="4" w:space="0"/>
            </w:tcBorders>
            <w:vAlign w:val="center"/>
          </w:tcPr>
          <w:p w14:paraId="44AC45BE">
            <w:pPr>
              <w:tabs>
                <w:tab w:val="left" w:pos="360"/>
              </w:tabs>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746" w:type="dxa"/>
            <w:tcBorders>
              <w:bottom w:val="single" w:color="auto" w:sz="4" w:space="0"/>
            </w:tcBorders>
            <w:vAlign w:val="center"/>
          </w:tcPr>
          <w:p w14:paraId="4079779A">
            <w:pPr>
              <w:jc w:val="center"/>
              <w:rPr>
                <w:rFonts w:hint="eastAsia" w:ascii="宋体" w:hAnsi="宋体" w:eastAsia="宋体" w:cs="宋体"/>
                <w:color w:val="auto"/>
                <w:sz w:val="20"/>
                <w:szCs w:val="20"/>
                <w:highlight w:val="none"/>
              </w:rPr>
            </w:pPr>
          </w:p>
        </w:tc>
        <w:tc>
          <w:tcPr>
            <w:tcW w:w="1132" w:type="dxa"/>
            <w:tcBorders>
              <w:bottom w:val="single" w:color="auto" w:sz="4" w:space="0"/>
              <w:right w:val="single" w:color="auto" w:sz="4" w:space="0"/>
            </w:tcBorders>
            <w:vAlign w:val="center"/>
          </w:tcPr>
          <w:p w14:paraId="2AE39621">
            <w:pPr>
              <w:tabs>
                <w:tab w:val="left" w:pos="360"/>
              </w:tabs>
              <w:ind w:left="2" w:leftChars="1" w:firstLine="400" w:firstLineChars="200"/>
              <w:jc w:val="center"/>
              <w:rPr>
                <w:rFonts w:hint="eastAsia" w:ascii="宋体" w:hAnsi="宋体" w:eastAsia="宋体" w:cs="宋体"/>
                <w:color w:val="auto"/>
                <w:sz w:val="20"/>
                <w:szCs w:val="20"/>
                <w:highlight w:val="none"/>
              </w:rPr>
            </w:pPr>
          </w:p>
        </w:tc>
      </w:tr>
      <w:tr w14:paraId="62766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07" w:type="dxa"/>
            <w:tcBorders>
              <w:left w:val="single" w:color="auto" w:sz="4" w:space="0"/>
              <w:bottom w:val="single" w:color="auto" w:sz="4" w:space="0"/>
            </w:tcBorders>
            <w:vAlign w:val="center"/>
          </w:tcPr>
          <w:p w14:paraId="1E011927">
            <w:pPr>
              <w:tabs>
                <w:tab w:val="left" w:pos="360"/>
              </w:tabs>
              <w:ind w:firstLine="200" w:firstLineChars="100"/>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16</w:t>
            </w:r>
          </w:p>
        </w:tc>
        <w:tc>
          <w:tcPr>
            <w:tcW w:w="3936" w:type="dxa"/>
            <w:tcBorders>
              <w:bottom w:val="single" w:color="auto" w:sz="4" w:space="0"/>
            </w:tcBorders>
            <w:vAlign w:val="center"/>
          </w:tcPr>
          <w:p w14:paraId="159EDDEE">
            <w:pPr>
              <w:rPr>
                <w:rFonts w:hint="eastAsia" w:ascii="宋体" w:hAnsi="宋体" w:cs="宋体"/>
                <w:color w:val="auto"/>
                <w:sz w:val="20"/>
                <w:szCs w:val="20"/>
                <w:highlight w:val="none"/>
              </w:rPr>
            </w:pPr>
            <w:bookmarkStart w:id="81" w:name="OLE_LINK25"/>
            <w:r>
              <w:rPr>
                <w:rFonts w:hint="eastAsia" w:ascii="宋体" w:hAnsi="宋体" w:cs="宋体"/>
                <w:color w:val="auto"/>
                <w:sz w:val="20"/>
                <w:szCs w:val="20"/>
                <w:highlight w:val="none"/>
                <w:lang w:val="en-US" w:eastAsia="zh-CN"/>
              </w:rPr>
              <w:t>因工作执行不到位，对采购方照成重大不良影响，每出现一项。</w:t>
            </w:r>
            <w:bookmarkEnd w:id="81"/>
          </w:p>
        </w:tc>
        <w:tc>
          <w:tcPr>
            <w:tcW w:w="1024" w:type="dxa"/>
            <w:tcBorders>
              <w:bottom w:val="single" w:color="auto" w:sz="4" w:space="0"/>
            </w:tcBorders>
            <w:vAlign w:val="center"/>
          </w:tcPr>
          <w:p w14:paraId="1FD19E59">
            <w:pPr>
              <w:tabs>
                <w:tab w:val="left" w:pos="360"/>
              </w:tabs>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5</w:t>
            </w:r>
          </w:p>
        </w:tc>
        <w:tc>
          <w:tcPr>
            <w:tcW w:w="1506" w:type="dxa"/>
            <w:tcBorders>
              <w:bottom w:val="single" w:color="auto" w:sz="4" w:space="0"/>
            </w:tcBorders>
            <w:vAlign w:val="center"/>
          </w:tcPr>
          <w:p w14:paraId="65F33425">
            <w:pPr>
              <w:tabs>
                <w:tab w:val="left" w:pos="360"/>
              </w:tabs>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-1至-</w:t>
            </w:r>
            <w:r>
              <w:rPr>
                <w:rFonts w:hint="eastAsia" w:ascii="宋体" w:hAnsi="宋体" w:cs="宋体"/>
                <w:color w:val="auto"/>
                <w:sz w:val="20"/>
                <w:szCs w:val="20"/>
                <w:highlight w:val="none"/>
                <w:lang w:val="en-US" w:eastAsia="zh-CN"/>
              </w:rPr>
              <w:t>3分/项</w:t>
            </w:r>
          </w:p>
        </w:tc>
        <w:tc>
          <w:tcPr>
            <w:tcW w:w="746" w:type="dxa"/>
            <w:tcBorders>
              <w:bottom w:val="single" w:color="auto" w:sz="4" w:space="0"/>
            </w:tcBorders>
            <w:vAlign w:val="center"/>
          </w:tcPr>
          <w:p w14:paraId="6BD88492">
            <w:pPr>
              <w:jc w:val="center"/>
              <w:rPr>
                <w:rFonts w:hint="eastAsia" w:ascii="宋体" w:hAnsi="宋体" w:eastAsia="宋体" w:cs="宋体"/>
                <w:color w:val="auto"/>
                <w:sz w:val="20"/>
                <w:szCs w:val="20"/>
                <w:highlight w:val="none"/>
              </w:rPr>
            </w:pPr>
          </w:p>
        </w:tc>
        <w:tc>
          <w:tcPr>
            <w:tcW w:w="1132" w:type="dxa"/>
            <w:tcBorders>
              <w:bottom w:val="single" w:color="auto" w:sz="4" w:space="0"/>
              <w:right w:val="single" w:color="auto" w:sz="4" w:space="0"/>
            </w:tcBorders>
            <w:vAlign w:val="center"/>
          </w:tcPr>
          <w:p w14:paraId="28A12160">
            <w:pPr>
              <w:tabs>
                <w:tab w:val="left" w:pos="360"/>
              </w:tabs>
              <w:ind w:left="2" w:leftChars="1" w:firstLine="400" w:firstLineChars="200"/>
              <w:jc w:val="center"/>
              <w:rPr>
                <w:rFonts w:hint="eastAsia" w:ascii="宋体" w:hAnsi="宋体" w:eastAsia="宋体" w:cs="宋体"/>
                <w:color w:val="auto"/>
                <w:sz w:val="20"/>
                <w:szCs w:val="20"/>
                <w:highlight w:val="none"/>
              </w:rPr>
            </w:pPr>
          </w:p>
        </w:tc>
      </w:tr>
      <w:tr w14:paraId="0221E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51" w:type="dxa"/>
            <w:gridSpan w:val="6"/>
            <w:tcBorders>
              <w:top w:val="single" w:color="auto" w:sz="4" w:space="0"/>
              <w:left w:val="single" w:color="auto" w:sz="4" w:space="0"/>
              <w:bottom w:val="single" w:color="auto" w:sz="4" w:space="0"/>
              <w:right w:val="single" w:color="auto" w:sz="4" w:space="0"/>
            </w:tcBorders>
            <w:vAlign w:val="center"/>
          </w:tcPr>
          <w:p w14:paraId="6BEF48EE">
            <w:pPr>
              <w:jc w:val="center"/>
              <w:rPr>
                <w:rFonts w:hint="eastAsia" w:ascii="Calibri" w:hAnsi="Calibri" w:eastAsia="宋体" w:cs="Times New Roman"/>
                <w:color w:val="auto"/>
                <w:kern w:val="2"/>
                <w:sz w:val="20"/>
                <w:szCs w:val="20"/>
                <w:highlight w:val="none"/>
                <w:lang w:val="en-US" w:eastAsia="zh-CN" w:bidi="ar-SA"/>
              </w:rPr>
            </w:pPr>
            <w:r>
              <w:rPr>
                <w:rFonts w:hint="eastAsia"/>
                <w:color w:val="auto"/>
                <w:sz w:val="20"/>
                <w:szCs w:val="20"/>
                <w:highlight w:val="none"/>
                <w:lang w:val="en-US" w:eastAsia="zh-CN"/>
              </w:rPr>
              <w:t xml:space="preserve">                                                </w:t>
            </w:r>
            <w:r>
              <w:rPr>
                <w:rFonts w:hint="eastAsia"/>
                <w:color w:val="auto"/>
                <w:sz w:val="20"/>
                <w:szCs w:val="20"/>
                <w:highlight w:val="none"/>
                <w:lang w:eastAsia="zh-CN"/>
              </w:rPr>
              <w:t>考核分数：</w:t>
            </w:r>
          </w:p>
        </w:tc>
      </w:tr>
      <w:tr w14:paraId="7673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6" w:hRule="atLeast"/>
          <w:jc w:val="center"/>
        </w:trPr>
        <w:tc>
          <w:tcPr>
            <w:tcW w:w="9551" w:type="dxa"/>
            <w:gridSpan w:val="6"/>
            <w:tcBorders>
              <w:top w:val="single" w:color="auto" w:sz="4" w:space="0"/>
            </w:tcBorders>
            <w:vAlign w:val="center"/>
          </w:tcPr>
          <w:p w14:paraId="4538C945">
            <w:pPr>
              <w:rPr>
                <w:rFonts w:hint="eastAsia"/>
                <w:b w:val="0"/>
                <w:bCs w:val="0"/>
                <w:color w:val="auto"/>
                <w:sz w:val="20"/>
                <w:szCs w:val="20"/>
                <w:highlight w:val="none"/>
              </w:rPr>
            </w:pPr>
            <w:r>
              <w:rPr>
                <w:rFonts w:hint="eastAsia"/>
                <w:color w:val="auto"/>
                <w:sz w:val="20"/>
                <w:szCs w:val="20"/>
                <w:highlight w:val="none"/>
                <w:lang w:eastAsia="zh-CN"/>
              </w:rPr>
              <w:t>考核意见：</w:t>
            </w:r>
          </w:p>
          <w:p w14:paraId="1DC4FD1E">
            <w:pPr>
              <w:pStyle w:val="18"/>
              <w:rPr>
                <w:rFonts w:hint="default" w:asciiTheme="minorHAnsi" w:hAnsiTheme="minorHAnsi" w:eastAsiaTheme="minorEastAsia" w:cstheme="minorBidi"/>
                <w:color w:val="auto"/>
                <w:kern w:val="2"/>
                <w:sz w:val="20"/>
                <w:szCs w:val="20"/>
                <w:highlight w:val="none"/>
                <w:lang w:val="en-US" w:eastAsia="zh-CN" w:bidi="ar-SA"/>
              </w:rPr>
            </w:pPr>
            <w:r>
              <w:rPr>
                <w:rFonts w:hint="eastAsia"/>
                <w:b w:val="0"/>
                <w:bCs w:val="0"/>
                <w:color w:val="auto"/>
                <w:sz w:val="20"/>
                <w:szCs w:val="20"/>
                <w:highlight w:val="none"/>
                <w:lang w:val="en-US" w:eastAsia="zh-CN"/>
              </w:rPr>
              <w:t xml:space="preserve">                                                               </w:t>
            </w:r>
            <w:r>
              <w:rPr>
                <w:rFonts w:hint="eastAsia" w:asciiTheme="minorHAnsi" w:hAnsiTheme="minorHAnsi" w:eastAsiaTheme="minorEastAsia" w:cstheme="minorBidi"/>
                <w:color w:val="auto"/>
                <w:kern w:val="2"/>
                <w:sz w:val="20"/>
                <w:szCs w:val="20"/>
                <w:highlight w:val="none"/>
                <w:lang w:val="en-US" w:eastAsia="zh-CN" w:bidi="ar-SA"/>
              </w:rPr>
              <w:t>签名：</w:t>
            </w:r>
          </w:p>
          <w:p w14:paraId="37DF5718">
            <w:pPr>
              <w:jc w:val="both"/>
              <w:rPr>
                <w:rFonts w:hint="eastAsia" w:ascii="Calibri" w:hAnsi="Calibri" w:eastAsia="宋体" w:cs="Times New Roman"/>
                <w:color w:val="auto"/>
                <w:kern w:val="2"/>
                <w:sz w:val="20"/>
                <w:szCs w:val="20"/>
                <w:highlight w:val="none"/>
                <w:lang w:val="en-US" w:eastAsia="zh-CN" w:bidi="ar-SA"/>
              </w:rPr>
            </w:pPr>
            <w:r>
              <w:rPr>
                <w:rFonts w:hint="eastAsia" w:asciiTheme="minorHAnsi" w:hAnsiTheme="minorHAnsi" w:eastAsiaTheme="minorEastAsia" w:cstheme="minorBidi"/>
                <w:color w:val="auto"/>
                <w:kern w:val="2"/>
                <w:sz w:val="20"/>
                <w:szCs w:val="20"/>
                <w:highlight w:val="none"/>
                <w:lang w:val="en-US" w:eastAsia="zh-CN" w:bidi="ar-SA"/>
              </w:rPr>
              <w:t xml:space="preserve">                                                                日期：</w:t>
            </w:r>
          </w:p>
        </w:tc>
      </w:tr>
    </w:tbl>
    <w:p w14:paraId="5817BE0A">
      <w:pPr>
        <w:keepNext/>
        <w:keepLines w:val="0"/>
        <w:pageBreakBefore w:val="0"/>
        <w:widowControl w:val="0"/>
        <w:kinsoku/>
        <w:wordWrap/>
        <w:overflowPunct/>
        <w:topLinePunct w:val="0"/>
        <w:autoSpaceDE/>
        <w:autoSpaceDN/>
        <w:bidi w:val="0"/>
        <w:adjustRightInd/>
        <w:snapToGrid/>
        <w:spacing w:line="560" w:lineRule="exact"/>
        <w:ind w:firstLine="402" w:firstLineChars="200"/>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4.5食堂餐饮服务外委服务内容及标准（100分）</w:t>
      </w:r>
    </w:p>
    <w:tbl>
      <w:tblPr>
        <w:tblStyle w:val="15"/>
        <w:tblW w:w="95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764"/>
        <w:gridCol w:w="2655"/>
        <w:gridCol w:w="795"/>
        <w:gridCol w:w="3000"/>
        <w:gridCol w:w="855"/>
        <w:gridCol w:w="675"/>
        <w:gridCol w:w="831"/>
      </w:tblGrid>
      <w:tr w14:paraId="6B6EB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000000" w:sz="4" w:space="0"/>
              <w:bottom w:val="single" w:color="000000" w:sz="4" w:space="0"/>
              <w:right w:val="single" w:color="000000" w:sz="4" w:space="0"/>
            </w:tcBorders>
            <w:vAlign w:val="center"/>
          </w:tcPr>
          <w:p w14:paraId="27005B17">
            <w:pPr>
              <w:jc w:val="center"/>
              <w:rPr>
                <w:rFonts w:hint="eastAsia" w:ascii="Calibri" w:hAnsi="Calibri" w:eastAsia="宋体" w:cs="Times New Roman"/>
                <w:b/>
                <w:bCs/>
                <w:color w:val="auto"/>
                <w:kern w:val="2"/>
                <w:sz w:val="20"/>
                <w:szCs w:val="20"/>
                <w:highlight w:val="none"/>
                <w:lang w:val="en-US" w:eastAsia="zh-CN" w:bidi="ar-SA"/>
              </w:rPr>
            </w:pPr>
            <w:r>
              <w:rPr>
                <w:rFonts w:hint="eastAsia"/>
                <w:b/>
                <w:bCs/>
                <w:color w:val="auto"/>
                <w:sz w:val="20"/>
                <w:szCs w:val="20"/>
                <w:highlight w:val="none"/>
              </w:rPr>
              <w:t>序号</w:t>
            </w:r>
          </w:p>
        </w:tc>
        <w:tc>
          <w:tcPr>
            <w:tcW w:w="2655" w:type="dxa"/>
            <w:tcBorders>
              <w:top w:val="single" w:color="auto" w:sz="4" w:space="0"/>
              <w:bottom w:val="single" w:color="auto" w:sz="4" w:space="0"/>
              <w:right w:val="single" w:color="000000" w:sz="4" w:space="0"/>
            </w:tcBorders>
            <w:vAlign w:val="center"/>
          </w:tcPr>
          <w:p w14:paraId="6BA4EB46">
            <w:pPr>
              <w:jc w:val="center"/>
              <w:rPr>
                <w:rFonts w:hint="eastAsia" w:ascii="Calibri" w:hAnsi="Calibri" w:eastAsia="宋体" w:cs="Times New Roman"/>
                <w:b/>
                <w:bCs/>
                <w:color w:val="auto"/>
                <w:kern w:val="2"/>
                <w:sz w:val="20"/>
                <w:szCs w:val="20"/>
                <w:highlight w:val="none"/>
                <w:lang w:val="en-US" w:eastAsia="zh-CN" w:bidi="ar-SA"/>
              </w:rPr>
            </w:pPr>
            <w:r>
              <w:rPr>
                <w:rFonts w:hint="eastAsia"/>
                <w:b/>
                <w:bCs/>
                <w:color w:val="auto"/>
                <w:sz w:val="20"/>
                <w:szCs w:val="20"/>
                <w:highlight w:val="none"/>
              </w:rPr>
              <w:t>服务内容及标准要求</w:t>
            </w:r>
          </w:p>
        </w:tc>
        <w:tc>
          <w:tcPr>
            <w:tcW w:w="795" w:type="dxa"/>
            <w:tcBorders>
              <w:top w:val="single" w:color="auto" w:sz="4" w:space="0"/>
              <w:bottom w:val="single" w:color="auto" w:sz="4" w:space="0"/>
              <w:right w:val="single" w:color="000000" w:sz="4" w:space="0"/>
            </w:tcBorders>
            <w:vAlign w:val="center"/>
          </w:tcPr>
          <w:p w14:paraId="71C13495">
            <w:pPr>
              <w:jc w:val="center"/>
              <w:rPr>
                <w:rFonts w:hint="eastAsia" w:ascii="宋体" w:hAnsi="宋体" w:eastAsia="宋体" w:cs="宋体"/>
                <w:b/>
                <w:bCs/>
                <w:color w:val="auto"/>
                <w:kern w:val="2"/>
                <w:sz w:val="20"/>
                <w:szCs w:val="20"/>
                <w:highlight w:val="none"/>
                <w:lang w:val="en-US" w:eastAsia="zh-CN" w:bidi="ar-SA"/>
              </w:rPr>
            </w:pPr>
            <w:r>
              <w:rPr>
                <w:rFonts w:hint="eastAsia" w:ascii="宋体" w:hAnsi="宋体" w:cs="宋体"/>
                <w:b/>
                <w:bCs/>
                <w:color w:val="auto"/>
                <w:sz w:val="20"/>
                <w:szCs w:val="20"/>
                <w:highlight w:val="none"/>
              </w:rPr>
              <w:t>标准分</w:t>
            </w:r>
          </w:p>
        </w:tc>
        <w:tc>
          <w:tcPr>
            <w:tcW w:w="3000" w:type="dxa"/>
            <w:tcBorders>
              <w:top w:val="single" w:color="auto" w:sz="4" w:space="0"/>
              <w:bottom w:val="single" w:color="auto" w:sz="4" w:space="0"/>
              <w:right w:val="single" w:color="000000" w:sz="4" w:space="0"/>
            </w:tcBorders>
            <w:vAlign w:val="center"/>
          </w:tcPr>
          <w:p w14:paraId="6339C27E">
            <w:pPr>
              <w:jc w:val="center"/>
              <w:rPr>
                <w:rFonts w:ascii="Calibri" w:hAnsi="Calibri" w:eastAsia="宋体" w:cs="Times New Roman"/>
                <w:b/>
                <w:bCs/>
                <w:color w:val="auto"/>
                <w:kern w:val="2"/>
                <w:sz w:val="20"/>
                <w:szCs w:val="20"/>
                <w:highlight w:val="none"/>
                <w:lang w:val="en-US" w:eastAsia="zh-CN" w:bidi="ar-SA"/>
              </w:rPr>
            </w:pPr>
            <w:r>
              <w:rPr>
                <w:rFonts w:hint="eastAsia"/>
                <w:b/>
                <w:bCs/>
                <w:color w:val="auto"/>
                <w:sz w:val="20"/>
                <w:szCs w:val="20"/>
                <w:highlight w:val="none"/>
              </w:rPr>
              <w:t>检查内容</w:t>
            </w:r>
          </w:p>
        </w:tc>
        <w:tc>
          <w:tcPr>
            <w:tcW w:w="855" w:type="dxa"/>
            <w:tcBorders>
              <w:top w:val="single" w:color="auto" w:sz="4" w:space="0"/>
              <w:bottom w:val="single" w:color="000000" w:sz="4" w:space="0"/>
              <w:right w:val="single" w:color="000000" w:sz="4" w:space="0"/>
            </w:tcBorders>
            <w:vAlign w:val="center"/>
          </w:tcPr>
          <w:p w14:paraId="6AE6A8CE">
            <w:pPr>
              <w:jc w:val="center"/>
              <w:rPr>
                <w:b/>
                <w:bCs/>
                <w:color w:val="auto"/>
                <w:sz w:val="20"/>
                <w:szCs w:val="20"/>
                <w:highlight w:val="none"/>
              </w:rPr>
            </w:pPr>
            <w:r>
              <w:rPr>
                <w:rFonts w:hint="eastAsia"/>
                <w:b/>
                <w:bCs/>
                <w:color w:val="auto"/>
                <w:sz w:val="20"/>
                <w:szCs w:val="20"/>
                <w:highlight w:val="none"/>
              </w:rPr>
              <w:t>扣分</w:t>
            </w:r>
          </w:p>
          <w:p w14:paraId="38EBF893">
            <w:pPr>
              <w:jc w:val="center"/>
              <w:rPr>
                <w:rFonts w:ascii="Calibri" w:hAnsi="Calibri" w:eastAsia="宋体" w:cs="Times New Roman"/>
                <w:b/>
                <w:bCs/>
                <w:color w:val="auto"/>
                <w:kern w:val="2"/>
                <w:sz w:val="20"/>
                <w:szCs w:val="20"/>
                <w:highlight w:val="none"/>
                <w:lang w:val="en-US" w:eastAsia="zh-CN" w:bidi="ar-SA"/>
              </w:rPr>
            </w:pPr>
            <w:r>
              <w:rPr>
                <w:rFonts w:hint="eastAsia"/>
                <w:b/>
                <w:bCs/>
                <w:color w:val="auto"/>
                <w:sz w:val="20"/>
                <w:szCs w:val="20"/>
                <w:highlight w:val="none"/>
              </w:rPr>
              <w:t>标准</w:t>
            </w:r>
          </w:p>
        </w:tc>
        <w:tc>
          <w:tcPr>
            <w:tcW w:w="675" w:type="dxa"/>
            <w:tcBorders>
              <w:top w:val="single" w:color="auto" w:sz="4" w:space="0"/>
              <w:bottom w:val="single" w:color="000000" w:sz="4" w:space="0"/>
              <w:right w:val="single" w:color="000000" w:sz="4" w:space="0"/>
            </w:tcBorders>
            <w:vAlign w:val="center"/>
          </w:tcPr>
          <w:p w14:paraId="2FFF6B65">
            <w:pPr>
              <w:jc w:val="center"/>
              <w:rPr>
                <w:b/>
                <w:bCs/>
                <w:color w:val="auto"/>
                <w:sz w:val="20"/>
                <w:szCs w:val="20"/>
                <w:highlight w:val="none"/>
              </w:rPr>
            </w:pPr>
            <w:r>
              <w:rPr>
                <w:rFonts w:hint="eastAsia"/>
                <w:b/>
                <w:bCs/>
                <w:color w:val="auto"/>
                <w:sz w:val="20"/>
                <w:szCs w:val="20"/>
                <w:highlight w:val="none"/>
              </w:rPr>
              <w:t>实际</w:t>
            </w:r>
          </w:p>
          <w:p w14:paraId="0BAA8519">
            <w:pPr>
              <w:jc w:val="center"/>
              <w:rPr>
                <w:rFonts w:ascii="Calibri" w:hAnsi="Calibri" w:eastAsia="宋体" w:cs="Times New Roman"/>
                <w:b/>
                <w:bCs/>
                <w:color w:val="auto"/>
                <w:kern w:val="2"/>
                <w:sz w:val="20"/>
                <w:szCs w:val="20"/>
                <w:highlight w:val="none"/>
                <w:lang w:val="en-US" w:eastAsia="zh-CN" w:bidi="ar-SA"/>
              </w:rPr>
            </w:pPr>
            <w:r>
              <w:rPr>
                <w:rFonts w:hint="eastAsia"/>
                <w:b/>
                <w:bCs/>
                <w:color w:val="auto"/>
                <w:sz w:val="20"/>
                <w:szCs w:val="20"/>
                <w:highlight w:val="none"/>
              </w:rPr>
              <w:t>扣分</w:t>
            </w:r>
          </w:p>
        </w:tc>
        <w:tc>
          <w:tcPr>
            <w:tcW w:w="831" w:type="dxa"/>
            <w:tcBorders>
              <w:top w:val="single" w:color="auto" w:sz="4" w:space="0"/>
              <w:bottom w:val="single" w:color="000000" w:sz="4" w:space="0"/>
              <w:right w:val="single" w:color="000000" w:sz="4" w:space="0"/>
            </w:tcBorders>
            <w:vAlign w:val="center"/>
          </w:tcPr>
          <w:p w14:paraId="75E6B6CD">
            <w:pPr>
              <w:ind w:firstLine="0" w:firstLineChars="0"/>
              <w:jc w:val="center"/>
              <w:rPr>
                <w:rFonts w:ascii="Calibri" w:hAnsi="Calibri" w:eastAsia="宋体" w:cs="Times New Roman"/>
                <w:b/>
                <w:bCs/>
                <w:color w:val="auto"/>
                <w:kern w:val="2"/>
                <w:sz w:val="20"/>
                <w:szCs w:val="20"/>
                <w:highlight w:val="none"/>
                <w:lang w:val="en-US" w:eastAsia="zh-CN" w:bidi="ar-SA"/>
              </w:rPr>
            </w:pPr>
            <w:r>
              <w:rPr>
                <w:rFonts w:hint="eastAsia"/>
                <w:b/>
                <w:bCs/>
                <w:color w:val="auto"/>
                <w:sz w:val="20"/>
                <w:szCs w:val="20"/>
                <w:highlight w:val="none"/>
              </w:rPr>
              <w:t>备注</w:t>
            </w:r>
          </w:p>
        </w:tc>
      </w:tr>
      <w:tr w14:paraId="47DCE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left w:val="single" w:color="000000" w:sz="4" w:space="0"/>
              <w:bottom w:val="single" w:color="auto" w:sz="4" w:space="0"/>
              <w:right w:val="single" w:color="000000" w:sz="4" w:space="0"/>
            </w:tcBorders>
            <w:vAlign w:val="center"/>
          </w:tcPr>
          <w:p w14:paraId="394352D7">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一</w:t>
            </w:r>
          </w:p>
        </w:tc>
        <w:tc>
          <w:tcPr>
            <w:tcW w:w="2655" w:type="dxa"/>
            <w:tcBorders>
              <w:bottom w:val="single" w:color="auto" w:sz="4" w:space="0"/>
              <w:right w:val="single" w:color="000000" w:sz="4" w:space="0"/>
            </w:tcBorders>
            <w:vAlign w:val="center"/>
          </w:tcPr>
          <w:p w14:paraId="26638267">
            <w:pPr>
              <w:widowControl/>
              <w:jc w:val="left"/>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食物安全</w:t>
            </w:r>
          </w:p>
        </w:tc>
        <w:tc>
          <w:tcPr>
            <w:tcW w:w="795" w:type="dxa"/>
            <w:tcBorders>
              <w:bottom w:val="single" w:color="auto" w:sz="4" w:space="0"/>
              <w:right w:val="single" w:color="000000" w:sz="4" w:space="0"/>
            </w:tcBorders>
            <w:vAlign w:val="center"/>
          </w:tcPr>
          <w:p w14:paraId="07F394C0">
            <w:pPr>
              <w:jc w:val="center"/>
              <w:rPr>
                <w:rFonts w:hint="eastAsia" w:ascii="宋体" w:hAnsi="宋体" w:eastAsia="宋体" w:cs="宋体"/>
                <w:b/>
                <w:color w:val="auto"/>
                <w:sz w:val="20"/>
                <w:szCs w:val="20"/>
                <w:highlight w:val="none"/>
                <w:lang w:val="en-US" w:eastAsia="zh-CN"/>
              </w:rPr>
            </w:pPr>
            <w:r>
              <w:rPr>
                <w:rFonts w:hint="eastAsia" w:ascii="宋体" w:hAnsi="宋体" w:cs="宋体"/>
                <w:b/>
                <w:color w:val="auto"/>
                <w:sz w:val="20"/>
                <w:szCs w:val="20"/>
                <w:highlight w:val="none"/>
                <w:lang w:val="en-US" w:eastAsia="zh-CN"/>
              </w:rPr>
              <w:t>50</w:t>
            </w:r>
          </w:p>
        </w:tc>
        <w:tc>
          <w:tcPr>
            <w:tcW w:w="3000" w:type="dxa"/>
            <w:tcBorders>
              <w:bottom w:val="single" w:color="auto" w:sz="4" w:space="0"/>
              <w:right w:val="single" w:color="000000" w:sz="4" w:space="0"/>
            </w:tcBorders>
            <w:vAlign w:val="center"/>
          </w:tcPr>
          <w:p w14:paraId="0F97C618">
            <w:pPr>
              <w:jc w:val="left"/>
              <w:rPr>
                <w:b/>
                <w:color w:val="auto"/>
                <w:sz w:val="20"/>
                <w:szCs w:val="20"/>
                <w:highlight w:val="none"/>
              </w:rPr>
            </w:pPr>
          </w:p>
        </w:tc>
        <w:tc>
          <w:tcPr>
            <w:tcW w:w="855" w:type="dxa"/>
            <w:tcBorders>
              <w:bottom w:val="single" w:color="auto" w:sz="4" w:space="0"/>
              <w:right w:val="single" w:color="000000" w:sz="4" w:space="0"/>
            </w:tcBorders>
            <w:vAlign w:val="center"/>
          </w:tcPr>
          <w:p w14:paraId="41B56023">
            <w:pPr>
              <w:jc w:val="center"/>
              <w:rPr>
                <w:b/>
                <w:color w:val="auto"/>
                <w:sz w:val="20"/>
                <w:szCs w:val="20"/>
                <w:highlight w:val="none"/>
              </w:rPr>
            </w:pPr>
          </w:p>
        </w:tc>
        <w:tc>
          <w:tcPr>
            <w:tcW w:w="675" w:type="dxa"/>
            <w:tcBorders>
              <w:bottom w:val="single" w:color="auto" w:sz="4" w:space="0"/>
              <w:right w:val="single" w:color="000000" w:sz="4" w:space="0"/>
            </w:tcBorders>
            <w:vAlign w:val="top"/>
          </w:tcPr>
          <w:p w14:paraId="2CFBB3D9">
            <w:pPr>
              <w:jc w:val="center"/>
              <w:rPr>
                <w:b/>
                <w:color w:val="auto"/>
                <w:sz w:val="20"/>
                <w:szCs w:val="20"/>
                <w:highlight w:val="none"/>
              </w:rPr>
            </w:pPr>
          </w:p>
        </w:tc>
        <w:tc>
          <w:tcPr>
            <w:tcW w:w="831" w:type="dxa"/>
            <w:tcBorders>
              <w:bottom w:val="single" w:color="auto" w:sz="4" w:space="0"/>
              <w:right w:val="single" w:color="000000" w:sz="4" w:space="0"/>
            </w:tcBorders>
            <w:vAlign w:val="center"/>
          </w:tcPr>
          <w:p w14:paraId="5F4D4F11">
            <w:pPr>
              <w:jc w:val="center"/>
              <w:rPr>
                <w:b/>
                <w:color w:val="auto"/>
                <w:sz w:val="20"/>
                <w:szCs w:val="20"/>
                <w:highlight w:val="none"/>
              </w:rPr>
            </w:pPr>
          </w:p>
        </w:tc>
      </w:tr>
      <w:tr w14:paraId="759AC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auto" w:sz="4" w:space="0"/>
              <w:bottom w:val="single" w:color="auto" w:sz="4" w:space="0"/>
              <w:right w:val="single" w:color="auto" w:sz="4" w:space="0"/>
            </w:tcBorders>
            <w:vAlign w:val="center"/>
          </w:tcPr>
          <w:p w14:paraId="27CDF761">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1</w:t>
            </w:r>
          </w:p>
        </w:tc>
        <w:tc>
          <w:tcPr>
            <w:tcW w:w="2655" w:type="dxa"/>
            <w:tcBorders>
              <w:top w:val="single" w:color="auto" w:sz="4" w:space="0"/>
              <w:left w:val="single" w:color="auto" w:sz="4" w:space="0"/>
              <w:bottom w:val="single" w:color="auto" w:sz="4" w:space="0"/>
              <w:right w:val="single" w:color="auto" w:sz="4" w:space="0"/>
            </w:tcBorders>
            <w:vAlign w:val="top"/>
          </w:tcPr>
          <w:p w14:paraId="52AEA1E4">
            <w:pPr>
              <w:widowControl/>
              <w:jc w:val="left"/>
              <w:textAlignment w:val="top"/>
              <w:rPr>
                <w:rFonts w:hint="eastAsia" w:ascii="宋体" w:hAnsi="宋体" w:cs="宋体" w:eastAsiaTheme="minorEastAsia"/>
                <w:color w:val="auto"/>
                <w:sz w:val="20"/>
                <w:szCs w:val="20"/>
                <w:highlight w:val="none"/>
                <w:lang w:eastAsia="zh-CN"/>
              </w:rPr>
            </w:pPr>
            <w:r>
              <w:rPr>
                <w:rFonts w:hint="eastAsia" w:ascii="宋体" w:hAnsi="宋体" w:cs="宋体"/>
                <w:color w:val="auto"/>
                <w:kern w:val="0"/>
                <w:sz w:val="20"/>
                <w:szCs w:val="20"/>
                <w:highlight w:val="none"/>
              </w:rPr>
              <w:t>严把食品采购质量关，严防食物中毒事件及其他食源性疾患的发生。属于食堂管理责任的，</w:t>
            </w:r>
            <w:r>
              <w:rPr>
                <w:rFonts w:hint="eastAsia" w:ascii="宋体" w:hAnsi="宋体" w:cs="宋体"/>
                <w:color w:val="auto"/>
                <w:kern w:val="0"/>
                <w:sz w:val="20"/>
                <w:szCs w:val="20"/>
                <w:highlight w:val="none"/>
                <w:lang w:eastAsia="zh-CN"/>
              </w:rPr>
              <w:t>视情况而定</w:t>
            </w:r>
            <w:r>
              <w:rPr>
                <w:rFonts w:hint="eastAsia" w:ascii="宋体" w:hAnsi="宋体" w:cs="宋体"/>
                <w:color w:val="auto"/>
                <w:kern w:val="0"/>
                <w:sz w:val="20"/>
                <w:szCs w:val="20"/>
                <w:highlight w:val="none"/>
              </w:rPr>
              <w:t>即扣当月考核分</w:t>
            </w:r>
            <w:r>
              <w:rPr>
                <w:rFonts w:hint="eastAsia" w:ascii="宋体" w:hAnsi="宋体" w:cs="宋体"/>
                <w:color w:val="auto"/>
                <w:kern w:val="0"/>
                <w:sz w:val="20"/>
                <w:szCs w:val="20"/>
                <w:highlight w:val="none"/>
                <w:lang w:val="en-US" w:eastAsia="zh-CN"/>
              </w:rPr>
              <w:t>1-50</w:t>
            </w:r>
            <w:r>
              <w:rPr>
                <w:rFonts w:hint="eastAsia" w:ascii="宋体" w:hAnsi="宋体" w:cs="宋体"/>
                <w:color w:val="auto"/>
                <w:kern w:val="0"/>
                <w:sz w:val="20"/>
                <w:szCs w:val="20"/>
                <w:highlight w:val="none"/>
              </w:rPr>
              <w:t>分并依据相关规定处理</w:t>
            </w:r>
            <w:r>
              <w:rPr>
                <w:rFonts w:hint="eastAsia" w:ascii="宋体" w:hAnsi="宋体" w:cs="宋体"/>
                <w:color w:val="auto"/>
                <w:kern w:val="0"/>
                <w:sz w:val="20"/>
                <w:szCs w:val="20"/>
                <w:highlight w:val="none"/>
                <w:lang w:eastAsia="zh-CN"/>
              </w:rPr>
              <w:t>。</w:t>
            </w:r>
          </w:p>
        </w:tc>
        <w:tc>
          <w:tcPr>
            <w:tcW w:w="795" w:type="dxa"/>
            <w:tcBorders>
              <w:top w:val="single" w:color="auto" w:sz="4" w:space="0"/>
              <w:left w:val="single" w:color="auto" w:sz="4" w:space="0"/>
              <w:bottom w:val="single" w:color="auto" w:sz="4" w:space="0"/>
              <w:right w:val="single" w:color="auto" w:sz="4" w:space="0"/>
            </w:tcBorders>
            <w:vAlign w:val="center"/>
          </w:tcPr>
          <w:p w14:paraId="4BD81E26">
            <w:pPr>
              <w:widowControl/>
              <w:jc w:val="center"/>
              <w:textAlignment w:val="center"/>
              <w:rPr>
                <w:rFonts w:hint="default"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50</w:t>
            </w:r>
          </w:p>
        </w:tc>
        <w:tc>
          <w:tcPr>
            <w:tcW w:w="3000" w:type="dxa"/>
            <w:tcBorders>
              <w:top w:val="single" w:color="auto" w:sz="4" w:space="0"/>
              <w:left w:val="single" w:color="auto" w:sz="4" w:space="0"/>
              <w:bottom w:val="single" w:color="auto" w:sz="4" w:space="0"/>
              <w:right w:val="single" w:color="auto" w:sz="4" w:space="0"/>
            </w:tcBorders>
            <w:vAlign w:val="center"/>
          </w:tcPr>
          <w:p w14:paraId="5E705FB8">
            <w:pPr>
              <w:widowControl/>
              <w:jc w:val="left"/>
              <w:textAlignment w:val="center"/>
              <w:rPr>
                <w:rFonts w:hint="eastAsia" w:ascii="宋体" w:hAnsi="宋体" w:cs="宋体" w:eastAsiaTheme="minorEastAsia"/>
                <w:color w:val="auto"/>
                <w:sz w:val="20"/>
                <w:szCs w:val="20"/>
                <w:highlight w:val="none"/>
                <w:lang w:eastAsia="zh-CN"/>
              </w:rPr>
            </w:pPr>
            <w:r>
              <w:rPr>
                <w:rFonts w:hint="eastAsia" w:ascii="宋体" w:hAnsi="宋体" w:cs="宋体"/>
                <w:color w:val="auto"/>
                <w:kern w:val="0"/>
                <w:sz w:val="20"/>
                <w:szCs w:val="20"/>
                <w:highlight w:val="none"/>
              </w:rPr>
              <w:t>发生食物中毒事件及其他食源性疾患的，属于食堂管理责任，</w:t>
            </w:r>
            <w:r>
              <w:rPr>
                <w:rFonts w:hint="eastAsia" w:ascii="宋体" w:hAnsi="宋体" w:cs="宋体"/>
                <w:color w:val="auto"/>
                <w:kern w:val="0"/>
                <w:sz w:val="20"/>
                <w:szCs w:val="20"/>
                <w:highlight w:val="none"/>
                <w:lang w:eastAsia="zh-CN"/>
              </w:rPr>
              <w:t>视情况而定</w:t>
            </w:r>
            <w:r>
              <w:rPr>
                <w:rFonts w:hint="eastAsia" w:ascii="宋体" w:hAnsi="宋体" w:cs="宋体"/>
                <w:color w:val="auto"/>
                <w:kern w:val="0"/>
                <w:sz w:val="20"/>
                <w:szCs w:val="20"/>
                <w:highlight w:val="none"/>
              </w:rPr>
              <w:t>即扣当月考核分</w:t>
            </w:r>
            <w:r>
              <w:rPr>
                <w:rFonts w:hint="eastAsia" w:ascii="宋体" w:hAnsi="宋体" w:cs="宋体"/>
                <w:color w:val="auto"/>
                <w:kern w:val="0"/>
                <w:sz w:val="20"/>
                <w:szCs w:val="20"/>
                <w:highlight w:val="none"/>
                <w:lang w:val="en-US" w:eastAsia="zh-CN"/>
              </w:rPr>
              <w:t>1-50</w:t>
            </w:r>
            <w:r>
              <w:rPr>
                <w:rFonts w:hint="eastAsia" w:ascii="宋体" w:hAnsi="宋体" w:cs="宋体"/>
                <w:color w:val="auto"/>
                <w:kern w:val="0"/>
                <w:sz w:val="20"/>
                <w:szCs w:val="20"/>
                <w:highlight w:val="none"/>
              </w:rPr>
              <w:t>分并依据相关规定处理</w:t>
            </w:r>
            <w:r>
              <w:rPr>
                <w:rFonts w:hint="eastAsia" w:ascii="宋体" w:hAnsi="宋体" w:cs="宋体"/>
                <w:color w:val="auto"/>
                <w:kern w:val="0"/>
                <w:sz w:val="20"/>
                <w:szCs w:val="20"/>
                <w:highlight w:val="none"/>
                <w:lang w:eastAsia="zh-CN"/>
              </w:rPr>
              <w:t>。</w:t>
            </w:r>
          </w:p>
        </w:tc>
        <w:tc>
          <w:tcPr>
            <w:tcW w:w="855" w:type="dxa"/>
            <w:tcBorders>
              <w:top w:val="single" w:color="auto" w:sz="4" w:space="0"/>
              <w:left w:val="single" w:color="auto" w:sz="4" w:space="0"/>
              <w:bottom w:val="single" w:color="auto" w:sz="4" w:space="0"/>
              <w:right w:val="single" w:color="auto" w:sz="4" w:space="0"/>
            </w:tcBorders>
            <w:vAlign w:val="center"/>
          </w:tcPr>
          <w:p w14:paraId="03811BA6">
            <w:pPr>
              <w:widowControl/>
              <w:jc w:val="center"/>
              <w:textAlignment w:val="top"/>
              <w:rPr>
                <w:rFonts w:ascii="宋体" w:hAnsi="宋体" w:cs="宋体"/>
                <w:color w:val="auto"/>
                <w:sz w:val="20"/>
                <w:szCs w:val="20"/>
                <w:highlight w:val="none"/>
              </w:rPr>
            </w:pPr>
            <w:r>
              <w:rPr>
                <w:rFonts w:hint="eastAsia" w:ascii="宋体" w:hAnsi="宋体" w:cs="宋体"/>
                <w:color w:val="auto"/>
                <w:kern w:val="0"/>
                <w:sz w:val="20"/>
                <w:szCs w:val="20"/>
                <w:highlight w:val="none"/>
                <w:lang w:val="en-US" w:eastAsia="zh-CN"/>
              </w:rPr>
              <w:t>-1至</w:t>
            </w:r>
            <w:r>
              <w:rPr>
                <w:rFonts w:hint="eastAsia" w:ascii="宋体" w:hAnsi="宋体" w:cs="宋体"/>
                <w:color w:val="auto"/>
                <w:kern w:val="0"/>
                <w:sz w:val="20"/>
                <w:szCs w:val="20"/>
                <w:highlight w:val="none"/>
              </w:rPr>
              <w:t>-</w:t>
            </w:r>
            <w:r>
              <w:rPr>
                <w:rFonts w:hint="eastAsia" w:ascii="宋体" w:hAnsi="宋体" w:cs="宋体"/>
                <w:color w:val="auto"/>
                <w:kern w:val="0"/>
                <w:sz w:val="20"/>
                <w:szCs w:val="20"/>
                <w:highlight w:val="none"/>
                <w:lang w:val="en-US" w:eastAsia="zh-CN"/>
              </w:rPr>
              <w:t>50</w:t>
            </w:r>
            <w:r>
              <w:rPr>
                <w:rFonts w:hint="eastAsia" w:ascii="宋体" w:hAnsi="宋体" w:cs="宋体"/>
                <w:color w:val="auto"/>
                <w:kern w:val="0"/>
                <w:sz w:val="20"/>
                <w:szCs w:val="20"/>
                <w:highlight w:val="none"/>
              </w:rPr>
              <w:t>分/次</w:t>
            </w:r>
          </w:p>
        </w:tc>
        <w:tc>
          <w:tcPr>
            <w:tcW w:w="675" w:type="dxa"/>
            <w:tcBorders>
              <w:top w:val="single" w:color="auto" w:sz="4" w:space="0"/>
              <w:left w:val="single" w:color="auto" w:sz="4" w:space="0"/>
              <w:bottom w:val="single" w:color="auto" w:sz="4" w:space="0"/>
              <w:right w:val="single" w:color="auto" w:sz="4" w:space="0"/>
            </w:tcBorders>
            <w:vAlign w:val="top"/>
          </w:tcPr>
          <w:p w14:paraId="1A34B9EE">
            <w:pPr>
              <w:jc w:val="center"/>
              <w:rPr>
                <w:rFonts w:ascii="宋体" w:hAnsi="宋体" w:cs="宋体"/>
                <w:color w:val="auto"/>
                <w:sz w:val="20"/>
                <w:szCs w:val="20"/>
                <w:highlight w:val="none"/>
              </w:rPr>
            </w:pPr>
          </w:p>
        </w:tc>
        <w:tc>
          <w:tcPr>
            <w:tcW w:w="831" w:type="dxa"/>
            <w:tcBorders>
              <w:top w:val="single" w:color="auto" w:sz="4" w:space="0"/>
              <w:left w:val="single" w:color="auto" w:sz="4" w:space="0"/>
              <w:bottom w:val="single" w:color="auto" w:sz="4" w:space="0"/>
              <w:right w:val="single" w:color="auto" w:sz="4" w:space="0"/>
            </w:tcBorders>
            <w:vAlign w:val="center"/>
          </w:tcPr>
          <w:p w14:paraId="3B5C6D30">
            <w:pPr>
              <w:jc w:val="center"/>
              <w:rPr>
                <w:rFonts w:ascii="宋体" w:hAnsi="宋体" w:cs="宋体"/>
                <w:color w:val="auto"/>
                <w:sz w:val="20"/>
                <w:szCs w:val="20"/>
                <w:highlight w:val="none"/>
              </w:rPr>
            </w:pPr>
          </w:p>
        </w:tc>
      </w:tr>
      <w:tr w14:paraId="15B1F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auto" w:sz="4" w:space="0"/>
              <w:bottom w:val="single" w:color="auto" w:sz="4" w:space="0"/>
              <w:right w:val="single" w:color="auto" w:sz="4" w:space="0"/>
            </w:tcBorders>
            <w:vAlign w:val="center"/>
          </w:tcPr>
          <w:p w14:paraId="0B42C64A">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二</w:t>
            </w:r>
          </w:p>
        </w:tc>
        <w:tc>
          <w:tcPr>
            <w:tcW w:w="2655" w:type="dxa"/>
            <w:tcBorders>
              <w:top w:val="single" w:color="auto" w:sz="4" w:space="0"/>
              <w:left w:val="single" w:color="auto" w:sz="4" w:space="0"/>
              <w:bottom w:val="single" w:color="auto" w:sz="4" w:space="0"/>
              <w:right w:val="single" w:color="auto" w:sz="4" w:space="0"/>
            </w:tcBorders>
            <w:vAlign w:val="center"/>
          </w:tcPr>
          <w:p w14:paraId="2841AE0D">
            <w:pPr>
              <w:widowControl/>
              <w:jc w:val="left"/>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报表及成本预算</w:t>
            </w:r>
          </w:p>
        </w:tc>
        <w:tc>
          <w:tcPr>
            <w:tcW w:w="795" w:type="dxa"/>
            <w:tcBorders>
              <w:top w:val="single" w:color="auto" w:sz="4" w:space="0"/>
              <w:left w:val="single" w:color="auto" w:sz="4" w:space="0"/>
              <w:bottom w:val="single" w:color="000000" w:sz="4" w:space="0"/>
              <w:right w:val="single" w:color="000000" w:sz="4" w:space="0"/>
            </w:tcBorders>
            <w:vAlign w:val="center"/>
          </w:tcPr>
          <w:p w14:paraId="1FA8C269">
            <w:pPr>
              <w:jc w:val="center"/>
              <w:rPr>
                <w:rFonts w:hint="eastAsia" w:ascii="宋体" w:hAnsi="宋体" w:eastAsia="宋体" w:cs="宋体"/>
                <w:b/>
                <w:color w:val="auto"/>
                <w:sz w:val="20"/>
                <w:szCs w:val="20"/>
                <w:highlight w:val="none"/>
                <w:lang w:val="en-US" w:eastAsia="zh-CN"/>
              </w:rPr>
            </w:pPr>
            <w:r>
              <w:rPr>
                <w:rFonts w:hint="eastAsia" w:ascii="宋体" w:hAnsi="宋体" w:cs="宋体"/>
                <w:b/>
                <w:color w:val="auto"/>
                <w:sz w:val="20"/>
                <w:szCs w:val="20"/>
                <w:highlight w:val="none"/>
                <w:lang w:val="en-US" w:eastAsia="zh-CN"/>
              </w:rPr>
              <w:t>7</w:t>
            </w:r>
          </w:p>
        </w:tc>
        <w:tc>
          <w:tcPr>
            <w:tcW w:w="3000" w:type="dxa"/>
            <w:tcBorders>
              <w:top w:val="single" w:color="auto" w:sz="4" w:space="0"/>
              <w:left w:val="single" w:color="000000" w:sz="4" w:space="0"/>
              <w:bottom w:val="single" w:color="000000" w:sz="4" w:space="0"/>
              <w:right w:val="single" w:color="000000" w:sz="4" w:space="0"/>
            </w:tcBorders>
            <w:vAlign w:val="center"/>
          </w:tcPr>
          <w:p w14:paraId="4B60C9A2">
            <w:pPr>
              <w:jc w:val="left"/>
              <w:rPr>
                <w:rFonts w:ascii="宋体" w:hAnsi="宋体" w:cs="宋体"/>
                <w:b/>
                <w:color w:val="auto"/>
                <w:sz w:val="20"/>
                <w:szCs w:val="20"/>
                <w:highlight w:val="none"/>
              </w:rPr>
            </w:pPr>
          </w:p>
        </w:tc>
        <w:tc>
          <w:tcPr>
            <w:tcW w:w="855" w:type="dxa"/>
            <w:tcBorders>
              <w:top w:val="single" w:color="auto" w:sz="4" w:space="0"/>
              <w:left w:val="single" w:color="000000" w:sz="4" w:space="0"/>
              <w:bottom w:val="single" w:color="000000" w:sz="4" w:space="0"/>
              <w:right w:val="single" w:color="000000" w:sz="4" w:space="0"/>
            </w:tcBorders>
            <w:vAlign w:val="center"/>
          </w:tcPr>
          <w:p w14:paraId="0983F1DE">
            <w:pPr>
              <w:jc w:val="center"/>
              <w:rPr>
                <w:rFonts w:ascii="宋体" w:hAnsi="宋体" w:cs="宋体"/>
                <w:b/>
                <w:color w:val="auto"/>
                <w:sz w:val="20"/>
                <w:szCs w:val="20"/>
                <w:highlight w:val="none"/>
              </w:rPr>
            </w:pPr>
          </w:p>
        </w:tc>
        <w:tc>
          <w:tcPr>
            <w:tcW w:w="675" w:type="dxa"/>
            <w:tcBorders>
              <w:top w:val="single" w:color="auto" w:sz="4" w:space="0"/>
              <w:left w:val="single" w:color="000000" w:sz="4" w:space="0"/>
              <w:bottom w:val="single" w:color="000000" w:sz="4" w:space="0"/>
              <w:right w:val="single" w:color="000000" w:sz="4" w:space="0"/>
            </w:tcBorders>
            <w:vAlign w:val="top"/>
          </w:tcPr>
          <w:p w14:paraId="52BFDD76">
            <w:pPr>
              <w:jc w:val="center"/>
              <w:rPr>
                <w:rFonts w:ascii="宋体" w:hAnsi="宋体" w:cs="宋体"/>
                <w:b/>
                <w:color w:val="auto"/>
                <w:sz w:val="20"/>
                <w:szCs w:val="20"/>
                <w:highlight w:val="none"/>
              </w:rPr>
            </w:pPr>
          </w:p>
        </w:tc>
        <w:tc>
          <w:tcPr>
            <w:tcW w:w="831" w:type="dxa"/>
            <w:tcBorders>
              <w:top w:val="single" w:color="auto" w:sz="4" w:space="0"/>
              <w:bottom w:val="single" w:color="000000" w:sz="4" w:space="0"/>
              <w:right w:val="single" w:color="000000" w:sz="4" w:space="0"/>
            </w:tcBorders>
            <w:vAlign w:val="center"/>
          </w:tcPr>
          <w:p w14:paraId="4D57F928">
            <w:pPr>
              <w:jc w:val="center"/>
              <w:rPr>
                <w:rFonts w:ascii="宋体" w:hAnsi="宋体" w:cs="宋体"/>
                <w:b/>
                <w:color w:val="auto"/>
                <w:sz w:val="20"/>
                <w:szCs w:val="20"/>
                <w:highlight w:val="none"/>
              </w:rPr>
            </w:pPr>
          </w:p>
        </w:tc>
      </w:tr>
      <w:tr w14:paraId="4773B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000000" w:sz="4" w:space="0"/>
              <w:bottom w:val="single" w:color="000000" w:sz="4" w:space="0"/>
              <w:right w:val="single" w:color="000000" w:sz="4" w:space="0"/>
            </w:tcBorders>
            <w:vAlign w:val="center"/>
          </w:tcPr>
          <w:p w14:paraId="06787F8F">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2</w:t>
            </w:r>
          </w:p>
        </w:tc>
        <w:tc>
          <w:tcPr>
            <w:tcW w:w="2655" w:type="dxa"/>
            <w:tcBorders>
              <w:top w:val="single" w:color="auto" w:sz="4" w:space="0"/>
              <w:left w:val="single" w:color="000000" w:sz="4" w:space="0"/>
              <w:bottom w:val="single" w:color="000000" w:sz="4" w:space="0"/>
              <w:right w:val="single" w:color="000000" w:sz="4" w:space="0"/>
            </w:tcBorders>
            <w:vAlign w:val="center"/>
          </w:tcPr>
          <w:p w14:paraId="04877812">
            <w:pPr>
              <w:widowControl/>
              <w:jc w:val="left"/>
              <w:textAlignment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每月</w:t>
            </w:r>
            <w:r>
              <w:rPr>
                <w:rFonts w:hint="eastAsia" w:ascii="宋体" w:hAnsi="宋体" w:cs="宋体"/>
                <w:color w:val="auto"/>
                <w:kern w:val="0"/>
                <w:sz w:val="20"/>
                <w:szCs w:val="20"/>
                <w:highlight w:val="none"/>
                <w:lang w:val="en-US" w:eastAsia="zh-CN"/>
              </w:rPr>
              <w:t>25</w:t>
            </w:r>
            <w:r>
              <w:rPr>
                <w:rFonts w:hint="eastAsia" w:ascii="宋体" w:hAnsi="宋体" w:cs="宋体"/>
                <w:color w:val="auto"/>
                <w:kern w:val="0"/>
                <w:sz w:val="20"/>
                <w:szCs w:val="20"/>
                <w:highlight w:val="none"/>
              </w:rPr>
              <w:t>日前向</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综合服务中心报送上月“食堂收支汇总表，食堂采购汇总表</w:t>
            </w:r>
            <w:r>
              <w:rPr>
                <w:rFonts w:hint="eastAsia" w:ascii="宋体" w:hAnsi="宋体" w:cs="宋体"/>
                <w:color w:val="auto"/>
                <w:kern w:val="0"/>
                <w:sz w:val="20"/>
                <w:szCs w:val="20"/>
                <w:highlight w:val="none"/>
                <w:lang w:eastAsia="zh-CN"/>
              </w:rPr>
              <w:t>，食堂充值款明细表”</w:t>
            </w:r>
            <w:r>
              <w:rPr>
                <w:rFonts w:hint="eastAsia" w:ascii="宋体" w:hAnsi="宋体" w:cs="宋体"/>
                <w:color w:val="auto"/>
                <w:kern w:val="0"/>
                <w:sz w:val="20"/>
                <w:szCs w:val="20"/>
                <w:highlight w:val="none"/>
              </w:rPr>
              <w:t>。</w:t>
            </w:r>
          </w:p>
        </w:tc>
        <w:tc>
          <w:tcPr>
            <w:tcW w:w="795" w:type="dxa"/>
            <w:tcBorders>
              <w:left w:val="single" w:color="000000" w:sz="4" w:space="0"/>
              <w:bottom w:val="single" w:color="000000" w:sz="4" w:space="0"/>
              <w:right w:val="single" w:color="000000" w:sz="4" w:space="0"/>
            </w:tcBorders>
            <w:vAlign w:val="center"/>
          </w:tcPr>
          <w:p w14:paraId="3DE4ECF3">
            <w:pPr>
              <w:widowControl/>
              <w:jc w:val="center"/>
              <w:textAlignment w:val="center"/>
              <w:rPr>
                <w:rFonts w:hint="eastAsia" w:ascii="宋体" w:hAnsi="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left w:val="single" w:color="000000" w:sz="4" w:space="0"/>
              <w:bottom w:val="single" w:color="000000" w:sz="4" w:space="0"/>
              <w:right w:val="single" w:color="000000" w:sz="4" w:space="0"/>
            </w:tcBorders>
            <w:vAlign w:val="center"/>
          </w:tcPr>
          <w:p w14:paraId="268410D0">
            <w:pPr>
              <w:widowControl/>
              <w:jc w:val="left"/>
              <w:textAlignment w:val="center"/>
              <w:rPr>
                <w:rFonts w:hint="eastAsia" w:ascii="宋体" w:hAnsi="宋体" w:cs="宋体" w:eastAsiaTheme="minorEastAsia"/>
                <w:color w:val="auto"/>
                <w:kern w:val="0"/>
                <w:sz w:val="20"/>
                <w:szCs w:val="20"/>
                <w:highlight w:val="none"/>
                <w:lang w:eastAsia="zh-CN"/>
              </w:rPr>
            </w:pPr>
            <w:r>
              <w:rPr>
                <w:rFonts w:hint="eastAsia" w:ascii="宋体" w:hAnsi="宋体" w:cs="宋体"/>
                <w:color w:val="auto"/>
                <w:kern w:val="0"/>
                <w:sz w:val="20"/>
                <w:szCs w:val="20"/>
                <w:highlight w:val="none"/>
              </w:rPr>
              <w:t>每月不按规定时间向</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综合服务中心报送上月“食堂收入支出表（即食堂经费损益表）”、“食堂收入明细表”、“食堂支出明细表”</w:t>
            </w:r>
            <w:r>
              <w:rPr>
                <w:rFonts w:hint="eastAsia" w:ascii="宋体" w:hAnsi="宋体" w:cs="宋体"/>
                <w:color w:val="auto"/>
                <w:kern w:val="0"/>
                <w:sz w:val="20"/>
                <w:szCs w:val="20"/>
                <w:highlight w:val="none"/>
                <w:lang w:eastAsia="zh-CN"/>
              </w:rPr>
              <w:t>。</w:t>
            </w:r>
          </w:p>
        </w:tc>
        <w:tc>
          <w:tcPr>
            <w:tcW w:w="855" w:type="dxa"/>
            <w:tcBorders>
              <w:bottom w:val="single" w:color="000000" w:sz="4" w:space="0"/>
              <w:right w:val="single" w:color="000000" w:sz="4" w:space="0"/>
            </w:tcBorders>
            <w:vAlign w:val="center"/>
          </w:tcPr>
          <w:p w14:paraId="74255E12">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w:t>
            </w:r>
            <w:r>
              <w:rPr>
                <w:rFonts w:hint="eastAsia" w:ascii="宋体" w:hAnsi="宋体" w:cs="宋体"/>
                <w:color w:val="auto"/>
                <w:kern w:val="0"/>
                <w:sz w:val="20"/>
                <w:szCs w:val="20"/>
                <w:highlight w:val="none"/>
                <w:lang w:val="en-US" w:eastAsia="zh-CN"/>
              </w:rPr>
              <w:t>0.1</w:t>
            </w:r>
            <w:r>
              <w:rPr>
                <w:rFonts w:hint="eastAsia" w:ascii="宋体" w:hAnsi="宋体" w:cs="宋体"/>
                <w:color w:val="auto"/>
                <w:kern w:val="0"/>
                <w:sz w:val="20"/>
                <w:szCs w:val="20"/>
                <w:highlight w:val="none"/>
              </w:rPr>
              <w:t>分/份</w:t>
            </w:r>
          </w:p>
        </w:tc>
        <w:tc>
          <w:tcPr>
            <w:tcW w:w="675" w:type="dxa"/>
            <w:tcBorders>
              <w:bottom w:val="single" w:color="000000" w:sz="4" w:space="0"/>
              <w:right w:val="single" w:color="000000" w:sz="4" w:space="0"/>
            </w:tcBorders>
            <w:vAlign w:val="top"/>
          </w:tcPr>
          <w:p w14:paraId="48D832EE">
            <w:pPr>
              <w:jc w:val="center"/>
              <w:rPr>
                <w:rFonts w:ascii="宋体" w:hAnsi="宋体" w:cs="宋体"/>
                <w:color w:val="auto"/>
                <w:sz w:val="20"/>
                <w:szCs w:val="20"/>
                <w:highlight w:val="none"/>
              </w:rPr>
            </w:pPr>
          </w:p>
        </w:tc>
        <w:tc>
          <w:tcPr>
            <w:tcW w:w="831" w:type="dxa"/>
            <w:tcBorders>
              <w:bottom w:val="single" w:color="000000" w:sz="4" w:space="0"/>
              <w:right w:val="single" w:color="000000" w:sz="4" w:space="0"/>
            </w:tcBorders>
            <w:vAlign w:val="center"/>
          </w:tcPr>
          <w:p w14:paraId="3E7AFB1B">
            <w:pPr>
              <w:jc w:val="center"/>
              <w:rPr>
                <w:rFonts w:hint="eastAsia" w:ascii="宋体" w:hAnsi="宋体" w:eastAsia="宋体" w:cs="宋体"/>
                <w:color w:val="auto"/>
                <w:sz w:val="20"/>
                <w:szCs w:val="20"/>
                <w:highlight w:val="none"/>
                <w:lang w:val="en-US" w:eastAsia="zh-CN"/>
              </w:rPr>
            </w:pPr>
          </w:p>
        </w:tc>
      </w:tr>
      <w:tr w14:paraId="16AA5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48E84A6F">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3</w:t>
            </w:r>
          </w:p>
        </w:tc>
        <w:tc>
          <w:tcPr>
            <w:tcW w:w="2655" w:type="dxa"/>
            <w:tcBorders>
              <w:top w:val="single" w:color="000000" w:sz="4" w:space="0"/>
              <w:left w:val="single" w:color="000000" w:sz="4" w:space="0"/>
              <w:bottom w:val="single" w:color="000000" w:sz="4" w:space="0"/>
              <w:right w:val="single" w:color="000000" w:sz="4" w:space="0"/>
            </w:tcBorders>
            <w:vAlign w:val="center"/>
          </w:tcPr>
          <w:p w14:paraId="7C0D7BEC">
            <w:pPr>
              <w:widowControl/>
              <w:jc w:val="left"/>
              <w:textAlignment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严格按</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综合服务中心下达的</w:t>
            </w:r>
            <w:r>
              <w:rPr>
                <w:rFonts w:hint="eastAsia" w:ascii="宋体" w:hAnsi="宋体" w:cs="宋体"/>
                <w:color w:val="auto"/>
                <w:kern w:val="0"/>
                <w:sz w:val="20"/>
                <w:szCs w:val="20"/>
                <w:highlight w:val="none"/>
                <w:lang w:eastAsia="zh-CN"/>
              </w:rPr>
              <w:t>年度</w:t>
            </w:r>
            <w:r>
              <w:rPr>
                <w:rFonts w:hint="eastAsia" w:ascii="宋体" w:hAnsi="宋体" w:cs="宋体"/>
                <w:color w:val="auto"/>
                <w:kern w:val="0"/>
                <w:sz w:val="20"/>
                <w:szCs w:val="20"/>
                <w:highlight w:val="none"/>
              </w:rPr>
              <w:t>使用预算控制食品成本，杜绝浪费。</w:t>
            </w:r>
          </w:p>
        </w:tc>
        <w:tc>
          <w:tcPr>
            <w:tcW w:w="795" w:type="dxa"/>
            <w:tcBorders>
              <w:top w:val="single" w:color="000000" w:sz="4" w:space="0"/>
              <w:left w:val="single" w:color="000000" w:sz="4" w:space="0"/>
              <w:bottom w:val="single" w:color="000000" w:sz="4" w:space="0"/>
              <w:right w:val="single" w:color="000000" w:sz="4" w:space="0"/>
            </w:tcBorders>
            <w:vAlign w:val="center"/>
          </w:tcPr>
          <w:p w14:paraId="3640EF29">
            <w:pPr>
              <w:widowControl/>
              <w:jc w:val="center"/>
              <w:textAlignment w:val="center"/>
              <w:rPr>
                <w:rFonts w:hint="eastAsia" w:ascii="宋体" w:hAnsi="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3</w:t>
            </w:r>
          </w:p>
        </w:tc>
        <w:tc>
          <w:tcPr>
            <w:tcW w:w="3000" w:type="dxa"/>
            <w:tcBorders>
              <w:top w:val="single" w:color="000000" w:sz="4" w:space="0"/>
              <w:left w:val="single" w:color="000000" w:sz="4" w:space="0"/>
              <w:bottom w:val="single" w:color="000000" w:sz="4" w:space="0"/>
              <w:right w:val="single" w:color="000000" w:sz="4" w:space="0"/>
            </w:tcBorders>
            <w:vAlign w:val="center"/>
          </w:tcPr>
          <w:p w14:paraId="587737CB">
            <w:pPr>
              <w:widowControl/>
              <w:jc w:val="left"/>
              <w:textAlignment w:val="center"/>
              <w:rPr>
                <w:rFonts w:hint="eastAsia" w:ascii="宋体" w:hAnsi="宋体" w:cs="宋体" w:eastAsiaTheme="minorEastAsia"/>
                <w:color w:val="auto"/>
                <w:kern w:val="0"/>
                <w:sz w:val="20"/>
                <w:szCs w:val="20"/>
                <w:highlight w:val="none"/>
                <w:lang w:eastAsia="zh-CN"/>
              </w:rPr>
            </w:pPr>
            <w:r>
              <w:rPr>
                <w:rFonts w:hint="eastAsia" w:ascii="宋体" w:hAnsi="宋体" w:cs="宋体"/>
                <w:color w:val="auto"/>
                <w:kern w:val="0"/>
                <w:sz w:val="20"/>
                <w:szCs w:val="20"/>
                <w:highlight w:val="none"/>
              </w:rPr>
              <w:t>不按照</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综合服务中心下达的</w:t>
            </w:r>
            <w:r>
              <w:rPr>
                <w:rFonts w:hint="eastAsia" w:ascii="宋体" w:hAnsi="宋体" w:cs="宋体"/>
                <w:color w:val="auto"/>
                <w:kern w:val="0"/>
                <w:sz w:val="20"/>
                <w:szCs w:val="20"/>
                <w:highlight w:val="none"/>
                <w:lang w:eastAsia="zh-CN"/>
              </w:rPr>
              <w:t>年</w:t>
            </w:r>
            <w:r>
              <w:rPr>
                <w:rFonts w:hint="eastAsia" w:ascii="宋体" w:hAnsi="宋体" w:cs="宋体"/>
                <w:color w:val="auto"/>
                <w:kern w:val="0"/>
                <w:sz w:val="20"/>
                <w:szCs w:val="20"/>
                <w:highlight w:val="none"/>
              </w:rPr>
              <w:t>度使用预算控制食品成本，浪费食材的</w:t>
            </w:r>
            <w:r>
              <w:rPr>
                <w:rFonts w:hint="eastAsia" w:ascii="宋体" w:hAnsi="宋体" w:cs="宋体"/>
                <w:color w:val="auto"/>
                <w:kern w:val="0"/>
                <w:sz w:val="20"/>
                <w:szCs w:val="20"/>
                <w:highlight w:val="none"/>
                <w:lang w:eastAsia="zh-CN"/>
              </w:rPr>
              <w:t>。</w:t>
            </w:r>
          </w:p>
        </w:tc>
        <w:tc>
          <w:tcPr>
            <w:tcW w:w="855" w:type="dxa"/>
            <w:tcBorders>
              <w:bottom w:val="single" w:color="000000" w:sz="4" w:space="0"/>
              <w:right w:val="single" w:color="000000" w:sz="4" w:space="0"/>
            </w:tcBorders>
            <w:vAlign w:val="center"/>
          </w:tcPr>
          <w:p w14:paraId="26B9852F">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w:t>
            </w:r>
            <w:r>
              <w:rPr>
                <w:rFonts w:hint="eastAsia" w:ascii="宋体" w:hAnsi="宋体" w:cs="宋体"/>
                <w:color w:val="auto"/>
                <w:kern w:val="0"/>
                <w:sz w:val="20"/>
                <w:szCs w:val="20"/>
                <w:highlight w:val="none"/>
                <w:lang w:val="en-US" w:eastAsia="zh-CN"/>
              </w:rPr>
              <w:t>2</w:t>
            </w:r>
            <w:r>
              <w:rPr>
                <w:rFonts w:hint="eastAsia" w:ascii="宋体" w:hAnsi="宋体" w:cs="宋体"/>
                <w:color w:val="auto"/>
                <w:kern w:val="0"/>
                <w:sz w:val="20"/>
                <w:szCs w:val="20"/>
                <w:highlight w:val="none"/>
              </w:rPr>
              <w:t>分/次</w:t>
            </w:r>
          </w:p>
        </w:tc>
        <w:tc>
          <w:tcPr>
            <w:tcW w:w="675" w:type="dxa"/>
            <w:tcBorders>
              <w:bottom w:val="single" w:color="000000" w:sz="4" w:space="0"/>
              <w:right w:val="single" w:color="000000" w:sz="4" w:space="0"/>
            </w:tcBorders>
            <w:vAlign w:val="top"/>
          </w:tcPr>
          <w:p w14:paraId="082722BC">
            <w:pPr>
              <w:jc w:val="center"/>
              <w:rPr>
                <w:rFonts w:ascii="宋体" w:hAnsi="宋体" w:cs="宋体"/>
                <w:color w:val="auto"/>
                <w:sz w:val="20"/>
                <w:szCs w:val="20"/>
                <w:highlight w:val="none"/>
              </w:rPr>
            </w:pPr>
          </w:p>
        </w:tc>
        <w:tc>
          <w:tcPr>
            <w:tcW w:w="831" w:type="dxa"/>
            <w:tcBorders>
              <w:bottom w:val="single" w:color="000000" w:sz="4" w:space="0"/>
              <w:right w:val="single" w:color="000000" w:sz="4" w:space="0"/>
            </w:tcBorders>
            <w:vAlign w:val="center"/>
          </w:tcPr>
          <w:p w14:paraId="62396439">
            <w:pPr>
              <w:jc w:val="center"/>
              <w:rPr>
                <w:rFonts w:ascii="宋体" w:hAnsi="宋体" w:cs="宋体"/>
                <w:color w:val="auto"/>
                <w:sz w:val="20"/>
                <w:szCs w:val="20"/>
                <w:highlight w:val="none"/>
              </w:rPr>
            </w:pPr>
          </w:p>
        </w:tc>
      </w:tr>
      <w:tr w14:paraId="7A445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000E5B82">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4</w:t>
            </w:r>
          </w:p>
        </w:tc>
        <w:tc>
          <w:tcPr>
            <w:tcW w:w="2655" w:type="dxa"/>
            <w:tcBorders>
              <w:top w:val="single" w:color="000000" w:sz="4" w:space="0"/>
              <w:left w:val="single" w:color="000000" w:sz="4" w:space="0"/>
              <w:bottom w:val="single" w:color="000000" w:sz="4" w:space="0"/>
              <w:right w:val="single" w:color="000000" w:sz="4" w:space="0"/>
            </w:tcBorders>
            <w:vAlign w:val="center"/>
          </w:tcPr>
          <w:p w14:paraId="042F6714">
            <w:pPr>
              <w:widowControl/>
              <w:jc w:val="left"/>
              <w:textAlignment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yellow"/>
              </w:rPr>
              <w:t>食堂要做好设施设备维护及台账，并定期对设施设备进行检查，每月5日前将故障/损坏上报采购方。</w:t>
            </w:r>
          </w:p>
        </w:tc>
        <w:tc>
          <w:tcPr>
            <w:tcW w:w="795" w:type="dxa"/>
            <w:tcBorders>
              <w:top w:val="single" w:color="000000" w:sz="4" w:space="0"/>
              <w:left w:val="single" w:color="000000" w:sz="4" w:space="0"/>
              <w:bottom w:val="single" w:color="000000" w:sz="4" w:space="0"/>
              <w:right w:val="single" w:color="000000" w:sz="4" w:space="0"/>
            </w:tcBorders>
            <w:vAlign w:val="center"/>
          </w:tcPr>
          <w:p w14:paraId="58FDEF15">
            <w:pPr>
              <w:widowControl/>
              <w:jc w:val="center"/>
              <w:textAlignment w:val="center"/>
              <w:rPr>
                <w:rFonts w:hint="eastAsia" w:ascii="宋体" w:hAnsi="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589C0353">
            <w:pPr>
              <w:widowControl/>
              <w:jc w:val="left"/>
              <w:textAlignment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不做好设备设备采购申请及设备设施维护费用开支计划，每月不按规定时间将上述计划报送</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审核就开展工作的。</w:t>
            </w:r>
          </w:p>
        </w:tc>
        <w:tc>
          <w:tcPr>
            <w:tcW w:w="855" w:type="dxa"/>
            <w:tcBorders>
              <w:bottom w:val="single" w:color="000000" w:sz="4" w:space="0"/>
              <w:right w:val="single" w:color="000000" w:sz="4" w:space="0"/>
            </w:tcBorders>
            <w:vAlign w:val="center"/>
          </w:tcPr>
          <w:p w14:paraId="509C34E7">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w:t>
            </w:r>
            <w:r>
              <w:rPr>
                <w:rFonts w:hint="eastAsia" w:ascii="宋体" w:hAnsi="宋体" w:cs="宋体"/>
                <w:color w:val="auto"/>
                <w:kern w:val="0"/>
                <w:sz w:val="20"/>
                <w:szCs w:val="20"/>
                <w:highlight w:val="none"/>
                <w:lang w:val="en-US" w:eastAsia="zh-CN"/>
              </w:rPr>
              <w:t>0.2</w:t>
            </w:r>
            <w:r>
              <w:rPr>
                <w:rFonts w:hint="eastAsia" w:ascii="宋体" w:hAnsi="宋体" w:cs="宋体"/>
                <w:color w:val="auto"/>
                <w:kern w:val="0"/>
                <w:sz w:val="20"/>
                <w:szCs w:val="20"/>
                <w:highlight w:val="none"/>
              </w:rPr>
              <w:t>分/次</w:t>
            </w:r>
          </w:p>
        </w:tc>
        <w:tc>
          <w:tcPr>
            <w:tcW w:w="675" w:type="dxa"/>
            <w:tcBorders>
              <w:bottom w:val="single" w:color="000000" w:sz="4" w:space="0"/>
              <w:right w:val="single" w:color="000000" w:sz="4" w:space="0"/>
            </w:tcBorders>
            <w:vAlign w:val="top"/>
          </w:tcPr>
          <w:p w14:paraId="0BC26548">
            <w:pPr>
              <w:jc w:val="center"/>
              <w:rPr>
                <w:rFonts w:ascii="宋体" w:hAnsi="宋体" w:cs="宋体"/>
                <w:color w:val="auto"/>
                <w:sz w:val="20"/>
                <w:szCs w:val="20"/>
                <w:highlight w:val="none"/>
              </w:rPr>
            </w:pPr>
          </w:p>
        </w:tc>
        <w:tc>
          <w:tcPr>
            <w:tcW w:w="831" w:type="dxa"/>
            <w:tcBorders>
              <w:bottom w:val="single" w:color="000000" w:sz="4" w:space="0"/>
              <w:right w:val="single" w:color="000000" w:sz="4" w:space="0"/>
            </w:tcBorders>
            <w:vAlign w:val="center"/>
          </w:tcPr>
          <w:p w14:paraId="03222B68">
            <w:pPr>
              <w:jc w:val="center"/>
              <w:rPr>
                <w:rFonts w:ascii="宋体" w:hAnsi="宋体" w:cs="宋体"/>
                <w:color w:val="auto"/>
                <w:sz w:val="20"/>
                <w:szCs w:val="20"/>
                <w:highlight w:val="none"/>
              </w:rPr>
            </w:pPr>
          </w:p>
        </w:tc>
      </w:tr>
      <w:tr w14:paraId="15D80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left w:val="single" w:color="000000" w:sz="4" w:space="0"/>
              <w:bottom w:val="single" w:color="000000" w:sz="4" w:space="0"/>
              <w:right w:val="single" w:color="000000" w:sz="4" w:space="0"/>
            </w:tcBorders>
            <w:vAlign w:val="center"/>
          </w:tcPr>
          <w:p w14:paraId="3FA8F3F6">
            <w:pPr>
              <w:widowControl/>
              <w:jc w:val="center"/>
              <w:textAlignment w:val="center"/>
              <w:rPr>
                <w:rFonts w:ascii="宋体" w:hAnsi="宋体" w:cs="宋体"/>
                <w:b/>
                <w:bCs w:val="0"/>
                <w:color w:val="auto"/>
                <w:sz w:val="20"/>
                <w:szCs w:val="20"/>
                <w:highlight w:val="none"/>
              </w:rPr>
            </w:pPr>
            <w:r>
              <w:rPr>
                <w:rFonts w:hint="eastAsia" w:ascii="宋体" w:hAnsi="宋体" w:cs="宋体"/>
                <w:b/>
                <w:bCs w:val="0"/>
                <w:color w:val="auto"/>
                <w:kern w:val="0"/>
                <w:sz w:val="20"/>
                <w:szCs w:val="20"/>
                <w:highlight w:val="none"/>
              </w:rPr>
              <w:t>三</w:t>
            </w:r>
          </w:p>
        </w:tc>
        <w:tc>
          <w:tcPr>
            <w:tcW w:w="2655" w:type="dxa"/>
            <w:tcBorders>
              <w:right w:val="single" w:color="000000" w:sz="4" w:space="0"/>
            </w:tcBorders>
            <w:vAlign w:val="center"/>
          </w:tcPr>
          <w:p w14:paraId="7D7BDFD3">
            <w:pPr>
              <w:widowControl/>
              <w:jc w:val="left"/>
              <w:textAlignment w:val="center"/>
              <w:rPr>
                <w:rFonts w:hint="eastAsia" w:ascii="宋体" w:hAnsi="宋体" w:cs="宋体"/>
                <w:b/>
                <w:bCs w:val="0"/>
                <w:color w:val="auto"/>
                <w:kern w:val="0"/>
                <w:sz w:val="20"/>
                <w:szCs w:val="20"/>
                <w:highlight w:val="none"/>
              </w:rPr>
            </w:pPr>
            <w:r>
              <w:rPr>
                <w:rFonts w:hint="eastAsia" w:ascii="宋体" w:hAnsi="宋体" w:cs="宋体"/>
                <w:b/>
                <w:bCs w:val="0"/>
                <w:color w:val="auto"/>
                <w:kern w:val="0"/>
                <w:sz w:val="20"/>
                <w:szCs w:val="20"/>
                <w:highlight w:val="none"/>
              </w:rPr>
              <w:t>员工管理及技能培训</w:t>
            </w:r>
          </w:p>
        </w:tc>
        <w:tc>
          <w:tcPr>
            <w:tcW w:w="795" w:type="dxa"/>
            <w:tcBorders>
              <w:right w:val="single" w:color="000000" w:sz="4" w:space="0"/>
            </w:tcBorders>
            <w:vAlign w:val="center"/>
          </w:tcPr>
          <w:p w14:paraId="7F003EDD">
            <w:pPr>
              <w:widowControl/>
              <w:jc w:val="center"/>
              <w:textAlignment w:val="center"/>
              <w:rPr>
                <w:rFonts w:hint="eastAsia" w:ascii="宋体" w:hAnsi="宋体" w:cs="宋体"/>
                <w:b/>
                <w:bCs w:val="0"/>
                <w:color w:val="auto"/>
                <w:kern w:val="0"/>
                <w:sz w:val="20"/>
                <w:szCs w:val="20"/>
                <w:highlight w:val="none"/>
                <w:lang w:val="en-US" w:eastAsia="zh-CN"/>
              </w:rPr>
            </w:pPr>
            <w:r>
              <w:rPr>
                <w:rFonts w:hint="eastAsia" w:ascii="宋体" w:hAnsi="宋体" w:cs="宋体"/>
                <w:b/>
                <w:bCs w:val="0"/>
                <w:color w:val="auto"/>
                <w:kern w:val="0"/>
                <w:sz w:val="20"/>
                <w:szCs w:val="20"/>
                <w:highlight w:val="none"/>
                <w:lang w:val="en-US" w:eastAsia="zh-CN"/>
              </w:rPr>
              <w:t>13</w:t>
            </w:r>
          </w:p>
        </w:tc>
        <w:tc>
          <w:tcPr>
            <w:tcW w:w="3000" w:type="dxa"/>
            <w:tcBorders>
              <w:right w:val="single" w:color="000000" w:sz="4" w:space="0"/>
            </w:tcBorders>
            <w:vAlign w:val="center"/>
          </w:tcPr>
          <w:p w14:paraId="4BCF72C4">
            <w:pPr>
              <w:widowControl/>
              <w:jc w:val="left"/>
              <w:textAlignment w:val="center"/>
              <w:rPr>
                <w:rFonts w:hint="eastAsia" w:ascii="宋体" w:hAnsi="宋体" w:cs="宋体"/>
                <w:b/>
                <w:bCs w:val="0"/>
                <w:color w:val="auto"/>
                <w:kern w:val="0"/>
                <w:sz w:val="20"/>
                <w:szCs w:val="20"/>
                <w:highlight w:val="none"/>
              </w:rPr>
            </w:pPr>
          </w:p>
        </w:tc>
        <w:tc>
          <w:tcPr>
            <w:tcW w:w="855" w:type="dxa"/>
            <w:tcBorders>
              <w:right w:val="single" w:color="000000" w:sz="4" w:space="0"/>
            </w:tcBorders>
            <w:vAlign w:val="center"/>
          </w:tcPr>
          <w:p w14:paraId="4766F9E8">
            <w:pPr>
              <w:jc w:val="center"/>
              <w:rPr>
                <w:rFonts w:ascii="宋体" w:hAnsi="宋体" w:cs="宋体"/>
                <w:b/>
                <w:color w:val="auto"/>
                <w:sz w:val="20"/>
                <w:szCs w:val="20"/>
                <w:highlight w:val="none"/>
              </w:rPr>
            </w:pPr>
          </w:p>
        </w:tc>
        <w:tc>
          <w:tcPr>
            <w:tcW w:w="675" w:type="dxa"/>
            <w:tcBorders>
              <w:right w:val="single" w:color="000000" w:sz="4" w:space="0"/>
            </w:tcBorders>
            <w:vAlign w:val="top"/>
          </w:tcPr>
          <w:p w14:paraId="3F042C0E">
            <w:pPr>
              <w:jc w:val="center"/>
              <w:rPr>
                <w:b/>
                <w:color w:val="auto"/>
                <w:sz w:val="20"/>
                <w:szCs w:val="20"/>
                <w:highlight w:val="none"/>
              </w:rPr>
            </w:pPr>
          </w:p>
        </w:tc>
        <w:tc>
          <w:tcPr>
            <w:tcW w:w="831" w:type="dxa"/>
            <w:tcBorders>
              <w:bottom w:val="single" w:color="000000" w:sz="4" w:space="0"/>
              <w:right w:val="single" w:color="000000" w:sz="4" w:space="0"/>
            </w:tcBorders>
            <w:vAlign w:val="center"/>
          </w:tcPr>
          <w:p w14:paraId="44841F79">
            <w:pPr>
              <w:jc w:val="center"/>
              <w:rPr>
                <w:b/>
                <w:color w:val="auto"/>
                <w:sz w:val="20"/>
                <w:szCs w:val="20"/>
                <w:highlight w:val="none"/>
              </w:rPr>
            </w:pPr>
          </w:p>
        </w:tc>
      </w:tr>
      <w:tr w14:paraId="4D5A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auto" w:sz="4" w:space="0"/>
              <w:bottom w:val="single" w:color="auto" w:sz="4" w:space="0"/>
              <w:right w:val="single" w:color="auto" w:sz="4" w:space="0"/>
            </w:tcBorders>
            <w:vAlign w:val="center"/>
          </w:tcPr>
          <w:p w14:paraId="689325AC">
            <w:pPr>
              <w:widowControl/>
              <w:jc w:val="center"/>
              <w:textAlignment w:val="center"/>
              <w:rPr>
                <w:rFonts w:hint="eastAsia" w:ascii="宋体" w:hAnsi="宋体" w:cs="宋体" w:eastAsiaTheme="minorEastAsia"/>
                <w:color w:val="auto"/>
                <w:sz w:val="20"/>
                <w:szCs w:val="20"/>
                <w:highlight w:val="none"/>
                <w:lang w:eastAsia="zh-CN"/>
              </w:rPr>
            </w:pPr>
            <w:r>
              <w:rPr>
                <w:rFonts w:hint="eastAsia" w:ascii="宋体" w:hAnsi="宋体" w:cs="宋体"/>
                <w:color w:val="auto"/>
                <w:kern w:val="0"/>
                <w:sz w:val="20"/>
                <w:szCs w:val="20"/>
                <w:highlight w:val="none"/>
                <w:lang w:val="en-US" w:eastAsia="zh-CN"/>
              </w:rPr>
              <w:t>5</w:t>
            </w:r>
          </w:p>
        </w:tc>
        <w:tc>
          <w:tcPr>
            <w:tcW w:w="2655" w:type="dxa"/>
            <w:tcBorders>
              <w:top w:val="single" w:color="auto" w:sz="4" w:space="0"/>
              <w:left w:val="single" w:color="auto" w:sz="4" w:space="0"/>
              <w:bottom w:val="single" w:color="auto" w:sz="4" w:space="0"/>
              <w:right w:val="single" w:color="auto" w:sz="4" w:space="0"/>
            </w:tcBorders>
            <w:vAlign w:val="center"/>
          </w:tcPr>
          <w:p w14:paraId="443D96BA">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每年按程序公正、公平、公开原则，举办</w:t>
            </w:r>
            <w:r>
              <w:rPr>
                <w:rFonts w:hint="eastAsia" w:ascii="宋体" w:hAnsi="宋体" w:cs="宋体"/>
                <w:color w:val="auto"/>
                <w:kern w:val="0"/>
                <w:sz w:val="20"/>
                <w:szCs w:val="20"/>
                <w:highlight w:val="none"/>
                <w:lang w:eastAsia="zh-CN"/>
              </w:rPr>
              <w:t>至少</w:t>
            </w:r>
            <w:r>
              <w:rPr>
                <w:rFonts w:hint="eastAsia" w:ascii="宋体" w:hAnsi="宋体" w:cs="宋体"/>
                <w:color w:val="auto"/>
                <w:kern w:val="0"/>
                <w:sz w:val="20"/>
                <w:szCs w:val="20"/>
                <w:highlight w:val="none"/>
              </w:rPr>
              <w:t>一次职工食堂员工岗位技能比赛，并做好相应宣传工作。</w:t>
            </w:r>
          </w:p>
        </w:tc>
        <w:tc>
          <w:tcPr>
            <w:tcW w:w="795" w:type="dxa"/>
            <w:tcBorders>
              <w:top w:val="single" w:color="auto" w:sz="4" w:space="0"/>
              <w:left w:val="single" w:color="auto" w:sz="4" w:space="0"/>
              <w:bottom w:val="single" w:color="auto" w:sz="4" w:space="0"/>
              <w:right w:val="single" w:color="auto" w:sz="4" w:space="0"/>
            </w:tcBorders>
            <w:vAlign w:val="center"/>
          </w:tcPr>
          <w:p w14:paraId="64F1A59B">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top w:val="single" w:color="auto" w:sz="4" w:space="0"/>
              <w:left w:val="single" w:color="auto" w:sz="4" w:space="0"/>
              <w:bottom w:val="single" w:color="auto" w:sz="4" w:space="0"/>
              <w:right w:val="single" w:color="auto" w:sz="4" w:space="0"/>
            </w:tcBorders>
            <w:vAlign w:val="center"/>
          </w:tcPr>
          <w:p w14:paraId="04066498">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举办少于一次职工食堂员工岗位技能比赛，及不做好相应宣传工作。</w:t>
            </w:r>
          </w:p>
        </w:tc>
        <w:tc>
          <w:tcPr>
            <w:tcW w:w="855" w:type="dxa"/>
            <w:tcBorders>
              <w:top w:val="single" w:color="auto" w:sz="4" w:space="0"/>
              <w:left w:val="single" w:color="auto" w:sz="4" w:space="0"/>
              <w:bottom w:val="single" w:color="auto" w:sz="4" w:space="0"/>
              <w:right w:val="single" w:color="auto" w:sz="4" w:space="0"/>
            </w:tcBorders>
            <w:vAlign w:val="center"/>
          </w:tcPr>
          <w:p w14:paraId="7558F38F">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w:t>
            </w:r>
            <w:r>
              <w:rPr>
                <w:rFonts w:hint="eastAsia" w:ascii="宋体" w:hAnsi="宋体" w:cs="宋体"/>
                <w:color w:val="auto"/>
                <w:kern w:val="0"/>
                <w:sz w:val="20"/>
                <w:szCs w:val="20"/>
                <w:highlight w:val="none"/>
                <w:lang w:val="en-US" w:eastAsia="zh-CN"/>
              </w:rPr>
              <w:t>0.2</w:t>
            </w:r>
            <w:r>
              <w:rPr>
                <w:rFonts w:hint="eastAsia" w:ascii="宋体" w:hAnsi="宋体" w:cs="宋体"/>
                <w:color w:val="auto"/>
                <w:kern w:val="0"/>
                <w:sz w:val="20"/>
                <w:szCs w:val="20"/>
                <w:highlight w:val="none"/>
              </w:rPr>
              <w:t>分/次</w:t>
            </w:r>
          </w:p>
        </w:tc>
        <w:tc>
          <w:tcPr>
            <w:tcW w:w="675" w:type="dxa"/>
            <w:tcBorders>
              <w:top w:val="single" w:color="auto" w:sz="4" w:space="0"/>
              <w:left w:val="single" w:color="auto" w:sz="4" w:space="0"/>
              <w:bottom w:val="single" w:color="auto" w:sz="4" w:space="0"/>
              <w:right w:val="single" w:color="auto" w:sz="4" w:space="0"/>
            </w:tcBorders>
            <w:vAlign w:val="top"/>
          </w:tcPr>
          <w:p w14:paraId="5A959588">
            <w:pPr>
              <w:jc w:val="center"/>
              <w:rPr>
                <w:rFonts w:ascii="宋体" w:hAnsi="宋体" w:cs="宋体"/>
                <w:color w:val="auto"/>
                <w:sz w:val="20"/>
                <w:szCs w:val="20"/>
                <w:highlight w:val="none"/>
              </w:rPr>
            </w:pPr>
          </w:p>
        </w:tc>
        <w:tc>
          <w:tcPr>
            <w:tcW w:w="831" w:type="dxa"/>
            <w:tcBorders>
              <w:top w:val="single" w:color="auto" w:sz="4" w:space="0"/>
              <w:left w:val="single" w:color="auto" w:sz="4" w:space="0"/>
              <w:bottom w:val="single" w:color="auto" w:sz="4" w:space="0"/>
              <w:right w:val="single" w:color="auto" w:sz="4" w:space="0"/>
            </w:tcBorders>
            <w:vAlign w:val="center"/>
          </w:tcPr>
          <w:p w14:paraId="3346226C">
            <w:pPr>
              <w:jc w:val="center"/>
              <w:rPr>
                <w:rFonts w:ascii="宋体" w:hAnsi="宋体" w:cs="宋体"/>
                <w:color w:val="auto"/>
                <w:sz w:val="20"/>
                <w:szCs w:val="20"/>
                <w:highlight w:val="none"/>
              </w:rPr>
            </w:pPr>
          </w:p>
        </w:tc>
      </w:tr>
      <w:tr w14:paraId="47455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000000" w:sz="4" w:space="0"/>
              <w:bottom w:val="single" w:color="000000" w:sz="4" w:space="0"/>
            </w:tcBorders>
            <w:vAlign w:val="center"/>
          </w:tcPr>
          <w:p w14:paraId="27BB8752">
            <w:pPr>
              <w:widowControl/>
              <w:jc w:val="center"/>
              <w:textAlignment w:val="center"/>
              <w:rPr>
                <w:rFonts w:hint="eastAsia" w:ascii="宋体" w:hAnsi="宋体" w:cs="宋体" w:eastAsiaTheme="minorEastAsia"/>
                <w:color w:val="auto"/>
                <w:sz w:val="20"/>
                <w:szCs w:val="20"/>
                <w:highlight w:val="none"/>
                <w:lang w:eastAsia="zh-CN"/>
              </w:rPr>
            </w:pPr>
            <w:r>
              <w:rPr>
                <w:rFonts w:hint="eastAsia" w:ascii="宋体" w:hAnsi="宋体" w:cs="宋体"/>
                <w:color w:val="auto"/>
                <w:kern w:val="0"/>
                <w:sz w:val="20"/>
                <w:szCs w:val="20"/>
                <w:highlight w:val="none"/>
                <w:lang w:val="en-US" w:eastAsia="zh-CN"/>
              </w:rPr>
              <w:t>6</w:t>
            </w:r>
          </w:p>
        </w:tc>
        <w:tc>
          <w:tcPr>
            <w:tcW w:w="2655" w:type="dxa"/>
            <w:tcBorders>
              <w:top w:val="single" w:color="auto" w:sz="4" w:space="0"/>
              <w:left w:val="single" w:color="000000" w:sz="4" w:space="0"/>
              <w:bottom w:val="single" w:color="000000" w:sz="4" w:space="0"/>
              <w:right w:val="single" w:color="000000" w:sz="4" w:space="0"/>
            </w:tcBorders>
            <w:vAlign w:val="center"/>
          </w:tcPr>
          <w:p w14:paraId="0EEFC18E">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每月做到职工食堂菜品更新不少于1道。</w:t>
            </w:r>
          </w:p>
        </w:tc>
        <w:tc>
          <w:tcPr>
            <w:tcW w:w="795" w:type="dxa"/>
            <w:tcBorders>
              <w:top w:val="single" w:color="auto" w:sz="4" w:space="0"/>
              <w:left w:val="single" w:color="000000" w:sz="4" w:space="0"/>
              <w:bottom w:val="single" w:color="000000" w:sz="4" w:space="0"/>
              <w:right w:val="single" w:color="000000" w:sz="4" w:space="0"/>
            </w:tcBorders>
            <w:vAlign w:val="center"/>
          </w:tcPr>
          <w:p w14:paraId="4CEAD83B">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3</w:t>
            </w:r>
          </w:p>
        </w:tc>
        <w:tc>
          <w:tcPr>
            <w:tcW w:w="3000" w:type="dxa"/>
            <w:tcBorders>
              <w:top w:val="single" w:color="auto" w:sz="4" w:space="0"/>
              <w:left w:val="single" w:color="000000" w:sz="4" w:space="0"/>
              <w:bottom w:val="single" w:color="000000" w:sz="4" w:space="0"/>
              <w:right w:val="single" w:color="000000" w:sz="4" w:space="0"/>
            </w:tcBorders>
            <w:vAlign w:val="center"/>
          </w:tcPr>
          <w:p w14:paraId="5298F1DA">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每月不做到职工食堂菜品更新不少于1道。</w:t>
            </w:r>
          </w:p>
        </w:tc>
        <w:tc>
          <w:tcPr>
            <w:tcW w:w="855" w:type="dxa"/>
            <w:tcBorders>
              <w:top w:val="single" w:color="auto" w:sz="4" w:space="0"/>
              <w:left w:val="single" w:color="000000" w:sz="4" w:space="0"/>
              <w:bottom w:val="single" w:color="000000" w:sz="4" w:space="0"/>
              <w:right w:val="single" w:color="000000" w:sz="4" w:space="0"/>
            </w:tcBorders>
            <w:vAlign w:val="center"/>
          </w:tcPr>
          <w:p w14:paraId="03E3C586">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w:t>
            </w:r>
            <w:r>
              <w:rPr>
                <w:rFonts w:hint="eastAsia" w:ascii="宋体" w:hAnsi="宋体" w:cs="宋体"/>
                <w:color w:val="auto"/>
                <w:kern w:val="0"/>
                <w:sz w:val="20"/>
                <w:szCs w:val="20"/>
                <w:highlight w:val="none"/>
                <w:lang w:val="en-US" w:eastAsia="zh-CN"/>
              </w:rPr>
              <w:t>0.2</w:t>
            </w:r>
            <w:r>
              <w:rPr>
                <w:rFonts w:hint="eastAsia" w:ascii="宋体" w:hAnsi="宋体" w:cs="宋体"/>
                <w:color w:val="auto"/>
                <w:kern w:val="0"/>
                <w:sz w:val="20"/>
                <w:szCs w:val="20"/>
                <w:highlight w:val="none"/>
              </w:rPr>
              <w:t>分/次</w:t>
            </w:r>
          </w:p>
        </w:tc>
        <w:tc>
          <w:tcPr>
            <w:tcW w:w="675" w:type="dxa"/>
            <w:tcBorders>
              <w:top w:val="single" w:color="auto" w:sz="4" w:space="0"/>
              <w:left w:val="single" w:color="000000" w:sz="4" w:space="0"/>
              <w:bottom w:val="single" w:color="000000" w:sz="4" w:space="0"/>
              <w:right w:val="single" w:color="000000" w:sz="4" w:space="0"/>
            </w:tcBorders>
            <w:vAlign w:val="top"/>
          </w:tcPr>
          <w:p w14:paraId="282ED7D4">
            <w:pPr>
              <w:jc w:val="center"/>
              <w:rPr>
                <w:rFonts w:ascii="宋体" w:hAnsi="宋体" w:cs="宋体"/>
                <w:color w:val="auto"/>
                <w:sz w:val="20"/>
                <w:szCs w:val="20"/>
                <w:highlight w:val="none"/>
              </w:rPr>
            </w:pPr>
          </w:p>
        </w:tc>
        <w:tc>
          <w:tcPr>
            <w:tcW w:w="831" w:type="dxa"/>
            <w:tcBorders>
              <w:top w:val="single" w:color="auto" w:sz="4" w:space="0"/>
              <w:bottom w:val="single" w:color="000000" w:sz="4" w:space="0"/>
              <w:right w:val="single" w:color="000000" w:sz="4" w:space="0"/>
            </w:tcBorders>
            <w:vAlign w:val="center"/>
          </w:tcPr>
          <w:p w14:paraId="317E9598">
            <w:pPr>
              <w:jc w:val="center"/>
              <w:rPr>
                <w:rFonts w:ascii="宋体" w:hAnsi="宋体" w:cs="宋体"/>
                <w:color w:val="auto"/>
                <w:sz w:val="20"/>
                <w:szCs w:val="20"/>
                <w:highlight w:val="none"/>
              </w:rPr>
            </w:pPr>
          </w:p>
        </w:tc>
      </w:tr>
      <w:tr w14:paraId="304E4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left w:val="single" w:color="000000" w:sz="4" w:space="0"/>
              <w:bottom w:val="single" w:color="000000" w:sz="4" w:space="0"/>
            </w:tcBorders>
            <w:vAlign w:val="center"/>
          </w:tcPr>
          <w:p w14:paraId="2511E323">
            <w:pPr>
              <w:widowControl/>
              <w:jc w:val="center"/>
              <w:textAlignment w:val="center"/>
              <w:rPr>
                <w:rFonts w:hint="eastAsia" w:ascii="宋体" w:hAnsi="宋体" w:cs="宋体" w:eastAsiaTheme="minorEastAsia"/>
                <w:color w:val="auto"/>
                <w:sz w:val="20"/>
                <w:szCs w:val="20"/>
                <w:highlight w:val="none"/>
                <w:lang w:eastAsia="zh-CN"/>
              </w:rPr>
            </w:pPr>
            <w:r>
              <w:rPr>
                <w:rFonts w:hint="eastAsia" w:ascii="宋体" w:hAnsi="宋体" w:cs="宋体"/>
                <w:color w:val="auto"/>
                <w:kern w:val="0"/>
                <w:sz w:val="20"/>
                <w:szCs w:val="20"/>
                <w:highlight w:val="none"/>
                <w:lang w:val="en-US" w:eastAsia="zh-CN"/>
              </w:rPr>
              <w:t>7</w:t>
            </w:r>
          </w:p>
        </w:tc>
        <w:tc>
          <w:tcPr>
            <w:tcW w:w="2655" w:type="dxa"/>
            <w:tcBorders>
              <w:top w:val="single" w:color="000000" w:sz="4" w:space="0"/>
              <w:left w:val="single" w:color="000000" w:sz="4" w:space="0"/>
              <w:bottom w:val="single" w:color="000000" w:sz="4" w:space="0"/>
              <w:right w:val="single" w:color="000000" w:sz="4" w:space="0"/>
            </w:tcBorders>
            <w:vAlign w:val="center"/>
          </w:tcPr>
          <w:p w14:paraId="314476B5">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严禁私设小金库及帐外帐。</w:t>
            </w:r>
          </w:p>
        </w:tc>
        <w:tc>
          <w:tcPr>
            <w:tcW w:w="795" w:type="dxa"/>
            <w:tcBorders>
              <w:top w:val="single" w:color="000000" w:sz="4" w:space="0"/>
              <w:left w:val="single" w:color="000000" w:sz="4" w:space="0"/>
              <w:bottom w:val="single" w:color="000000" w:sz="4" w:space="0"/>
              <w:right w:val="single" w:color="000000" w:sz="4" w:space="0"/>
            </w:tcBorders>
            <w:vAlign w:val="center"/>
          </w:tcPr>
          <w:p w14:paraId="47662451">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5</w:t>
            </w:r>
          </w:p>
        </w:tc>
        <w:tc>
          <w:tcPr>
            <w:tcW w:w="3000" w:type="dxa"/>
            <w:tcBorders>
              <w:top w:val="single" w:color="000000" w:sz="4" w:space="0"/>
              <w:left w:val="single" w:color="000000" w:sz="4" w:space="0"/>
              <w:bottom w:val="single" w:color="000000" w:sz="4" w:space="0"/>
              <w:right w:val="single" w:color="000000" w:sz="4" w:space="0"/>
            </w:tcBorders>
            <w:vAlign w:val="center"/>
          </w:tcPr>
          <w:p w14:paraId="146694DB">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私设小金库及帐外帐。</w:t>
            </w:r>
          </w:p>
        </w:tc>
        <w:tc>
          <w:tcPr>
            <w:tcW w:w="855" w:type="dxa"/>
            <w:tcBorders>
              <w:top w:val="single" w:color="000000" w:sz="4" w:space="0"/>
              <w:left w:val="single" w:color="000000" w:sz="4" w:space="0"/>
              <w:bottom w:val="single" w:color="000000" w:sz="4" w:space="0"/>
              <w:right w:val="single" w:color="000000" w:sz="4" w:space="0"/>
            </w:tcBorders>
            <w:vAlign w:val="center"/>
          </w:tcPr>
          <w:p w14:paraId="74DB2088">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w:t>
            </w:r>
            <w:r>
              <w:rPr>
                <w:rFonts w:hint="eastAsia" w:ascii="宋体" w:hAnsi="宋体" w:cs="宋体"/>
                <w:color w:val="auto"/>
                <w:kern w:val="0"/>
                <w:sz w:val="20"/>
                <w:szCs w:val="20"/>
                <w:highlight w:val="none"/>
                <w:lang w:val="en-US" w:eastAsia="zh-CN"/>
              </w:rPr>
              <w:t>5</w:t>
            </w:r>
            <w:r>
              <w:rPr>
                <w:rFonts w:hint="eastAsia" w:ascii="宋体" w:hAnsi="宋体" w:cs="宋体"/>
                <w:color w:val="auto"/>
                <w:kern w:val="0"/>
                <w:sz w:val="20"/>
                <w:szCs w:val="20"/>
                <w:highlight w:val="none"/>
              </w:rPr>
              <w:t>分/次</w:t>
            </w:r>
          </w:p>
        </w:tc>
        <w:tc>
          <w:tcPr>
            <w:tcW w:w="675" w:type="dxa"/>
            <w:tcBorders>
              <w:top w:val="single" w:color="000000" w:sz="4" w:space="0"/>
              <w:left w:val="single" w:color="000000" w:sz="4" w:space="0"/>
              <w:bottom w:val="single" w:color="000000" w:sz="4" w:space="0"/>
              <w:right w:val="single" w:color="000000" w:sz="4" w:space="0"/>
            </w:tcBorders>
            <w:vAlign w:val="top"/>
          </w:tcPr>
          <w:p w14:paraId="095E9290">
            <w:pPr>
              <w:jc w:val="center"/>
              <w:rPr>
                <w:rFonts w:ascii="宋体" w:hAnsi="宋体" w:cs="宋体"/>
                <w:color w:val="auto"/>
                <w:sz w:val="20"/>
                <w:szCs w:val="20"/>
                <w:highlight w:val="none"/>
              </w:rPr>
            </w:pPr>
          </w:p>
        </w:tc>
        <w:tc>
          <w:tcPr>
            <w:tcW w:w="831" w:type="dxa"/>
            <w:tcBorders>
              <w:bottom w:val="single" w:color="000000" w:sz="4" w:space="0"/>
              <w:right w:val="single" w:color="000000" w:sz="4" w:space="0"/>
            </w:tcBorders>
            <w:vAlign w:val="center"/>
          </w:tcPr>
          <w:p w14:paraId="08929AF8">
            <w:pPr>
              <w:jc w:val="center"/>
              <w:rPr>
                <w:rFonts w:ascii="宋体" w:hAnsi="宋体" w:cs="宋体"/>
                <w:color w:val="auto"/>
                <w:sz w:val="20"/>
                <w:szCs w:val="20"/>
                <w:highlight w:val="none"/>
              </w:rPr>
            </w:pPr>
          </w:p>
        </w:tc>
      </w:tr>
      <w:tr w14:paraId="224D0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left w:val="single" w:color="000000" w:sz="4" w:space="0"/>
              <w:bottom w:val="single" w:color="auto" w:sz="4" w:space="0"/>
            </w:tcBorders>
            <w:vAlign w:val="center"/>
          </w:tcPr>
          <w:p w14:paraId="18A8E8EA">
            <w:pPr>
              <w:widowControl/>
              <w:jc w:val="center"/>
              <w:textAlignment w:val="center"/>
              <w:rPr>
                <w:rFonts w:hint="eastAsia" w:ascii="宋体" w:hAnsi="宋体" w:cs="宋体" w:eastAsiaTheme="minorEastAsia"/>
                <w:color w:val="auto"/>
                <w:sz w:val="20"/>
                <w:szCs w:val="20"/>
                <w:highlight w:val="none"/>
                <w:lang w:eastAsia="zh-CN"/>
              </w:rPr>
            </w:pPr>
            <w:r>
              <w:rPr>
                <w:rFonts w:hint="eastAsia" w:ascii="宋体" w:hAnsi="宋体" w:cs="宋体"/>
                <w:color w:val="auto"/>
                <w:kern w:val="0"/>
                <w:sz w:val="20"/>
                <w:szCs w:val="20"/>
                <w:highlight w:val="none"/>
                <w:lang w:val="en-US" w:eastAsia="zh-CN"/>
              </w:rPr>
              <w:t>8</w:t>
            </w:r>
          </w:p>
        </w:tc>
        <w:tc>
          <w:tcPr>
            <w:tcW w:w="2655" w:type="dxa"/>
            <w:tcBorders>
              <w:top w:val="single" w:color="000000" w:sz="4" w:space="0"/>
              <w:left w:val="single" w:color="000000" w:sz="4" w:space="0"/>
              <w:bottom w:val="single" w:color="auto" w:sz="4" w:space="0"/>
              <w:right w:val="single" w:color="000000" w:sz="4" w:space="0"/>
            </w:tcBorders>
            <w:vAlign w:val="center"/>
          </w:tcPr>
          <w:p w14:paraId="33E02A36">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做好食堂员工的管理，食堂</w:t>
            </w:r>
            <w:r>
              <w:rPr>
                <w:rFonts w:hint="eastAsia" w:ascii="宋体" w:hAnsi="宋体" w:cs="宋体"/>
                <w:color w:val="auto"/>
                <w:kern w:val="0"/>
                <w:sz w:val="20"/>
                <w:szCs w:val="20"/>
                <w:highlight w:val="none"/>
                <w:lang w:val="en-US" w:eastAsia="zh-CN"/>
              </w:rPr>
              <w:t>管理岗位人员</w:t>
            </w:r>
            <w:r>
              <w:rPr>
                <w:rFonts w:hint="eastAsia" w:ascii="宋体" w:hAnsi="宋体" w:cs="宋体"/>
                <w:color w:val="auto"/>
                <w:kern w:val="0"/>
                <w:sz w:val="20"/>
                <w:szCs w:val="20"/>
                <w:highlight w:val="none"/>
              </w:rPr>
              <w:t>的人事变动及薪酬管理</w:t>
            </w:r>
            <w:r>
              <w:rPr>
                <w:rFonts w:hint="eastAsia" w:ascii="宋体" w:hAnsi="宋体" w:cs="宋体"/>
                <w:color w:val="auto"/>
                <w:kern w:val="0"/>
                <w:sz w:val="20"/>
                <w:szCs w:val="20"/>
                <w:highlight w:val="none"/>
                <w:lang w:val="en-US" w:eastAsia="zh-CN"/>
              </w:rPr>
              <w:t>需经采购方综合服务中心确认后方可执行</w:t>
            </w:r>
            <w:r>
              <w:rPr>
                <w:rFonts w:hint="eastAsia" w:ascii="宋体" w:hAnsi="宋体" w:cs="宋体"/>
                <w:color w:val="auto"/>
                <w:kern w:val="0"/>
                <w:sz w:val="20"/>
                <w:szCs w:val="20"/>
                <w:highlight w:val="none"/>
              </w:rPr>
              <w:t>。</w:t>
            </w:r>
          </w:p>
        </w:tc>
        <w:tc>
          <w:tcPr>
            <w:tcW w:w="795" w:type="dxa"/>
            <w:tcBorders>
              <w:top w:val="single" w:color="000000" w:sz="4" w:space="0"/>
              <w:left w:val="single" w:color="000000" w:sz="4" w:space="0"/>
              <w:bottom w:val="single" w:color="auto" w:sz="4" w:space="0"/>
              <w:right w:val="single" w:color="000000" w:sz="4" w:space="0"/>
            </w:tcBorders>
            <w:vAlign w:val="center"/>
          </w:tcPr>
          <w:p w14:paraId="42D07107">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3</w:t>
            </w:r>
          </w:p>
        </w:tc>
        <w:tc>
          <w:tcPr>
            <w:tcW w:w="3000" w:type="dxa"/>
            <w:tcBorders>
              <w:top w:val="single" w:color="000000" w:sz="4" w:space="0"/>
              <w:left w:val="single" w:color="000000" w:sz="4" w:space="0"/>
              <w:bottom w:val="single" w:color="auto" w:sz="4" w:space="0"/>
              <w:right w:val="single" w:color="000000" w:sz="4" w:space="0"/>
            </w:tcBorders>
            <w:vAlign w:val="center"/>
          </w:tcPr>
          <w:p w14:paraId="55534495">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不做好食堂员工的管理，食堂</w:t>
            </w:r>
            <w:r>
              <w:rPr>
                <w:rFonts w:hint="eastAsia" w:ascii="宋体" w:hAnsi="宋体" w:cs="宋体"/>
                <w:color w:val="auto"/>
                <w:kern w:val="0"/>
                <w:sz w:val="20"/>
                <w:szCs w:val="20"/>
                <w:highlight w:val="none"/>
                <w:lang w:val="en-US" w:eastAsia="zh-CN"/>
              </w:rPr>
              <w:t>管理岗位人员</w:t>
            </w:r>
            <w:r>
              <w:rPr>
                <w:rFonts w:hint="eastAsia" w:ascii="宋体" w:hAnsi="宋体" w:cs="宋体"/>
                <w:color w:val="auto"/>
                <w:kern w:val="0"/>
                <w:sz w:val="20"/>
                <w:szCs w:val="20"/>
                <w:highlight w:val="none"/>
              </w:rPr>
              <w:t>的人事变动及薪酬管理</w:t>
            </w:r>
            <w:r>
              <w:rPr>
                <w:rFonts w:hint="eastAsia" w:ascii="宋体" w:hAnsi="宋体" w:cs="宋体"/>
                <w:color w:val="auto"/>
                <w:kern w:val="0"/>
                <w:sz w:val="20"/>
                <w:szCs w:val="20"/>
                <w:highlight w:val="none"/>
                <w:lang w:val="en-US" w:eastAsia="zh-CN"/>
              </w:rPr>
              <w:t>没有经采购方综合服务中心确认后执行</w:t>
            </w:r>
            <w:r>
              <w:rPr>
                <w:rFonts w:hint="eastAsia" w:ascii="宋体" w:hAnsi="宋体" w:cs="宋体"/>
                <w:color w:val="auto"/>
                <w:kern w:val="0"/>
                <w:sz w:val="20"/>
                <w:szCs w:val="20"/>
                <w:highlight w:val="none"/>
              </w:rPr>
              <w:t>。</w:t>
            </w:r>
          </w:p>
        </w:tc>
        <w:tc>
          <w:tcPr>
            <w:tcW w:w="855" w:type="dxa"/>
            <w:tcBorders>
              <w:top w:val="single" w:color="000000" w:sz="4" w:space="0"/>
              <w:left w:val="single" w:color="000000" w:sz="4" w:space="0"/>
              <w:bottom w:val="single" w:color="auto" w:sz="4" w:space="0"/>
              <w:right w:val="single" w:color="000000" w:sz="4" w:space="0"/>
            </w:tcBorders>
            <w:vAlign w:val="center"/>
          </w:tcPr>
          <w:p w14:paraId="06795596">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-0.</w:t>
            </w:r>
            <w:r>
              <w:rPr>
                <w:rFonts w:hint="eastAsia" w:ascii="宋体" w:hAnsi="宋体" w:cs="宋体"/>
                <w:color w:val="auto"/>
                <w:kern w:val="0"/>
                <w:sz w:val="20"/>
                <w:szCs w:val="20"/>
                <w:highlight w:val="none"/>
                <w:lang w:val="en-US" w:eastAsia="zh-CN"/>
              </w:rPr>
              <w:t>2</w:t>
            </w:r>
            <w:r>
              <w:rPr>
                <w:rFonts w:hint="eastAsia" w:ascii="宋体" w:hAnsi="宋体" w:cs="宋体"/>
                <w:color w:val="auto"/>
                <w:kern w:val="0"/>
                <w:sz w:val="20"/>
                <w:szCs w:val="20"/>
                <w:highlight w:val="none"/>
              </w:rPr>
              <w:t>分/次</w:t>
            </w:r>
          </w:p>
        </w:tc>
        <w:tc>
          <w:tcPr>
            <w:tcW w:w="675" w:type="dxa"/>
            <w:tcBorders>
              <w:top w:val="single" w:color="000000" w:sz="4" w:space="0"/>
              <w:left w:val="single" w:color="000000" w:sz="4" w:space="0"/>
              <w:bottom w:val="single" w:color="auto" w:sz="4" w:space="0"/>
              <w:right w:val="single" w:color="000000" w:sz="4" w:space="0"/>
            </w:tcBorders>
            <w:vAlign w:val="top"/>
          </w:tcPr>
          <w:p w14:paraId="6135032F">
            <w:pPr>
              <w:jc w:val="center"/>
              <w:rPr>
                <w:rFonts w:ascii="宋体" w:hAnsi="宋体" w:cs="宋体"/>
                <w:color w:val="auto"/>
                <w:sz w:val="20"/>
                <w:szCs w:val="20"/>
                <w:highlight w:val="none"/>
              </w:rPr>
            </w:pPr>
          </w:p>
        </w:tc>
        <w:tc>
          <w:tcPr>
            <w:tcW w:w="831" w:type="dxa"/>
            <w:tcBorders>
              <w:bottom w:val="single" w:color="auto" w:sz="4" w:space="0"/>
              <w:right w:val="single" w:color="000000" w:sz="4" w:space="0"/>
            </w:tcBorders>
            <w:vAlign w:val="center"/>
          </w:tcPr>
          <w:p w14:paraId="1E1F4D1A">
            <w:pPr>
              <w:jc w:val="both"/>
              <w:rPr>
                <w:rFonts w:ascii="宋体" w:hAnsi="宋体" w:cs="宋体"/>
                <w:color w:val="auto"/>
                <w:sz w:val="20"/>
                <w:szCs w:val="20"/>
                <w:highlight w:val="none"/>
              </w:rPr>
            </w:pPr>
          </w:p>
        </w:tc>
      </w:tr>
      <w:tr w14:paraId="5611B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auto" w:sz="4" w:space="0"/>
              <w:bottom w:val="single" w:color="auto" w:sz="4" w:space="0"/>
              <w:right w:val="single" w:color="auto" w:sz="4" w:space="0"/>
            </w:tcBorders>
            <w:vAlign w:val="center"/>
          </w:tcPr>
          <w:p w14:paraId="4F50A09E">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四</w:t>
            </w:r>
          </w:p>
        </w:tc>
        <w:tc>
          <w:tcPr>
            <w:tcW w:w="2655" w:type="dxa"/>
            <w:tcBorders>
              <w:top w:val="single" w:color="auto" w:sz="4" w:space="0"/>
              <w:left w:val="single" w:color="auto" w:sz="4" w:space="0"/>
              <w:bottom w:val="single" w:color="auto" w:sz="4" w:space="0"/>
              <w:right w:val="single" w:color="auto" w:sz="4" w:space="0"/>
            </w:tcBorders>
            <w:vAlign w:val="center"/>
          </w:tcPr>
          <w:p w14:paraId="0BFAA81E">
            <w:pPr>
              <w:widowControl/>
              <w:jc w:val="left"/>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安全管理及卫生清洁</w:t>
            </w:r>
          </w:p>
        </w:tc>
        <w:tc>
          <w:tcPr>
            <w:tcW w:w="795" w:type="dxa"/>
            <w:tcBorders>
              <w:top w:val="single" w:color="auto" w:sz="4" w:space="0"/>
              <w:left w:val="single" w:color="auto" w:sz="4" w:space="0"/>
              <w:bottom w:val="single" w:color="auto" w:sz="4" w:space="0"/>
              <w:right w:val="single" w:color="auto" w:sz="4" w:space="0"/>
            </w:tcBorders>
            <w:vAlign w:val="center"/>
          </w:tcPr>
          <w:p w14:paraId="4CC32088">
            <w:pPr>
              <w:jc w:val="center"/>
              <w:rPr>
                <w:rFonts w:hint="eastAsia" w:ascii="宋体" w:hAnsi="宋体" w:eastAsia="宋体" w:cs="宋体"/>
                <w:b/>
                <w:color w:val="auto"/>
                <w:sz w:val="20"/>
                <w:szCs w:val="20"/>
                <w:highlight w:val="none"/>
                <w:lang w:val="en-US" w:eastAsia="zh-CN"/>
              </w:rPr>
            </w:pPr>
            <w:r>
              <w:rPr>
                <w:rFonts w:hint="eastAsia" w:ascii="宋体" w:hAnsi="宋体" w:cs="宋体"/>
                <w:b/>
                <w:color w:val="auto"/>
                <w:sz w:val="20"/>
                <w:szCs w:val="20"/>
                <w:highlight w:val="none"/>
                <w:lang w:val="en-US" w:eastAsia="zh-CN"/>
              </w:rPr>
              <w:t>18</w:t>
            </w:r>
          </w:p>
        </w:tc>
        <w:tc>
          <w:tcPr>
            <w:tcW w:w="3000" w:type="dxa"/>
            <w:tcBorders>
              <w:top w:val="single" w:color="auto" w:sz="4" w:space="0"/>
              <w:left w:val="single" w:color="auto" w:sz="4" w:space="0"/>
              <w:bottom w:val="single" w:color="auto" w:sz="4" w:space="0"/>
              <w:right w:val="single" w:color="auto" w:sz="4" w:space="0"/>
            </w:tcBorders>
            <w:vAlign w:val="center"/>
          </w:tcPr>
          <w:p w14:paraId="6E7B98C0">
            <w:pPr>
              <w:jc w:val="left"/>
              <w:rPr>
                <w:rFonts w:ascii="宋体" w:hAnsi="宋体" w:cs="宋体"/>
                <w:b/>
                <w:color w:val="auto"/>
                <w:sz w:val="20"/>
                <w:szCs w:val="20"/>
                <w:highlight w:val="none"/>
              </w:rPr>
            </w:pPr>
          </w:p>
        </w:tc>
        <w:tc>
          <w:tcPr>
            <w:tcW w:w="855" w:type="dxa"/>
            <w:tcBorders>
              <w:top w:val="single" w:color="auto" w:sz="4" w:space="0"/>
              <w:left w:val="single" w:color="auto" w:sz="4" w:space="0"/>
              <w:bottom w:val="single" w:color="auto" w:sz="4" w:space="0"/>
              <w:right w:val="single" w:color="auto" w:sz="4" w:space="0"/>
            </w:tcBorders>
            <w:vAlign w:val="center"/>
          </w:tcPr>
          <w:p w14:paraId="3B43BE27">
            <w:pPr>
              <w:jc w:val="center"/>
              <w:rPr>
                <w:rFonts w:ascii="宋体" w:hAnsi="宋体" w:cs="宋体"/>
                <w:color w:val="auto"/>
                <w:sz w:val="20"/>
                <w:szCs w:val="20"/>
                <w:highlight w:val="none"/>
              </w:rPr>
            </w:pPr>
          </w:p>
        </w:tc>
        <w:tc>
          <w:tcPr>
            <w:tcW w:w="675" w:type="dxa"/>
            <w:tcBorders>
              <w:top w:val="single" w:color="auto" w:sz="4" w:space="0"/>
              <w:left w:val="single" w:color="auto" w:sz="4" w:space="0"/>
              <w:bottom w:val="single" w:color="auto" w:sz="4" w:space="0"/>
              <w:right w:val="single" w:color="auto" w:sz="4" w:space="0"/>
            </w:tcBorders>
            <w:vAlign w:val="top"/>
          </w:tcPr>
          <w:p w14:paraId="07FEE0B1">
            <w:pPr>
              <w:jc w:val="center"/>
              <w:rPr>
                <w:rFonts w:ascii="宋体" w:hAnsi="宋体" w:cs="宋体"/>
                <w:color w:val="auto"/>
                <w:sz w:val="20"/>
                <w:szCs w:val="20"/>
                <w:highlight w:val="none"/>
              </w:rPr>
            </w:pPr>
          </w:p>
        </w:tc>
        <w:tc>
          <w:tcPr>
            <w:tcW w:w="831" w:type="dxa"/>
            <w:tcBorders>
              <w:top w:val="single" w:color="auto" w:sz="4" w:space="0"/>
              <w:left w:val="single" w:color="auto" w:sz="4" w:space="0"/>
              <w:bottom w:val="single" w:color="auto" w:sz="4" w:space="0"/>
              <w:right w:val="single" w:color="auto" w:sz="4" w:space="0"/>
            </w:tcBorders>
            <w:vAlign w:val="center"/>
          </w:tcPr>
          <w:p w14:paraId="7BCCBC59">
            <w:pPr>
              <w:jc w:val="center"/>
              <w:rPr>
                <w:rFonts w:ascii="宋体" w:hAnsi="宋体" w:cs="宋体"/>
                <w:color w:val="auto"/>
                <w:sz w:val="20"/>
                <w:szCs w:val="20"/>
                <w:highlight w:val="none"/>
              </w:rPr>
            </w:pPr>
          </w:p>
        </w:tc>
      </w:tr>
      <w:tr w14:paraId="72381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000000" w:sz="4" w:space="0"/>
              <w:bottom w:val="single" w:color="000000" w:sz="4" w:space="0"/>
              <w:right w:val="single" w:color="000000" w:sz="4" w:space="0"/>
            </w:tcBorders>
            <w:vAlign w:val="center"/>
          </w:tcPr>
          <w:p w14:paraId="368D3BB9">
            <w:pPr>
              <w:widowControl/>
              <w:jc w:val="center"/>
              <w:textAlignment w:val="center"/>
              <w:rPr>
                <w:rFonts w:hint="eastAsia" w:ascii="宋体" w:hAnsi="宋体" w:cs="宋体" w:eastAsiaTheme="minorEastAsia"/>
                <w:color w:val="auto"/>
                <w:sz w:val="20"/>
                <w:szCs w:val="20"/>
                <w:highlight w:val="none"/>
                <w:lang w:eastAsia="zh-CN"/>
              </w:rPr>
            </w:pPr>
            <w:r>
              <w:rPr>
                <w:rFonts w:hint="eastAsia" w:ascii="宋体" w:hAnsi="宋体" w:cs="宋体"/>
                <w:color w:val="auto"/>
                <w:kern w:val="0"/>
                <w:sz w:val="20"/>
                <w:szCs w:val="20"/>
                <w:highlight w:val="none"/>
                <w:lang w:val="en-US" w:eastAsia="zh-CN"/>
              </w:rPr>
              <w:t>9</w:t>
            </w:r>
          </w:p>
        </w:tc>
        <w:tc>
          <w:tcPr>
            <w:tcW w:w="2655" w:type="dxa"/>
            <w:tcBorders>
              <w:top w:val="single" w:color="auto" w:sz="4" w:space="0"/>
              <w:left w:val="single" w:color="000000" w:sz="4" w:space="0"/>
              <w:bottom w:val="single" w:color="000000" w:sz="4" w:space="0"/>
              <w:right w:val="single" w:color="000000" w:sz="4" w:space="0"/>
            </w:tcBorders>
            <w:vAlign w:val="center"/>
          </w:tcPr>
          <w:p w14:paraId="5C9F418F">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根据</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安全生产风险体系建设要求开展食堂的各项管理工作。</w:t>
            </w:r>
          </w:p>
        </w:tc>
        <w:tc>
          <w:tcPr>
            <w:tcW w:w="795" w:type="dxa"/>
            <w:tcBorders>
              <w:top w:val="single" w:color="auto" w:sz="4" w:space="0"/>
              <w:left w:val="single" w:color="000000" w:sz="4" w:space="0"/>
              <w:bottom w:val="single" w:color="000000" w:sz="4" w:space="0"/>
              <w:right w:val="single" w:color="000000" w:sz="4" w:space="0"/>
            </w:tcBorders>
            <w:vAlign w:val="center"/>
          </w:tcPr>
          <w:p w14:paraId="4FF67AFE">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top w:val="single" w:color="auto" w:sz="4" w:space="0"/>
              <w:left w:val="single" w:color="000000" w:sz="4" w:space="0"/>
              <w:bottom w:val="single" w:color="000000" w:sz="4" w:space="0"/>
              <w:right w:val="single" w:color="000000" w:sz="4" w:space="0"/>
            </w:tcBorders>
            <w:vAlign w:val="center"/>
          </w:tcPr>
          <w:p w14:paraId="0272119B">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不按照</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安全生产风险体系建设要求开展食堂的各项管理工作。</w:t>
            </w:r>
          </w:p>
        </w:tc>
        <w:tc>
          <w:tcPr>
            <w:tcW w:w="855" w:type="dxa"/>
            <w:tcBorders>
              <w:top w:val="single" w:color="auto" w:sz="4" w:space="0"/>
              <w:left w:val="single" w:color="000000" w:sz="4" w:space="0"/>
              <w:bottom w:val="single" w:color="000000" w:sz="4" w:space="0"/>
              <w:right w:val="single" w:color="000000" w:sz="4" w:space="0"/>
            </w:tcBorders>
            <w:vAlign w:val="center"/>
          </w:tcPr>
          <w:p w14:paraId="04D2D970">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-0.</w:t>
            </w:r>
            <w:r>
              <w:rPr>
                <w:rFonts w:hint="eastAsia" w:ascii="宋体" w:hAnsi="宋体" w:cs="宋体"/>
                <w:color w:val="auto"/>
                <w:kern w:val="0"/>
                <w:sz w:val="20"/>
                <w:szCs w:val="20"/>
                <w:highlight w:val="none"/>
                <w:lang w:val="en-US" w:eastAsia="zh-CN"/>
              </w:rPr>
              <w:t>2</w:t>
            </w:r>
            <w:r>
              <w:rPr>
                <w:rFonts w:hint="eastAsia" w:ascii="宋体" w:hAnsi="宋体" w:cs="宋体"/>
                <w:color w:val="auto"/>
                <w:kern w:val="0"/>
                <w:sz w:val="20"/>
                <w:szCs w:val="20"/>
                <w:highlight w:val="none"/>
              </w:rPr>
              <w:t>分/次</w:t>
            </w:r>
          </w:p>
        </w:tc>
        <w:tc>
          <w:tcPr>
            <w:tcW w:w="675" w:type="dxa"/>
            <w:tcBorders>
              <w:top w:val="single" w:color="auto" w:sz="4" w:space="0"/>
              <w:left w:val="single" w:color="000000" w:sz="4" w:space="0"/>
              <w:bottom w:val="single" w:color="000000" w:sz="4" w:space="0"/>
              <w:right w:val="single" w:color="000000" w:sz="4" w:space="0"/>
            </w:tcBorders>
            <w:vAlign w:val="top"/>
          </w:tcPr>
          <w:p w14:paraId="240D9D20">
            <w:pPr>
              <w:jc w:val="center"/>
              <w:rPr>
                <w:rFonts w:ascii="宋体" w:hAnsi="宋体" w:cs="宋体"/>
                <w:color w:val="auto"/>
                <w:sz w:val="20"/>
                <w:szCs w:val="20"/>
                <w:highlight w:val="none"/>
              </w:rPr>
            </w:pPr>
          </w:p>
        </w:tc>
        <w:tc>
          <w:tcPr>
            <w:tcW w:w="831" w:type="dxa"/>
            <w:tcBorders>
              <w:top w:val="single" w:color="auto" w:sz="4" w:space="0"/>
              <w:left w:val="single" w:color="000000" w:sz="4" w:space="0"/>
              <w:bottom w:val="single" w:color="000000" w:sz="4" w:space="0"/>
              <w:right w:val="single" w:color="000000" w:sz="4" w:space="0"/>
            </w:tcBorders>
            <w:vAlign w:val="center"/>
          </w:tcPr>
          <w:p w14:paraId="4C085EC9">
            <w:pPr>
              <w:jc w:val="center"/>
              <w:rPr>
                <w:rFonts w:ascii="宋体" w:hAnsi="宋体" w:cs="宋体"/>
                <w:color w:val="auto"/>
                <w:sz w:val="20"/>
                <w:szCs w:val="20"/>
                <w:highlight w:val="none"/>
              </w:rPr>
            </w:pPr>
          </w:p>
        </w:tc>
      </w:tr>
      <w:tr w14:paraId="6789A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74E520FC">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10</w:t>
            </w:r>
          </w:p>
        </w:tc>
        <w:tc>
          <w:tcPr>
            <w:tcW w:w="2655" w:type="dxa"/>
            <w:tcBorders>
              <w:top w:val="single" w:color="000000" w:sz="4" w:space="0"/>
              <w:left w:val="single" w:color="000000" w:sz="4" w:space="0"/>
              <w:bottom w:val="single" w:color="000000" w:sz="4" w:space="0"/>
              <w:right w:val="single" w:color="000000" w:sz="4" w:space="0"/>
            </w:tcBorders>
            <w:vAlign w:val="center"/>
          </w:tcPr>
          <w:p w14:paraId="1541FC1D">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食堂内部环境、操作间、售饭室、餐厅整洁，周围无污染</w:t>
            </w:r>
            <w:r>
              <w:rPr>
                <w:rFonts w:hint="eastAsia" w:ascii="宋体" w:hAnsi="宋体" w:cs="宋体"/>
                <w:color w:val="auto"/>
                <w:kern w:val="0"/>
                <w:sz w:val="20"/>
                <w:szCs w:val="20"/>
                <w:highlight w:val="none"/>
                <w:lang w:eastAsia="zh-CN"/>
              </w:rPr>
              <w:t>，</w:t>
            </w:r>
            <w:r>
              <w:rPr>
                <w:rFonts w:hint="eastAsia" w:ascii="宋体" w:hAnsi="宋体" w:cs="宋体"/>
                <w:color w:val="auto"/>
                <w:kern w:val="0"/>
                <w:sz w:val="20"/>
                <w:szCs w:val="20"/>
                <w:highlight w:val="none"/>
                <w:lang w:val="en-US" w:eastAsia="zh-CN"/>
              </w:rPr>
              <w:t>灭四害防治措施有效</w:t>
            </w:r>
            <w:r>
              <w:rPr>
                <w:rFonts w:hint="eastAsia" w:ascii="宋体" w:hAnsi="宋体" w:cs="宋体"/>
                <w:color w:val="auto"/>
                <w:kern w:val="0"/>
                <w:sz w:val="20"/>
                <w:szCs w:val="20"/>
                <w:highlight w:val="none"/>
              </w:rPr>
              <w:t>。洗菜池、灶台、墙壁、地面等清洁干净，无污迹、油渍，达到</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安全风险体系建设要求。</w:t>
            </w:r>
          </w:p>
        </w:tc>
        <w:tc>
          <w:tcPr>
            <w:tcW w:w="795" w:type="dxa"/>
            <w:tcBorders>
              <w:top w:val="single" w:color="000000" w:sz="4" w:space="0"/>
              <w:left w:val="single" w:color="000000" w:sz="4" w:space="0"/>
              <w:bottom w:val="single" w:color="000000" w:sz="4" w:space="0"/>
              <w:right w:val="single" w:color="000000" w:sz="4" w:space="0"/>
            </w:tcBorders>
            <w:vAlign w:val="center"/>
          </w:tcPr>
          <w:p w14:paraId="4A0ECAB7">
            <w:pPr>
              <w:widowControl/>
              <w:jc w:val="center"/>
              <w:textAlignment w:val="center"/>
              <w:rPr>
                <w:rFonts w:hint="eastAsia"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6E44C1BE">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食堂内部环境、操作间、售饭室、餐厅整洁，发现周围存在污染，四害及孳生地不能有效的防治。洗菜池、灶台、墙壁、地面等有污迹、油渍，不达到</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安全风险体系建设要求。</w:t>
            </w:r>
          </w:p>
        </w:tc>
        <w:tc>
          <w:tcPr>
            <w:tcW w:w="855" w:type="dxa"/>
            <w:tcBorders>
              <w:top w:val="single" w:color="000000" w:sz="4" w:space="0"/>
              <w:left w:val="single" w:color="000000" w:sz="4" w:space="0"/>
              <w:bottom w:val="single" w:color="000000" w:sz="4" w:space="0"/>
              <w:right w:val="single" w:color="000000" w:sz="4" w:space="0"/>
            </w:tcBorders>
            <w:vAlign w:val="center"/>
          </w:tcPr>
          <w:p w14:paraId="4EF0CBB7">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-0.</w:t>
            </w:r>
            <w:r>
              <w:rPr>
                <w:rFonts w:hint="eastAsia" w:ascii="宋体" w:hAnsi="宋体" w:cs="宋体"/>
                <w:color w:val="auto"/>
                <w:kern w:val="0"/>
                <w:sz w:val="20"/>
                <w:szCs w:val="20"/>
                <w:highlight w:val="none"/>
                <w:lang w:val="en-US" w:eastAsia="zh-CN"/>
              </w:rPr>
              <w:t>1</w:t>
            </w:r>
            <w:r>
              <w:rPr>
                <w:rFonts w:hint="eastAsia" w:ascii="宋体" w:hAnsi="宋体" w:cs="宋体"/>
                <w:color w:val="auto"/>
                <w:kern w:val="0"/>
                <w:sz w:val="20"/>
                <w:szCs w:val="20"/>
                <w:highlight w:val="none"/>
              </w:rPr>
              <w:t>分/处</w:t>
            </w:r>
          </w:p>
        </w:tc>
        <w:tc>
          <w:tcPr>
            <w:tcW w:w="675" w:type="dxa"/>
            <w:tcBorders>
              <w:top w:val="single" w:color="000000" w:sz="4" w:space="0"/>
              <w:left w:val="single" w:color="000000" w:sz="4" w:space="0"/>
              <w:bottom w:val="single" w:color="000000" w:sz="4" w:space="0"/>
              <w:right w:val="single" w:color="000000" w:sz="4" w:space="0"/>
            </w:tcBorders>
            <w:vAlign w:val="top"/>
          </w:tcPr>
          <w:p w14:paraId="393D538D">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000000" w:sz="4" w:space="0"/>
              <w:right w:val="single" w:color="000000" w:sz="4" w:space="0"/>
            </w:tcBorders>
            <w:vAlign w:val="center"/>
          </w:tcPr>
          <w:p w14:paraId="5042C32F">
            <w:pPr>
              <w:jc w:val="both"/>
              <w:rPr>
                <w:rFonts w:hint="default" w:ascii="宋体" w:hAnsi="宋体" w:eastAsia="宋体" w:cs="宋体"/>
                <w:color w:val="auto"/>
                <w:sz w:val="20"/>
                <w:szCs w:val="20"/>
                <w:highlight w:val="none"/>
                <w:lang w:val="en-US" w:eastAsia="zh-CN"/>
              </w:rPr>
            </w:pPr>
          </w:p>
        </w:tc>
      </w:tr>
      <w:tr w14:paraId="7922F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0A9F953A">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11</w:t>
            </w:r>
          </w:p>
        </w:tc>
        <w:tc>
          <w:tcPr>
            <w:tcW w:w="2655" w:type="dxa"/>
            <w:tcBorders>
              <w:top w:val="single" w:color="000000" w:sz="4" w:space="0"/>
              <w:left w:val="single" w:color="000000" w:sz="4" w:space="0"/>
              <w:bottom w:val="single" w:color="000000" w:sz="4" w:space="0"/>
              <w:right w:val="single" w:color="000000" w:sz="4" w:space="0"/>
            </w:tcBorders>
            <w:vAlign w:val="center"/>
          </w:tcPr>
          <w:p w14:paraId="32DC06E2">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冷冻库、冷藏室无蜘蛛网、无油渍。生熟食品的工用具、冷藏要生熟分开，刀具无锈、面案见本色、盖布干净</w:t>
            </w:r>
            <w:r>
              <w:rPr>
                <w:rFonts w:hint="eastAsia" w:ascii="宋体" w:hAnsi="宋体" w:cs="宋体"/>
                <w:color w:val="auto"/>
                <w:kern w:val="0"/>
                <w:sz w:val="20"/>
                <w:szCs w:val="20"/>
                <w:highlight w:val="none"/>
                <w:lang w:eastAsia="zh-CN"/>
              </w:rPr>
              <w:t>，</w:t>
            </w:r>
            <w:r>
              <w:rPr>
                <w:rFonts w:hint="eastAsia" w:ascii="宋体" w:hAnsi="宋体" w:cs="宋体"/>
                <w:color w:val="auto"/>
                <w:kern w:val="0"/>
                <w:sz w:val="20"/>
                <w:szCs w:val="20"/>
                <w:highlight w:val="none"/>
              </w:rPr>
              <w:t>防止污染，达到</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安全风险体系建设要求。</w:t>
            </w:r>
          </w:p>
        </w:tc>
        <w:tc>
          <w:tcPr>
            <w:tcW w:w="795" w:type="dxa"/>
            <w:tcBorders>
              <w:top w:val="single" w:color="000000" w:sz="4" w:space="0"/>
              <w:left w:val="single" w:color="000000" w:sz="4" w:space="0"/>
              <w:bottom w:val="single" w:color="000000" w:sz="4" w:space="0"/>
              <w:right w:val="single" w:color="000000" w:sz="4" w:space="0"/>
            </w:tcBorders>
            <w:vAlign w:val="center"/>
          </w:tcPr>
          <w:p w14:paraId="11FE9CBA">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54F77B32">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冷冻库、冷藏室有蜘蛛网、有油渍。生熟食品的工用具、冷藏，生熟没有分开，刀具有锈、面案不见本色、盖布不干净</w:t>
            </w:r>
            <w:r>
              <w:rPr>
                <w:rFonts w:hint="eastAsia" w:ascii="宋体" w:hAnsi="宋体" w:cs="宋体"/>
                <w:color w:val="auto"/>
                <w:kern w:val="0"/>
                <w:sz w:val="20"/>
                <w:szCs w:val="20"/>
                <w:highlight w:val="none"/>
                <w:lang w:eastAsia="zh-CN"/>
              </w:rPr>
              <w:t>，</w:t>
            </w:r>
            <w:r>
              <w:rPr>
                <w:rFonts w:hint="eastAsia" w:ascii="宋体" w:hAnsi="宋体" w:cs="宋体"/>
                <w:color w:val="auto"/>
                <w:kern w:val="0"/>
                <w:sz w:val="20"/>
                <w:szCs w:val="20"/>
                <w:highlight w:val="none"/>
              </w:rPr>
              <w:t>有污染现象，不达到</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安全风险体系建设要求。</w:t>
            </w:r>
          </w:p>
        </w:tc>
        <w:tc>
          <w:tcPr>
            <w:tcW w:w="855" w:type="dxa"/>
            <w:tcBorders>
              <w:top w:val="single" w:color="000000" w:sz="4" w:space="0"/>
              <w:left w:val="single" w:color="000000" w:sz="4" w:space="0"/>
              <w:bottom w:val="single" w:color="000000" w:sz="4" w:space="0"/>
              <w:right w:val="single" w:color="000000" w:sz="4" w:space="0"/>
            </w:tcBorders>
            <w:vAlign w:val="center"/>
          </w:tcPr>
          <w:p w14:paraId="40D3D719">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-0.</w:t>
            </w:r>
            <w:r>
              <w:rPr>
                <w:rFonts w:hint="eastAsia" w:ascii="宋体" w:hAnsi="宋体" w:cs="宋体"/>
                <w:color w:val="auto"/>
                <w:kern w:val="0"/>
                <w:sz w:val="20"/>
                <w:szCs w:val="20"/>
                <w:highlight w:val="none"/>
                <w:lang w:val="en-US" w:eastAsia="zh-CN"/>
              </w:rPr>
              <w:t>1</w:t>
            </w:r>
            <w:r>
              <w:rPr>
                <w:rFonts w:hint="eastAsia" w:ascii="宋体" w:hAnsi="宋体" w:cs="宋体"/>
                <w:color w:val="auto"/>
                <w:kern w:val="0"/>
                <w:sz w:val="20"/>
                <w:szCs w:val="20"/>
                <w:highlight w:val="none"/>
              </w:rPr>
              <w:t>分/（处或次）</w:t>
            </w:r>
          </w:p>
        </w:tc>
        <w:tc>
          <w:tcPr>
            <w:tcW w:w="675" w:type="dxa"/>
            <w:tcBorders>
              <w:top w:val="single" w:color="000000" w:sz="4" w:space="0"/>
              <w:left w:val="single" w:color="000000" w:sz="4" w:space="0"/>
              <w:bottom w:val="single" w:color="000000" w:sz="4" w:space="0"/>
              <w:right w:val="single" w:color="000000" w:sz="4" w:space="0"/>
            </w:tcBorders>
            <w:vAlign w:val="top"/>
          </w:tcPr>
          <w:p w14:paraId="1DA3804C">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000000" w:sz="4" w:space="0"/>
              <w:right w:val="single" w:color="000000" w:sz="4" w:space="0"/>
            </w:tcBorders>
            <w:vAlign w:val="center"/>
          </w:tcPr>
          <w:p w14:paraId="0BC71BDC">
            <w:pPr>
              <w:jc w:val="center"/>
              <w:rPr>
                <w:rFonts w:ascii="宋体" w:hAnsi="宋体" w:cs="宋体"/>
                <w:color w:val="auto"/>
                <w:sz w:val="20"/>
                <w:szCs w:val="20"/>
                <w:highlight w:val="none"/>
              </w:rPr>
            </w:pPr>
          </w:p>
        </w:tc>
      </w:tr>
      <w:tr w14:paraId="213B5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01B3820D">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12</w:t>
            </w:r>
          </w:p>
        </w:tc>
        <w:tc>
          <w:tcPr>
            <w:tcW w:w="2655" w:type="dxa"/>
            <w:tcBorders>
              <w:top w:val="single" w:color="000000" w:sz="4" w:space="0"/>
              <w:left w:val="single" w:color="000000" w:sz="4" w:space="0"/>
              <w:bottom w:val="single" w:color="000000" w:sz="4" w:space="0"/>
              <w:right w:val="single" w:color="000000" w:sz="4" w:space="0"/>
            </w:tcBorders>
            <w:vAlign w:val="center"/>
          </w:tcPr>
          <w:p w14:paraId="5A84314C">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餐厅桌椅干净、地面清洁无污迹、墙角无蜘蛛网。</w:t>
            </w:r>
          </w:p>
        </w:tc>
        <w:tc>
          <w:tcPr>
            <w:tcW w:w="795" w:type="dxa"/>
            <w:tcBorders>
              <w:top w:val="single" w:color="000000" w:sz="4" w:space="0"/>
              <w:left w:val="single" w:color="000000" w:sz="4" w:space="0"/>
              <w:bottom w:val="single" w:color="000000" w:sz="4" w:space="0"/>
              <w:right w:val="single" w:color="000000" w:sz="4" w:space="0"/>
            </w:tcBorders>
            <w:vAlign w:val="center"/>
          </w:tcPr>
          <w:p w14:paraId="667C9089">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1</w:t>
            </w:r>
          </w:p>
        </w:tc>
        <w:tc>
          <w:tcPr>
            <w:tcW w:w="3000" w:type="dxa"/>
            <w:tcBorders>
              <w:top w:val="single" w:color="000000" w:sz="4" w:space="0"/>
              <w:left w:val="single" w:color="000000" w:sz="4" w:space="0"/>
              <w:bottom w:val="single" w:color="000000" w:sz="4" w:space="0"/>
              <w:right w:val="single" w:color="000000" w:sz="4" w:space="0"/>
            </w:tcBorders>
            <w:vAlign w:val="center"/>
          </w:tcPr>
          <w:p w14:paraId="630EBD02">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餐厅桌椅不干净、地面清洁有污迹、墙角有蜘蛛网。</w:t>
            </w:r>
          </w:p>
        </w:tc>
        <w:tc>
          <w:tcPr>
            <w:tcW w:w="855" w:type="dxa"/>
            <w:tcBorders>
              <w:top w:val="single" w:color="000000" w:sz="4" w:space="0"/>
              <w:left w:val="single" w:color="000000" w:sz="4" w:space="0"/>
              <w:bottom w:val="single" w:color="000000" w:sz="4" w:space="0"/>
              <w:right w:val="single" w:color="000000" w:sz="4" w:space="0"/>
            </w:tcBorders>
            <w:vAlign w:val="center"/>
          </w:tcPr>
          <w:p w14:paraId="64920F0F">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-0.</w:t>
            </w:r>
            <w:r>
              <w:rPr>
                <w:rFonts w:hint="eastAsia" w:ascii="宋体" w:hAnsi="宋体" w:cs="宋体"/>
                <w:color w:val="auto"/>
                <w:kern w:val="0"/>
                <w:sz w:val="20"/>
                <w:szCs w:val="20"/>
                <w:highlight w:val="none"/>
                <w:lang w:val="en-US" w:eastAsia="zh-CN"/>
              </w:rPr>
              <w:t>1</w:t>
            </w:r>
            <w:r>
              <w:rPr>
                <w:rFonts w:hint="eastAsia" w:ascii="宋体" w:hAnsi="宋体" w:cs="宋体"/>
                <w:color w:val="auto"/>
                <w:kern w:val="0"/>
                <w:sz w:val="20"/>
                <w:szCs w:val="20"/>
                <w:highlight w:val="none"/>
              </w:rPr>
              <w:t>分/（次或处）</w:t>
            </w:r>
          </w:p>
        </w:tc>
        <w:tc>
          <w:tcPr>
            <w:tcW w:w="675" w:type="dxa"/>
            <w:tcBorders>
              <w:top w:val="single" w:color="000000" w:sz="4" w:space="0"/>
              <w:left w:val="single" w:color="000000" w:sz="4" w:space="0"/>
              <w:bottom w:val="single" w:color="000000" w:sz="4" w:space="0"/>
              <w:right w:val="single" w:color="000000" w:sz="4" w:space="0"/>
            </w:tcBorders>
            <w:vAlign w:val="top"/>
          </w:tcPr>
          <w:p w14:paraId="058F21A4">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000000" w:sz="4" w:space="0"/>
              <w:right w:val="single" w:color="000000" w:sz="4" w:space="0"/>
            </w:tcBorders>
            <w:vAlign w:val="center"/>
          </w:tcPr>
          <w:p w14:paraId="53E6DD15">
            <w:pPr>
              <w:jc w:val="center"/>
              <w:rPr>
                <w:rFonts w:ascii="宋体" w:hAnsi="宋体" w:cs="宋体"/>
                <w:color w:val="auto"/>
                <w:sz w:val="20"/>
                <w:szCs w:val="20"/>
                <w:highlight w:val="none"/>
              </w:rPr>
            </w:pPr>
          </w:p>
        </w:tc>
      </w:tr>
      <w:tr w14:paraId="2A321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70E5C1AA">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13</w:t>
            </w:r>
          </w:p>
        </w:tc>
        <w:tc>
          <w:tcPr>
            <w:tcW w:w="2655" w:type="dxa"/>
            <w:tcBorders>
              <w:top w:val="single" w:color="000000" w:sz="4" w:space="0"/>
              <w:left w:val="single" w:color="000000" w:sz="4" w:space="0"/>
              <w:bottom w:val="single" w:color="000000" w:sz="4" w:space="0"/>
              <w:right w:val="single" w:color="000000" w:sz="4" w:space="0"/>
            </w:tcBorders>
            <w:vAlign w:val="center"/>
          </w:tcPr>
          <w:p w14:paraId="5768D854">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锅碗瓢盆、案板、菜刀、餐具消毒达标。工器具用后必须清洗干净，保持清洁，定位存放，公用餐具密闭存放。</w:t>
            </w:r>
          </w:p>
        </w:tc>
        <w:tc>
          <w:tcPr>
            <w:tcW w:w="795" w:type="dxa"/>
            <w:tcBorders>
              <w:top w:val="single" w:color="000000" w:sz="4" w:space="0"/>
              <w:left w:val="single" w:color="000000" w:sz="4" w:space="0"/>
              <w:bottom w:val="single" w:color="000000" w:sz="4" w:space="0"/>
              <w:right w:val="single" w:color="000000" w:sz="4" w:space="0"/>
            </w:tcBorders>
            <w:vAlign w:val="center"/>
          </w:tcPr>
          <w:p w14:paraId="6E4D9017">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5F9A716F">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锅碗瓢盆、案板、菜刀、餐具消毒达标。工器具用后必须清洗干净，保持清洁，定位存放，公用餐具密闭存放。</w:t>
            </w:r>
          </w:p>
        </w:tc>
        <w:tc>
          <w:tcPr>
            <w:tcW w:w="855" w:type="dxa"/>
            <w:tcBorders>
              <w:top w:val="single" w:color="000000" w:sz="4" w:space="0"/>
              <w:left w:val="single" w:color="000000" w:sz="4" w:space="0"/>
              <w:bottom w:val="single" w:color="000000" w:sz="4" w:space="0"/>
              <w:right w:val="single" w:color="000000" w:sz="4" w:space="0"/>
            </w:tcBorders>
            <w:vAlign w:val="center"/>
          </w:tcPr>
          <w:p w14:paraId="665049AE">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val="en-US" w:eastAsia="zh-CN"/>
              </w:rPr>
              <w:t>-0.1</w:t>
            </w:r>
            <w:r>
              <w:rPr>
                <w:rFonts w:hint="eastAsia" w:ascii="宋体" w:hAnsi="宋体" w:cs="宋体"/>
                <w:color w:val="auto"/>
                <w:kern w:val="0"/>
                <w:sz w:val="20"/>
                <w:szCs w:val="20"/>
                <w:highlight w:val="none"/>
              </w:rPr>
              <w:t>分/（次或处）</w:t>
            </w:r>
          </w:p>
        </w:tc>
        <w:tc>
          <w:tcPr>
            <w:tcW w:w="675" w:type="dxa"/>
            <w:tcBorders>
              <w:top w:val="single" w:color="000000" w:sz="4" w:space="0"/>
              <w:left w:val="single" w:color="000000" w:sz="4" w:space="0"/>
              <w:bottom w:val="single" w:color="000000" w:sz="4" w:space="0"/>
              <w:right w:val="single" w:color="000000" w:sz="4" w:space="0"/>
            </w:tcBorders>
            <w:vAlign w:val="top"/>
          </w:tcPr>
          <w:p w14:paraId="3EA2E41A">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000000" w:sz="4" w:space="0"/>
              <w:right w:val="single" w:color="000000" w:sz="4" w:space="0"/>
            </w:tcBorders>
            <w:vAlign w:val="center"/>
          </w:tcPr>
          <w:p w14:paraId="6ECE7E72">
            <w:pPr>
              <w:jc w:val="center"/>
              <w:rPr>
                <w:rFonts w:ascii="宋体" w:hAnsi="宋体" w:cs="宋体"/>
                <w:color w:val="auto"/>
                <w:sz w:val="20"/>
                <w:szCs w:val="20"/>
                <w:highlight w:val="none"/>
              </w:rPr>
            </w:pPr>
          </w:p>
        </w:tc>
      </w:tr>
      <w:tr w14:paraId="131AB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3E6FD109">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14</w:t>
            </w:r>
          </w:p>
        </w:tc>
        <w:tc>
          <w:tcPr>
            <w:tcW w:w="2655" w:type="dxa"/>
            <w:tcBorders>
              <w:top w:val="single" w:color="000000" w:sz="4" w:space="0"/>
              <w:left w:val="single" w:color="000000" w:sz="4" w:space="0"/>
              <w:bottom w:val="single" w:color="000000" w:sz="4" w:space="0"/>
              <w:right w:val="single" w:color="000000" w:sz="4" w:space="0"/>
            </w:tcBorders>
            <w:vAlign w:val="center"/>
          </w:tcPr>
          <w:p w14:paraId="67F5981E">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未经</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综合服务中心批准严禁非食堂工作人员随意进入烹饪室、售饭室及食物存放室。</w:t>
            </w:r>
          </w:p>
        </w:tc>
        <w:tc>
          <w:tcPr>
            <w:tcW w:w="795" w:type="dxa"/>
            <w:tcBorders>
              <w:top w:val="single" w:color="000000" w:sz="4" w:space="0"/>
              <w:left w:val="single" w:color="000000" w:sz="4" w:space="0"/>
              <w:bottom w:val="single" w:color="000000" w:sz="4" w:space="0"/>
              <w:right w:val="single" w:color="000000" w:sz="4" w:space="0"/>
            </w:tcBorders>
            <w:vAlign w:val="center"/>
          </w:tcPr>
          <w:p w14:paraId="1C9C7177">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372D32F8">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未经</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综合服务中心批准发现有非食堂工作人员随意进入烹饪室、售饭室及食物存放室。</w:t>
            </w:r>
          </w:p>
        </w:tc>
        <w:tc>
          <w:tcPr>
            <w:tcW w:w="855" w:type="dxa"/>
            <w:tcBorders>
              <w:top w:val="single" w:color="000000" w:sz="4" w:space="0"/>
              <w:left w:val="single" w:color="000000" w:sz="4" w:space="0"/>
              <w:bottom w:val="single" w:color="000000" w:sz="4" w:space="0"/>
              <w:right w:val="single" w:color="000000" w:sz="4" w:space="0"/>
            </w:tcBorders>
            <w:vAlign w:val="center"/>
          </w:tcPr>
          <w:p w14:paraId="0BDA57CA">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val="en-US" w:eastAsia="zh-CN"/>
              </w:rPr>
              <w:t>-0.1</w:t>
            </w:r>
            <w:r>
              <w:rPr>
                <w:rFonts w:hint="eastAsia" w:ascii="宋体" w:hAnsi="宋体" w:cs="宋体"/>
                <w:color w:val="auto"/>
                <w:kern w:val="0"/>
                <w:sz w:val="20"/>
                <w:szCs w:val="20"/>
                <w:highlight w:val="none"/>
              </w:rPr>
              <w:t>分/次</w:t>
            </w:r>
          </w:p>
        </w:tc>
        <w:tc>
          <w:tcPr>
            <w:tcW w:w="675" w:type="dxa"/>
            <w:tcBorders>
              <w:top w:val="single" w:color="000000" w:sz="4" w:space="0"/>
              <w:left w:val="single" w:color="000000" w:sz="4" w:space="0"/>
              <w:bottom w:val="single" w:color="000000" w:sz="4" w:space="0"/>
              <w:right w:val="single" w:color="000000" w:sz="4" w:space="0"/>
            </w:tcBorders>
            <w:vAlign w:val="top"/>
          </w:tcPr>
          <w:p w14:paraId="7ECAB579">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000000" w:sz="4" w:space="0"/>
              <w:right w:val="single" w:color="000000" w:sz="4" w:space="0"/>
            </w:tcBorders>
            <w:vAlign w:val="center"/>
          </w:tcPr>
          <w:p w14:paraId="6D231E52">
            <w:pPr>
              <w:jc w:val="center"/>
              <w:rPr>
                <w:rFonts w:ascii="宋体" w:hAnsi="宋体" w:cs="宋体"/>
                <w:color w:val="auto"/>
                <w:sz w:val="20"/>
                <w:szCs w:val="20"/>
                <w:highlight w:val="none"/>
              </w:rPr>
            </w:pPr>
          </w:p>
        </w:tc>
      </w:tr>
      <w:tr w14:paraId="37ACC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7A2E9E15">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15</w:t>
            </w:r>
          </w:p>
        </w:tc>
        <w:tc>
          <w:tcPr>
            <w:tcW w:w="2655" w:type="dxa"/>
            <w:tcBorders>
              <w:top w:val="single" w:color="000000" w:sz="4" w:space="0"/>
              <w:left w:val="single" w:color="000000" w:sz="4" w:space="0"/>
              <w:bottom w:val="single" w:color="000000" w:sz="4" w:space="0"/>
              <w:right w:val="single" w:color="000000" w:sz="4" w:space="0"/>
            </w:tcBorders>
            <w:vAlign w:val="center"/>
          </w:tcPr>
          <w:p w14:paraId="4ACECC3F">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蔬菜、肉类要清洗干净，做好定检工作，保证菜肴食用安全。</w:t>
            </w:r>
          </w:p>
        </w:tc>
        <w:tc>
          <w:tcPr>
            <w:tcW w:w="795" w:type="dxa"/>
            <w:tcBorders>
              <w:top w:val="single" w:color="000000" w:sz="4" w:space="0"/>
              <w:left w:val="single" w:color="000000" w:sz="4" w:space="0"/>
              <w:bottom w:val="single" w:color="000000" w:sz="4" w:space="0"/>
              <w:right w:val="single" w:color="000000" w:sz="4" w:space="0"/>
            </w:tcBorders>
            <w:vAlign w:val="center"/>
          </w:tcPr>
          <w:p w14:paraId="4E2CBAFE">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245D448E">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蔬菜、肉类要没有清洗干净，没有做好定检工作，保证菜肴食用安全。</w:t>
            </w:r>
          </w:p>
        </w:tc>
        <w:tc>
          <w:tcPr>
            <w:tcW w:w="855" w:type="dxa"/>
            <w:tcBorders>
              <w:top w:val="single" w:color="000000" w:sz="4" w:space="0"/>
              <w:left w:val="single" w:color="000000" w:sz="4" w:space="0"/>
              <w:bottom w:val="single" w:color="000000" w:sz="4" w:space="0"/>
              <w:right w:val="single" w:color="000000" w:sz="4" w:space="0"/>
            </w:tcBorders>
            <w:vAlign w:val="center"/>
          </w:tcPr>
          <w:p w14:paraId="68D92008">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val="en-US" w:eastAsia="zh-CN"/>
              </w:rPr>
              <w:t>-0.1</w:t>
            </w:r>
            <w:r>
              <w:rPr>
                <w:rFonts w:hint="eastAsia" w:ascii="宋体" w:hAnsi="宋体" w:cs="宋体"/>
                <w:color w:val="auto"/>
                <w:kern w:val="0"/>
                <w:sz w:val="20"/>
                <w:szCs w:val="20"/>
                <w:highlight w:val="none"/>
              </w:rPr>
              <w:t>分/次</w:t>
            </w:r>
          </w:p>
        </w:tc>
        <w:tc>
          <w:tcPr>
            <w:tcW w:w="675" w:type="dxa"/>
            <w:tcBorders>
              <w:top w:val="single" w:color="000000" w:sz="4" w:space="0"/>
              <w:left w:val="single" w:color="000000" w:sz="4" w:space="0"/>
              <w:bottom w:val="single" w:color="000000" w:sz="4" w:space="0"/>
              <w:right w:val="single" w:color="000000" w:sz="4" w:space="0"/>
            </w:tcBorders>
            <w:vAlign w:val="center"/>
          </w:tcPr>
          <w:p w14:paraId="53A30577">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000000" w:sz="4" w:space="0"/>
              <w:right w:val="single" w:color="000000" w:sz="4" w:space="0"/>
            </w:tcBorders>
            <w:vAlign w:val="center"/>
          </w:tcPr>
          <w:p w14:paraId="61B0B0E6">
            <w:pPr>
              <w:jc w:val="center"/>
              <w:rPr>
                <w:rFonts w:ascii="宋体" w:hAnsi="宋体" w:cs="宋体"/>
                <w:color w:val="auto"/>
                <w:sz w:val="20"/>
                <w:szCs w:val="20"/>
                <w:highlight w:val="none"/>
              </w:rPr>
            </w:pPr>
          </w:p>
        </w:tc>
      </w:tr>
      <w:tr w14:paraId="31694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66E5DB4F">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16</w:t>
            </w:r>
          </w:p>
        </w:tc>
        <w:tc>
          <w:tcPr>
            <w:tcW w:w="2655" w:type="dxa"/>
            <w:tcBorders>
              <w:top w:val="single" w:color="000000" w:sz="4" w:space="0"/>
              <w:left w:val="single" w:color="000000" w:sz="4" w:space="0"/>
              <w:bottom w:val="single" w:color="000000" w:sz="4" w:space="0"/>
              <w:right w:val="single" w:color="000000" w:sz="4" w:space="0"/>
            </w:tcBorders>
            <w:vAlign w:val="center"/>
          </w:tcPr>
          <w:p w14:paraId="2C9D01CA">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食堂员工工作时必须穿工作服，戴工作帽；接触直接入口食品时，要戴口罩和一次性手套。</w:t>
            </w:r>
          </w:p>
        </w:tc>
        <w:tc>
          <w:tcPr>
            <w:tcW w:w="795" w:type="dxa"/>
            <w:tcBorders>
              <w:top w:val="single" w:color="000000" w:sz="4" w:space="0"/>
              <w:left w:val="single" w:color="000000" w:sz="4" w:space="0"/>
              <w:bottom w:val="single" w:color="000000" w:sz="4" w:space="0"/>
              <w:right w:val="single" w:color="000000" w:sz="4" w:space="0"/>
            </w:tcBorders>
            <w:vAlign w:val="center"/>
          </w:tcPr>
          <w:p w14:paraId="4B41E2E1">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1</w:t>
            </w:r>
          </w:p>
        </w:tc>
        <w:tc>
          <w:tcPr>
            <w:tcW w:w="3000" w:type="dxa"/>
            <w:tcBorders>
              <w:top w:val="single" w:color="000000" w:sz="4" w:space="0"/>
              <w:left w:val="single" w:color="000000" w:sz="4" w:space="0"/>
              <w:bottom w:val="single" w:color="000000" w:sz="4" w:space="0"/>
              <w:right w:val="single" w:color="000000" w:sz="4" w:space="0"/>
            </w:tcBorders>
            <w:vAlign w:val="center"/>
          </w:tcPr>
          <w:p w14:paraId="08BB3067">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食堂员工工作时不穿工作服，不戴工作帽；接触直接入口食品时，不戴口罩和一次性手套。</w:t>
            </w:r>
          </w:p>
        </w:tc>
        <w:tc>
          <w:tcPr>
            <w:tcW w:w="855" w:type="dxa"/>
            <w:tcBorders>
              <w:top w:val="single" w:color="000000" w:sz="4" w:space="0"/>
              <w:left w:val="single" w:color="000000" w:sz="4" w:space="0"/>
              <w:bottom w:val="single" w:color="000000" w:sz="4" w:space="0"/>
              <w:right w:val="single" w:color="000000" w:sz="4" w:space="0"/>
            </w:tcBorders>
            <w:vAlign w:val="center"/>
          </w:tcPr>
          <w:p w14:paraId="38E5038D">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-0.</w:t>
            </w:r>
            <w:r>
              <w:rPr>
                <w:rFonts w:hint="eastAsia" w:ascii="宋体" w:hAnsi="宋体" w:cs="宋体"/>
                <w:color w:val="auto"/>
                <w:kern w:val="0"/>
                <w:sz w:val="20"/>
                <w:szCs w:val="20"/>
                <w:highlight w:val="none"/>
                <w:lang w:val="en-US" w:eastAsia="zh-CN"/>
              </w:rPr>
              <w:t>1</w:t>
            </w:r>
            <w:r>
              <w:rPr>
                <w:rFonts w:hint="eastAsia" w:ascii="宋体" w:hAnsi="宋体" w:cs="宋体"/>
                <w:color w:val="auto"/>
                <w:kern w:val="0"/>
                <w:sz w:val="20"/>
                <w:szCs w:val="20"/>
                <w:highlight w:val="none"/>
              </w:rPr>
              <w:t>分/次</w:t>
            </w:r>
          </w:p>
        </w:tc>
        <w:tc>
          <w:tcPr>
            <w:tcW w:w="675" w:type="dxa"/>
            <w:tcBorders>
              <w:top w:val="single" w:color="000000" w:sz="4" w:space="0"/>
              <w:left w:val="single" w:color="000000" w:sz="4" w:space="0"/>
              <w:bottom w:val="single" w:color="000000" w:sz="4" w:space="0"/>
              <w:right w:val="single" w:color="000000" w:sz="4" w:space="0"/>
            </w:tcBorders>
            <w:vAlign w:val="center"/>
          </w:tcPr>
          <w:p w14:paraId="2DE29ED2">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000000" w:sz="4" w:space="0"/>
              <w:right w:val="single" w:color="000000" w:sz="4" w:space="0"/>
            </w:tcBorders>
            <w:vAlign w:val="center"/>
          </w:tcPr>
          <w:p w14:paraId="7F6B331E">
            <w:pPr>
              <w:jc w:val="center"/>
              <w:rPr>
                <w:rFonts w:ascii="宋体" w:hAnsi="宋体" w:cs="宋体"/>
                <w:color w:val="auto"/>
                <w:sz w:val="20"/>
                <w:szCs w:val="20"/>
                <w:highlight w:val="none"/>
              </w:rPr>
            </w:pPr>
          </w:p>
        </w:tc>
      </w:tr>
      <w:tr w14:paraId="17CFC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right w:val="single" w:color="000000" w:sz="4" w:space="0"/>
            </w:tcBorders>
            <w:vAlign w:val="center"/>
          </w:tcPr>
          <w:p w14:paraId="2B5FC43E">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17</w:t>
            </w:r>
          </w:p>
        </w:tc>
        <w:tc>
          <w:tcPr>
            <w:tcW w:w="2655" w:type="dxa"/>
            <w:tcBorders>
              <w:top w:val="single" w:color="000000" w:sz="4" w:space="0"/>
              <w:left w:val="single" w:color="000000" w:sz="4" w:space="0"/>
              <w:right w:val="single" w:color="000000" w:sz="4" w:space="0"/>
            </w:tcBorders>
            <w:vAlign w:val="center"/>
          </w:tcPr>
          <w:p w14:paraId="6676D7D6">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食堂员工要勤洗手，搞好个人卫生，不带病工作。食堂员工有发热、腹泻、皮肤伤口或感染、咽部炎症等有碍食品卫生病症的，应立即脱离工作岗位，待治愈后，方可重新上岗。患有痢疾、伤寒、病毒性肝炎、活动性肺结核、化脓性或渗出性皮肤病者要调离岗位。</w:t>
            </w:r>
          </w:p>
        </w:tc>
        <w:tc>
          <w:tcPr>
            <w:tcW w:w="795" w:type="dxa"/>
            <w:tcBorders>
              <w:top w:val="single" w:color="000000" w:sz="4" w:space="0"/>
              <w:left w:val="single" w:color="000000" w:sz="4" w:space="0"/>
              <w:right w:val="single" w:color="000000" w:sz="4" w:space="0"/>
            </w:tcBorders>
            <w:vAlign w:val="center"/>
          </w:tcPr>
          <w:p w14:paraId="446DD0AA">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4</w:t>
            </w:r>
          </w:p>
        </w:tc>
        <w:tc>
          <w:tcPr>
            <w:tcW w:w="3000" w:type="dxa"/>
            <w:tcBorders>
              <w:top w:val="single" w:color="000000" w:sz="4" w:space="0"/>
              <w:left w:val="single" w:color="000000" w:sz="4" w:space="0"/>
              <w:right w:val="single" w:color="000000" w:sz="4" w:space="0"/>
            </w:tcBorders>
            <w:vAlign w:val="center"/>
          </w:tcPr>
          <w:p w14:paraId="506903E6">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食堂员工不勤洗手，个人卫生差，带病工作。发现食堂员工有发热、腹泻、皮肤伤口或感染、咽部炎症等有碍食品卫生病症的，没有立即脱离工作岗位。患有痢疾、伤寒、病毒性肝炎、活动性肺结核、化脓性或渗出性皮肤病者没有立即调离岗位。</w:t>
            </w:r>
          </w:p>
        </w:tc>
        <w:tc>
          <w:tcPr>
            <w:tcW w:w="855" w:type="dxa"/>
            <w:tcBorders>
              <w:top w:val="single" w:color="000000" w:sz="4" w:space="0"/>
              <w:left w:val="single" w:color="000000" w:sz="4" w:space="0"/>
              <w:right w:val="single" w:color="000000" w:sz="4" w:space="0"/>
            </w:tcBorders>
            <w:vAlign w:val="center"/>
          </w:tcPr>
          <w:p w14:paraId="5E56B2C1">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w:t>
            </w:r>
            <w:r>
              <w:rPr>
                <w:rFonts w:hint="eastAsia" w:ascii="宋体" w:hAnsi="宋体" w:cs="宋体"/>
                <w:color w:val="auto"/>
                <w:kern w:val="0"/>
                <w:sz w:val="20"/>
                <w:szCs w:val="20"/>
                <w:highlight w:val="none"/>
                <w:lang w:val="en-US" w:eastAsia="zh-CN"/>
              </w:rPr>
              <w:t>1</w:t>
            </w:r>
            <w:r>
              <w:rPr>
                <w:rFonts w:hint="eastAsia" w:ascii="宋体" w:hAnsi="宋体" w:cs="宋体"/>
                <w:color w:val="auto"/>
                <w:kern w:val="0"/>
                <w:sz w:val="20"/>
                <w:szCs w:val="20"/>
                <w:highlight w:val="none"/>
              </w:rPr>
              <w:t>分/人.次</w:t>
            </w:r>
          </w:p>
        </w:tc>
        <w:tc>
          <w:tcPr>
            <w:tcW w:w="675" w:type="dxa"/>
            <w:tcBorders>
              <w:top w:val="single" w:color="000000" w:sz="4" w:space="0"/>
              <w:left w:val="single" w:color="000000" w:sz="4" w:space="0"/>
              <w:right w:val="single" w:color="000000" w:sz="4" w:space="0"/>
            </w:tcBorders>
            <w:vAlign w:val="center"/>
          </w:tcPr>
          <w:p w14:paraId="2E9A6B8C">
            <w:pPr>
              <w:jc w:val="center"/>
              <w:rPr>
                <w:rFonts w:ascii="宋体" w:hAnsi="宋体" w:cs="宋体"/>
                <w:color w:val="auto"/>
                <w:sz w:val="20"/>
                <w:szCs w:val="20"/>
                <w:highlight w:val="none"/>
              </w:rPr>
            </w:pPr>
          </w:p>
        </w:tc>
        <w:tc>
          <w:tcPr>
            <w:tcW w:w="831" w:type="dxa"/>
            <w:tcBorders>
              <w:top w:val="single" w:color="000000" w:sz="4" w:space="0"/>
              <w:left w:val="single" w:color="000000" w:sz="4" w:space="0"/>
              <w:right w:val="single" w:color="000000" w:sz="4" w:space="0"/>
            </w:tcBorders>
            <w:vAlign w:val="center"/>
          </w:tcPr>
          <w:p w14:paraId="46DC5447">
            <w:pPr>
              <w:jc w:val="center"/>
              <w:rPr>
                <w:rFonts w:ascii="宋体" w:hAnsi="宋体" w:cs="宋体"/>
                <w:color w:val="auto"/>
                <w:sz w:val="20"/>
                <w:szCs w:val="20"/>
                <w:highlight w:val="none"/>
              </w:rPr>
            </w:pPr>
          </w:p>
        </w:tc>
      </w:tr>
      <w:tr w14:paraId="1E81E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5652F862">
            <w:pPr>
              <w:widowControl/>
              <w:jc w:val="center"/>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五</w:t>
            </w:r>
          </w:p>
        </w:tc>
        <w:tc>
          <w:tcPr>
            <w:tcW w:w="2655" w:type="dxa"/>
            <w:tcBorders>
              <w:top w:val="single" w:color="000000" w:sz="4" w:space="0"/>
              <w:left w:val="single" w:color="000000" w:sz="4" w:space="0"/>
              <w:bottom w:val="single" w:color="000000" w:sz="4" w:space="0"/>
              <w:right w:val="single" w:color="000000" w:sz="4" w:space="0"/>
            </w:tcBorders>
            <w:vAlign w:val="center"/>
          </w:tcPr>
          <w:p w14:paraId="6451FAC4">
            <w:pPr>
              <w:widowControl/>
              <w:jc w:val="left"/>
              <w:textAlignment w:val="center"/>
              <w:rPr>
                <w:rFonts w:ascii="宋体" w:hAnsi="宋体" w:cs="宋体"/>
                <w:b/>
                <w:color w:val="auto"/>
                <w:sz w:val="20"/>
                <w:szCs w:val="20"/>
                <w:highlight w:val="none"/>
              </w:rPr>
            </w:pPr>
            <w:r>
              <w:rPr>
                <w:rFonts w:hint="eastAsia" w:ascii="宋体" w:hAnsi="宋体" w:cs="宋体"/>
                <w:b/>
                <w:color w:val="auto"/>
                <w:kern w:val="0"/>
                <w:sz w:val="20"/>
                <w:szCs w:val="20"/>
                <w:highlight w:val="none"/>
              </w:rPr>
              <w:t>员工素质及工作要求</w:t>
            </w:r>
          </w:p>
        </w:tc>
        <w:tc>
          <w:tcPr>
            <w:tcW w:w="795" w:type="dxa"/>
            <w:tcBorders>
              <w:top w:val="single" w:color="000000" w:sz="4" w:space="0"/>
              <w:left w:val="single" w:color="000000" w:sz="4" w:space="0"/>
              <w:bottom w:val="single" w:color="000000" w:sz="4" w:space="0"/>
              <w:right w:val="single" w:color="000000" w:sz="4" w:space="0"/>
            </w:tcBorders>
            <w:vAlign w:val="center"/>
          </w:tcPr>
          <w:p w14:paraId="6651CD67">
            <w:pPr>
              <w:jc w:val="center"/>
              <w:rPr>
                <w:rFonts w:hint="eastAsia" w:ascii="宋体" w:hAnsi="宋体" w:eastAsia="宋体" w:cs="宋体"/>
                <w:b/>
                <w:color w:val="auto"/>
                <w:sz w:val="20"/>
                <w:szCs w:val="20"/>
                <w:highlight w:val="none"/>
                <w:lang w:val="en-US" w:eastAsia="zh-CN"/>
              </w:rPr>
            </w:pPr>
            <w:r>
              <w:rPr>
                <w:rFonts w:hint="eastAsia" w:ascii="宋体" w:hAnsi="宋体" w:cs="宋体"/>
                <w:b/>
                <w:color w:val="auto"/>
                <w:sz w:val="20"/>
                <w:szCs w:val="20"/>
                <w:highlight w:val="none"/>
                <w:lang w:val="en-US" w:eastAsia="zh-CN"/>
              </w:rPr>
              <w:t>7</w:t>
            </w:r>
          </w:p>
        </w:tc>
        <w:tc>
          <w:tcPr>
            <w:tcW w:w="3000" w:type="dxa"/>
            <w:tcBorders>
              <w:top w:val="single" w:color="000000" w:sz="4" w:space="0"/>
              <w:left w:val="single" w:color="000000" w:sz="4" w:space="0"/>
              <w:bottom w:val="single" w:color="000000" w:sz="4" w:space="0"/>
              <w:right w:val="single" w:color="000000" w:sz="4" w:space="0"/>
            </w:tcBorders>
            <w:vAlign w:val="center"/>
          </w:tcPr>
          <w:p w14:paraId="5C036E5B">
            <w:pPr>
              <w:jc w:val="left"/>
              <w:rPr>
                <w:rFonts w:ascii="宋体" w:hAnsi="宋体" w:cs="宋体"/>
                <w:b/>
                <w:color w:val="auto"/>
                <w:sz w:val="20"/>
                <w:szCs w:val="20"/>
                <w:highlight w:val="none"/>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5F5BEADF">
            <w:pPr>
              <w:jc w:val="center"/>
              <w:rPr>
                <w:rFonts w:ascii="宋体" w:hAnsi="宋体" w:cs="宋体"/>
                <w:color w:val="auto"/>
                <w:sz w:val="20"/>
                <w:szCs w:val="20"/>
                <w:highlight w:val="none"/>
              </w:rPr>
            </w:pPr>
          </w:p>
        </w:tc>
        <w:tc>
          <w:tcPr>
            <w:tcW w:w="675" w:type="dxa"/>
            <w:tcBorders>
              <w:top w:val="single" w:color="000000" w:sz="4" w:space="0"/>
              <w:left w:val="single" w:color="000000" w:sz="4" w:space="0"/>
              <w:bottom w:val="single" w:color="000000" w:sz="4" w:space="0"/>
              <w:right w:val="single" w:color="000000" w:sz="4" w:space="0"/>
            </w:tcBorders>
            <w:vAlign w:val="top"/>
          </w:tcPr>
          <w:p w14:paraId="59356B2A">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000000" w:sz="4" w:space="0"/>
              <w:right w:val="single" w:color="000000" w:sz="4" w:space="0"/>
            </w:tcBorders>
            <w:vAlign w:val="center"/>
          </w:tcPr>
          <w:p w14:paraId="31AA5712">
            <w:pPr>
              <w:jc w:val="center"/>
              <w:rPr>
                <w:rFonts w:ascii="宋体" w:hAnsi="宋体" w:cs="宋体"/>
                <w:color w:val="auto"/>
                <w:sz w:val="20"/>
                <w:szCs w:val="20"/>
                <w:highlight w:val="none"/>
              </w:rPr>
            </w:pPr>
          </w:p>
        </w:tc>
      </w:tr>
      <w:tr w14:paraId="70F31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000000" w:sz="4" w:space="0"/>
              <w:right w:val="single" w:color="000000" w:sz="4" w:space="0"/>
            </w:tcBorders>
            <w:vAlign w:val="center"/>
          </w:tcPr>
          <w:p w14:paraId="2FB97398">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18</w:t>
            </w:r>
          </w:p>
        </w:tc>
        <w:tc>
          <w:tcPr>
            <w:tcW w:w="2655" w:type="dxa"/>
            <w:tcBorders>
              <w:top w:val="single" w:color="000000" w:sz="4" w:space="0"/>
              <w:left w:val="single" w:color="000000" w:sz="4" w:space="0"/>
              <w:bottom w:val="single" w:color="000000" w:sz="4" w:space="0"/>
              <w:right w:val="single" w:color="000000" w:sz="4" w:space="0"/>
            </w:tcBorders>
            <w:vAlign w:val="center"/>
          </w:tcPr>
          <w:p w14:paraId="2EB5EC55">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食堂员工要遵守职业道德，做到礼貌待人，热情服务。</w:t>
            </w:r>
          </w:p>
        </w:tc>
        <w:tc>
          <w:tcPr>
            <w:tcW w:w="795" w:type="dxa"/>
            <w:tcBorders>
              <w:top w:val="single" w:color="000000" w:sz="4" w:space="0"/>
              <w:left w:val="single" w:color="000000" w:sz="4" w:space="0"/>
              <w:bottom w:val="single" w:color="000000" w:sz="4" w:space="0"/>
              <w:right w:val="single" w:color="000000" w:sz="4" w:space="0"/>
            </w:tcBorders>
            <w:vAlign w:val="center"/>
          </w:tcPr>
          <w:p w14:paraId="6CE11C34">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736B341A">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发现食堂员工不遵守职业道德，不做到礼貌待人</w:t>
            </w:r>
            <w:r>
              <w:rPr>
                <w:rFonts w:hint="eastAsia" w:ascii="宋体" w:hAnsi="宋体" w:cs="宋体"/>
                <w:color w:val="auto"/>
                <w:kern w:val="0"/>
                <w:sz w:val="20"/>
                <w:szCs w:val="20"/>
                <w:highlight w:val="none"/>
                <w:lang w:eastAsia="zh-CN"/>
              </w:rPr>
              <w:t>，有反映服务态度不好，经查属实的。</w:t>
            </w:r>
          </w:p>
        </w:tc>
        <w:tc>
          <w:tcPr>
            <w:tcW w:w="855" w:type="dxa"/>
            <w:tcBorders>
              <w:top w:val="single" w:color="000000" w:sz="4" w:space="0"/>
              <w:left w:val="single" w:color="000000" w:sz="4" w:space="0"/>
              <w:bottom w:val="single" w:color="000000" w:sz="4" w:space="0"/>
              <w:right w:val="single" w:color="000000" w:sz="4" w:space="0"/>
            </w:tcBorders>
            <w:vAlign w:val="center"/>
          </w:tcPr>
          <w:p w14:paraId="44FD4961">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-0.</w:t>
            </w:r>
            <w:r>
              <w:rPr>
                <w:rFonts w:hint="eastAsia" w:ascii="宋体" w:hAnsi="宋体" w:cs="宋体"/>
                <w:color w:val="auto"/>
                <w:kern w:val="0"/>
                <w:sz w:val="20"/>
                <w:szCs w:val="20"/>
                <w:highlight w:val="none"/>
                <w:lang w:val="en-US" w:eastAsia="zh-CN"/>
              </w:rPr>
              <w:t>2</w:t>
            </w:r>
            <w:r>
              <w:rPr>
                <w:rFonts w:hint="eastAsia" w:ascii="宋体" w:hAnsi="宋体" w:cs="宋体"/>
                <w:color w:val="auto"/>
                <w:kern w:val="0"/>
                <w:sz w:val="20"/>
                <w:szCs w:val="20"/>
                <w:highlight w:val="none"/>
              </w:rPr>
              <w:t>分/人.次</w:t>
            </w:r>
          </w:p>
        </w:tc>
        <w:tc>
          <w:tcPr>
            <w:tcW w:w="675" w:type="dxa"/>
            <w:tcBorders>
              <w:top w:val="single" w:color="000000" w:sz="4" w:space="0"/>
              <w:left w:val="single" w:color="000000" w:sz="4" w:space="0"/>
              <w:bottom w:val="single" w:color="000000" w:sz="4" w:space="0"/>
              <w:right w:val="single" w:color="000000" w:sz="4" w:space="0"/>
            </w:tcBorders>
            <w:vAlign w:val="center"/>
          </w:tcPr>
          <w:p w14:paraId="129FC9D2">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000000" w:sz="4" w:space="0"/>
              <w:right w:val="single" w:color="000000" w:sz="4" w:space="0"/>
            </w:tcBorders>
            <w:vAlign w:val="center"/>
          </w:tcPr>
          <w:p w14:paraId="75BC0116">
            <w:pPr>
              <w:jc w:val="center"/>
              <w:rPr>
                <w:rFonts w:ascii="宋体" w:hAnsi="宋体" w:cs="宋体"/>
                <w:color w:val="auto"/>
                <w:sz w:val="20"/>
                <w:szCs w:val="20"/>
                <w:highlight w:val="none"/>
              </w:rPr>
            </w:pPr>
          </w:p>
        </w:tc>
      </w:tr>
      <w:tr w14:paraId="594F6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000000" w:sz="4" w:space="0"/>
              <w:left w:val="single" w:color="000000" w:sz="4" w:space="0"/>
              <w:bottom w:val="single" w:color="auto" w:sz="4" w:space="0"/>
              <w:right w:val="single" w:color="000000" w:sz="4" w:space="0"/>
            </w:tcBorders>
            <w:vAlign w:val="center"/>
          </w:tcPr>
          <w:p w14:paraId="72FCE3D0">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kern w:val="0"/>
                <w:sz w:val="20"/>
                <w:szCs w:val="20"/>
                <w:highlight w:val="none"/>
                <w:lang w:val="en-US" w:eastAsia="zh-CN"/>
              </w:rPr>
              <w:t>19</w:t>
            </w:r>
          </w:p>
        </w:tc>
        <w:tc>
          <w:tcPr>
            <w:tcW w:w="2655" w:type="dxa"/>
            <w:tcBorders>
              <w:top w:val="single" w:color="000000" w:sz="4" w:space="0"/>
              <w:left w:val="single" w:color="000000" w:sz="4" w:space="0"/>
              <w:bottom w:val="single" w:color="auto" w:sz="4" w:space="0"/>
              <w:right w:val="single" w:color="000000" w:sz="4" w:space="0"/>
            </w:tcBorders>
            <w:vAlign w:val="center"/>
          </w:tcPr>
          <w:p w14:paraId="6D87A54F">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一日三餐按时开饭，按质按量供应饭菜。</w:t>
            </w:r>
          </w:p>
        </w:tc>
        <w:tc>
          <w:tcPr>
            <w:tcW w:w="795" w:type="dxa"/>
            <w:tcBorders>
              <w:top w:val="single" w:color="000000" w:sz="4" w:space="0"/>
              <w:left w:val="single" w:color="000000" w:sz="4" w:space="0"/>
              <w:bottom w:val="single" w:color="auto" w:sz="4" w:space="0"/>
              <w:right w:val="single" w:color="000000" w:sz="4" w:space="0"/>
            </w:tcBorders>
            <w:vAlign w:val="center"/>
          </w:tcPr>
          <w:p w14:paraId="77D41E12">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3</w:t>
            </w:r>
          </w:p>
        </w:tc>
        <w:tc>
          <w:tcPr>
            <w:tcW w:w="3000" w:type="dxa"/>
            <w:tcBorders>
              <w:top w:val="single" w:color="000000" w:sz="4" w:space="0"/>
              <w:left w:val="single" w:color="000000" w:sz="4" w:space="0"/>
              <w:bottom w:val="single" w:color="auto" w:sz="4" w:space="0"/>
              <w:right w:val="single" w:color="000000" w:sz="4" w:space="0"/>
            </w:tcBorders>
            <w:vAlign w:val="center"/>
          </w:tcPr>
          <w:p w14:paraId="29B20CEE">
            <w:pPr>
              <w:widowControl/>
              <w:jc w:val="left"/>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一日三餐不按时开饭，发现不按质按量供应饭菜。</w:t>
            </w:r>
          </w:p>
        </w:tc>
        <w:tc>
          <w:tcPr>
            <w:tcW w:w="855" w:type="dxa"/>
            <w:tcBorders>
              <w:top w:val="single" w:color="000000" w:sz="4" w:space="0"/>
              <w:left w:val="single" w:color="000000" w:sz="4" w:space="0"/>
              <w:bottom w:val="single" w:color="auto" w:sz="4" w:space="0"/>
              <w:right w:val="single" w:color="000000" w:sz="4" w:space="0"/>
            </w:tcBorders>
            <w:vAlign w:val="center"/>
          </w:tcPr>
          <w:p w14:paraId="05A9402C">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w:t>
            </w:r>
            <w:r>
              <w:rPr>
                <w:rFonts w:hint="eastAsia" w:ascii="宋体" w:hAnsi="宋体" w:cs="宋体"/>
                <w:color w:val="auto"/>
                <w:kern w:val="0"/>
                <w:sz w:val="20"/>
                <w:szCs w:val="20"/>
                <w:highlight w:val="none"/>
                <w:lang w:val="en-US" w:eastAsia="zh-CN"/>
              </w:rPr>
              <w:t>0.2</w:t>
            </w:r>
            <w:r>
              <w:rPr>
                <w:rFonts w:hint="eastAsia" w:ascii="宋体" w:hAnsi="宋体" w:cs="宋体"/>
                <w:color w:val="auto"/>
                <w:kern w:val="0"/>
                <w:sz w:val="20"/>
                <w:szCs w:val="20"/>
                <w:highlight w:val="none"/>
              </w:rPr>
              <w:t>分/次</w:t>
            </w:r>
          </w:p>
        </w:tc>
        <w:tc>
          <w:tcPr>
            <w:tcW w:w="675" w:type="dxa"/>
            <w:tcBorders>
              <w:top w:val="single" w:color="000000" w:sz="4" w:space="0"/>
              <w:left w:val="single" w:color="000000" w:sz="4" w:space="0"/>
              <w:bottom w:val="single" w:color="auto" w:sz="4" w:space="0"/>
              <w:right w:val="single" w:color="000000" w:sz="4" w:space="0"/>
            </w:tcBorders>
            <w:vAlign w:val="center"/>
          </w:tcPr>
          <w:p w14:paraId="27AD5FA9">
            <w:pPr>
              <w:jc w:val="center"/>
              <w:rPr>
                <w:rFonts w:ascii="宋体" w:hAnsi="宋体" w:cs="宋体"/>
                <w:color w:val="auto"/>
                <w:sz w:val="20"/>
                <w:szCs w:val="20"/>
                <w:highlight w:val="none"/>
              </w:rPr>
            </w:pPr>
          </w:p>
        </w:tc>
        <w:tc>
          <w:tcPr>
            <w:tcW w:w="831" w:type="dxa"/>
            <w:tcBorders>
              <w:top w:val="single" w:color="000000" w:sz="4" w:space="0"/>
              <w:left w:val="single" w:color="000000" w:sz="4" w:space="0"/>
              <w:bottom w:val="single" w:color="auto" w:sz="4" w:space="0"/>
              <w:right w:val="single" w:color="000000" w:sz="4" w:space="0"/>
            </w:tcBorders>
            <w:vAlign w:val="center"/>
          </w:tcPr>
          <w:p w14:paraId="09383D14">
            <w:pPr>
              <w:jc w:val="center"/>
              <w:rPr>
                <w:rFonts w:ascii="宋体" w:hAnsi="宋体" w:cs="宋体"/>
                <w:color w:val="auto"/>
                <w:sz w:val="20"/>
                <w:szCs w:val="20"/>
                <w:highlight w:val="none"/>
              </w:rPr>
            </w:pPr>
          </w:p>
        </w:tc>
      </w:tr>
      <w:tr w14:paraId="25DEF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auto" w:sz="4" w:space="0"/>
              <w:bottom w:val="single" w:color="auto" w:sz="4" w:space="0"/>
              <w:right w:val="single" w:color="auto" w:sz="4" w:space="0"/>
            </w:tcBorders>
            <w:vAlign w:val="center"/>
          </w:tcPr>
          <w:p w14:paraId="0D553F14">
            <w:pPr>
              <w:widowControl/>
              <w:jc w:val="center"/>
              <w:textAlignment w:val="center"/>
              <w:rPr>
                <w:rFonts w:hint="default" w:ascii="宋体" w:hAnsi="宋体" w:cs="宋体" w:eastAsiaTheme="minorEastAsia"/>
                <w:color w:val="auto"/>
                <w:sz w:val="20"/>
                <w:szCs w:val="20"/>
                <w:highlight w:val="none"/>
                <w:lang w:val="en-US" w:eastAsia="zh-CN"/>
              </w:rPr>
            </w:pPr>
            <w:r>
              <w:rPr>
                <w:rFonts w:hint="eastAsia" w:ascii="宋体" w:hAnsi="宋体" w:cs="宋体"/>
                <w:color w:val="auto"/>
                <w:sz w:val="20"/>
                <w:szCs w:val="20"/>
                <w:highlight w:val="none"/>
                <w:lang w:val="en-US" w:eastAsia="zh-CN"/>
              </w:rPr>
              <w:t>20</w:t>
            </w:r>
          </w:p>
        </w:tc>
        <w:tc>
          <w:tcPr>
            <w:tcW w:w="2655" w:type="dxa"/>
            <w:tcBorders>
              <w:top w:val="single" w:color="auto" w:sz="4" w:space="0"/>
              <w:left w:val="single" w:color="auto" w:sz="4" w:space="0"/>
              <w:bottom w:val="single" w:color="auto" w:sz="4" w:space="0"/>
              <w:right w:val="single" w:color="auto" w:sz="4" w:space="0"/>
            </w:tcBorders>
            <w:vAlign w:val="center"/>
          </w:tcPr>
          <w:p w14:paraId="784928F6">
            <w:pPr>
              <w:widowControl/>
              <w:jc w:val="left"/>
              <w:textAlignment w:val="center"/>
              <w:rPr>
                <w:rFonts w:hint="eastAsia" w:ascii="宋体" w:hAnsi="宋体" w:cs="宋体" w:eastAsiaTheme="minorEastAsia"/>
                <w:color w:val="auto"/>
                <w:sz w:val="20"/>
                <w:szCs w:val="20"/>
                <w:highlight w:val="none"/>
                <w:lang w:eastAsia="zh-CN"/>
              </w:rPr>
            </w:pPr>
            <w:r>
              <w:rPr>
                <w:rFonts w:hint="eastAsia" w:ascii="宋体" w:hAnsi="宋体" w:cs="宋体"/>
                <w:color w:val="auto"/>
                <w:kern w:val="0"/>
                <w:sz w:val="20"/>
                <w:szCs w:val="20"/>
                <w:highlight w:val="none"/>
              </w:rPr>
              <w:t>完成</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综合服务中心交办的职责范围内的其他工作</w:t>
            </w:r>
            <w:r>
              <w:rPr>
                <w:rFonts w:hint="eastAsia" w:ascii="宋体" w:hAnsi="宋体" w:cs="宋体"/>
                <w:color w:val="auto"/>
                <w:kern w:val="0"/>
                <w:sz w:val="20"/>
                <w:szCs w:val="20"/>
                <w:highlight w:val="none"/>
                <w:lang w:eastAsia="zh-CN"/>
              </w:rPr>
              <w:t>。</w:t>
            </w:r>
          </w:p>
        </w:tc>
        <w:tc>
          <w:tcPr>
            <w:tcW w:w="795" w:type="dxa"/>
            <w:tcBorders>
              <w:top w:val="single" w:color="auto" w:sz="4" w:space="0"/>
              <w:left w:val="single" w:color="auto" w:sz="4" w:space="0"/>
              <w:bottom w:val="single" w:color="auto" w:sz="4" w:space="0"/>
              <w:right w:val="single" w:color="auto" w:sz="4" w:space="0"/>
            </w:tcBorders>
            <w:vAlign w:val="center"/>
          </w:tcPr>
          <w:p w14:paraId="0E648042">
            <w:pPr>
              <w:widowControl/>
              <w:jc w:val="center"/>
              <w:textAlignment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2</w:t>
            </w:r>
          </w:p>
        </w:tc>
        <w:tc>
          <w:tcPr>
            <w:tcW w:w="3000" w:type="dxa"/>
            <w:tcBorders>
              <w:top w:val="single" w:color="auto" w:sz="4" w:space="0"/>
              <w:left w:val="single" w:color="auto" w:sz="4" w:space="0"/>
              <w:bottom w:val="single" w:color="auto" w:sz="4" w:space="0"/>
              <w:right w:val="single" w:color="auto" w:sz="4" w:space="0"/>
            </w:tcBorders>
            <w:vAlign w:val="center"/>
          </w:tcPr>
          <w:p w14:paraId="54C06DAB">
            <w:pPr>
              <w:widowControl/>
              <w:jc w:val="left"/>
              <w:textAlignment w:val="center"/>
              <w:rPr>
                <w:rFonts w:hint="eastAsia" w:ascii="宋体" w:hAnsi="宋体" w:cs="宋体" w:eastAsiaTheme="minorEastAsia"/>
                <w:color w:val="auto"/>
                <w:sz w:val="20"/>
                <w:szCs w:val="20"/>
                <w:highlight w:val="none"/>
                <w:lang w:eastAsia="zh-CN"/>
              </w:rPr>
            </w:pPr>
            <w:r>
              <w:rPr>
                <w:rFonts w:hint="eastAsia" w:ascii="宋体" w:hAnsi="宋体" w:cs="宋体"/>
                <w:color w:val="auto"/>
                <w:kern w:val="0"/>
                <w:sz w:val="20"/>
                <w:szCs w:val="20"/>
                <w:highlight w:val="none"/>
              </w:rPr>
              <w:t>没有完成</w:t>
            </w:r>
            <w:r>
              <w:rPr>
                <w:rFonts w:hint="eastAsia" w:ascii="宋体" w:hAnsi="宋体" w:cs="宋体"/>
                <w:color w:val="auto"/>
                <w:kern w:val="0"/>
                <w:sz w:val="20"/>
                <w:szCs w:val="20"/>
                <w:highlight w:val="none"/>
                <w:lang w:val="en-US" w:eastAsia="zh-CN"/>
              </w:rPr>
              <w:t>采购方</w:t>
            </w:r>
            <w:r>
              <w:rPr>
                <w:rFonts w:hint="eastAsia" w:ascii="宋体" w:hAnsi="宋体" w:cs="宋体"/>
                <w:color w:val="auto"/>
                <w:kern w:val="0"/>
                <w:sz w:val="20"/>
                <w:szCs w:val="20"/>
                <w:highlight w:val="none"/>
              </w:rPr>
              <w:t>综合服务中心交办的职责范围内的其他工作</w:t>
            </w:r>
            <w:r>
              <w:rPr>
                <w:rFonts w:hint="eastAsia" w:ascii="宋体" w:hAnsi="宋体" w:cs="宋体"/>
                <w:color w:val="auto"/>
                <w:kern w:val="0"/>
                <w:sz w:val="20"/>
                <w:szCs w:val="20"/>
                <w:highlight w:val="none"/>
                <w:lang w:eastAsia="zh-CN"/>
              </w:rPr>
              <w:t>。</w:t>
            </w:r>
          </w:p>
        </w:tc>
        <w:tc>
          <w:tcPr>
            <w:tcW w:w="855" w:type="dxa"/>
            <w:tcBorders>
              <w:top w:val="single" w:color="auto" w:sz="4" w:space="0"/>
              <w:left w:val="single" w:color="auto" w:sz="4" w:space="0"/>
              <w:bottom w:val="single" w:color="auto" w:sz="4" w:space="0"/>
              <w:right w:val="single" w:color="auto" w:sz="4" w:space="0"/>
            </w:tcBorders>
            <w:vAlign w:val="center"/>
          </w:tcPr>
          <w:p w14:paraId="6B996F3B">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rPr>
              <w:t>-0.1</w:t>
            </w:r>
            <w:r>
              <w:rPr>
                <w:rFonts w:hint="eastAsia" w:ascii="宋体" w:hAnsi="宋体" w:cs="宋体"/>
                <w:color w:val="auto"/>
                <w:kern w:val="0"/>
                <w:sz w:val="20"/>
                <w:szCs w:val="20"/>
                <w:highlight w:val="none"/>
                <w:lang w:eastAsia="zh-CN"/>
              </w:rPr>
              <w:t>分</w:t>
            </w:r>
            <w:r>
              <w:rPr>
                <w:rFonts w:hint="eastAsia" w:ascii="宋体" w:hAnsi="宋体" w:cs="宋体"/>
                <w:color w:val="auto"/>
                <w:kern w:val="0"/>
                <w:sz w:val="20"/>
                <w:szCs w:val="20"/>
                <w:highlight w:val="none"/>
              </w:rPr>
              <w:t>/次</w:t>
            </w:r>
          </w:p>
        </w:tc>
        <w:tc>
          <w:tcPr>
            <w:tcW w:w="675" w:type="dxa"/>
            <w:tcBorders>
              <w:top w:val="single" w:color="auto" w:sz="4" w:space="0"/>
              <w:left w:val="single" w:color="auto" w:sz="4" w:space="0"/>
              <w:bottom w:val="single" w:color="auto" w:sz="4" w:space="0"/>
              <w:right w:val="single" w:color="auto" w:sz="4" w:space="0"/>
            </w:tcBorders>
            <w:vAlign w:val="center"/>
          </w:tcPr>
          <w:p w14:paraId="53D8E2B3">
            <w:pPr>
              <w:jc w:val="center"/>
              <w:rPr>
                <w:rFonts w:ascii="宋体" w:hAnsi="宋体" w:cs="宋体"/>
                <w:color w:val="auto"/>
                <w:sz w:val="20"/>
                <w:szCs w:val="20"/>
                <w:highlight w:val="none"/>
              </w:rPr>
            </w:pPr>
          </w:p>
        </w:tc>
        <w:tc>
          <w:tcPr>
            <w:tcW w:w="831" w:type="dxa"/>
            <w:tcBorders>
              <w:top w:val="single" w:color="auto" w:sz="4" w:space="0"/>
              <w:left w:val="single" w:color="auto" w:sz="4" w:space="0"/>
              <w:bottom w:val="single" w:color="auto" w:sz="4" w:space="0"/>
              <w:right w:val="single" w:color="auto" w:sz="4" w:space="0"/>
            </w:tcBorders>
            <w:vAlign w:val="center"/>
          </w:tcPr>
          <w:p w14:paraId="67C3A9E8">
            <w:pPr>
              <w:jc w:val="center"/>
              <w:rPr>
                <w:rFonts w:ascii="宋体" w:hAnsi="宋体" w:cs="宋体"/>
                <w:color w:val="auto"/>
                <w:sz w:val="20"/>
                <w:szCs w:val="20"/>
                <w:highlight w:val="none"/>
              </w:rPr>
            </w:pPr>
          </w:p>
        </w:tc>
      </w:tr>
      <w:tr w14:paraId="0D212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tcBorders>
              <w:top w:val="single" w:color="auto" w:sz="4" w:space="0"/>
              <w:left w:val="single" w:color="auto" w:sz="4" w:space="0"/>
              <w:bottom w:val="single" w:color="auto" w:sz="4" w:space="0"/>
              <w:right w:val="single" w:color="auto" w:sz="4" w:space="0"/>
            </w:tcBorders>
            <w:vAlign w:val="center"/>
          </w:tcPr>
          <w:p w14:paraId="0E9DF6AE">
            <w:pPr>
              <w:jc w:val="cente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lang w:val="en-US" w:eastAsia="zh-CN"/>
              </w:rPr>
              <w:t>六</w:t>
            </w:r>
          </w:p>
        </w:tc>
        <w:tc>
          <w:tcPr>
            <w:tcW w:w="2655" w:type="dxa"/>
            <w:tcBorders>
              <w:top w:val="single" w:color="auto" w:sz="4" w:space="0"/>
              <w:left w:val="single" w:color="auto" w:sz="4" w:space="0"/>
              <w:bottom w:val="single" w:color="auto" w:sz="4" w:space="0"/>
              <w:right w:val="single" w:color="auto" w:sz="4" w:space="0"/>
            </w:tcBorders>
            <w:vAlign w:val="center"/>
          </w:tcPr>
          <w:p w14:paraId="5399B7B7">
            <w:pPr>
              <w:rPr>
                <w:rFonts w:hint="eastAsia" w:asciiTheme="minorHAnsi" w:hAnsiTheme="minorHAnsi" w:eastAsiaTheme="minorEastAsia" w:cstheme="minorBidi"/>
                <w:b/>
                <w:bCs/>
                <w:color w:val="auto"/>
                <w:kern w:val="2"/>
                <w:sz w:val="20"/>
                <w:szCs w:val="20"/>
                <w:highlight w:val="none"/>
                <w:lang w:val="en-US" w:eastAsia="zh-CN" w:bidi="ar-SA"/>
              </w:rPr>
            </w:pPr>
            <w:r>
              <w:rPr>
                <w:rFonts w:hint="eastAsia"/>
                <w:b/>
                <w:bCs/>
                <w:color w:val="auto"/>
                <w:sz w:val="20"/>
                <w:szCs w:val="20"/>
                <w:highlight w:val="none"/>
                <w:lang w:val="en-US" w:eastAsia="zh-CN"/>
              </w:rPr>
              <w:t>服务响应</w:t>
            </w:r>
          </w:p>
        </w:tc>
        <w:tc>
          <w:tcPr>
            <w:tcW w:w="795" w:type="dxa"/>
            <w:tcBorders>
              <w:top w:val="single" w:color="auto" w:sz="4" w:space="0"/>
              <w:left w:val="single" w:color="auto" w:sz="4" w:space="0"/>
              <w:bottom w:val="single" w:color="auto" w:sz="4" w:space="0"/>
              <w:right w:val="single" w:color="auto" w:sz="4" w:space="0"/>
            </w:tcBorders>
            <w:vAlign w:val="center"/>
          </w:tcPr>
          <w:p w14:paraId="34999EA1">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b/>
                <w:bCs/>
                <w:color w:val="auto"/>
                <w:sz w:val="20"/>
                <w:szCs w:val="20"/>
                <w:highlight w:val="none"/>
                <w:lang w:val="en-US" w:eastAsia="zh-CN"/>
              </w:rPr>
              <w:t>5</w:t>
            </w:r>
          </w:p>
        </w:tc>
        <w:tc>
          <w:tcPr>
            <w:tcW w:w="3000" w:type="dxa"/>
            <w:tcBorders>
              <w:top w:val="single" w:color="auto" w:sz="4" w:space="0"/>
              <w:left w:val="single" w:color="auto" w:sz="4" w:space="0"/>
              <w:bottom w:val="single" w:color="auto" w:sz="4" w:space="0"/>
              <w:right w:val="single" w:color="auto" w:sz="4" w:space="0"/>
            </w:tcBorders>
            <w:vAlign w:val="center"/>
          </w:tcPr>
          <w:p w14:paraId="7F397EC8">
            <w:pPr>
              <w:rPr>
                <w:rFonts w:hint="eastAsia" w:ascii="宋体" w:hAnsi="宋体" w:cs="宋体" w:eastAsiaTheme="minorEastAsia"/>
                <w:color w:val="auto"/>
                <w:kern w:val="2"/>
                <w:sz w:val="20"/>
                <w:szCs w:val="20"/>
                <w:highlight w:val="none"/>
                <w:lang w:val="en-US" w:eastAsia="zh-CN" w:bidi="ar-SA"/>
              </w:rPr>
            </w:pPr>
          </w:p>
        </w:tc>
        <w:tc>
          <w:tcPr>
            <w:tcW w:w="855" w:type="dxa"/>
            <w:tcBorders>
              <w:top w:val="single" w:color="auto" w:sz="4" w:space="0"/>
              <w:left w:val="single" w:color="auto" w:sz="4" w:space="0"/>
              <w:bottom w:val="single" w:color="auto" w:sz="4" w:space="0"/>
              <w:right w:val="single" w:color="auto" w:sz="4" w:space="0"/>
            </w:tcBorders>
            <w:vAlign w:val="center"/>
          </w:tcPr>
          <w:p w14:paraId="4E34887B">
            <w:pPr>
              <w:jc w:val="center"/>
              <w:rPr>
                <w:rFonts w:hint="eastAsia" w:ascii="宋体" w:hAnsi="宋体" w:cs="宋体" w:eastAsiaTheme="minorEastAsia"/>
                <w:color w:val="auto"/>
                <w:kern w:val="2"/>
                <w:sz w:val="20"/>
                <w:szCs w:val="20"/>
                <w:highlight w:val="none"/>
                <w:lang w:val="en-US" w:eastAsia="zh-CN" w:bidi="ar-SA"/>
              </w:rPr>
            </w:pPr>
          </w:p>
        </w:tc>
        <w:tc>
          <w:tcPr>
            <w:tcW w:w="675" w:type="dxa"/>
            <w:tcBorders>
              <w:top w:val="single" w:color="auto" w:sz="4" w:space="0"/>
              <w:left w:val="single" w:color="auto" w:sz="4" w:space="0"/>
              <w:bottom w:val="single" w:color="auto" w:sz="4" w:space="0"/>
              <w:right w:val="single" w:color="auto" w:sz="4" w:space="0"/>
            </w:tcBorders>
            <w:vAlign w:val="center"/>
          </w:tcPr>
          <w:p w14:paraId="112219D5">
            <w:pPr>
              <w:jc w:val="center"/>
              <w:rPr>
                <w:rFonts w:ascii="宋体" w:hAnsi="宋体" w:cs="宋体"/>
                <w:color w:val="auto"/>
                <w:sz w:val="20"/>
                <w:szCs w:val="20"/>
                <w:highlight w:val="none"/>
              </w:rPr>
            </w:pPr>
          </w:p>
        </w:tc>
        <w:tc>
          <w:tcPr>
            <w:tcW w:w="831" w:type="dxa"/>
            <w:tcBorders>
              <w:top w:val="single" w:color="auto" w:sz="4" w:space="0"/>
              <w:left w:val="single" w:color="auto" w:sz="4" w:space="0"/>
              <w:bottom w:val="single" w:color="auto" w:sz="4" w:space="0"/>
              <w:right w:val="single" w:color="auto" w:sz="4" w:space="0"/>
            </w:tcBorders>
            <w:vAlign w:val="center"/>
          </w:tcPr>
          <w:p w14:paraId="4BB9B471">
            <w:pPr>
              <w:jc w:val="center"/>
              <w:rPr>
                <w:rFonts w:ascii="宋体" w:hAnsi="宋体" w:cs="宋体"/>
                <w:color w:val="auto"/>
                <w:sz w:val="20"/>
                <w:szCs w:val="20"/>
                <w:highlight w:val="none"/>
              </w:rPr>
            </w:pPr>
          </w:p>
        </w:tc>
      </w:tr>
      <w:tr w14:paraId="7D857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vMerge w:val="restart"/>
            <w:tcBorders>
              <w:top w:val="single" w:color="auto" w:sz="4" w:space="0"/>
              <w:left w:val="single" w:color="auto" w:sz="4" w:space="0"/>
              <w:right w:val="single" w:color="auto" w:sz="4" w:space="0"/>
            </w:tcBorders>
            <w:vAlign w:val="center"/>
          </w:tcPr>
          <w:p w14:paraId="6C1FD15E">
            <w:pPr>
              <w:jc w:val="center"/>
              <w:rPr>
                <w:rFonts w:hint="eastAsia" w:asciiTheme="minorHAnsi" w:hAnsiTheme="minorHAnsi" w:eastAsiaTheme="minorEastAsia" w:cstheme="minorBidi"/>
                <w:color w:val="auto"/>
                <w:kern w:val="2"/>
                <w:sz w:val="20"/>
                <w:szCs w:val="20"/>
                <w:highlight w:val="none"/>
                <w:lang w:val="en-US" w:eastAsia="zh-CN" w:bidi="ar-SA"/>
              </w:rPr>
            </w:pPr>
            <w:r>
              <w:rPr>
                <w:rFonts w:hint="eastAsia" w:asciiTheme="minorHAnsi" w:hAnsiTheme="minorHAnsi" w:eastAsiaTheme="minorEastAsia" w:cstheme="minorBidi"/>
                <w:color w:val="auto"/>
                <w:kern w:val="2"/>
                <w:sz w:val="20"/>
                <w:szCs w:val="20"/>
                <w:highlight w:val="none"/>
                <w:lang w:val="en-US" w:eastAsia="zh-CN" w:bidi="ar-SA"/>
              </w:rPr>
              <w:t>21</w:t>
            </w:r>
          </w:p>
        </w:tc>
        <w:tc>
          <w:tcPr>
            <w:tcW w:w="2655" w:type="dxa"/>
            <w:vMerge w:val="restart"/>
            <w:tcBorders>
              <w:top w:val="single" w:color="auto" w:sz="4" w:space="0"/>
              <w:left w:val="single" w:color="auto" w:sz="4" w:space="0"/>
              <w:right w:val="single" w:color="auto" w:sz="4" w:space="0"/>
            </w:tcBorders>
            <w:vAlign w:val="center"/>
          </w:tcPr>
          <w:p w14:paraId="2DA813AC">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eastAsia="zh-CN"/>
              </w:rPr>
              <w:t>服务商</w:t>
            </w:r>
            <w:r>
              <w:rPr>
                <w:rFonts w:hint="eastAsia"/>
                <w:color w:val="auto"/>
                <w:sz w:val="20"/>
                <w:szCs w:val="20"/>
                <w:highlight w:val="none"/>
              </w:rPr>
              <w:t>应对</w:t>
            </w:r>
            <w:r>
              <w:rPr>
                <w:rFonts w:hint="eastAsia"/>
                <w:color w:val="auto"/>
                <w:sz w:val="20"/>
                <w:szCs w:val="20"/>
                <w:highlight w:val="none"/>
                <w:lang w:eastAsia="zh-CN"/>
              </w:rPr>
              <w:t>采购方</w:t>
            </w:r>
            <w:r>
              <w:rPr>
                <w:rFonts w:hint="eastAsia"/>
                <w:color w:val="auto"/>
                <w:sz w:val="20"/>
                <w:szCs w:val="20"/>
                <w:highlight w:val="none"/>
              </w:rPr>
              <w:t>布置的工作要求、任务予以积极响应。做到对</w:t>
            </w:r>
            <w:r>
              <w:rPr>
                <w:rFonts w:hint="eastAsia"/>
                <w:color w:val="auto"/>
                <w:sz w:val="20"/>
                <w:szCs w:val="20"/>
                <w:highlight w:val="none"/>
                <w:lang w:eastAsia="zh-CN"/>
              </w:rPr>
              <w:t>采购方</w:t>
            </w:r>
            <w:r>
              <w:rPr>
                <w:rFonts w:hint="eastAsia"/>
                <w:color w:val="auto"/>
                <w:sz w:val="20"/>
                <w:szCs w:val="20"/>
                <w:highlight w:val="none"/>
              </w:rPr>
              <w:t>布置的工作要求、任务有落实，有反馈。</w:t>
            </w:r>
          </w:p>
        </w:tc>
        <w:tc>
          <w:tcPr>
            <w:tcW w:w="795" w:type="dxa"/>
            <w:vMerge w:val="restart"/>
            <w:tcBorders>
              <w:top w:val="single" w:color="auto" w:sz="4" w:space="0"/>
              <w:left w:val="single" w:color="auto" w:sz="4" w:space="0"/>
              <w:right w:val="single" w:color="auto" w:sz="4" w:space="0"/>
            </w:tcBorders>
            <w:vAlign w:val="center"/>
          </w:tcPr>
          <w:p w14:paraId="122C7853">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5</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5A25DB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21C4412">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675" w:type="dxa"/>
            <w:tcBorders>
              <w:top w:val="single" w:color="auto" w:sz="4" w:space="0"/>
              <w:left w:val="single" w:color="auto" w:sz="4" w:space="0"/>
              <w:bottom w:val="single" w:color="auto" w:sz="4" w:space="0"/>
              <w:right w:val="single" w:color="auto" w:sz="4" w:space="0"/>
            </w:tcBorders>
            <w:vAlign w:val="center"/>
          </w:tcPr>
          <w:p w14:paraId="58CCD6C1">
            <w:pPr>
              <w:jc w:val="center"/>
              <w:rPr>
                <w:rFonts w:ascii="宋体" w:hAnsi="宋体" w:cs="宋体"/>
                <w:color w:val="auto"/>
                <w:sz w:val="20"/>
                <w:szCs w:val="20"/>
                <w:highlight w:val="none"/>
              </w:rPr>
            </w:pPr>
          </w:p>
        </w:tc>
        <w:tc>
          <w:tcPr>
            <w:tcW w:w="831" w:type="dxa"/>
            <w:tcBorders>
              <w:top w:val="single" w:color="auto" w:sz="4" w:space="0"/>
              <w:left w:val="single" w:color="auto" w:sz="4" w:space="0"/>
              <w:bottom w:val="single" w:color="auto" w:sz="4" w:space="0"/>
              <w:right w:val="single" w:color="auto" w:sz="4" w:space="0"/>
            </w:tcBorders>
            <w:vAlign w:val="center"/>
          </w:tcPr>
          <w:p w14:paraId="4A480D43">
            <w:pPr>
              <w:jc w:val="center"/>
              <w:rPr>
                <w:rFonts w:ascii="宋体" w:hAnsi="宋体" w:cs="宋体"/>
                <w:color w:val="auto"/>
                <w:sz w:val="20"/>
                <w:szCs w:val="20"/>
                <w:highlight w:val="none"/>
              </w:rPr>
            </w:pPr>
          </w:p>
        </w:tc>
      </w:tr>
      <w:tr w14:paraId="75B24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vMerge w:val="continue"/>
            <w:tcBorders>
              <w:left w:val="single" w:color="auto" w:sz="4" w:space="0"/>
              <w:right w:val="single" w:color="auto" w:sz="4" w:space="0"/>
            </w:tcBorders>
            <w:vAlign w:val="center"/>
          </w:tcPr>
          <w:p w14:paraId="7DB7FE16">
            <w:pPr>
              <w:jc w:val="center"/>
              <w:rPr>
                <w:rFonts w:hint="eastAsia"/>
                <w:color w:val="auto"/>
                <w:sz w:val="20"/>
                <w:szCs w:val="20"/>
                <w:highlight w:val="none"/>
                <w:lang w:val="en-US" w:eastAsia="zh-CN"/>
              </w:rPr>
            </w:pPr>
          </w:p>
        </w:tc>
        <w:tc>
          <w:tcPr>
            <w:tcW w:w="2655" w:type="dxa"/>
            <w:vMerge w:val="continue"/>
            <w:tcBorders>
              <w:left w:val="single" w:color="auto" w:sz="4" w:space="0"/>
              <w:right w:val="single" w:color="auto" w:sz="4" w:space="0"/>
            </w:tcBorders>
            <w:vAlign w:val="center"/>
          </w:tcPr>
          <w:p w14:paraId="63EB7563">
            <w:pPr>
              <w:rPr>
                <w:rFonts w:hint="eastAsia"/>
                <w:color w:val="auto"/>
                <w:sz w:val="20"/>
                <w:szCs w:val="20"/>
                <w:highlight w:val="none"/>
              </w:rPr>
            </w:pPr>
          </w:p>
        </w:tc>
        <w:tc>
          <w:tcPr>
            <w:tcW w:w="795" w:type="dxa"/>
            <w:vMerge w:val="continue"/>
            <w:tcBorders>
              <w:left w:val="single" w:color="auto" w:sz="4" w:space="0"/>
              <w:right w:val="single" w:color="auto" w:sz="4" w:space="0"/>
            </w:tcBorders>
            <w:vAlign w:val="center"/>
          </w:tcPr>
          <w:p w14:paraId="6593935D">
            <w:pPr>
              <w:jc w:val="center"/>
              <w:rPr>
                <w:rFonts w:hint="eastAsia" w:ascii="宋体" w:hAnsi="宋体" w:cs="宋体"/>
                <w:color w:val="auto"/>
                <w:sz w:val="20"/>
                <w:szCs w:val="20"/>
                <w:highlight w:val="none"/>
                <w:lang w:val="en-US" w:eastAsia="zh-CN"/>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F8B98A5">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9360F8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675" w:type="dxa"/>
            <w:tcBorders>
              <w:top w:val="single" w:color="auto" w:sz="4" w:space="0"/>
              <w:left w:val="single" w:color="auto" w:sz="4" w:space="0"/>
              <w:bottom w:val="single" w:color="auto" w:sz="4" w:space="0"/>
              <w:right w:val="single" w:color="auto" w:sz="4" w:space="0"/>
            </w:tcBorders>
            <w:vAlign w:val="center"/>
          </w:tcPr>
          <w:p w14:paraId="37D693FF">
            <w:pPr>
              <w:jc w:val="center"/>
              <w:rPr>
                <w:rFonts w:ascii="宋体" w:hAnsi="宋体" w:cs="宋体"/>
                <w:color w:val="auto"/>
                <w:sz w:val="20"/>
                <w:szCs w:val="20"/>
                <w:highlight w:val="none"/>
              </w:rPr>
            </w:pPr>
          </w:p>
        </w:tc>
        <w:tc>
          <w:tcPr>
            <w:tcW w:w="831" w:type="dxa"/>
            <w:tcBorders>
              <w:top w:val="single" w:color="auto" w:sz="4" w:space="0"/>
              <w:left w:val="single" w:color="auto" w:sz="4" w:space="0"/>
              <w:bottom w:val="single" w:color="auto" w:sz="4" w:space="0"/>
              <w:right w:val="single" w:color="auto" w:sz="4" w:space="0"/>
            </w:tcBorders>
            <w:vAlign w:val="center"/>
          </w:tcPr>
          <w:p w14:paraId="663A03E3">
            <w:pPr>
              <w:jc w:val="center"/>
              <w:rPr>
                <w:rFonts w:ascii="宋体" w:hAnsi="宋体" w:cs="宋体"/>
                <w:color w:val="auto"/>
                <w:sz w:val="20"/>
                <w:szCs w:val="20"/>
                <w:highlight w:val="none"/>
              </w:rPr>
            </w:pPr>
          </w:p>
        </w:tc>
      </w:tr>
      <w:tr w14:paraId="6E62A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764" w:type="dxa"/>
            <w:vMerge w:val="continue"/>
            <w:tcBorders>
              <w:left w:val="single" w:color="auto" w:sz="4" w:space="0"/>
              <w:bottom w:val="single" w:color="auto" w:sz="4" w:space="0"/>
              <w:right w:val="single" w:color="auto" w:sz="4" w:space="0"/>
            </w:tcBorders>
            <w:vAlign w:val="center"/>
          </w:tcPr>
          <w:p w14:paraId="32B37621">
            <w:pPr>
              <w:widowControl/>
              <w:jc w:val="center"/>
              <w:textAlignment w:val="center"/>
              <w:rPr>
                <w:rFonts w:hint="eastAsia" w:ascii="宋体" w:hAnsi="宋体" w:cs="宋体"/>
                <w:color w:val="auto"/>
                <w:sz w:val="20"/>
                <w:szCs w:val="20"/>
                <w:highlight w:val="none"/>
                <w:lang w:val="en-US" w:eastAsia="zh-CN"/>
              </w:rPr>
            </w:pPr>
          </w:p>
        </w:tc>
        <w:tc>
          <w:tcPr>
            <w:tcW w:w="2655" w:type="dxa"/>
            <w:vMerge w:val="continue"/>
            <w:tcBorders>
              <w:left w:val="single" w:color="auto" w:sz="4" w:space="0"/>
              <w:bottom w:val="single" w:color="auto" w:sz="4" w:space="0"/>
              <w:right w:val="single" w:color="auto" w:sz="4" w:space="0"/>
            </w:tcBorders>
            <w:vAlign w:val="center"/>
          </w:tcPr>
          <w:p w14:paraId="322EA884">
            <w:pPr>
              <w:widowControl/>
              <w:jc w:val="left"/>
              <w:textAlignment w:val="center"/>
              <w:rPr>
                <w:rFonts w:hint="eastAsia" w:ascii="宋体" w:hAnsi="宋体" w:cs="宋体"/>
                <w:color w:val="auto"/>
                <w:kern w:val="0"/>
                <w:sz w:val="20"/>
                <w:szCs w:val="20"/>
                <w:highlight w:val="none"/>
              </w:rPr>
            </w:pPr>
          </w:p>
        </w:tc>
        <w:tc>
          <w:tcPr>
            <w:tcW w:w="795" w:type="dxa"/>
            <w:vMerge w:val="continue"/>
            <w:tcBorders>
              <w:left w:val="single" w:color="auto" w:sz="4" w:space="0"/>
              <w:bottom w:val="single" w:color="auto" w:sz="4" w:space="0"/>
              <w:right w:val="single" w:color="auto" w:sz="4" w:space="0"/>
            </w:tcBorders>
            <w:vAlign w:val="center"/>
          </w:tcPr>
          <w:p w14:paraId="7BFEF565">
            <w:pPr>
              <w:widowControl/>
              <w:jc w:val="center"/>
              <w:textAlignment w:val="center"/>
              <w:rPr>
                <w:rFonts w:hint="eastAsia" w:ascii="宋体" w:hAnsi="宋体" w:cs="宋体"/>
                <w:color w:val="auto"/>
                <w:kern w:val="0"/>
                <w:sz w:val="20"/>
                <w:szCs w:val="20"/>
                <w:highlight w:val="none"/>
                <w:lang w:val="en-US" w:eastAsia="zh-CN"/>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4965025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3583CF7">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3分/项</w:t>
            </w:r>
          </w:p>
        </w:tc>
        <w:tc>
          <w:tcPr>
            <w:tcW w:w="675" w:type="dxa"/>
            <w:tcBorders>
              <w:top w:val="single" w:color="auto" w:sz="4" w:space="0"/>
              <w:left w:val="single" w:color="auto" w:sz="4" w:space="0"/>
              <w:bottom w:val="single" w:color="auto" w:sz="4" w:space="0"/>
              <w:right w:val="single" w:color="auto" w:sz="4" w:space="0"/>
            </w:tcBorders>
            <w:vAlign w:val="center"/>
          </w:tcPr>
          <w:p w14:paraId="4117A165">
            <w:pPr>
              <w:jc w:val="center"/>
              <w:rPr>
                <w:rFonts w:ascii="宋体" w:hAnsi="宋体" w:cs="宋体"/>
                <w:color w:val="auto"/>
                <w:sz w:val="20"/>
                <w:szCs w:val="20"/>
                <w:highlight w:val="none"/>
              </w:rPr>
            </w:pPr>
          </w:p>
        </w:tc>
        <w:tc>
          <w:tcPr>
            <w:tcW w:w="831" w:type="dxa"/>
            <w:tcBorders>
              <w:top w:val="single" w:color="auto" w:sz="4" w:space="0"/>
              <w:left w:val="single" w:color="auto" w:sz="4" w:space="0"/>
              <w:bottom w:val="single" w:color="auto" w:sz="4" w:space="0"/>
              <w:right w:val="single" w:color="auto" w:sz="4" w:space="0"/>
            </w:tcBorders>
            <w:vAlign w:val="center"/>
          </w:tcPr>
          <w:p w14:paraId="0C830FE0">
            <w:pPr>
              <w:jc w:val="center"/>
              <w:rPr>
                <w:rFonts w:ascii="宋体" w:hAnsi="宋体" w:cs="宋体"/>
                <w:color w:val="auto"/>
                <w:sz w:val="20"/>
                <w:szCs w:val="20"/>
                <w:highlight w:val="none"/>
              </w:rPr>
            </w:pPr>
          </w:p>
        </w:tc>
      </w:tr>
      <w:tr w14:paraId="12849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9575" w:type="dxa"/>
            <w:gridSpan w:val="7"/>
            <w:tcBorders>
              <w:top w:val="single" w:color="auto" w:sz="4" w:space="0"/>
              <w:left w:val="single" w:color="auto" w:sz="4" w:space="0"/>
              <w:bottom w:val="single" w:color="auto" w:sz="4" w:space="0"/>
              <w:right w:val="single" w:color="auto" w:sz="4" w:space="0"/>
            </w:tcBorders>
            <w:vAlign w:val="center"/>
          </w:tcPr>
          <w:p w14:paraId="3B2B78D4">
            <w:pPr>
              <w:jc w:val="center"/>
              <w:rPr>
                <w:rFonts w:hint="eastAsia" w:ascii="Calibri" w:hAnsi="Calibri" w:eastAsia="宋体" w:cs="Times New Roman"/>
                <w:color w:val="auto"/>
                <w:kern w:val="2"/>
                <w:sz w:val="20"/>
                <w:szCs w:val="20"/>
                <w:highlight w:val="none"/>
                <w:lang w:val="en-US" w:eastAsia="zh-CN" w:bidi="ar-SA"/>
              </w:rPr>
            </w:pPr>
            <w:r>
              <w:rPr>
                <w:rFonts w:hint="eastAsia"/>
                <w:color w:val="auto"/>
                <w:sz w:val="20"/>
                <w:szCs w:val="20"/>
                <w:highlight w:val="none"/>
                <w:lang w:val="en-US" w:eastAsia="zh-CN"/>
              </w:rPr>
              <w:t xml:space="preserve">                                                </w:t>
            </w:r>
            <w:r>
              <w:rPr>
                <w:rFonts w:hint="eastAsia"/>
                <w:color w:val="auto"/>
                <w:sz w:val="20"/>
                <w:szCs w:val="20"/>
                <w:highlight w:val="none"/>
                <w:lang w:eastAsia="zh-CN"/>
              </w:rPr>
              <w:t>考核分数：</w:t>
            </w:r>
          </w:p>
        </w:tc>
      </w:tr>
      <w:tr w14:paraId="08200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9575" w:type="dxa"/>
            <w:gridSpan w:val="7"/>
            <w:tcBorders>
              <w:top w:val="single" w:color="auto" w:sz="4" w:space="0"/>
              <w:left w:val="single" w:color="auto" w:sz="4" w:space="0"/>
              <w:bottom w:val="single" w:color="auto" w:sz="4" w:space="0"/>
              <w:right w:val="single" w:color="auto" w:sz="4" w:space="0"/>
            </w:tcBorders>
            <w:vAlign w:val="center"/>
          </w:tcPr>
          <w:p w14:paraId="5B7F0FB4">
            <w:pPr>
              <w:rPr>
                <w:rFonts w:hint="eastAsia"/>
                <w:b w:val="0"/>
                <w:bCs w:val="0"/>
                <w:color w:val="auto"/>
                <w:sz w:val="20"/>
                <w:szCs w:val="20"/>
                <w:highlight w:val="none"/>
              </w:rPr>
            </w:pPr>
            <w:r>
              <w:rPr>
                <w:rFonts w:hint="eastAsia"/>
                <w:color w:val="auto"/>
                <w:sz w:val="20"/>
                <w:szCs w:val="20"/>
                <w:highlight w:val="none"/>
                <w:lang w:eastAsia="zh-CN"/>
              </w:rPr>
              <w:t>考核意见：</w:t>
            </w:r>
          </w:p>
          <w:p w14:paraId="02C3C8C0">
            <w:pPr>
              <w:jc w:val="both"/>
              <w:rPr>
                <w:rFonts w:hint="eastAsia" w:asciiTheme="minorHAnsi" w:hAnsiTheme="minorHAnsi" w:eastAsiaTheme="minorEastAsia" w:cstheme="minorBidi"/>
                <w:color w:val="auto"/>
                <w:kern w:val="2"/>
                <w:sz w:val="20"/>
                <w:szCs w:val="20"/>
                <w:highlight w:val="none"/>
                <w:lang w:val="en-US" w:eastAsia="zh-CN" w:bidi="ar-SA"/>
              </w:rPr>
            </w:pPr>
            <w:r>
              <w:rPr>
                <w:rFonts w:hint="eastAsia"/>
                <w:b w:val="0"/>
                <w:bCs w:val="0"/>
                <w:color w:val="auto"/>
                <w:sz w:val="20"/>
                <w:szCs w:val="20"/>
                <w:highlight w:val="none"/>
                <w:lang w:val="en-US" w:eastAsia="zh-CN"/>
              </w:rPr>
              <w:t xml:space="preserve">                                                 </w:t>
            </w:r>
            <w:r>
              <w:rPr>
                <w:rFonts w:hint="eastAsia" w:asciiTheme="minorHAnsi" w:hAnsiTheme="minorHAnsi" w:eastAsiaTheme="minorEastAsia" w:cstheme="minorBidi"/>
                <w:color w:val="auto"/>
                <w:kern w:val="2"/>
                <w:sz w:val="20"/>
                <w:szCs w:val="20"/>
                <w:highlight w:val="none"/>
                <w:lang w:val="en-US" w:eastAsia="zh-CN" w:bidi="ar-SA"/>
              </w:rPr>
              <w:t>签名：</w:t>
            </w:r>
          </w:p>
          <w:p w14:paraId="28E374A9">
            <w:pPr>
              <w:ind w:firstLine="4800" w:firstLineChars="2400"/>
              <w:jc w:val="both"/>
              <w:rPr>
                <w:rFonts w:hint="eastAsia" w:ascii="Calibri" w:hAnsi="Calibri" w:eastAsia="宋体" w:cs="Times New Roman"/>
                <w:color w:val="auto"/>
                <w:kern w:val="2"/>
                <w:sz w:val="20"/>
                <w:szCs w:val="20"/>
                <w:highlight w:val="none"/>
                <w:lang w:val="en-US" w:eastAsia="zh-CN" w:bidi="ar-SA"/>
              </w:rPr>
            </w:pPr>
            <w:r>
              <w:rPr>
                <w:rFonts w:hint="eastAsia" w:asciiTheme="minorHAnsi" w:hAnsiTheme="minorHAnsi" w:eastAsiaTheme="minorEastAsia" w:cstheme="minorBidi"/>
                <w:color w:val="auto"/>
                <w:kern w:val="2"/>
                <w:sz w:val="20"/>
                <w:szCs w:val="20"/>
                <w:highlight w:val="none"/>
                <w:lang w:val="en-US" w:eastAsia="zh-CN" w:bidi="ar-SA"/>
              </w:rPr>
              <w:t xml:space="preserve"> 日期：</w:t>
            </w:r>
          </w:p>
        </w:tc>
      </w:tr>
    </w:tbl>
    <w:p w14:paraId="19645E12">
      <w:pPr>
        <w:keepNext/>
        <w:keepLines w:val="0"/>
        <w:pageBreakBefore w:val="0"/>
        <w:widowControl w:val="0"/>
        <w:kinsoku/>
        <w:wordWrap/>
        <w:overflowPunct/>
        <w:topLinePunct w:val="0"/>
        <w:autoSpaceDE/>
        <w:autoSpaceDN/>
        <w:bidi w:val="0"/>
        <w:adjustRightInd/>
        <w:snapToGrid/>
        <w:spacing w:line="560" w:lineRule="exact"/>
        <w:ind w:firstLine="402" w:firstLineChars="200"/>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4.6食堂物业管理服务服务内容及标准（50分）</w:t>
      </w:r>
    </w:p>
    <w:tbl>
      <w:tblPr>
        <w:tblStyle w:val="15"/>
        <w:tblW w:w="9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3185"/>
        <w:gridCol w:w="904"/>
        <w:gridCol w:w="2306"/>
        <w:gridCol w:w="1005"/>
        <w:gridCol w:w="769"/>
        <w:gridCol w:w="870"/>
      </w:tblGrid>
      <w:tr w14:paraId="468CC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8" w:type="dxa"/>
            <w:vAlign w:val="center"/>
          </w:tcPr>
          <w:p w14:paraId="0922C7A8">
            <w:pPr>
              <w:jc w:val="center"/>
              <w:rPr>
                <w:rFonts w:hint="eastAsia" w:ascii="宋体" w:hAnsi="宋体" w:cs="宋体" w:eastAsiaTheme="minorEastAsia"/>
                <w:color w:val="auto"/>
                <w:kern w:val="2"/>
                <w:sz w:val="20"/>
                <w:szCs w:val="20"/>
                <w:highlight w:val="none"/>
                <w:lang w:val="en-US" w:eastAsia="zh-CN" w:bidi="ar-SA"/>
              </w:rPr>
            </w:pPr>
            <w:r>
              <w:rPr>
                <w:rFonts w:hint="eastAsia"/>
                <w:b/>
                <w:bCs/>
                <w:color w:val="auto"/>
                <w:sz w:val="20"/>
                <w:szCs w:val="20"/>
                <w:highlight w:val="none"/>
              </w:rPr>
              <w:t>序号</w:t>
            </w:r>
          </w:p>
        </w:tc>
        <w:tc>
          <w:tcPr>
            <w:tcW w:w="3185" w:type="dxa"/>
            <w:vAlign w:val="center"/>
          </w:tcPr>
          <w:p w14:paraId="199A987B">
            <w:pPr>
              <w:jc w:val="center"/>
              <w:rPr>
                <w:rFonts w:hint="eastAsia" w:ascii="宋体" w:hAnsi="宋体" w:cs="宋体" w:eastAsiaTheme="minorEastAsia"/>
                <w:color w:val="auto"/>
                <w:kern w:val="2"/>
                <w:sz w:val="20"/>
                <w:szCs w:val="20"/>
                <w:highlight w:val="none"/>
                <w:lang w:val="en-US" w:eastAsia="zh-CN" w:bidi="ar-SA"/>
              </w:rPr>
            </w:pPr>
            <w:r>
              <w:rPr>
                <w:rFonts w:hint="eastAsia"/>
                <w:b/>
                <w:bCs/>
                <w:color w:val="auto"/>
                <w:sz w:val="20"/>
                <w:szCs w:val="20"/>
                <w:highlight w:val="none"/>
              </w:rPr>
              <w:t>服务内容及标准要求</w:t>
            </w:r>
          </w:p>
        </w:tc>
        <w:tc>
          <w:tcPr>
            <w:tcW w:w="904" w:type="dxa"/>
            <w:vAlign w:val="center"/>
          </w:tcPr>
          <w:p w14:paraId="71AE1B79">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b/>
                <w:bCs/>
                <w:color w:val="auto"/>
                <w:sz w:val="20"/>
                <w:szCs w:val="20"/>
                <w:highlight w:val="none"/>
              </w:rPr>
              <w:t>标准分</w:t>
            </w:r>
          </w:p>
        </w:tc>
        <w:tc>
          <w:tcPr>
            <w:tcW w:w="2306" w:type="dxa"/>
            <w:vAlign w:val="center"/>
          </w:tcPr>
          <w:p w14:paraId="6B70DF11">
            <w:pPr>
              <w:jc w:val="center"/>
              <w:rPr>
                <w:rFonts w:hint="eastAsia" w:ascii="宋体" w:hAnsi="宋体" w:cs="宋体" w:eastAsiaTheme="minorEastAsia"/>
                <w:color w:val="auto"/>
                <w:kern w:val="2"/>
                <w:sz w:val="20"/>
                <w:szCs w:val="20"/>
                <w:highlight w:val="none"/>
                <w:lang w:val="en-US" w:eastAsia="zh-CN" w:bidi="ar-SA"/>
              </w:rPr>
            </w:pPr>
            <w:r>
              <w:rPr>
                <w:rFonts w:hint="eastAsia"/>
                <w:b/>
                <w:bCs/>
                <w:color w:val="auto"/>
                <w:sz w:val="20"/>
                <w:szCs w:val="20"/>
                <w:highlight w:val="none"/>
              </w:rPr>
              <w:t>检查内容</w:t>
            </w:r>
          </w:p>
        </w:tc>
        <w:tc>
          <w:tcPr>
            <w:tcW w:w="1005" w:type="dxa"/>
            <w:vAlign w:val="center"/>
          </w:tcPr>
          <w:p w14:paraId="2018EA4D">
            <w:pPr>
              <w:jc w:val="center"/>
              <w:rPr>
                <w:b/>
                <w:bCs/>
                <w:color w:val="auto"/>
                <w:sz w:val="20"/>
                <w:szCs w:val="20"/>
                <w:highlight w:val="none"/>
              </w:rPr>
            </w:pPr>
            <w:r>
              <w:rPr>
                <w:rFonts w:hint="eastAsia"/>
                <w:b/>
                <w:bCs/>
                <w:color w:val="auto"/>
                <w:sz w:val="20"/>
                <w:szCs w:val="20"/>
                <w:highlight w:val="none"/>
              </w:rPr>
              <w:t>扣分</w:t>
            </w:r>
          </w:p>
          <w:p w14:paraId="3E8B0FEF">
            <w:pPr>
              <w:jc w:val="center"/>
              <w:rPr>
                <w:rFonts w:hint="eastAsia" w:ascii="宋体" w:hAnsi="宋体" w:cs="宋体" w:eastAsiaTheme="minorEastAsia"/>
                <w:color w:val="auto"/>
                <w:kern w:val="2"/>
                <w:sz w:val="20"/>
                <w:szCs w:val="20"/>
                <w:highlight w:val="none"/>
                <w:lang w:val="en-US" w:eastAsia="zh-CN" w:bidi="ar-SA"/>
              </w:rPr>
            </w:pPr>
            <w:r>
              <w:rPr>
                <w:rFonts w:hint="eastAsia"/>
                <w:b/>
                <w:bCs/>
                <w:color w:val="auto"/>
                <w:sz w:val="20"/>
                <w:szCs w:val="20"/>
                <w:highlight w:val="none"/>
              </w:rPr>
              <w:t>标准</w:t>
            </w:r>
          </w:p>
        </w:tc>
        <w:tc>
          <w:tcPr>
            <w:tcW w:w="769" w:type="dxa"/>
            <w:vAlign w:val="center"/>
          </w:tcPr>
          <w:p w14:paraId="2D950B79">
            <w:pPr>
              <w:jc w:val="both"/>
              <w:rPr>
                <w:b/>
                <w:bCs/>
                <w:color w:val="auto"/>
                <w:sz w:val="20"/>
                <w:szCs w:val="20"/>
                <w:highlight w:val="none"/>
              </w:rPr>
            </w:pPr>
            <w:r>
              <w:rPr>
                <w:rFonts w:hint="eastAsia"/>
                <w:b/>
                <w:bCs/>
                <w:color w:val="auto"/>
                <w:sz w:val="20"/>
                <w:szCs w:val="20"/>
                <w:highlight w:val="none"/>
              </w:rPr>
              <w:t>实际</w:t>
            </w:r>
          </w:p>
          <w:p w14:paraId="149FCDC3">
            <w:pPr>
              <w:jc w:val="both"/>
              <w:rPr>
                <w:rFonts w:hint="eastAsia"/>
                <w:b/>
                <w:bCs/>
                <w:color w:val="auto"/>
                <w:sz w:val="20"/>
                <w:szCs w:val="20"/>
                <w:highlight w:val="none"/>
              </w:rPr>
            </w:pPr>
            <w:r>
              <w:rPr>
                <w:rFonts w:hint="eastAsia"/>
                <w:b/>
                <w:bCs/>
                <w:color w:val="auto"/>
                <w:sz w:val="20"/>
                <w:szCs w:val="20"/>
                <w:highlight w:val="none"/>
              </w:rPr>
              <w:t>扣分</w:t>
            </w:r>
          </w:p>
        </w:tc>
        <w:tc>
          <w:tcPr>
            <w:tcW w:w="870" w:type="dxa"/>
            <w:vAlign w:val="center"/>
          </w:tcPr>
          <w:p w14:paraId="28F7AB00">
            <w:pPr>
              <w:jc w:val="both"/>
              <w:rPr>
                <w:rFonts w:hint="eastAsia" w:ascii="宋体" w:hAnsi="宋体" w:cs="宋体" w:eastAsiaTheme="minorEastAsia"/>
                <w:color w:val="auto"/>
                <w:kern w:val="2"/>
                <w:sz w:val="20"/>
                <w:szCs w:val="20"/>
                <w:highlight w:val="none"/>
                <w:lang w:val="en-US" w:eastAsia="zh-CN" w:bidi="ar-SA"/>
              </w:rPr>
            </w:pPr>
            <w:r>
              <w:rPr>
                <w:rFonts w:hint="eastAsia"/>
                <w:b/>
                <w:bCs/>
                <w:color w:val="auto"/>
                <w:sz w:val="20"/>
                <w:szCs w:val="20"/>
                <w:highlight w:val="none"/>
              </w:rPr>
              <w:t>备注</w:t>
            </w:r>
          </w:p>
        </w:tc>
      </w:tr>
      <w:tr w14:paraId="22F9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98" w:type="dxa"/>
            <w:tcBorders>
              <w:bottom w:val="single" w:color="auto" w:sz="4" w:space="0"/>
            </w:tcBorders>
            <w:vAlign w:val="center"/>
          </w:tcPr>
          <w:p w14:paraId="4121ACDD">
            <w:pPr>
              <w:jc w:val="center"/>
              <w:rPr>
                <w:rFonts w:ascii="宋体" w:hAnsi="宋体" w:cs="宋体"/>
                <w:color w:val="auto"/>
                <w:sz w:val="20"/>
                <w:szCs w:val="20"/>
                <w:highlight w:val="none"/>
              </w:rPr>
            </w:pPr>
            <w:r>
              <w:rPr>
                <w:rFonts w:hint="eastAsia" w:ascii="宋体" w:hAnsi="宋体" w:cs="宋体"/>
                <w:color w:val="auto"/>
                <w:sz w:val="20"/>
                <w:szCs w:val="20"/>
                <w:highlight w:val="none"/>
              </w:rPr>
              <w:t>1</w:t>
            </w:r>
          </w:p>
        </w:tc>
        <w:tc>
          <w:tcPr>
            <w:tcW w:w="3185" w:type="dxa"/>
            <w:tcBorders>
              <w:bottom w:val="single" w:color="auto" w:sz="4" w:space="0"/>
            </w:tcBorders>
            <w:vAlign w:val="center"/>
          </w:tcPr>
          <w:p w14:paraId="148CC54D">
            <w:pP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rPr>
              <w:t>食堂内餐厨</w:t>
            </w:r>
            <w:r>
              <w:rPr>
                <w:rFonts w:hint="eastAsia" w:ascii="宋体" w:hAnsi="宋体" w:cs="宋体"/>
                <w:color w:val="auto"/>
                <w:sz w:val="20"/>
                <w:szCs w:val="20"/>
                <w:highlight w:val="none"/>
              </w:rPr>
              <w:t>垃圾需每天清运。</w:t>
            </w:r>
          </w:p>
        </w:tc>
        <w:tc>
          <w:tcPr>
            <w:tcW w:w="904" w:type="dxa"/>
            <w:tcBorders>
              <w:bottom w:val="single" w:color="auto" w:sz="4" w:space="0"/>
            </w:tcBorders>
            <w:vAlign w:val="center"/>
          </w:tcPr>
          <w:p w14:paraId="41BE3605">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10</w:t>
            </w:r>
          </w:p>
        </w:tc>
        <w:tc>
          <w:tcPr>
            <w:tcW w:w="2306" w:type="dxa"/>
            <w:tcBorders>
              <w:bottom w:val="single" w:color="auto" w:sz="4" w:space="0"/>
            </w:tcBorders>
            <w:vAlign w:val="center"/>
          </w:tcPr>
          <w:p w14:paraId="6396AC84">
            <w:pPr>
              <w:rPr>
                <w:rFonts w:hint="eastAsia" w:ascii="宋体" w:hAnsi="宋体" w:cs="宋体" w:eastAsiaTheme="minorEastAsia"/>
                <w:color w:val="auto"/>
                <w:sz w:val="20"/>
                <w:szCs w:val="20"/>
                <w:highlight w:val="none"/>
                <w:u w:val="single"/>
                <w:lang w:eastAsia="zh-CN"/>
              </w:rPr>
            </w:pPr>
            <w:r>
              <w:rPr>
                <w:rFonts w:hint="eastAsia" w:ascii="宋体" w:hAnsi="宋体" w:cs="宋体"/>
                <w:color w:val="auto"/>
                <w:sz w:val="20"/>
                <w:szCs w:val="20"/>
                <w:highlight w:val="none"/>
                <w:lang w:eastAsia="zh-CN"/>
              </w:rPr>
              <w:t>食堂内</w:t>
            </w:r>
            <w:r>
              <w:rPr>
                <w:rFonts w:hint="eastAsia" w:ascii="宋体" w:hAnsi="宋体" w:cs="宋体"/>
                <w:color w:val="auto"/>
                <w:sz w:val="20"/>
                <w:szCs w:val="20"/>
                <w:highlight w:val="none"/>
                <w:lang w:val="en-US" w:eastAsia="zh-CN"/>
              </w:rPr>
              <w:t>当日</w:t>
            </w:r>
            <w:r>
              <w:rPr>
                <w:rFonts w:hint="eastAsia" w:ascii="宋体" w:hAnsi="宋体" w:cs="宋体"/>
                <w:color w:val="auto"/>
                <w:sz w:val="20"/>
                <w:szCs w:val="20"/>
                <w:highlight w:val="none"/>
              </w:rPr>
              <w:t>垃圾不清运</w:t>
            </w:r>
            <w:r>
              <w:rPr>
                <w:rFonts w:hint="eastAsia" w:ascii="宋体" w:hAnsi="宋体" w:cs="宋体"/>
                <w:color w:val="auto"/>
                <w:sz w:val="20"/>
                <w:szCs w:val="20"/>
                <w:highlight w:val="none"/>
                <w:lang w:eastAsia="zh-CN"/>
              </w:rPr>
              <w:t>。</w:t>
            </w:r>
          </w:p>
        </w:tc>
        <w:tc>
          <w:tcPr>
            <w:tcW w:w="1005" w:type="dxa"/>
            <w:tcBorders>
              <w:bottom w:val="single" w:color="auto" w:sz="4" w:space="0"/>
            </w:tcBorders>
            <w:vAlign w:val="center"/>
          </w:tcPr>
          <w:p w14:paraId="3FA0AE9A">
            <w:pPr>
              <w:jc w:val="center"/>
              <w:rPr>
                <w:rFonts w:ascii="宋体" w:hAnsi="宋体" w:cs="宋体"/>
                <w:color w:val="auto"/>
                <w:sz w:val="20"/>
                <w:szCs w:val="20"/>
                <w:highlight w:val="none"/>
              </w:rPr>
            </w:pPr>
            <w:r>
              <w:rPr>
                <w:rFonts w:hint="eastAsia" w:ascii="宋体" w:hAnsi="宋体" w:cs="宋体"/>
                <w:color w:val="auto"/>
                <w:sz w:val="20"/>
                <w:szCs w:val="20"/>
                <w:highlight w:val="none"/>
              </w:rPr>
              <w:t>-1分/次</w:t>
            </w:r>
          </w:p>
        </w:tc>
        <w:tc>
          <w:tcPr>
            <w:tcW w:w="769" w:type="dxa"/>
            <w:tcBorders>
              <w:bottom w:val="single" w:color="auto" w:sz="4" w:space="0"/>
            </w:tcBorders>
            <w:vAlign w:val="center"/>
          </w:tcPr>
          <w:p w14:paraId="08AF2761">
            <w:pPr>
              <w:jc w:val="center"/>
              <w:rPr>
                <w:rFonts w:ascii="宋体" w:hAnsi="宋体" w:cs="宋体"/>
                <w:color w:val="auto"/>
                <w:sz w:val="20"/>
                <w:szCs w:val="20"/>
                <w:highlight w:val="none"/>
              </w:rPr>
            </w:pPr>
          </w:p>
        </w:tc>
        <w:tc>
          <w:tcPr>
            <w:tcW w:w="870" w:type="dxa"/>
            <w:tcBorders>
              <w:bottom w:val="single" w:color="auto" w:sz="4" w:space="0"/>
            </w:tcBorders>
            <w:vAlign w:val="center"/>
          </w:tcPr>
          <w:p w14:paraId="422F38E7">
            <w:pPr>
              <w:jc w:val="center"/>
              <w:rPr>
                <w:rFonts w:ascii="宋体" w:hAnsi="宋体" w:cs="宋体"/>
                <w:color w:val="auto"/>
                <w:sz w:val="20"/>
                <w:szCs w:val="20"/>
                <w:highlight w:val="none"/>
              </w:rPr>
            </w:pPr>
          </w:p>
        </w:tc>
      </w:tr>
      <w:tr w14:paraId="1901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98" w:type="dxa"/>
            <w:tcBorders>
              <w:bottom w:val="single" w:color="auto" w:sz="4" w:space="0"/>
            </w:tcBorders>
            <w:vAlign w:val="center"/>
          </w:tcPr>
          <w:p w14:paraId="6744CF6C">
            <w:pPr>
              <w:jc w:val="center"/>
              <w:rPr>
                <w:rFonts w:ascii="宋体" w:hAnsi="宋体" w:cs="宋体"/>
                <w:color w:val="auto"/>
                <w:sz w:val="20"/>
                <w:szCs w:val="20"/>
                <w:highlight w:val="none"/>
              </w:rPr>
            </w:pPr>
            <w:r>
              <w:rPr>
                <w:rFonts w:hint="eastAsia" w:ascii="宋体" w:hAnsi="宋体" w:cs="宋体"/>
                <w:color w:val="auto"/>
                <w:sz w:val="20"/>
                <w:szCs w:val="20"/>
                <w:highlight w:val="none"/>
              </w:rPr>
              <w:t>2</w:t>
            </w:r>
          </w:p>
        </w:tc>
        <w:tc>
          <w:tcPr>
            <w:tcW w:w="3185" w:type="dxa"/>
            <w:tcBorders>
              <w:bottom w:val="single" w:color="auto" w:sz="4" w:space="0"/>
            </w:tcBorders>
            <w:vAlign w:val="center"/>
          </w:tcPr>
          <w:p w14:paraId="13CDCF6B">
            <w:pPr>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每季度</w:t>
            </w:r>
            <w:r>
              <w:rPr>
                <w:rFonts w:hint="eastAsia" w:ascii="宋体" w:hAnsi="宋体" w:cs="宋体"/>
                <w:color w:val="auto"/>
                <w:sz w:val="20"/>
                <w:szCs w:val="20"/>
                <w:highlight w:val="none"/>
              </w:rPr>
              <w:t>进行普通病虫害消杀</w:t>
            </w:r>
            <w:r>
              <w:rPr>
                <w:rFonts w:hint="eastAsia" w:ascii="宋体" w:hAnsi="宋体" w:cs="宋体"/>
                <w:color w:val="auto"/>
                <w:sz w:val="20"/>
                <w:szCs w:val="20"/>
                <w:highlight w:val="none"/>
                <w:lang w:val="en-US" w:eastAsia="zh-CN"/>
              </w:rPr>
              <w:t>1次</w:t>
            </w:r>
            <w:r>
              <w:rPr>
                <w:rFonts w:hint="eastAsia" w:ascii="宋体" w:hAnsi="宋体" w:cs="宋体"/>
                <w:color w:val="auto"/>
                <w:sz w:val="20"/>
                <w:szCs w:val="20"/>
                <w:highlight w:val="none"/>
              </w:rPr>
              <w:t>。</w:t>
            </w:r>
          </w:p>
        </w:tc>
        <w:tc>
          <w:tcPr>
            <w:tcW w:w="904" w:type="dxa"/>
            <w:tcBorders>
              <w:bottom w:val="single" w:color="auto" w:sz="4" w:space="0"/>
            </w:tcBorders>
            <w:vAlign w:val="center"/>
          </w:tcPr>
          <w:p w14:paraId="70F1B78F">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12</w:t>
            </w:r>
          </w:p>
        </w:tc>
        <w:tc>
          <w:tcPr>
            <w:tcW w:w="2306" w:type="dxa"/>
            <w:tcBorders>
              <w:bottom w:val="single" w:color="auto" w:sz="4" w:space="0"/>
            </w:tcBorders>
            <w:vAlign w:val="center"/>
          </w:tcPr>
          <w:p w14:paraId="48B1C79A">
            <w:pPr>
              <w:rPr>
                <w:rFonts w:ascii="宋体" w:hAnsi="宋体" w:cs="宋体"/>
                <w:color w:val="auto"/>
                <w:sz w:val="20"/>
                <w:szCs w:val="20"/>
                <w:highlight w:val="none"/>
              </w:rPr>
            </w:pPr>
            <w:r>
              <w:rPr>
                <w:rFonts w:hint="eastAsia" w:ascii="宋体" w:hAnsi="宋体" w:cs="宋体"/>
                <w:color w:val="auto"/>
                <w:sz w:val="20"/>
                <w:szCs w:val="20"/>
                <w:highlight w:val="none"/>
                <w:lang w:eastAsia="zh-CN"/>
              </w:rPr>
              <w:t>未进行</w:t>
            </w:r>
            <w:r>
              <w:rPr>
                <w:rFonts w:hint="eastAsia" w:ascii="宋体" w:hAnsi="宋体" w:cs="宋体"/>
                <w:color w:val="auto"/>
                <w:sz w:val="20"/>
                <w:szCs w:val="20"/>
                <w:highlight w:val="none"/>
              </w:rPr>
              <w:t>普通病虫害消杀。</w:t>
            </w:r>
          </w:p>
        </w:tc>
        <w:tc>
          <w:tcPr>
            <w:tcW w:w="1005" w:type="dxa"/>
            <w:tcBorders>
              <w:bottom w:val="single" w:color="auto" w:sz="4" w:space="0"/>
            </w:tcBorders>
            <w:vAlign w:val="center"/>
          </w:tcPr>
          <w:p w14:paraId="7F770572">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769" w:type="dxa"/>
            <w:tcBorders>
              <w:bottom w:val="single" w:color="auto" w:sz="4" w:space="0"/>
            </w:tcBorders>
            <w:vAlign w:val="center"/>
          </w:tcPr>
          <w:p w14:paraId="49BCEA6B">
            <w:pPr>
              <w:rPr>
                <w:rFonts w:ascii="宋体" w:hAnsi="宋体" w:cs="宋体"/>
                <w:color w:val="auto"/>
                <w:sz w:val="20"/>
                <w:szCs w:val="20"/>
                <w:highlight w:val="none"/>
              </w:rPr>
            </w:pPr>
          </w:p>
        </w:tc>
        <w:tc>
          <w:tcPr>
            <w:tcW w:w="870" w:type="dxa"/>
            <w:tcBorders>
              <w:bottom w:val="single" w:color="auto" w:sz="4" w:space="0"/>
            </w:tcBorders>
            <w:vAlign w:val="center"/>
          </w:tcPr>
          <w:p w14:paraId="1994D1E1">
            <w:pPr>
              <w:rPr>
                <w:rFonts w:ascii="宋体" w:hAnsi="宋体" w:cs="宋体"/>
                <w:color w:val="auto"/>
                <w:sz w:val="20"/>
                <w:szCs w:val="20"/>
                <w:highlight w:val="none"/>
              </w:rPr>
            </w:pPr>
          </w:p>
        </w:tc>
      </w:tr>
      <w:tr w14:paraId="0D0E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8" w:type="dxa"/>
            <w:vAlign w:val="center"/>
          </w:tcPr>
          <w:p w14:paraId="7A7F6370">
            <w:pPr>
              <w:jc w:val="center"/>
              <w:rPr>
                <w:rFonts w:ascii="宋体" w:hAnsi="宋体" w:cs="宋体"/>
                <w:color w:val="auto"/>
                <w:sz w:val="20"/>
                <w:szCs w:val="20"/>
                <w:highlight w:val="none"/>
              </w:rPr>
            </w:pPr>
            <w:r>
              <w:rPr>
                <w:rFonts w:hint="eastAsia" w:ascii="宋体" w:hAnsi="宋体" w:cs="宋体"/>
                <w:color w:val="auto"/>
                <w:sz w:val="20"/>
                <w:szCs w:val="20"/>
                <w:highlight w:val="none"/>
              </w:rPr>
              <w:t>3</w:t>
            </w:r>
          </w:p>
        </w:tc>
        <w:tc>
          <w:tcPr>
            <w:tcW w:w="3185" w:type="dxa"/>
            <w:vAlign w:val="center"/>
          </w:tcPr>
          <w:p w14:paraId="0471DC90">
            <w:pPr>
              <w:rPr>
                <w:rFonts w:ascii="宋体" w:hAnsi="宋体" w:cs="宋体"/>
                <w:color w:val="auto"/>
                <w:sz w:val="20"/>
                <w:szCs w:val="20"/>
                <w:highlight w:val="none"/>
              </w:rPr>
            </w:pPr>
            <w:r>
              <w:rPr>
                <w:rFonts w:hint="eastAsia" w:ascii="宋体" w:hAnsi="宋体" w:cs="宋体"/>
                <w:color w:val="auto"/>
                <w:sz w:val="20"/>
                <w:szCs w:val="20"/>
                <w:highlight w:val="none"/>
              </w:rPr>
              <w:t>病虫害防治在喷药前需提前通知。</w:t>
            </w:r>
          </w:p>
        </w:tc>
        <w:tc>
          <w:tcPr>
            <w:tcW w:w="904" w:type="dxa"/>
            <w:vAlign w:val="center"/>
          </w:tcPr>
          <w:p w14:paraId="594E0F15">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5</w:t>
            </w:r>
          </w:p>
        </w:tc>
        <w:tc>
          <w:tcPr>
            <w:tcW w:w="2306" w:type="dxa"/>
            <w:vAlign w:val="center"/>
          </w:tcPr>
          <w:p w14:paraId="46CE97BF">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病虫害防治在喷药前没有提前通知</w:t>
            </w:r>
            <w:r>
              <w:rPr>
                <w:rFonts w:hint="eastAsia" w:ascii="宋体" w:hAnsi="宋体" w:cs="宋体"/>
                <w:color w:val="auto"/>
                <w:sz w:val="20"/>
                <w:szCs w:val="20"/>
                <w:highlight w:val="none"/>
                <w:lang w:eastAsia="zh-CN"/>
              </w:rPr>
              <w:t>。</w:t>
            </w:r>
          </w:p>
        </w:tc>
        <w:tc>
          <w:tcPr>
            <w:tcW w:w="1005" w:type="dxa"/>
            <w:vAlign w:val="center"/>
          </w:tcPr>
          <w:p w14:paraId="18D1674C">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769" w:type="dxa"/>
            <w:vAlign w:val="center"/>
          </w:tcPr>
          <w:p w14:paraId="378F4042">
            <w:pPr>
              <w:jc w:val="center"/>
              <w:rPr>
                <w:rFonts w:ascii="宋体" w:hAnsi="宋体" w:cs="宋体"/>
                <w:color w:val="auto"/>
                <w:sz w:val="20"/>
                <w:szCs w:val="20"/>
                <w:highlight w:val="none"/>
              </w:rPr>
            </w:pPr>
          </w:p>
        </w:tc>
        <w:tc>
          <w:tcPr>
            <w:tcW w:w="870" w:type="dxa"/>
            <w:vAlign w:val="center"/>
          </w:tcPr>
          <w:p w14:paraId="402BE3AB">
            <w:pPr>
              <w:jc w:val="center"/>
              <w:rPr>
                <w:rFonts w:ascii="宋体" w:hAnsi="宋体" w:cs="宋体"/>
                <w:color w:val="auto"/>
                <w:sz w:val="20"/>
                <w:szCs w:val="20"/>
                <w:highlight w:val="none"/>
              </w:rPr>
            </w:pPr>
          </w:p>
        </w:tc>
      </w:tr>
      <w:tr w14:paraId="66299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98" w:type="dxa"/>
            <w:tcBorders>
              <w:bottom w:val="single" w:color="auto" w:sz="4" w:space="0"/>
            </w:tcBorders>
            <w:vAlign w:val="center"/>
          </w:tcPr>
          <w:p w14:paraId="379B4A71">
            <w:pPr>
              <w:jc w:val="center"/>
              <w:rPr>
                <w:rFonts w:ascii="宋体" w:hAnsi="宋体" w:cs="宋体"/>
                <w:color w:val="auto"/>
                <w:sz w:val="20"/>
                <w:szCs w:val="20"/>
                <w:highlight w:val="none"/>
              </w:rPr>
            </w:pPr>
            <w:r>
              <w:rPr>
                <w:rFonts w:hint="eastAsia" w:ascii="宋体" w:hAnsi="宋体" w:cs="宋体"/>
                <w:color w:val="auto"/>
                <w:sz w:val="20"/>
                <w:szCs w:val="20"/>
                <w:highlight w:val="none"/>
              </w:rPr>
              <w:t>4</w:t>
            </w:r>
          </w:p>
        </w:tc>
        <w:tc>
          <w:tcPr>
            <w:tcW w:w="3185" w:type="dxa"/>
            <w:tcBorders>
              <w:bottom w:val="single" w:color="auto" w:sz="4" w:space="0"/>
            </w:tcBorders>
            <w:vAlign w:val="center"/>
          </w:tcPr>
          <w:p w14:paraId="1B1572B3">
            <w:pPr>
              <w:rPr>
                <w:rFonts w:ascii="宋体" w:hAnsi="宋体" w:cs="宋体"/>
                <w:color w:val="auto"/>
                <w:sz w:val="20"/>
                <w:szCs w:val="20"/>
                <w:highlight w:val="none"/>
              </w:rPr>
            </w:pPr>
            <w:r>
              <w:rPr>
                <w:rFonts w:hint="eastAsia" w:ascii="宋体" w:hAnsi="宋体" w:cs="宋体"/>
                <w:color w:val="auto"/>
                <w:sz w:val="20"/>
                <w:szCs w:val="20"/>
                <w:highlight w:val="none"/>
              </w:rPr>
              <w:t>除公共通道外的所有照明巡视检查及保养，发现缺损及时上报</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综合服务中心。</w:t>
            </w:r>
          </w:p>
        </w:tc>
        <w:tc>
          <w:tcPr>
            <w:tcW w:w="904" w:type="dxa"/>
            <w:tcBorders>
              <w:bottom w:val="single" w:color="auto" w:sz="4" w:space="0"/>
            </w:tcBorders>
            <w:vAlign w:val="center"/>
          </w:tcPr>
          <w:p w14:paraId="21A74BD5">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5</w:t>
            </w:r>
          </w:p>
        </w:tc>
        <w:tc>
          <w:tcPr>
            <w:tcW w:w="2306" w:type="dxa"/>
            <w:tcBorders>
              <w:bottom w:val="single" w:color="auto" w:sz="4" w:space="0"/>
            </w:tcBorders>
            <w:vAlign w:val="center"/>
          </w:tcPr>
          <w:p w14:paraId="504FEACA">
            <w:pPr>
              <w:rPr>
                <w:rFonts w:ascii="宋体" w:hAnsi="宋体" w:cs="宋体"/>
                <w:color w:val="auto"/>
                <w:sz w:val="20"/>
                <w:szCs w:val="20"/>
                <w:highlight w:val="none"/>
              </w:rPr>
            </w:pPr>
            <w:r>
              <w:rPr>
                <w:rFonts w:hint="eastAsia" w:ascii="宋体" w:hAnsi="宋体" w:cs="宋体"/>
                <w:color w:val="auto"/>
                <w:sz w:val="20"/>
                <w:szCs w:val="20"/>
                <w:highlight w:val="none"/>
              </w:rPr>
              <w:t>照明灯具缺损超</w:t>
            </w:r>
            <w:r>
              <w:rPr>
                <w:rFonts w:hint="eastAsia" w:ascii="宋体" w:hAnsi="宋体" w:cs="宋体"/>
                <w:color w:val="auto"/>
                <w:sz w:val="20"/>
                <w:szCs w:val="20"/>
                <w:highlight w:val="none"/>
                <w:lang w:val="en-US" w:eastAsia="zh-CN"/>
              </w:rPr>
              <w:t>48</w:t>
            </w:r>
            <w:r>
              <w:rPr>
                <w:rFonts w:hint="eastAsia" w:ascii="宋体" w:hAnsi="宋体" w:cs="宋体"/>
                <w:color w:val="auto"/>
                <w:sz w:val="20"/>
                <w:szCs w:val="20"/>
                <w:highlight w:val="none"/>
              </w:rPr>
              <w:t>小时未上报。</w:t>
            </w:r>
          </w:p>
        </w:tc>
        <w:tc>
          <w:tcPr>
            <w:tcW w:w="1005" w:type="dxa"/>
            <w:tcBorders>
              <w:bottom w:val="single" w:color="auto" w:sz="4" w:space="0"/>
            </w:tcBorders>
            <w:vAlign w:val="center"/>
          </w:tcPr>
          <w:p w14:paraId="152B02DA">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0.1</w:t>
            </w:r>
            <w:r>
              <w:rPr>
                <w:rFonts w:hint="eastAsia" w:ascii="宋体" w:hAnsi="宋体" w:cs="宋体"/>
                <w:color w:val="auto"/>
                <w:sz w:val="20"/>
                <w:szCs w:val="20"/>
                <w:highlight w:val="none"/>
              </w:rPr>
              <w:t>分/个</w:t>
            </w:r>
          </w:p>
        </w:tc>
        <w:tc>
          <w:tcPr>
            <w:tcW w:w="769" w:type="dxa"/>
            <w:tcBorders>
              <w:bottom w:val="single" w:color="auto" w:sz="4" w:space="0"/>
            </w:tcBorders>
            <w:vAlign w:val="center"/>
          </w:tcPr>
          <w:p w14:paraId="3FDFC853">
            <w:pPr>
              <w:jc w:val="center"/>
              <w:rPr>
                <w:rFonts w:ascii="宋体" w:hAnsi="宋体" w:cs="宋体"/>
                <w:color w:val="auto"/>
                <w:sz w:val="20"/>
                <w:szCs w:val="20"/>
                <w:highlight w:val="none"/>
              </w:rPr>
            </w:pPr>
          </w:p>
        </w:tc>
        <w:tc>
          <w:tcPr>
            <w:tcW w:w="870" w:type="dxa"/>
            <w:tcBorders>
              <w:bottom w:val="single" w:color="auto" w:sz="4" w:space="0"/>
            </w:tcBorders>
            <w:vAlign w:val="center"/>
          </w:tcPr>
          <w:p w14:paraId="37FA828D">
            <w:pPr>
              <w:jc w:val="center"/>
              <w:rPr>
                <w:rFonts w:ascii="宋体" w:hAnsi="宋体" w:cs="宋体"/>
                <w:color w:val="auto"/>
                <w:sz w:val="20"/>
                <w:szCs w:val="20"/>
                <w:highlight w:val="none"/>
              </w:rPr>
            </w:pPr>
          </w:p>
        </w:tc>
      </w:tr>
      <w:tr w14:paraId="3FE45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98" w:type="dxa"/>
            <w:vMerge w:val="restart"/>
            <w:vAlign w:val="center"/>
          </w:tcPr>
          <w:p w14:paraId="69A30F92">
            <w:pPr>
              <w:jc w:val="center"/>
              <w:rPr>
                <w:rFonts w:ascii="宋体" w:hAnsi="宋体" w:cs="宋体"/>
                <w:color w:val="auto"/>
                <w:sz w:val="20"/>
                <w:szCs w:val="20"/>
                <w:highlight w:val="none"/>
              </w:rPr>
            </w:pPr>
            <w:r>
              <w:rPr>
                <w:rFonts w:hint="eastAsia" w:ascii="宋体" w:hAnsi="宋体" w:cs="宋体"/>
                <w:color w:val="auto"/>
                <w:sz w:val="20"/>
                <w:szCs w:val="20"/>
                <w:highlight w:val="none"/>
              </w:rPr>
              <w:t>5</w:t>
            </w:r>
          </w:p>
        </w:tc>
        <w:tc>
          <w:tcPr>
            <w:tcW w:w="3185" w:type="dxa"/>
            <w:vMerge w:val="restart"/>
            <w:vAlign w:val="center"/>
          </w:tcPr>
          <w:p w14:paraId="70F13048">
            <w:pPr>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配合维保单位</w:t>
            </w:r>
            <w:r>
              <w:rPr>
                <w:rFonts w:hint="eastAsia" w:ascii="宋体" w:hAnsi="宋体" w:cs="宋体"/>
                <w:color w:val="auto"/>
                <w:sz w:val="20"/>
                <w:szCs w:val="20"/>
                <w:highlight w:val="none"/>
              </w:rPr>
              <w:t>对在用的安防监控进行巡视检查，并做好记录，发现有影响安防监控设施工作的异物，及时清除；发现有不工作的安防监控设施及时向</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报告。</w:t>
            </w:r>
          </w:p>
        </w:tc>
        <w:tc>
          <w:tcPr>
            <w:tcW w:w="904" w:type="dxa"/>
            <w:vAlign w:val="center"/>
          </w:tcPr>
          <w:p w14:paraId="73BEAE5B">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5</w:t>
            </w:r>
          </w:p>
        </w:tc>
        <w:tc>
          <w:tcPr>
            <w:tcW w:w="2306" w:type="dxa"/>
            <w:vAlign w:val="center"/>
          </w:tcPr>
          <w:p w14:paraId="11D8FA14">
            <w:pPr>
              <w:rPr>
                <w:rFonts w:ascii="宋体" w:hAnsi="宋体" w:cs="宋体"/>
                <w:color w:val="auto"/>
                <w:sz w:val="20"/>
                <w:szCs w:val="20"/>
                <w:highlight w:val="none"/>
              </w:rPr>
            </w:pPr>
            <w:r>
              <w:rPr>
                <w:rFonts w:hint="eastAsia" w:ascii="宋体" w:hAnsi="宋体" w:cs="宋体"/>
                <w:color w:val="auto"/>
                <w:sz w:val="20"/>
                <w:szCs w:val="20"/>
                <w:highlight w:val="none"/>
              </w:rPr>
              <w:t>检查发现有影响安防监控设施工作的异物不清除。</w:t>
            </w:r>
          </w:p>
        </w:tc>
        <w:tc>
          <w:tcPr>
            <w:tcW w:w="1005" w:type="dxa"/>
            <w:vAlign w:val="center"/>
          </w:tcPr>
          <w:p w14:paraId="294DBE08">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0.</w:t>
            </w:r>
            <w:r>
              <w:rPr>
                <w:rFonts w:hint="eastAsia" w:ascii="宋体" w:hAnsi="宋体" w:cs="宋体"/>
                <w:color w:val="auto"/>
                <w:sz w:val="20"/>
                <w:szCs w:val="20"/>
                <w:highlight w:val="none"/>
              </w:rPr>
              <w:t>1分/次</w:t>
            </w:r>
          </w:p>
        </w:tc>
        <w:tc>
          <w:tcPr>
            <w:tcW w:w="769" w:type="dxa"/>
            <w:vAlign w:val="center"/>
          </w:tcPr>
          <w:p w14:paraId="39E9FCE2">
            <w:pPr>
              <w:jc w:val="center"/>
              <w:rPr>
                <w:rFonts w:ascii="宋体" w:hAnsi="宋体" w:cs="宋体"/>
                <w:color w:val="auto"/>
                <w:sz w:val="20"/>
                <w:szCs w:val="20"/>
                <w:highlight w:val="none"/>
              </w:rPr>
            </w:pPr>
          </w:p>
        </w:tc>
        <w:tc>
          <w:tcPr>
            <w:tcW w:w="870" w:type="dxa"/>
            <w:vMerge w:val="restart"/>
            <w:vAlign w:val="center"/>
          </w:tcPr>
          <w:p w14:paraId="304E4B7D">
            <w:pPr>
              <w:jc w:val="center"/>
              <w:rPr>
                <w:rFonts w:ascii="宋体" w:hAnsi="宋体" w:cs="宋体"/>
                <w:color w:val="auto"/>
                <w:sz w:val="20"/>
                <w:szCs w:val="20"/>
                <w:highlight w:val="none"/>
              </w:rPr>
            </w:pPr>
          </w:p>
        </w:tc>
      </w:tr>
      <w:tr w14:paraId="40AB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98" w:type="dxa"/>
            <w:vMerge w:val="continue"/>
            <w:vAlign w:val="center"/>
          </w:tcPr>
          <w:p w14:paraId="7F7646EC">
            <w:pPr>
              <w:rPr>
                <w:color w:val="auto"/>
                <w:sz w:val="20"/>
                <w:szCs w:val="20"/>
                <w:highlight w:val="none"/>
              </w:rPr>
            </w:pPr>
          </w:p>
        </w:tc>
        <w:tc>
          <w:tcPr>
            <w:tcW w:w="3185" w:type="dxa"/>
            <w:vMerge w:val="continue"/>
            <w:vAlign w:val="center"/>
          </w:tcPr>
          <w:p w14:paraId="1056D31E">
            <w:pPr>
              <w:rPr>
                <w:color w:val="auto"/>
                <w:sz w:val="20"/>
                <w:szCs w:val="20"/>
                <w:highlight w:val="none"/>
              </w:rPr>
            </w:pPr>
          </w:p>
        </w:tc>
        <w:tc>
          <w:tcPr>
            <w:tcW w:w="904" w:type="dxa"/>
            <w:vAlign w:val="center"/>
          </w:tcPr>
          <w:p w14:paraId="437EC8BF">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4</w:t>
            </w:r>
          </w:p>
        </w:tc>
        <w:tc>
          <w:tcPr>
            <w:tcW w:w="2306" w:type="dxa"/>
            <w:vAlign w:val="center"/>
          </w:tcPr>
          <w:p w14:paraId="4648AA7E">
            <w:pPr>
              <w:rPr>
                <w:rFonts w:ascii="宋体" w:hAnsi="宋体" w:cs="宋体"/>
                <w:color w:val="auto"/>
                <w:sz w:val="20"/>
                <w:szCs w:val="20"/>
                <w:highlight w:val="none"/>
              </w:rPr>
            </w:pPr>
            <w:r>
              <w:rPr>
                <w:rFonts w:hint="eastAsia" w:ascii="宋体" w:hAnsi="宋体" w:cs="宋体"/>
                <w:color w:val="auto"/>
                <w:sz w:val="20"/>
                <w:szCs w:val="20"/>
                <w:highlight w:val="none"/>
                <w:lang w:eastAsia="zh-CN"/>
              </w:rPr>
              <w:t>工作日</w:t>
            </w:r>
            <w:r>
              <w:rPr>
                <w:rFonts w:hint="eastAsia" w:ascii="宋体" w:hAnsi="宋体" w:cs="宋体"/>
                <w:color w:val="auto"/>
                <w:sz w:val="20"/>
                <w:szCs w:val="20"/>
                <w:highlight w:val="none"/>
              </w:rPr>
              <w:t>检查发现有不工作的安防监控设施超24小时未上报</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w:t>
            </w:r>
          </w:p>
        </w:tc>
        <w:tc>
          <w:tcPr>
            <w:tcW w:w="1005" w:type="dxa"/>
            <w:vAlign w:val="center"/>
          </w:tcPr>
          <w:p w14:paraId="47B0A131">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0.</w:t>
            </w:r>
            <w:r>
              <w:rPr>
                <w:rFonts w:hint="eastAsia" w:ascii="宋体" w:hAnsi="宋体" w:cs="宋体"/>
                <w:color w:val="auto"/>
                <w:sz w:val="20"/>
                <w:szCs w:val="20"/>
                <w:highlight w:val="none"/>
              </w:rPr>
              <w:t>1分/次</w:t>
            </w:r>
          </w:p>
        </w:tc>
        <w:tc>
          <w:tcPr>
            <w:tcW w:w="769" w:type="dxa"/>
            <w:vAlign w:val="center"/>
          </w:tcPr>
          <w:p w14:paraId="2AE6A9ED">
            <w:pPr>
              <w:rPr>
                <w:rFonts w:ascii="宋体" w:hAnsi="宋体" w:cs="宋体"/>
                <w:color w:val="auto"/>
                <w:sz w:val="20"/>
                <w:szCs w:val="20"/>
                <w:highlight w:val="none"/>
              </w:rPr>
            </w:pPr>
          </w:p>
        </w:tc>
        <w:tc>
          <w:tcPr>
            <w:tcW w:w="870" w:type="dxa"/>
            <w:vMerge w:val="continue"/>
            <w:vAlign w:val="center"/>
          </w:tcPr>
          <w:p w14:paraId="5FA3D14E">
            <w:pPr>
              <w:rPr>
                <w:rFonts w:ascii="宋体" w:hAnsi="宋体" w:cs="宋体"/>
                <w:color w:val="auto"/>
                <w:sz w:val="20"/>
                <w:szCs w:val="20"/>
                <w:highlight w:val="none"/>
              </w:rPr>
            </w:pPr>
          </w:p>
        </w:tc>
      </w:tr>
      <w:tr w14:paraId="5B2C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98" w:type="dxa"/>
            <w:tcBorders>
              <w:bottom w:val="single" w:color="auto" w:sz="4" w:space="0"/>
            </w:tcBorders>
            <w:vAlign w:val="center"/>
          </w:tcPr>
          <w:p w14:paraId="0659F6ED">
            <w:pPr>
              <w:jc w:val="center"/>
              <w:rPr>
                <w:rFonts w:ascii="宋体" w:hAnsi="宋体" w:cs="宋体"/>
                <w:color w:val="auto"/>
                <w:sz w:val="20"/>
                <w:szCs w:val="20"/>
                <w:highlight w:val="none"/>
              </w:rPr>
            </w:pPr>
            <w:r>
              <w:rPr>
                <w:rFonts w:hint="eastAsia" w:ascii="宋体" w:hAnsi="宋体" w:cs="宋体"/>
                <w:color w:val="auto"/>
                <w:sz w:val="20"/>
                <w:szCs w:val="20"/>
                <w:highlight w:val="none"/>
              </w:rPr>
              <w:t>6</w:t>
            </w:r>
          </w:p>
        </w:tc>
        <w:tc>
          <w:tcPr>
            <w:tcW w:w="3185" w:type="dxa"/>
            <w:tcBorders>
              <w:bottom w:val="single" w:color="auto" w:sz="4" w:space="0"/>
            </w:tcBorders>
            <w:vAlign w:val="center"/>
          </w:tcPr>
          <w:p w14:paraId="7E58492C">
            <w:pPr>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每月</w:t>
            </w:r>
            <w:r>
              <w:rPr>
                <w:rFonts w:hint="eastAsia" w:ascii="宋体" w:hAnsi="宋体" w:cs="宋体"/>
                <w:color w:val="auto"/>
                <w:sz w:val="20"/>
                <w:szCs w:val="20"/>
                <w:highlight w:val="none"/>
              </w:rPr>
              <w:t>对灭火器</w:t>
            </w:r>
            <w:r>
              <w:rPr>
                <w:rFonts w:hint="eastAsia" w:ascii="宋体" w:hAnsi="宋体" w:cs="宋体"/>
                <w:color w:val="auto"/>
                <w:sz w:val="20"/>
                <w:szCs w:val="20"/>
                <w:highlight w:val="none"/>
                <w:lang w:val="en-US" w:eastAsia="zh-CN"/>
              </w:rPr>
              <w:t>进行</w:t>
            </w:r>
            <w:r>
              <w:rPr>
                <w:rFonts w:hint="eastAsia" w:ascii="宋体" w:hAnsi="宋体" w:cs="宋体"/>
                <w:color w:val="auto"/>
                <w:sz w:val="20"/>
                <w:szCs w:val="20"/>
                <w:highlight w:val="none"/>
              </w:rPr>
              <w:t>检查</w:t>
            </w:r>
            <w:r>
              <w:rPr>
                <w:rFonts w:hint="eastAsia" w:ascii="宋体" w:hAnsi="宋体" w:cs="宋体"/>
                <w:color w:val="auto"/>
                <w:sz w:val="20"/>
                <w:szCs w:val="20"/>
                <w:highlight w:val="none"/>
                <w:lang w:val="en-US" w:eastAsia="zh-CN"/>
              </w:rPr>
              <w:t>1次</w:t>
            </w:r>
            <w:r>
              <w:rPr>
                <w:rFonts w:hint="eastAsia" w:ascii="宋体" w:hAnsi="宋体" w:cs="宋体"/>
                <w:color w:val="auto"/>
                <w:sz w:val="20"/>
                <w:szCs w:val="20"/>
                <w:highlight w:val="none"/>
              </w:rPr>
              <w:t>，并做好记录；对过期、失效或不符合安全要求的消防器材及时向</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lang w:val="en-US" w:eastAsia="zh-CN"/>
              </w:rPr>
              <w:t>报备。</w:t>
            </w:r>
          </w:p>
        </w:tc>
        <w:tc>
          <w:tcPr>
            <w:tcW w:w="904" w:type="dxa"/>
            <w:tcBorders>
              <w:bottom w:val="single" w:color="auto" w:sz="4" w:space="0"/>
            </w:tcBorders>
            <w:vAlign w:val="center"/>
          </w:tcPr>
          <w:p w14:paraId="71267F25">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4</w:t>
            </w:r>
          </w:p>
        </w:tc>
        <w:tc>
          <w:tcPr>
            <w:tcW w:w="2306" w:type="dxa"/>
            <w:tcBorders>
              <w:bottom w:val="single" w:color="auto" w:sz="4" w:space="0"/>
            </w:tcBorders>
            <w:vAlign w:val="center"/>
          </w:tcPr>
          <w:p w14:paraId="0672CC7A">
            <w:pPr>
              <w:rPr>
                <w:rFonts w:hint="eastAsia" w:ascii="宋体" w:hAnsi="宋体" w:cs="宋体" w:eastAsiaTheme="minorEastAsia"/>
                <w:color w:val="auto"/>
                <w:sz w:val="20"/>
                <w:szCs w:val="20"/>
                <w:highlight w:val="none"/>
                <w:lang w:eastAsia="zh-CN"/>
              </w:rPr>
            </w:pPr>
            <w:r>
              <w:rPr>
                <w:rFonts w:hint="eastAsia" w:ascii="宋体" w:hAnsi="宋体" w:cs="宋体"/>
                <w:color w:val="auto"/>
                <w:sz w:val="20"/>
                <w:szCs w:val="20"/>
                <w:highlight w:val="none"/>
              </w:rPr>
              <w:t>发现灭火器被损坏或被盗没有及时上报的，每一项</w:t>
            </w:r>
            <w:r>
              <w:rPr>
                <w:rFonts w:hint="eastAsia" w:ascii="宋体" w:hAnsi="宋体" w:cs="宋体"/>
                <w:color w:val="auto"/>
                <w:sz w:val="20"/>
                <w:szCs w:val="20"/>
                <w:highlight w:val="none"/>
                <w:lang w:eastAsia="zh-CN"/>
              </w:rPr>
              <w:t>。</w:t>
            </w:r>
          </w:p>
        </w:tc>
        <w:tc>
          <w:tcPr>
            <w:tcW w:w="1005" w:type="dxa"/>
            <w:tcBorders>
              <w:bottom w:val="single" w:color="auto" w:sz="4" w:space="0"/>
            </w:tcBorders>
            <w:vAlign w:val="center"/>
          </w:tcPr>
          <w:p w14:paraId="7C1C5971">
            <w:pPr>
              <w:jc w:val="center"/>
              <w:rPr>
                <w:rFonts w:ascii="宋体" w:hAnsi="宋体" w:cs="宋体"/>
                <w:color w:val="auto"/>
                <w:sz w:val="20"/>
                <w:szCs w:val="20"/>
                <w:highlight w:val="none"/>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0.</w:t>
            </w:r>
            <w:r>
              <w:rPr>
                <w:rFonts w:hint="eastAsia" w:ascii="宋体" w:hAnsi="宋体" w:cs="宋体"/>
                <w:color w:val="auto"/>
                <w:sz w:val="20"/>
                <w:szCs w:val="20"/>
                <w:highlight w:val="none"/>
              </w:rPr>
              <w:t>1分/次</w:t>
            </w:r>
          </w:p>
        </w:tc>
        <w:tc>
          <w:tcPr>
            <w:tcW w:w="769" w:type="dxa"/>
            <w:tcBorders>
              <w:bottom w:val="single" w:color="auto" w:sz="4" w:space="0"/>
            </w:tcBorders>
            <w:vAlign w:val="center"/>
          </w:tcPr>
          <w:p w14:paraId="00ED02F0">
            <w:pPr>
              <w:jc w:val="center"/>
              <w:rPr>
                <w:rFonts w:ascii="宋体" w:hAnsi="宋体" w:cs="宋体"/>
                <w:color w:val="auto"/>
                <w:sz w:val="20"/>
                <w:szCs w:val="20"/>
                <w:highlight w:val="none"/>
              </w:rPr>
            </w:pPr>
          </w:p>
        </w:tc>
        <w:tc>
          <w:tcPr>
            <w:tcW w:w="870" w:type="dxa"/>
            <w:tcBorders>
              <w:bottom w:val="single" w:color="auto" w:sz="4" w:space="0"/>
            </w:tcBorders>
            <w:vAlign w:val="center"/>
          </w:tcPr>
          <w:p w14:paraId="307BB1A5">
            <w:pPr>
              <w:jc w:val="center"/>
              <w:rPr>
                <w:rFonts w:ascii="宋体" w:hAnsi="宋体" w:cs="宋体"/>
                <w:color w:val="auto"/>
                <w:sz w:val="20"/>
                <w:szCs w:val="20"/>
                <w:highlight w:val="none"/>
              </w:rPr>
            </w:pPr>
          </w:p>
        </w:tc>
      </w:tr>
      <w:tr w14:paraId="2893C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3" w:hRule="atLeast"/>
          <w:jc w:val="center"/>
        </w:trPr>
        <w:tc>
          <w:tcPr>
            <w:tcW w:w="698" w:type="dxa"/>
            <w:vMerge w:val="restart"/>
            <w:tcBorders>
              <w:left w:val="single" w:color="auto" w:sz="4" w:space="0"/>
            </w:tcBorders>
            <w:vAlign w:val="center"/>
          </w:tcPr>
          <w:p w14:paraId="2C118B91">
            <w:pPr>
              <w:jc w:val="center"/>
              <w:rPr>
                <w:rFonts w:hint="eastAsia" w:ascii="宋体" w:hAnsi="宋体" w:cs="宋体" w:eastAsiaTheme="minorEastAsia"/>
                <w:color w:val="auto"/>
                <w:sz w:val="20"/>
                <w:szCs w:val="20"/>
                <w:highlight w:val="none"/>
                <w:lang w:val="en-US" w:eastAsia="zh-CN"/>
              </w:rPr>
            </w:pPr>
            <w:bookmarkStart w:id="82" w:name="OLE_LINK172" w:colFirst="3" w:colLast="4"/>
            <w:r>
              <w:rPr>
                <w:rFonts w:hint="eastAsia" w:ascii="宋体" w:hAnsi="宋体" w:cs="宋体"/>
                <w:color w:val="auto"/>
                <w:sz w:val="20"/>
                <w:szCs w:val="20"/>
                <w:highlight w:val="none"/>
                <w:lang w:val="en-US" w:eastAsia="zh-CN"/>
              </w:rPr>
              <w:t>7</w:t>
            </w:r>
          </w:p>
        </w:tc>
        <w:tc>
          <w:tcPr>
            <w:tcW w:w="3185" w:type="dxa"/>
            <w:vMerge w:val="restart"/>
            <w:vAlign w:val="center"/>
          </w:tcPr>
          <w:p w14:paraId="3D24C78B">
            <w:pPr>
              <w:rPr>
                <w:rFonts w:hint="eastAsia" w:asciiTheme="minorHAnsi" w:hAnsiTheme="minorHAnsi" w:eastAsiaTheme="minorEastAsia" w:cstheme="minorBidi"/>
                <w:color w:val="auto"/>
                <w:kern w:val="2"/>
                <w:sz w:val="20"/>
                <w:szCs w:val="20"/>
                <w:highlight w:val="none"/>
                <w:lang w:val="en-US" w:eastAsia="zh-CN" w:bidi="ar-SA"/>
              </w:rPr>
            </w:pPr>
            <w:r>
              <w:rPr>
                <w:rFonts w:hint="eastAsia"/>
                <w:color w:val="auto"/>
                <w:sz w:val="20"/>
                <w:szCs w:val="20"/>
                <w:highlight w:val="none"/>
                <w:lang w:eastAsia="zh-CN"/>
              </w:rPr>
              <w:t>服务商</w:t>
            </w:r>
            <w:r>
              <w:rPr>
                <w:rFonts w:hint="eastAsia"/>
                <w:color w:val="auto"/>
                <w:sz w:val="20"/>
                <w:szCs w:val="20"/>
                <w:highlight w:val="none"/>
              </w:rPr>
              <w:t>应对</w:t>
            </w:r>
            <w:r>
              <w:rPr>
                <w:rFonts w:hint="eastAsia"/>
                <w:color w:val="auto"/>
                <w:sz w:val="20"/>
                <w:szCs w:val="20"/>
                <w:highlight w:val="none"/>
                <w:lang w:eastAsia="zh-CN"/>
              </w:rPr>
              <w:t>采购方</w:t>
            </w:r>
            <w:r>
              <w:rPr>
                <w:rFonts w:hint="eastAsia"/>
                <w:color w:val="auto"/>
                <w:sz w:val="20"/>
                <w:szCs w:val="20"/>
                <w:highlight w:val="none"/>
              </w:rPr>
              <w:t>布置的工作要求、任务予以积极响应。做到对</w:t>
            </w:r>
            <w:r>
              <w:rPr>
                <w:rFonts w:hint="eastAsia"/>
                <w:color w:val="auto"/>
                <w:sz w:val="20"/>
                <w:szCs w:val="20"/>
                <w:highlight w:val="none"/>
                <w:lang w:eastAsia="zh-CN"/>
              </w:rPr>
              <w:t>采购方</w:t>
            </w:r>
            <w:r>
              <w:rPr>
                <w:rFonts w:hint="eastAsia"/>
                <w:color w:val="auto"/>
                <w:sz w:val="20"/>
                <w:szCs w:val="20"/>
                <w:highlight w:val="none"/>
              </w:rPr>
              <w:t>布置的工作要求、任务有落实，有反馈。</w:t>
            </w:r>
          </w:p>
        </w:tc>
        <w:tc>
          <w:tcPr>
            <w:tcW w:w="904" w:type="dxa"/>
            <w:vMerge w:val="restart"/>
            <w:vAlign w:val="center"/>
          </w:tcPr>
          <w:p w14:paraId="0BFC9BB6">
            <w:pPr>
              <w:jc w:val="cente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5</w:t>
            </w:r>
          </w:p>
        </w:tc>
        <w:tc>
          <w:tcPr>
            <w:tcW w:w="2306" w:type="dxa"/>
            <w:tcBorders>
              <w:bottom w:val="single" w:color="auto" w:sz="4" w:space="0"/>
            </w:tcBorders>
            <w:shd w:val="clear" w:color="auto" w:fill="auto"/>
            <w:vAlign w:val="center"/>
          </w:tcPr>
          <w:p w14:paraId="6EAFD3E7">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1005" w:type="dxa"/>
            <w:tcBorders>
              <w:bottom w:val="single" w:color="auto" w:sz="4" w:space="0"/>
            </w:tcBorders>
            <w:shd w:val="clear" w:color="auto" w:fill="auto"/>
            <w:vAlign w:val="center"/>
          </w:tcPr>
          <w:p w14:paraId="2D609AF4">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-0.</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分/次</w:t>
            </w:r>
          </w:p>
        </w:tc>
        <w:tc>
          <w:tcPr>
            <w:tcW w:w="769" w:type="dxa"/>
            <w:tcBorders>
              <w:bottom w:val="single" w:color="auto" w:sz="4" w:space="0"/>
              <w:right w:val="single" w:color="auto" w:sz="4" w:space="0"/>
            </w:tcBorders>
            <w:vAlign w:val="center"/>
          </w:tcPr>
          <w:p w14:paraId="37CEFE42">
            <w:pPr>
              <w:jc w:val="center"/>
              <w:rPr>
                <w:rFonts w:ascii="宋体" w:hAnsi="宋体" w:cs="宋体"/>
                <w:color w:val="auto"/>
                <w:sz w:val="20"/>
                <w:szCs w:val="20"/>
                <w:highlight w:val="none"/>
              </w:rPr>
            </w:pPr>
          </w:p>
        </w:tc>
        <w:tc>
          <w:tcPr>
            <w:tcW w:w="870" w:type="dxa"/>
            <w:tcBorders>
              <w:bottom w:val="single" w:color="auto" w:sz="4" w:space="0"/>
              <w:right w:val="single" w:color="auto" w:sz="4" w:space="0"/>
            </w:tcBorders>
            <w:vAlign w:val="center"/>
          </w:tcPr>
          <w:p w14:paraId="418C056B">
            <w:pPr>
              <w:jc w:val="center"/>
              <w:rPr>
                <w:rFonts w:ascii="宋体" w:hAnsi="宋体" w:cs="宋体"/>
                <w:color w:val="auto"/>
                <w:sz w:val="20"/>
                <w:szCs w:val="20"/>
                <w:highlight w:val="none"/>
              </w:rPr>
            </w:pPr>
          </w:p>
        </w:tc>
      </w:tr>
      <w:tr w14:paraId="37D9D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98" w:type="dxa"/>
            <w:vMerge w:val="continue"/>
            <w:tcBorders>
              <w:left w:val="single" w:color="auto" w:sz="4" w:space="0"/>
            </w:tcBorders>
            <w:vAlign w:val="center"/>
          </w:tcPr>
          <w:p w14:paraId="75D23D3C">
            <w:pPr>
              <w:jc w:val="center"/>
              <w:rPr>
                <w:rFonts w:hint="eastAsia" w:ascii="宋体" w:hAnsi="宋体" w:cs="宋体"/>
                <w:color w:val="auto"/>
                <w:sz w:val="20"/>
                <w:szCs w:val="20"/>
                <w:highlight w:val="none"/>
                <w:lang w:val="en-US" w:eastAsia="zh-CN"/>
              </w:rPr>
            </w:pPr>
          </w:p>
        </w:tc>
        <w:tc>
          <w:tcPr>
            <w:tcW w:w="3185" w:type="dxa"/>
            <w:vMerge w:val="continue"/>
            <w:vAlign w:val="center"/>
          </w:tcPr>
          <w:p w14:paraId="4DE61314">
            <w:pPr>
              <w:rPr>
                <w:rFonts w:hint="eastAsia"/>
                <w:color w:val="auto"/>
                <w:sz w:val="20"/>
                <w:szCs w:val="20"/>
                <w:highlight w:val="none"/>
              </w:rPr>
            </w:pPr>
          </w:p>
        </w:tc>
        <w:tc>
          <w:tcPr>
            <w:tcW w:w="904" w:type="dxa"/>
            <w:vMerge w:val="continue"/>
            <w:vAlign w:val="center"/>
          </w:tcPr>
          <w:p w14:paraId="2D43B820">
            <w:pPr>
              <w:jc w:val="center"/>
              <w:rPr>
                <w:rFonts w:hint="eastAsia" w:ascii="宋体" w:hAnsi="宋体" w:cs="宋体"/>
                <w:color w:val="auto"/>
                <w:sz w:val="20"/>
                <w:szCs w:val="20"/>
                <w:highlight w:val="none"/>
                <w:lang w:val="en-US" w:eastAsia="zh-CN"/>
              </w:rPr>
            </w:pPr>
          </w:p>
        </w:tc>
        <w:tc>
          <w:tcPr>
            <w:tcW w:w="2306" w:type="dxa"/>
            <w:tcBorders>
              <w:bottom w:val="single" w:color="auto" w:sz="4" w:space="0"/>
            </w:tcBorders>
            <w:shd w:val="clear" w:color="auto" w:fill="auto"/>
            <w:vAlign w:val="center"/>
          </w:tcPr>
          <w:p w14:paraId="614D058B">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1005" w:type="dxa"/>
            <w:tcBorders>
              <w:bottom w:val="single" w:color="auto" w:sz="4" w:space="0"/>
            </w:tcBorders>
            <w:shd w:val="clear" w:color="auto" w:fill="auto"/>
            <w:vAlign w:val="center"/>
          </w:tcPr>
          <w:p w14:paraId="5EA81412">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769" w:type="dxa"/>
            <w:tcBorders>
              <w:bottom w:val="single" w:color="auto" w:sz="4" w:space="0"/>
              <w:right w:val="single" w:color="auto" w:sz="4" w:space="0"/>
            </w:tcBorders>
            <w:vAlign w:val="center"/>
          </w:tcPr>
          <w:p w14:paraId="1C2B8373">
            <w:pPr>
              <w:jc w:val="center"/>
              <w:rPr>
                <w:rFonts w:ascii="宋体" w:hAnsi="宋体" w:cs="宋体"/>
                <w:color w:val="auto"/>
                <w:sz w:val="20"/>
                <w:szCs w:val="20"/>
                <w:highlight w:val="none"/>
              </w:rPr>
            </w:pPr>
          </w:p>
        </w:tc>
        <w:tc>
          <w:tcPr>
            <w:tcW w:w="870" w:type="dxa"/>
            <w:tcBorders>
              <w:bottom w:val="single" w:color="auto" w:sz="4" w:space="0"/>
              <w:right w:val="single" w:color="auto" w:sz="4" w:space="0"/>
            </w:tcBorders>
            <w:vAlign w:val="center"/>
          </w:tcPr>
          <w:p w14:paraId="43547009">
            <w:pPr>
              <w:jc w:val="center"/>
              <w:rPr>
                <w:rFonts w:ascii="宋体" w:hAnsi="宋体" w:cs="宋体"/>
                <w:color w:val="auto"/>
                <w:sz w:val="20"/>
                <w:szCs w:val="20"/>
                <w:highlight w:val="none"/>
              </w:rPr>
            </w:pPr>
          </w:p>
        </w:tc>
      </w:tr>
      <w:tr w14:paraId="6416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98" w:type="dxa"/>
            <w:vMerge w:val="continue"/>
            <w:tcBorders>
              <w:left w:val="single" w:color="auto" w:sz="4" w:space="0"/>
            </w:tcBorders>
            <w:vAlign w:val="center"/>
          </w:tcPr>
          <w:p w14:paraId="61F6A742">
            <w:pPr>
              <w:jc w:val="center"/>
              <w:rPr>
                <w:rFonts w:hint="eastAsia" w:ascii="宋体" w:hAnsi="宋体" w:cs="宋体"/>
                <w:color w:val="auto"/>
                <w:sz w:val="20"/>
                <w:szCs w:val="20"/>
                <w:highlight w:val="none"/>
              </w:rPr>
            </w:pPr>
          </w:p>
        </w:tc>
        <w:tc>
          <w:tcPr>
            <w:tcW w:w="3185" w:type="dxa"/>
            <w:vMerge w:val="continue"/>
            <w:vAlign w:val="center"/>
          </w:tcPr>
          <w:p w14:paraId="4BAD89A1">
            <w:pPr>
              <w:rPr>
                <w:rFonts w:hint="eastAsia" w:ascii="宋体" w:hAnsi="宋体" w:cs="宋体"/>
                <w:color w:val="auto"/>
                <w:sz w:val="20"/>
                <w:szCs w:val="20"/>
                <w:highlight w:val="none"/>
                <w:lang w:val="en-US" w:eastAsia="zh-CN"/>
              </w:rPr>
            </w:pPr>
          </w:p>
        </w:tc>
        <w:tc>
          <w:tcPr>
            <w:tcW w:w="904" w:type="dxa"/>
            <w:vMerge w:val="continue"/>
            <w:vAlign w:val="center"/>
          </w:tcPr>
          <w:p w14:paraId="05E1CEC1">
            <w:pPr>
              <w:jc w:val="center"/>
              <w:rPr>
                <w:rFonts w:hint="eastAsia" w:ascii="宋体" w:hAnsi="宋体" w:cs="宋体"/>
                <w:color w:val="auto"/>
                <w:sz w:val="20"/>
                <w:szCs w:val="20"/>
                <w:highlight w:val="none"/>
                <w:lang w:val="en-US" w:eastAsia="zh-CN"/>
              </w:rPr>
            </w:pPr>
          </w:p>
        </w:tc>
        <w:tc>
          <w:tcPr>
            <w:tcW w:w="2306" w:type="dxa"/>
            <w:shd w:val="clear" w:color="auto" w:fill="auto"/>
            <w:vAlign w:val="center"/>
          </w:tcPr>
          <w:p w14:paraId="486C11F2">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1005" w:type="dxa"/>
            <w:shd w:val="clear" w:color="auto" w:fill="auto"/>
            <w:vAlign w:val="center"/>
          </w:tcPr>
          <w:p w14:paraId="2A9F7914">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3分/项</w:t>
            </w:r>
          </w:p>
        </w:tc>
        <w:tc>
          <w:tcPr>
            <w:tcW w:w="769" w:type="dxa"/>
            <w:tcBorders>
              <w:right w:val="single" w:color="auto" w:sz="4" w:space="0"/>
            </w:tcBorders>
            <w:vAlign w:val="center"/>
          </w:tcPr>
          <w:p w14:paraId="47BEB38A">
            <w:pPr>
              <w:jc w:val="center"/>
              <w:rPr>
                <w:rFonts w:ascii="宋体" w:hAnsi="宋体" w:cs="宋体"/>
                <w:color w:val="auto"/>
                <w:sz w:val="20"/>
                <w:szCs w:val="20"/>
                <w:highlight w:val="none"/>
              </w:rPr>
            </w:pPr>
          </w:p>
        </w:tc>
        <w:tc>
          <w:tcPr>
            <w:tcW w:w="870" w:type="dxa"/>
            <w:tcBorders>
              <w:right w:val="single" w:color="auto" w:sz="4" w:space="0"/>
            </w:tcBorders>
            <w:vAlign w:val="center"/>
          </w:tcPr>
          <w:p w14:paraId="4F15E4E1">
            <w:pPr>
              <w:jc w:val="center"/>
              <w:rPr>
                <w:rFonts w:ascii="宋体" w:hAnsi="宋体" w:cs="宋体"/>
                <w:color w:val="auto"/>
                <w:sz w:val="20"/>
                <w:szCs w:val="20"/>
                <w:highlight w:val="none"/>
              </w:rPr>
            </w:pPr>
          </w:p>
        </w:tc>
      </w:tr>
      <w:bookmarkEnd w:id="82"/>
    </w:tbl>
    <w:tbl>
      <w:tblPr>
        <w:tblStyle w:val="16"/>
        <w:tblW w:w="9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8"/>
      </w:tblGrid>
      <w:tr w14:paraId="330B1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728" w:type="dxa"/>
            <w:vAlign w:val="center"/>
          </w:tcPr>
          <w:p w14:paraId="558A097B">
            <w:pPr>
              <w:pStyle w:val="18"/>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lang w:val="en-US" w:eastAsia="zh-CN"/>
              </w:rPr>
              <w:t xml:space="preserve">                                            考核得分：</w:t>
            </w:r>
          </w:p>
        </w:tc>
      </w:tr>
      <w:tr w14:paraId="522C0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8" w:type="dxa"/>
            <w:vAlign w:val="center"/>
          </w:tcPr>
          <w:p w14:paraId="5F0E99FB">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599366DB">
            <w:pPr>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w:t>
            </w:r>
            <w:r>
              <w:rPr>
                <w:rFonts w:hint="eastAsia" w:ascii="宋体" w:hAnsi="宋体" w:cs="宋体"/>
                <w:color w:val="auto"/>
                <w:sz w:val="20"/>
                <w:szCs w:val="20"/>
                <w:highlight w:val="none"/>
                <w:lang w:val="en-US" w:eastAsia="zh-CN"/>
              </w:rPr>
              <w:t>签名：</w:t>
            </w:r>
          </w:p>
          <w:p w14:paraId="7F6D0525">
            <w:pPr>
              <w:rPr>
                <w:rFonts w:hint="eastAsia" w:ascii="宋体" w:hAnsi="宋体" w:eastAsia="宋体" w:cs="宋体"/>
                <w:color w:val="auto"/>
                <w:sz w:val="20"/>
                <w:szCs w:val="20"/>
                <w:highlight w:val="none"/>
                <w:vertAlign w:val="baseline"/>
                <w:lang w:val="en-US" w:eastAsia="zh-CN"/>
              </w:rPr>
            </w:pPr>
            <w:r>
              <w:rPr>
                <w:rFonts w:hint="eastAsia" w:ascii="宋体" w:hAnsi="宋体" w:cs="宋体"/>
                <w:color w:val="auto"/>
                <w:sz w:val="20"/>
                <w:szCs w:val="20"/>
                <w:highlight w:val="none"/>
                <w:lang w:val="en-US" w:eastAsia="zh-CN"/>
              </w:rPr>
              <w:t xml:space="preserve">                                                   日期：</w:t>
            </w:r>
          </w:p>
        </w:tc>
      </w:tr>
    </w:tbl>
    <w:p w14:paraId="16C8F92F">
      <w:pPr>
        <w:keepNext/>
        <w:keepLines w:val="0"/>
        <w:pageBreakBefore w:val="0"/>
        <w:widowControl w:val="0"/>
        <w:kinsoku/>
        <w:wordWrap/>
        <w:overflowPunct/>
        <w:topLinePunct w:val="0"/>
        <w:autoSpaceDE/>
        <w:autoSpaceDN/>
        <w:bidi w:val="0"/>
        <w:adjustRightInd/>
        <w:snapToGrid/>
        <w:spacing w:line="560" w:lineRule="exact"/>
        <w:ind w:firstLine="402" w:firstLineChars="200"/>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4.7周转房（员工宿舍等）生活场所管理服务项目考表（</w:t>
      </w:r>
      <w:r>
        <w:rPr>
          <w:rFonts w:hint="eastAsia" w:ascii="宋体" w:hAnsi="宋体" w:cs="宋体"/>
          <w:b/>
          <w:bCs w:val="0"/>
          <w:color w:val="auto"/>
          <w:sz w:val="20"/>
          <w:szCs w:val="20"/>
          <w:highlight w:val="none"/>
          <w:lang w:val="en-US" w:eastAsia="zh-CN"/>
        </w:rPr>
        <w:t>4</w:t>
      </w:r>
      <w:r>
        <w:rPr>
          <w:rFonts w:hint="eastAsia" w:ascii="宋体" w:hAnsi="宋体" w:eastAsia="宋体" w:cs="宋体"/>
          <w:b/>
          <w:bCs w:val="0"/>
          <w:color w:val="auto"/>
          <w:sz w:val="20"/>
          <w:szCs w:val="20"/>
          <w:highlight w:val="none"/>
          <w:lang w:val="en-US" w:eastAsia="zh-CN"/>
        </w:rPr>
        <w:t>0分）</w:t>
      </w:r>
    </w:p>
    <w:tbl>
      <w:tblPr>
        <w:tblStyle w:val="16"/>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190"/>
        <w:gridCol w:w="1050"/>
        <w:gridCol w:w="2228"/>
        <w:gridCol w:w="997"/>
        <w:gridCol w:w="810"/>
        <w:gridCol w:w="776"/>
      </w:tblGrid>
      <w:tr w14:paraId="1EE8A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35" w:type="dxa"/>
            <w:vAlign w:val="center"/>
          </w:tcPr>
          <w:p w14:paraId="61B6F7BA">
            <w:pPr>
              <w:jc w:val="center"/>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序号</w:t>
            </w:r>
          </w:p>
        </w:tc>
        <w:tc>
          <w:tcPr>
            <w:tcW w:w="3190" w:type="dxa"/>
            <w:vAlign w:val="center"/>
          </w:tcPr>
          <w:p w14:paraId="31D8AA68">
            <w:pPr>
              <w:jc w:val="center"/>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服务内容及标准要求</w:t>
            </w:r>
          </w:p>
        </w:tc>
        <w:tc>
          <w:tcPr>
            <w:tcW w:w="1050" w:type="dxa"/>
            <w:vAlign w:val="center"/>
          </w:tcPr>
          <w:p w14:paraId="3A37CDE9">
            <w:pPr>
              <w:jc w:val="center"/>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标准分</w:t>
            </w:r>
          </w:p>
        </w:tc>
        <w:tc>
          <w:tcPr>
            <w:tcW w:w="2228" w:type="dxa"/>
            <w:vAlign w:val="center"/>
          </w:tcPr>
          <w:p w14:paraId="0687E943">
            <w:pPr>
              <w:jc w:val="center"/>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考核内容</w:t>
            </w:r>
          </w:p>
        </w:tc>
        <w:tc>
          <w:tcPr>
            <w:tcW w:w="997" w:type="dxa"/>
            <w:vAlign w:val="center"/>
          </w:tcPr>
          <w:p w14:paraId="56428C23">
            <w:pPr>
              <w:jc w:val="center"/>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扣分</w:t>
            </w:r>
          </w:p>
        </w:tc>
        <w:tc>
          <w:tcPr>
            <w:tcW w:w="810" w:type="dxa"/>
            <w:vAlign w:val="center"/>
          </w:tcPr>
          <w:p w14:paraId="141E8C74">
            <w:pPr>
              <w:jc w:val="both"/>
              <w:rPr>
                <w:b/>
                <w:bCs/>
                <w:color w:val="auto"/>
                <w:sz w:val="20"/>
                <w:szCs w:val="20"/>
                <w:highlight w:val="none"/>
              </w:rPr>
            </w:pPr>
            <w:r>
              <w:rPr>
                <w:rFonts w:hint="eastAsia"/>
                <w:b/>
                <w:bCs/>
                <w:color w:val="auto"/>
                <w:sz w:val="20"/>
                <w:szCs w:val="20"/>
                <w:highlight w:val="none"/>
              </w:rPr>
              <w:t>实际</w:t>
            </w:r>
          </w:p>
          <w:p w14:paraId="53C134CA">
            <w:pPr>
              <w:jc w:val="center"/>
              <w:rPr>
                <w:rFonts w:hint="eastAsia" w:ascii="宋体" w:hAnsi="宋体" w:eastAsia="宋体" w:cs="宋体"/>
                <w:b/>
                <w:bCs/>
                <w:color w:val="auto"/>
                <w:sz w:val="20"/>
                <w:szCs w:val="20"/>
                <w:highlight w:val="none"/>
                <w:lang w:val="en-US" w:eastAsia="zh-CN"/>
              </w:rPr>
            </w:pPr>
            <w:r>
              <w:rPr>
                <w:rFonts w:hint="eastAsia"/>
                <w:b/>
                <w:bCs/>
                <w:color w:val="auto"/>
                <w:sz w:val="20"/>
                <w:szCs w:val="20"/>
                <w:highlight w:val="none"/>
              </w:rPr>
              <w:t>扣分</w:t>
            </w:r>
          </w:p>
        </w:tc>
        <w:tc>
          <w:tcPr>
            <w:tcW w:w="776" w:type="dxa"/>
            <w:vAlign w:val="center"/>
          </w:tcPr>
          <w:p w14:paraId="401FAF0F">
            <w:pPr>
              <w:jc w:val="center"/>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备注</w:t>
            </w:r>
          </w:p>
        </w:tc>
      </w:tr>
      <w:tr w14:paraId="5BC6D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1666525D">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w:t>
            </w:r>
          </w:p>
        </w:tc>
        <w:tc>
          <w:tcPr>
            <w:tcW w:w="3190" w:type="dxa"/>
            <w:vAlign w:val="top"/>
          </w:tcPr>
          <w:p w14:paraId="48201DB6">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服务人员统一着装上岗，树立良好形象。</w:t>
            </w:r>
          </w:p>
        </w:tc>
        <w:tc>
          <w:tcPr>
            <w:tcW w:w="1050" w:type="dxa"/>
            <w:vAlign w:val="center"/>
          </w:tcPr>
          <w:p w14:paraId="500FD3C7">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2228" w:type="dxa"/>
            <w:vAlign w:val="top"/>
          </w:tcPr>
          <w:p w14:paraId="5433D47F">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未穿工作服上岗、态度恶劣现象。</w:t>
            </w:r>
          </w:p>
        </w:tc>
        <w:tc>
          <w:tcPr>
            <w:tcW w:w="997" w:type="dxa"/>
            <w:vAlign w:val="center"/>
          </w:tcPr>
          <w:p w14:paraId="25B7739A">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-1分/次</w:t>
            </w:r>
          </w:p>
        </w:tc>
        <w:tc>
          <w:tcPr>
            <w:tcW w:w="810" w:type="dxa"/>
            <w:vAlign w:val="center"/>
          </w:tcPr>
          <w:p w14:paraId="75F6DA9C">
            <w:pPr>
              <w:rPr>
                <w:rFonts w:hint="eastAsia" w:ascii="宋体" w:hAnsi="宋体" w:eastAsia="宋体" w:cs="宋体"/>
                <w:color w:val="auto"/>
                <w:kern w:val="2"/>
                <w:sz w:val="20"/>
                <w:szCs w:val="20"/>
                <w:highlight w:val="none"/>
                <w:lang w:val="en-US" w:eastAsia="zh-CN" w:bidi="ar-SA"/>
              </w:rPr>
            </w:pPr>
          </w:p>
        </w:tc>
        <w:tc>
          <w:tcPr>
            <w:tcW w:w="776" w:type="dxa"/>
            <w:vAlign w:val="center"/>
          </w:tcPr>
          <w:p w14:paraId="1333E93D">
            <w:pPr>
              <w:rPr>
                <w:rFonts w:hint="eastAsia" w:ascii="宋体" w:hAnsi="宋体" w:eastAsia="宋体" w:cs="宋体"/>
                <w:color w:val="auto"/>
                <w:kern w:val="2"/>
                <w:sz w:val="20"/>
                <w:szCs w:val="20"/>
                <w:highlight w:val="none"/>
                <w:lang w:val="en-US" w:eastAsia="zh-CN" w:bidi="ar-SA"/>
              </w:rPr>
            </w:pPr>
          </w:p>
        </w:tc>
      </w:tr>
      <w:tr w14:paraId="3330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35" w:type="dxa"/>
            <w:vAlign w:val="center"/>
          </w:tcPr>
          <w:p w14:paraId="7D7C032F">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2</w:t>
            </w:r>
          </w:p>
        </w:tc>
        <w:tc>
          <w:tcPr>
            <w:tcW w:w="3190" w:type="dxa"/>
            <w:vAlign w:val="center"/>
          </w:tcPr>
          <w:p w14:paraId="46518EAD">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严格审查外来人员进入周转房区域。</w:t>
            </w:r>
          </w:p>
        </w:tc>
        <w:tc>
          <w:tcPr>
            <w:tcW w:w="1050" w:type="dxa"/>
            <w:vAlign w:val="center"/>
          </w:tcPr>
          <w:p w14:paraId="7108A4BE">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w:t>
            </w:r>
          </w:p>
        </w:tc>
        <w:tc>
          <w:tcPr>
            <w:tcW w:w="2228" w:type="dxa"/>
            <w:vAlign w:val="center"/>
          </w:tcPr>
          <w:p w14:paraId="0B11C61A">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发现不办理手续给外来人员进入。</w:t>
            </w:r>
          </w:p>
        </w:tc>
        <w:tc>
          <w:tcPr>
            <w:tcW w:w="997" w:type="dxa"/>
            <w:vAlign w:val="center"/>
          </w:tcPr>
          <w:p w14:paraId="687A949E">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-0.5分/次</w:t>
            </w:r>
          </w:p>
        </w:tc>
        <w:tc>
          <w:tcPr>
            <w:tcW w:w="810" w:type="dxa"/>
            <w:vAlign w:val="center"/>
          </w:tcPr>
          <w:p w14:paraId="7C9190CA">
            <w:pPr>
              <w:rPr>
                <w:rFonts w:hint="eastAsia" w:ascii="宋体" w:hAnsi="宋体" w:eastAsia="宋体" w:cs="宋体"/>
                <w:color w:val="auto"/>
                <w:kern w:val="2"/>
                <w:sz w:val="20"/>
                <w:szCs w:val="20"/>
                <w:highlight w:val="none"/>
                <w:lang w:val="en-US" w:eastAsia="zh-CN" w:bidi="ar-SA"/>
              </w:rPr>
            </w:pPr>
          </w:p>
        </w:tc>
        <w:tc>
          <w:tcPr>
            <w:tcW w:w="776" w:type="dxa"/>
            <w:vAlign w:val="center"/>
          </w:tcPr>
          <w:p w14:paraId="052AE3D3">
            <w:pPr>
              <w:rPr>
                <w:rFonts w:hint="eastAsia" w:ascii="宋体" w:hAnsi="宋体" w:eastAsia="宋体" w:cs="宋体"/>
                <w:color w:val="auto"/>
                <w:kern w:val="2"/>
                <w:sz w:val="20"/>
                <w:szCs w:val="20"/>
                <w:highlight w:val="none"/>
                <w:lang w:val="en-US" w:eastAsia="zh-CN" w:bidi="ar-SA"/>
              </w:rPr>
            </w:pPr>
          </w:p>
        </w:tc>
      </w:tr>
      <w:tr w14:paraId="3FFA5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7DB19F0A">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3</w:t>
            </w:r>
          </w:p>
        </w:tc>
        <w:tc>
          <w:tcPr>
            <w:tcW w:w="3190" w:type="dxa"/>
            <w:vAlign w:val="center"/>
          </w:tcPr>
          <w:p w14:paraId="1E2C8DDE">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负责周转房区域设施的检查和维护，保证设施正常使用。</w:t>
            </w:r>
          </w:p>
        </w:tc>
        <w:tc>
          <w:tcPr>
            <w:tcW w:w="1050" w:type="dxa"/>
            <w:vAlign w:val="center"/>
          </w:tcPr>
          <w:p w14:paraId="074BD019">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2228" w:type="dxa"/>
            <w:vAlign w:val="center"/>
          </w:tcPr>
          <w:p w14:paraId="37919A7F">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设施设备损坏不及时上报或摆放整齐。</w:t>
            </w:r>
          </w:p>
        </w:tc>
        <w:tc>
          <w:tcPr>
            <w:tcW w:w="997" w:type="dxa"/>
            <w:vAlign w:val="center"/>
          </w:tcPr>
          <w:p w14:paraId="6A72AA32">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-1分/次</w:t>
            </w:r>
          </w:p>
        </w:tc>
        <w:tc>
          <w:tcPr>
            <w:tcW w:w="810" w:type="dxa"/>
            <w:vAlign w:val="center"/>
          </w:tcPr>
          <w:p w14:paraId="2AFFEC6E">
            <w:pPr>
              <w:rPr>
                <w:rFonts w:hint="eastAsia" w:ascii="宋体" w:hAnsi="宋体" w:eastAsia="宋体" w:cs="宋体"/>
                <w:color w:val="auto"/>
                <w:kern w:val="2"/>
                <w:sz w:val="20"/>
                <w:szCs w:val="20"/>
                <w:highlight w:val="none"/>
                <w:lang w:val="en-US" w:eastAsia="zh-CN" w:bidi="ar-SA"/>
              </w:rPr>
            </w:pPr>
          </w:p>
        </w:tc>
        <w:tc>
          <w:tcPr>
            <w:tcW w:w="776" w:type="dxa"/>
            <w:vAlign w:val="center"/>
          </w:tcPr>
          <w:p w14:paraId="754E5DCB">
            <w:pPr>
              <w:rPr>
                <w:rFonts w:hint="eastAsia" w:ascii="宋体" w:hAnsi="宋体" w:eastAsia="宋体" w:cs="宋体"/>
                <w:color w:val="auto"/>
                <w:kern w:val="2"/>
                <w:sz w:val="20"/>
                <w:szCs w:val="20"/>
                <w:highlight w:val="none"/>
                <w:lang w:val="en-US" w:eastAsia="zh-CN" w:bidi="ar-SA"/>
              </w:rPr>
            </w:pPr>
          </w:p>
        </w:tc>
      </w:tr>
      <w:tr w14:paraId="7158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1B720B06">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4</w:t>
            </w:r>
          </w:p>
        </w:tc>
        <w:tc>
          <w:tcPr>
            <w:tcW w:w="3190" w:type="dxa"/>
            <w:vAlign w:val="center"/>
          </w:tcPr>
          <w:p w14:paraId="5EC5CC8E">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保持周转房公共区域的卫生(保持地面、墙面桌面的清洁)。</w:t>
            </w:r>
          </w:p>
        </w:tc>
        <w:tc>
          <w:tcPr>
            <w:tcW w:w="1050" w:type="dxa"/>
            <w:vAlign w:val="center"/>
          </w:tcPr>
          <w:p w14:paraId="7E8DE74D">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2228" w:type="dxa"/>
            <w:vAlign w:val="center"/>
          </w:tcPr>
          <w:p w14:paraId="53408250">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发现周转房公共区域地面脏乱现象。</w:t>
            </w:r>
          </w:p>
        </w:tc>
        <w:tc>
          <w:tcPr>
            <w:tcW w:w="997" w:type="dxa"/>
            <w:vAlign w:val="center"/>
          </w:tcPr>
          <w:p w14:paraId="7511B884">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-1分/次</w:t>
            </w:r>
          </w:p>
        </w:tc>
        <w:tc>
          <w:tcPr>
            <w:tcW w:w="810" w:type="dxa"/>
            <w:vAlign w:val="center"/>
          </w:tcPr>
          <w:p w14:paraId="3B680DC9">
            <w:pPr>
              <w:rPr>
                <w:rFonts w:hint="eastAsia" w:ascii="宋体" w:hAnsi="宋体" w:eastAsia="宋体" w:cs="宋体"/>
                <w:color w:val="auto"/>
                <w:kern w:val="2"/>
                <w:sz w:val="20"/>
                <w:szCs w:val="20"/>
                <w:highlight w:val="none"/>
                <w:lang w:val="en-US" w:eastAsia="zh-CN" w:bidi="ar-SA"/>
              </w:rPr>
            </w:pPr>
          </w:p>
        </w:tc>
        <w:tc>
          <w:tcPr>
            <w:tcW w:w="776" w:type="dxa"/>
            <w:vAlign w:val="center"/>
          </w:tcPr>
          <w:p w14:paraId="5E430041">
            <w:pPr>
              <w:rPr>
                <w:rFonts w:hint="eastAsia" w:ascii="宋体" w:hAnsi="宋体" w:eastAsia="宋体" w:cs="宋体"/>
                <w:color w:val="auto"/>
                <w:kern w:val="2"/>
                <w:sz w:val="20"/>
                <w:szCs w:val="20"/>
                <w:highlight w:val="none"/>
                <w:lang w:val="en-US" w:eastAsia="zh-CN" w:bidi="ar-SA"/>
              </w:rPr>
            </w:pPr>
          </w:p>
        </w:tc>
      </w:tr>
      <w:tr w14:paraId="0D3D0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Merge w:val="restart"/>
            <w:vAlign w:val="center"/>
          </w:tcPr>
          <w:p w14:paraId="5077EF9B">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w:t>
            </w:r>
          </w:p>
        </w:tc>
        <w:tc>
          <w:tcPr>
            <w:tcW w:w="3190" w:type="dxa"/>
            <w:vMerge w:val="restart"/>
            <w:vAlign w:val="center"/>
          </w:tcPr>
          <w:p w14:paraId="774A360F">
            <w:pPr>
              <w:rPr>
                <w:rFonts w:hint="eastAsia" w:ascii="宋体" w:hAnsi="宋体" w:eastAsia="宋体" w:cs="宋体"/>
                <w:color w:val="auto"/>
                <w:kern w:val="2"/>
                <w:sz w:val="20"/>
                <w:szCs w:val="20"/>
                <w:highlight w:val="none"/>
                <w:lang w:val="en-US" w:eastAsia="zh-CN" w:bidi="ar-SA"/>
              </w:rPr>
            </w:pPr>
            <w:r>
              <w:rPr>
                <w:rFonts w:hint="eastAsia" w:ascii="宋体" w:hAnsi="宋体" w:cs="宋体"/>
                <w:color w:val="auto"/>
                <w:sz w:val="20"/>
                <w:szCs w:val="20"/>
                <w:highlight w:val="none"/>
                <w:lang w:eastAsia="zh-CN"/>
              </w:rPr>
              <w:t>服务商</w:t>
            </w:r>
            <w:r>
              <w:rPr>
                <w:rFonts w:hint="eastAsia" w:ascii="宋体" w:hAnsi="宋体" w:eastAsia="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布置的工作要求、任务有落实，有反馈。</w:t>
            </w:r>
          </w:p>
        </w:tc>
        <w:tc>
          <w:tcPr>
            <w:tcW w:w="1050" w:type="dxa"/>
            <w:vMerge w:val="restart"/>
            <w:vAlign w:val="center"/>
          </w:tcPr>
          <w:p w14:paraId="3EB07C58">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w:t>
            </w:r>
          </w:p>
        </w:tc>
        <w:tc>
          <w:tcPr>
            <w:tcW w:w="2228" w:type="dxa"/>
            <w:shd w:val="clear" w:color="auto" w:fill="auto"/>
            <w:vAlign w:val="center"/>
          </w:tcPr>
          <w:p w14:paraId="666991B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997" w:type="dxa"/>
            <w:shd w:val="clear" w:color="auto" w:fill="auto"/>
            <w:vAlign w:val="center"/>
          </w:tcPr>
          <w:p w14:paraId="17B9292B">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分/次</w:t>
            </w:r>
          </w:p>
        </w:tc>
        <w:tc>
          <w:tcPr>
            <w:tcW w:w="810" w:type="dxa"/>
            <w:vAlign w:val="center"/>
          </w:tcPr>
          <w:p w14:paraId="06E3CB33">
            <w:pPr>
              <w:rPr>
                <w:rFonts w:hint="eastAsia" w:ascii="宋体" w:hAnsi="宋体" w:eastAsia="宋体" w:cs="宋体"/>
                <w:color w:val="auto"/>
                <w:kern w:val="2"/>
                <w:sz w:val="20"/>
                <w:szCs w:val="20"/>
                <w:highlight w:val="none"/>
                <w:lang w:val="en-US" w:eastAsia="zh-CN" w:bidi="ar-SA"/>
              </w:rPr>
            </w:pPr>
          </w:p>
        </w:tc>
        <w:tc>
          <w:tcPr>
            <w:tcW w:w="776" w:type="dxa"/>
            <w:vAlign w:val="center"/>
          </w:tcPr>
          <w:p w14:paraId="50D5535E">
            <w:pPr>
              <w:rPr>
                <w:rFonts w:hint="eastAsia" w:ascii="宋体" w:hAnsi="宋体" w:eastAsia="宋体" w:cs="宋体"/>
                <w:color w:val="auto"/>
                <w:kern w:val="2"/>
                <w:sz w:val="20"/>
                <w:szCs w:val="20"/>
                <w:highlight w:val="none"/>
                <w:lang w:val="en-US" w:eastAsia="zh-CN" w:bidi="ar-SA"/>
              </w:rPr>
            </w:pPr>
          </w:p>
        </w:tc>
      </w:tr>
      <w:tr w14:paraId="3FD7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Merge w:val="continue"/>
            <w:vAlign w:val="center"/>
          </w:tcPr>
          <w:p w14:paraId="294251A1">
            <w:pPr>
              <w:jc w:val="center"/>
              <w:rPr>
                <w:rFonts w:hint="eastAsia" w:ascii="宋体" w:hAnsi="宋体" w:eastAsia="宋体" w:cs="宋体"/>
                <w:color w:val="auto"/>
                <w:sz w:val="20"/>
                <w:szCs w:val="20"/>
                <w:highlight w:val="none"/>
                <w:lang w:val="en-US" w:eastAsia="zh-CN"/>
              </w:rPr>
            </w:pPr>
          </w:p>
        </w:tc>
        <w:tc>
          <w:tcPr>
            <w:tcW w:w="3190" w:type="dxa"/>
            <w:vMerge w:val="continue"/>
            <w:vAlign w:val="center"/>
          </w:tcPr>
          <w:p w14:paraId="2C1F4829">
            <w:pPr>
              <w:rPr>
                <w:rFonts w:hint="eastAsia" w:ascii="宋体" w:hAnsi="宋体" w:eastAsia="宋体" w:cs="宋体"/>
                <w:color w:val="auto"/>
                <w:sz w:val="20"/>
                <w:szCs w:val="20"/>
                <w:highlight w:val="none"/>
              </w:rPr>
            </w:pPr>
          </w:p>
        </w:tc>
        <w:tc>
          <w:tcPr>
            <w:tcW w:w="1050" w:type="dxa"/>
            <w:vMerge w:val="continue"/>
            <w:vAlign w:val="center"/>
          </w:tcPr>
          <w:p w14:paraId="2CAF2430">
            <w:pPr>
              <w:jc w:val="center"/>
              <w:rPr>
                <w:rFonts w:hint="eastAsia" w:ascii="宋体" w:hAnsi="宋体" w:eastAsia="宋体" w:cs="宋体"/>
                <w:color w:val="auto"/>
                <w:sz w:val="20"/>
                <w:szCs w:val="20"/>
                <w:highlight w:val="none"/>
                <w:lang w:val="en-US" w:eastAsia="zh-CN"/>
              </w:rPr>
            </w:pPr>
          </w:p>
        </w:tc>
        <w:tc>
          <w:tcPr>
            <w:tcW w:w="2228" w:type="dxa"/>
            <w:shd w:val="clear" w:color="auto" w:fill="auto"/>
            <w:vAlign w:val="center"/>
          </w:tcPr>
          <w:p w14:paraId="3DC9747C">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997" w:type="dxa"/>
            <w:shd w:val="clear" w:color="auto" w:fill="auto"/>
            <w:vAlign w:val="center"/>
          </w:tcPr>
          <w:p w14:paraId="519139EE">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810" w:type="dxa"/>
            <w:vAlign w:val="center"/>
          </w:tcPr>
          <w:p w14:paraId="49B7870A">
            <w:pPr>
              <w:rPr>
                <w:rFonts w:hint="eastAsia" w:ascii="宋体" w:hAnsi="宋体" w:eastAsia="宋体" w:cs="宋体"/>
                <w:color w:val="auto"/>
                <w:kern w:val="2"/>
                <w:sz w:val="20"/>
                <w:szCs w:val="20"/>
                <w:highlight w:val="none"/>
                <w:lang w:val="en-US" w:eastAsia="zh-CN" w:bidi="ar-SA"/>
              </w:rPr>
            </w:pPr>
          </w:p>
        </w:tc>
        <w:tc>
          <w:tcPr>
            <w:tcW w:w="776" w:type="dxa"/>
            <w:vAlign w:val="center"/>
          </w:tcPr>
          <w:p w14:paraId="1AC72A67">
            <w:pPr>
              <w:rPr>
                <w:rFonts w:hint="eastAsia" w:ascii="宋体" w:hAnsi="宋体" w:eastAsia="宋体" w:cs="宋体"/>
                <w:color w:val="auto"/>
                <w:kern w:val="2"/>
                <w:sz w:val="20"/>
                <w:szCs w:val="20"/>
                <w:highlight w:val="none"/>
                <w:lang w:val="en-US" w:eastAsia="zh-CN" w:bidi="ar-SA"/>
              </w:rPr>
            </w:pPr>
          </w:p>
        </w:tc>
      </w:tr>
      <w:tr w14:paraId="4481E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Merge w:val="continue"/>
            <w:vAlign w:val="center"/>
          </w:tcPr>
          <w:p w14:paraId="2C9295C1">
            <w:pPr>
              <w:jc w:val="center"/>
              <w:rPr>
                <w:rFonts w:hint="eastAsia" w:ascii="宋体" w:hAnsi="宋体" w:eastAsia="宋体" w:cs="宋体"/>
                <w:color w:val="auto"/>
                <w:kern w:val="2"/>
                <w:sz w:val="20"/>
                <w:szCs w:val="20"/>
                <w:highlight w:val="none"/>
                <w:lang w:val="en-US" w:eastAsia="zh-CN" w:bidi="ar-SA"/>
              </w:rPr>
            </w:pPr>
          </w:p>
        </w:tc>
        <w:tc>
          <w:tcPr>
            <w:tcW w:w="3190" w:type="dxa"/>
            <w:vMerge w:val="continue"/>
            <w:vAlign w:val="center"/>
          </w:tcPr>
          <w:p w14:paraId="29C98248">
            <w:pPr>
              <w:rPr>
                <w:rFonts w:hint="eastAsia" w:ascii="宋体" w:hAnsi="宋体" w:eastAsia="宋体" w:cs="宋体"/>
                <w:color w:val="auto"/>
                <w:kern w:val="2"/>
                <w:sz w:val="20"/>
                <w:szCs w:val="20"/>
                <w:highlight w:val="none"/>
                <w:lang w:val="en-US" w:eastAsia="zh-CN" w:bidi="ar-SA"/>
              </w:rPr>
            </w:pPr>
          </w:p>
        </w:tc>
        <w:tc>
          <w:tcPr>
            <w:tcW w:w="1050" w:type="dxa"/>
            <w:vMerge w:val="continue"/>
            <w:vAlign w:val="center"/>
          </w:tcPr>
          <w:p w14:paraId="379B7DCA">
            <w:pPr>
              <w:jc w:val="center"/>
              <w:rPr>
                <w:rFonts w:hint="eastAsia" w:ascii="宋体" w:hAnsi="宋体" w:eastAsia="宋体" w:cs="宋体"/>
                <w:color w:val="auto"/>
                <w:kern w:val="2"/>
                <w:sz w:val="20"/>
                <w:szCs w:val="20"/>
                <w:highlight w:val="none"/>
                <w:lang w:val="en-US" w:eastAsia="zh-CN" w:bidi="ar-SA"/>
              </w:rPr>
            </w:pPr>
          </w:p>
        </w:tc>
        <w:tc>
          <w:tcPr>
            <w:tcW w:w="2228" w:type="dxa"/>
            <w:shd w:val="clear" w:color="auto" w:fill="auto"/>
            <w:vAlign w:val="center"/>
          </w:tcPr>
          <w:p w14:paraId="76CDF401">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997" w:type="dxa"/>
            <w:shd w:val="clear" w:color="auto" w:fill="auto"/>
            <w:vAlign w:val="center"/>
          </w:tcPr>
          <w:p w14:paraId="5DED546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-1</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3分/项</w:t>
            </w:r>
          </w:p>
        </w:tc>
        <w:tc>
          <w:tcPr>
            <w:tcW w:w="810" w:type="dxa"/>
            <w:vAlign w:val="center"/>
          </w:tcPr>
          <w:p w14:paraId="055753BA">
            <w:pPr>
              <w:rPr>
                <w:rFonts w:hint="eastAsia" w:ascii="宋体" w:hAnsi="宋体" w:eastAsia="宋体" w:cs="宋体"/>
                <w:color w:val="auto"/>
                <w:kern w:val="2"/>
                <w:sz w:val="20"/>
                <w:szCs w:val="20"/>
                <w:highlight w:val="none"/>
                <w:lang w:val="en-US" w:eastAsia="zh-CN" w:bidi="ar-SA"/>
              </w:rPr>
            </w:pPr>
          </w:p>
        </w:tc>
        <w:tc>
          <w:tcPr>
            <w:tcW w:w="776" w:type="dxa"/>
            <w:vAlign w:val="center"/>
          </w:tcPr>
          <w:p w14:paraId="0D24DB9F">
            <w:pPr>
              <w:rPr>
                <w:rFonts w:hint="eastAsia" w:ascii="宋体" w:hAnsi="宋体" w:eastAsia="宋体" w:cs="宋体"/>
                <w:color w:val="auto"/>
                <w:kern w:val="2"/>
                <w:sz w:val="20"/>
                <w:szCs w:val="20"/>
                <w:highlight w:val="none"/>
                <w:lang w:val="en-US" w:eastAsia="zh-CN" w:bidi="ar-SA"/>
              </w:rPr>
            </w:pPr>
          </w:p>
        </w:tc>
      </w:tr>
      <w:tr w14:paraId="5DE2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786" w:type="dxa"/>
            <w:gridSpan w:val="7"/>
            <w:vAlign w:val="center"/>
          </w:tcPr>
          <w:p w14:paraId="67D7087C">
            <w:pPr>
              <w:pStyle w:val="18"/>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lang w:val="en-US" w:eastAsia="zh-CN"/>
              </w:rPr>
              <w:t xml:space="preserve">                                            考核得分：</w:t>
            </w:r>
          </w:p>
        </w:tc>
      </w:tr>
      <w:tr w14:paraId="2180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6" w:type="dxa"/>
            <w:gridSpan w:val="7"/>
            <w:vAlign w:val="center"/>
          </w:tcPr>
          <w:p w14:paraId="4B395E72">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0BFB301D">
            <w:pPr>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w:t>
            </w:r>
            <w:r>
              <w:rPr>
                <w:rFonts w:hint="eastAsia" w:ascii="宋体" w:hAnsi="宋体" w:cs="宋体"/>
                <w:color w:val="auto"/>
                <w:sz w:val="20"/>
                <w:szCs w:val="20"/>
                <w:highlight w:val="none"/>
                <w:lang w:val="en-US" w:eastAsia="zh-CN"/>
              </w:rPr>
              <w:t>签名：</w:t>
            </w:r>
          </w:p>
          <w:p w14:paraId="4C2E686F">
            <w:pPr>
              <w:rPr>
                <w:rFonts w:hint="eastAsia" w:ascii="宋体" w:hAnsi="宋体" w:eastAsia="宋体" w:cs="宋体"/>
                <w:color w:val="auto"/>
                <w:sz w:val="20"/>
                <w:szCs w:val="20"/>
                <w:highlight w:val="none"/>
                <w:vertAlign w:val="baseline"/>
                <w:lang w:val="en-US" w:eastAsia="zh-CN"/>
              </w:rPr>
            </w:pPr>
            <w:r>
              <w:rPr>
                <w:rFonts w:hint="eastAsia" w:ascii="宋体" w:hAnsi="宋体" w:cs="宋体"/>
                <w:color w:val="auto"/>
                <w:sz w:val="20"/>
                <w:szCs w:val="20"/>
                <w:highlight w:val="none"/>
                <w:lang w:val="en-US" w:eastAsia="zh-CN"/>
              </w:rPr>
              <w:t xml:space="preserve">                                                   日期：</w:t>
            </w:r>
          </w:p>
        </w:tc>
      </w:tr>
    </w:tbl>
    <w:p w14:paraId="1ADB7DCF">
      <w:pPr>
        <w:bidi w:val="0"/>
        <w:rPr>
          <w:rFonts w:hint="eastAsia" w:ascii="宋体" w:hAnsi="宋体" w:eastAsia="宋体" w:cs="宋体"/>
          <w:b/>
          <w:bCs/>
          <w:color w:val="auto"/>
          <w:highlight w:val="none"/>
          <w:lang w:val="en-US" w:eastAsia="zh-CN"/>
        </w:rPr>
      </w:pPr>
    </w:p>
    <w:p w14:paraId="775C7829">
      <w:pPr>
        <w:keepNext/>
        <w:keepLines w:val="0"/>
        <w:pageBreakBefore w:val="0"/>
        <w:widowControl w:val="0"/>
        <w:kinsoku/>
        <w:wordWrap/>
        <w:overflowPunct/>
        <w:topLinePunct w:val="0"/>
        <w:autoSpaceDE/>
        <w:autoSpaceDN/>
        <w:bidi w:val="0"/>
        <w:adjustRightInd/>
        <w:snapToGrid/>
        <w:spacing w:line="560" w:lineRule="exact"/>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4.8职工活动场所委托服务项目考表（100分）</w:t>
      </w:r>
    </w:p>
    <w:tbl>
      <w:tblPr>
        <w:tblStyle w:val="16"/>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3102"/>
        <w:gridCol w:w="870"/>
        <w:gridCol w:w="2310"/>
        <w:gridCol w:w="1225"/>
        <w:gridCol w:w="885"/>
        <w:gridCol w:w="815"/>
      </w:tblGrid>
      <w:tr w14:paraId="0E6F9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540" w:type="dxa"/>
            <w:vAlign w:val="center"/>
          </w:tcPr>
          <w:p w14:paraId="3BB8232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序号</w:t>
            </w:r>
          </w:p>
        </w:tc>
        <w:tc>
          <w:tcPr>
            <w:tcW w:w="3102" w:type="dxa"/>
            <w:vAlign w:val="center"/>
          </w:tcPr>
          <w:p w14:paraId="3F42B3E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服务内容及标准要求</w:t>
            </w:r>
          </w:p>
        </w:tc>
        <w:tc>
          <w:tcPr>
            <w:tcW w:w="870" w:type="dxa"/>
            <w:vAlign w:val="center"/>
          </w:tcPr>
          <w:p w14:paraId="389E11D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标准分</w:t>
            </w:r>
          </w:p>
        </w:tc>
        <w:tc>
          <w:tcPr>
            <w:tcW w:w="2310" w:type="dxa"/>
            <w:vAlign w:val="center"/>
          </w:tcPr>
          <w:p w14:paraId="464F21EC">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考核内容</w:t>
            </w:r>
          </w:p>
        </w:tc>
        <w:tc>
          <w:tcPr>
            <w:tcW w:w="1225" w:type="dxa"/>
            <w:vAlign w:val="center"/>
          </w:tcPr>
          <w:p w14:paraId="6F3321A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扣分</w:t>
            </w:r>
          </w:p>
        </w:tc>
        <w:tc>
          <w:tcPr>
            <w:tcW w:w="885" w:type="dxa"/>
            <w:vAlign w:val="center"/>
          </w:tcPr>
          <w:p w14:paraId="4603D79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实际 扣分</w:t>
            </w:r>
          </w:p>
        </w:tc>
        <w:tc>
          <w:tcPr>
            <w:tcW w:w="815" w:type="dxa"/>
            <w:vAlign w:val="center"/>
          </w:tcPr>
          <w:p w14:paraId="1B12A55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备注</w:t>
            </w:r>
          </w:p>
        </w:tc>
      </w:tr>
      <w:tr w14:paraId="3BCC4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4EFDFB8C">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w:t>
            </w:r>
          </w:p>
        </w:tc>
        <w:tc>
          <w:tcPr>
            <w:tcW w:w="3102" w:type="dxa"/>
            <w:vAlign w:val="top"/>
          </w:tcPr>
          <w:p w14:paraId="585C387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面带笑容，热情服务，统一着装上岗，树立良好形象。</w:t>
            </w:r>
          </w:p>
        </w:tc>
        <w:tc>
          <w:tcPr>
            <w:tcW w:w="870" w:type="dxa"/>
            <w:vAlign w:val="center"/>
          </w:tcPr>
          <w:p w14:paraId="4A4D07B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2310" w:type="dxa"/>
            <w:vAlign w:val="top"/>
          </w:tcPr>
          <w:p w14:paraId="2D79DE7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未穿工作服上岗、态度恶劣现象。</w:t>
            </w:r>
          </w:p>
        </w:tc>
        <w:tc>
          <w:tcPr>
            <w:tcW w:w="1225" w:type="dxa"/>
            <w:vAlign w:val="center"/>
          </w:tcPr>
          <w:p w14:paraId="1C62D50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-1分/次</w:t>
            </w:r>
          </w:p>
        </w:tc>
        <w:tc>
          <w:tcPr>
            <w:tcW w:w="885" w:type="dxa"/>
            <w:vAlign w:val="center"/>
          </w:tcPr>
          <w:p w14:paraId="4803F1A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c>
          <w:tcPr>
            <w:tcW w:w="815" w:type="dxa"/>
            <w:vAlign w:val="center"/>
          </w:tcPr>
          <w:p w14:paraId="5B5AC20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r>
      <w:tr w14:paraId="0EC0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34CE647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2</w:t>
            </w:r>
          </w:p>
        </w:tc>
        <w:tc>
          <w:tcPr>
            <w:tcW w:w="3102" w:type="dxa"/>
            <w:vAlign w:val="center"/>
          </w:tcPr>
          <w:p w14:paraId="0E09FC0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按照采购方规定时间上岗，未到闭馆时间不得催促客户离开。</w:t>
            </w:r>
          </w:p>
        </w:tc>
        <w:tc>
          <w:tcPr>
            <w:tcW w:w="870" w:type="dxa"/>
            <w:vAlign w:val="center"/>
          </w:tcPr>
          <w:p w14:paraId="4AC2135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2310" w:type="dxa"/>
            <w:vAlign w:val="center"/>
          </w:tcPr>
          <w:p w14:paraId="190E307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有未按照采购方规定时间上岗，未到闭馆时间就催促客户离开现象。</w:t>
            </w:r>
          </w:p>
        </w:tc>
        <w:tc>
          <w:tcPr>
            <w:tcW w:w="1225" w:type="dxa"/>
            <w:vAlign w:val="center"/>
          </w:tcPr>
          <w:p w14:paraId="6A1801C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-1分/次</w:t>
            </w:r>
          </w:p>
        </w:tc>
        <w:tc>
          <w:tcPr>
            <w:tcW w:w="885" w:type="dxa"/>
            <w:vAlign w:val="center"/>
          </w:tcPr>
          <w:p w14:paraId="004F695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c>
          <w:tcPr>
            <w:tcW w:w="815" w:type="dxa"/>
            <w:vAlign w:val="center"/>
          </w:tcPr>
          <w:p w14:paraId="4EF34D4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r>
      <w:tr w14:paraId="72EC5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35A9EBF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3</w:t>
            </w:r>
          </w:p>
        </w:tc>
        <w:tc>
          <w:tcPr>
            <w:tcW w:w="3102" w:type="dxa"/>
            <w:vAlign w:val="center"/>
          </w:tcPr>
          <w:p w14:paraId="03BCEA8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每季度对职工书屋的书籍进行盘点、归类、借用、归还及台账整理1次。</w:t>
            </w:r>
          </w:p>
        </w:tc>
        <w:tc>
          <w:tcPr>
            <w:tcW w:w="870" w:type="dxa"/>
            <w:vAlign w:val="center"/>
          </w:tcPr>
          <w:p w14:paraId="5459DE2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10</w:t>
            </w:r>
          </w:p>
        </w:tc>
        <w:tc>
          <w:tcPr>
            <w:tcW w:w="2310" w:type="dxa"/>
            <w:vAlign w:val="center"/>
          </w:tcPr>
          <w:p w14:paraId="3AFC961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书籍总数量和外借书籍对不上或台账数据不清晰。</w:t>
            </w:r>
          </w:p>
        </w:tc>
        <w:tc>
          <w:tcPr>
            <w:tcW w:w="1225" w:type="dxa"/>
            <w:vAlign w:val="center"/>
          </w:tcPr>
          <w:p w14:paraId="1A188CC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-2分/次</w:t>
            </w:r>
          </w:p>
        </w:tc>
        <w:tc>
          <w:tcPr>
            <w:tcW w:w="885" w:type="dxa"/>
            <w:vAlign w:val="center"/>
          </w:tcPr>
          <w:p w14:paraId="61AEB43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c>
          <w:tcPr>
            <w:tcW w:w="815" w:type="dxa"/>
            <w:vAlign w:val="center"/>
          </w:tcPr>
          <w:p w14:paraId="558A1FE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r>
      <w:tr w14:paraId="264B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0092CA9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4</w:t>
            </w:r>
          </w:p>
        </w:tc>
        <w:tc>
          <w:tcPr>
            <w:tcW w:w="3102" w:type="dxa"/>
            <w:vAlign w:val="center"/>
          </w:tcPr>
          <w:p w14:paraId="5FD6000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掌握书籍借阅管理要求，定期查询借阅登记表，督促书籍续借、到期归还的工作。</w:t>
            </w:r>
          </w:p>
        </w:tc>
        <w:tc>
          <w:tcPr>
            <w:tcW w:w="870" w:type="dxa"/>
            <w:vAlign w:val="center"/>
          </w:tcPr>
          <w:p w14:paraId="14B53F6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10</w:t>
            </w:r>
          </w:p>
        </w:tc>
        <w:tc>
          <w:tcPr>
            <w:tcW w:w="2310" w:type="dxa"/>
            <w:vAlign w:val="center"/>
          </w:tcPr>
          <w:p w14:paraId="60C5E1C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外借书籍到期未及时归还或记录不齐全。</w:t>
            </w:r>
          </w:p>
        </w:tc>
        <w:tc>
          <w:tcPr>
            <w:tcW w:w="1225" w:type="dxa"/>
            <w:vAlign w:val="center"/>
          </w:tcPr>
          <w:p w14:paraId="025A6E4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-1分/次</w:t>
            </w:r>
          </w:p>
        </w:tc>
        <w:tc>
          <w:tcPr>
            <w:tcW w:w="885" w:type="dxa"/>
            <w:vAlign w:val="center"/>
          </w:tcPr>
          <w:p w14:paraId="067B248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c>
          <w:tcPr>
            <w:tcW w:w="815" w:type="dxa"/>
            <w:vAlign w:val="center"/>
          </w:tcPr>
          <w:p w14:paraId="0AA4B8B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r>
      <w:tr w14:paraId="677DB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511C54B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5</w:t>
            </w:r>
          </w:p>
        </w:tc>
        <w:tc>
          <w:tcPr>
            <w:tcW w:w="3102" w:type="dxa"/>
            <w:vAlign w:val="center"/>
          </w:tcPr>
          <w:p w14:paraId="6ED4FA8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职工书屋、职工活动中心每天下班前打扫卫生，定期擦拭玻璃。</w:t>
            </w:r>
          </w:p>
        </w:tc>
        <w:tc>
          <w:tcPr>
            <w:tcW w:w="870" w:type="dxa"/>
            <w:vAlign w:val="center"/>
          </w:tcPr>
          <w:p w14:paraId="632B678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10</w:t>
            </w:r>
          </w:p>
        </w:tc>
        <w:tc>
          <w:tcPr>
            <w:tcW w:w="2310" w:type="dxa"/>
            <w:vAlign w:val="center"/>
          </w:tcPr>
          <w:p w14:paraId="60386C6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玻璃脏有污渍或书屋、职工活动中心卫生未按要求清洁干净。</w:t>
            </w:r>
          </w:p>
        </w:tc>
        <w:tc>
          <w:tcPr>
            <w:tcW w:w="1225" w:type="dxa"/>
            <w:vAlign w:val="center"/>
          </w:tcPr>
          <w:p w14:paraId="524BB5E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-1分/次</w:t>
            </w:r>
          </w:p>
        </w:tc>
        <w:tc>
          <w:tcPr>
            <w:tcW w:w="885" w:type="dxa"/>
            <w:vAlign w:val="center"/>
          </w:tcPr>
          <w:p w14:paraId="3488071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c>
          <w:tcPr>
            <w:tcW w:w="815" w:type="dxa"/>
            <w:vAlign w:val="center"/>
          </w:tcPr>
          <w:p w14:paraId="45BE8F8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r>
      <w:tr w14:paraId="5575A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27D6058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6</w:t>
            </w:r>
          </w:p>
        </w:tc>
        <w:tc>
          <w:tcPr>
            <w:tcW w:w="3102" w:type="dxa"/>
            <w:vAlign w:val="center"/>
          </w:tcPr>
          <w:p w14:paraId="23443E9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图书需按图书类别进行分类整理与编号，贴标签进行归档登记，编制书籍目录，并建立电子图书管理档案。</w:t>
            </w:r>
          </w:p>
        </w:tc>
        <w:tc>
          <w:tcPr>
            <w:tcW w:w="870" w:type="dxa"/>
            <w:vAlign w:val="center"/>
          </w:tcPr>
          <w:p w14:paraId="225FAEA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10</w:t>
            </w:r>
          </w:p>
        </w:tc>
        <w:tc>
          <w:tcPr>
            <w:tcW w:w="2310" w:type="dxa"/>
            <w:vAlign w:val="center"/>
          </w:tcPr>
          <w:p w14:paraId="6076140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书籍不按书籍类别管理或台账数据不清晰。</w:t>
            </w:r>
          </w:p>
        </w:tc>
        <w:tc>
          <w:tcPr>
            <w:tcW w:w="1225" w:type="dxa"/>
            <w:vAlign w:val="center"/>
          </w:tcPr>
          <w:p w14:paraId="629446C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-1分/次</w:t>
            </w:r>
          </w:p>
        </w:tc>
        <w:tc>
          <w:tcPr>
            <w:tcW w:w="885" w:type="dxa"/>
            <w:vAlign w:val="center"/>
          </w:tcPr>
          <w:p w14:paraId="55A49A1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c>
          <w:tcPr>
            <w:tcW w:w="815" w:type="dxa"/>
            <w:vAlign w:val="center"/>
          </w:tcPr>
          <w:p w14:paraId="147A82B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r>
      <w:tr w14:paraId="2CD3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31DDD4A9">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color w:val="auto"/>
                <w:kern w:val="2"/>
                <w:sz w:val="20"/>
                <w:szCs w:val="20"/>
                <w:highlight w:val="none"/>
                <w:lang w:val="en-US" w:eastAsia="zh-CN" w:bidi="ar-SA"/>
              </w:rPr>
            </w:pPr>
            <w:r>
              <w:rPr>
                <w:rFonts w:hint="eastAsia" w:ascii="宋体" w:hAnsi="宋体" w:eastAsia="宋体" w:cs="宋体"/>
                <w:strike w:val="0"/>
                <w:color w:val="auto"/>
                <w:sz w:val="20"/>
                <w:szCs w:val="20"/>
                <w:highlight w:val="none"/>
                <w:lang w:val="en-US" w:eastAsia="zh-CN"/>
              </w:rPr>
              <w:t>7</w:t>
            </w:r>
          </w:p>
        </w:tc>
        <w:tc>
          <w:tcPr>
            <w:tcW w:w="3102" w:type="dxa"/>
            <w:vAlign w:val="center"/>
          </w:tcPr>
          <w:p w14:paraId="33F74A4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r>
              <w:rPr>
                <w:rFonts w:hint="eastAsia" w:ascii="宋体" w:hAnsi="宋体" w:eastAsia="宋体" w:cs="宋体"/>
                <w:strike w:val="0"/>
                <w:color w:val="auto"/>
                <w:sz w:val="20"/>
                <w:szCs w:val="20"/>
                <w:highlight w:val="none"/>
                <w:lang w:val="en-US" w:eastAsia="zh-CN"/>
              </w:rPr>
              <w:t>配合采购方做好职工活动大型活动开展相关工作（前期准备、活动期间、收尾）。</w:t>
            </w:r>
          </w:p>
        </w:tc>
        <w:tc>
          <w:tcPr>
            <w:tcW w:w="870" w:type="dxa"/>
            <w:vAlign w:val="center"/>
          </w:tcPr>
          <w:p w14:paraId="17B5BBB6">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color w:val="auto"/>
                <w:kern w:val="2"/>
                <w:sz w:val="20"/>
                <w:szCs w:val="20"/>
                <w:highlight w:val="none"/>
                <w:lang w:val="en-US" w:eastAsia="zh-CN" w:bidi="ar-SA"/>
              </w:rPr>
            </w:pPr>
            <w:r>
              <w:rPr>
                <w:rFonts w:hint="eastAsia" w:ascii="宋体" w:hAnsi="宋体" w:eastAsia="宋体" w:cs="宋体"/>
                <w:strike w:val="0"/>
                <w:color w:val="auto"/>
                <w:sz w:val="20"/>
                <w:szCs w:val="20"/>
                <w:highlight w:val="none"/>
                <w:lang w:val="en-US" w:eastAsia="zh-CN"/>
              </w:rPr>
              <w:t>5</w:t>
            </w:r>
          </w:p>
        </w:tc>
        <w:tc>
          <w:tcPr>
            <w:tcW w:w="2310" w:type="dxa"/>
            <w:vAlign w:val="center"/>
          </w:tcPr>
          <w:p w14:paraId="2C05159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r>
              <w:rPr>
                <w:rFonts w:hint="eastAsia" w:ascii="宋体" w:hAnsi="宋体" w:eastAsia="宋体" w:cs="宋体"/>
                <w:strike w:val="0"/>
                <w:color w:val="auto"/>
                <w:sz w:val="20"/>
                <w:szCs w:val="20"/>
                <w:highlight w:val="none"/>
                <w:lang w:val="en-US" w:eastAsia="zh-CN"/>
              </w:rPr>
              <w:t>配合做好每次活动前期准备、活动期间、收尾工作。</w:t>
            </w:r>
          </w:p>
        </w:tc>
        <w:tc>
          <w:tcPr>
            <w:tcW w:w="1225" w:type="dxa"/>
            <w:vAlign w:val="center"/>
          </w:tcPr>
          <w:p w14:paraId="2EB3ECE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color w:val="auto"/>
                <w:kern w:val="2"/>
                <w:sz w:val="20"/>
                <w:szCs w:val="20"/>
                <w:highlight w:val="none"/>
                <w:lang w:val="en-US" w:eastAsia="zh-CN" w:bidi="ar-SA"/>
              </w:rPr>
            </w:pPr>
            <w:r>
              <w:rPr>
                <w:rFonts w:hint="eastAsia" w:ascii="宋体" w:hAnsi="宋体" w:eastAsia="宋体" w:cs="宋体"/>
                <w:strike w:val="0"/>
                <w:color w:val="auto"/>
                <w:sz w:val="20"/>
                <w:szCs w:val="20"/>
                <w:highlight w:val="none"/>
                <w:lang w:val="en-US" w:eastAsia="zh-CN"/>
              </w:rPr>
              <w:t>-1分/次</w:t>
            </w:r>
          </w:p>
        </w:tc>
        <w:tc>
          <w:tcPr>
            <w:tcW w:w="885" w:type="dxa"/>
            <w:vAlign w:val="center"/>
          </w:tcPr>
          <w:p w14:paraId="25B2360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c>
          <w:tcPr>
            <w:tcW w:w="815" w:type="dxa"/>
            <w:vAlign w:val="center"/>
          </w:tcPr>
          <w:p w14:paraId="637E004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r>
      <w:tr w14:paraId="25759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45CB84D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8</w:t>
            </w:r>
          </w:p>
        </w:tc>
        <w:tc>
          <w:tcPr>
            <w:tcW w:w="3102" w:type="dxa"/>
            <w:vAlign w:val="center"/>
          </w:tcPr>
          <w:p w14:paraId="06CD88C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严格审查外来人员进入职工活动中心打球，外来人员必须凭相关部门审批申请单进入。</w:t>
            </w:r>
          </w:p>
        </w:tc>
        <w:tc>
          <w:tcPr>
            <w:tcW w:w="870" w:type="dxa"/>
            <w:vAlign w:val="center"/>
          </w:tcPr>
          <w:p w14:paraId="179F231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5</w:t>
            </w:r>
          </w:p>
        </w:tc>
        <w:tc>
          <w:tcPr>
            <w:tcW w:w="2310" w:type="dxa"/>
            <w:vAlign w:val="center"/>
          </w:tcPr>
          <w:p w14:paraId="0A63B0D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发现不办理手续给外来人员进球馆打球。</w:t>
            </w:r>
          </w:p>
        </w:tc>
        <w:tc>
          <w:tcPr>
            <w:tcW w:w="1225" w:type="dxa"/>
            <w:vAlign w:val="center"/>
          </w:tcPr>
          <w:p w14:paraId="60E28E9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strike w:val="0"/>
                <w:dstrike w:val="0"/>
                <w:color w:val="auto"/>
                <w:kern w:val="2"/>
                <w:sz w:val="20"/>
                <w:szCs w:val="20"/>
                <w:highlight w:val="none"/>
                <w:lang w:val="en-US" w:eastAsia="zh-CN" w:bidi="ar-SA"/>
              </w:rPr>
            </w:pPr>
            <w:r>
              <w:rPr>
                <w:rFonts w:hint="eastAsia" w:ascii="宋体" w:hAnsi="宋体" w:eastAsia="宋体" w:cs="宋体"/>
                <w:strike w:val="0"/>
                <w:dstrike w:val="0"/>
                <w:color w:val="auto"/>
                <w:sz w:val="20"/>
                <w:szCs w:val="20"/>
                <w:highlight w:val="none"/>
                <w:lang w:val="en-US" w:eastAsia="zh-CN"/>
              </w:rPr>
              <w:t>-3分/次</w:t>
            </w:r>
          </w:p>
        </w:tc>
        <w:tc>
          <w:tcPr>
            <w:tcW w:w="885" w:type="dxa"/>
            <w:vAlign w:val="center"/>
          </w:tcPr>
          <w:p w14:paraId="59545A8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c>
          <w:tcPr>
            <w:tcW w:w="815" w:type="dxa"/>
            <w:vAlign w:val="center"/>
          </w:tcPr>
          <w:p w14:paraId="6AF3C95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trike w:val="0"/>
                <w:color w:val="auto"/>
                <w:kern w:val="2"/>
                <w:sz w:val="20"/>
                <w:szCs w:val="20"/>
                <w:highlight w:val="none"/>
                <w:lang w:val="en-US" w:eastAsia="zh-CN" w:bidi="ar-SA"/>
              </w:rPr>
            </w:pPr>
          </w:p>
        </w:tc>
      </w:tr>
      <w:tr w14:paraId="304C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57A243D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9</w:t>
            </w:r>
          </w:p>
        </w:tc>
        <w:tc>
          <w:tcPr>
            <w:tcW w:w="3102" w:type="dxa"/>
            <w:vAlign w:val="center"/>
          </w:tcPr>
          <w:p w14:paraId="28B4CBC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负责球馆内体育设施、器材、物品的检查和维护，保证设施正常使用、摆放有序。</w:t>
            </w:r>
          </w:p>
        </w:tc>
        <w:tc>
          <w:tcPr>
            <w:tcW w:w="870" w:type="dxa"/>
            <w:vAlign w:val="center"/>
          </w:tcPr>
          <w:p w14:paraId="18DBD56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2310" w:type="dxa"/>
            <w:vAlign w:val="center"/>
          </w:tcPr>
          <w:p w14:paraId="407704A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设施设备损坏不及时上报或摆放整齐。</w:t>
            </w:r>
          </w:p>
        </w:tc>
        <w:tc>
          <w:tcPr>
            <w:tcW w:w="1225" w:type="dxa"/>
            <w:vAlign w:val="center"/>
          </w:tcPr>
          <w:p w14:paraId="1671686C">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-1分/次</w:t>
            </w:r>
          </w:p>
        </w:tc>
        <w:tc>
          <w:tcPr>
            <w:tcW w:w="885" w:type="dxa"/>
            <w:vAlign w:val="center"/>
          </w:tcPr>
          <w:p w14:paraId="46534DD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c>
          <w:tcPr>
            <w:tcW w:w="815" w:type="dxa"/>
            <w:vAlign w:val="center"/>
          </w:tcPr>
          <w:p w14:paraId="679A489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r>
      <w:tr w14:paraId="1DE6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1E9D583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3102" w:type="dxa"/>
            <w:vAlign w:val="center"/>
          </w:tcPr>
          <w:p w14:paraId="5533351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护好场馆的卫生(保持地面、墙面桌面的清洁)，提醒球友活动过程中不要在地面洒水、乱丢杂物等，并在活动完毕后及时打扫好卫生。</w:t>
            </w:r>
          </w:p>
        </w:tc>
        <w:tc>
          <w:tcPr>
            <w:tcW w:w="870" w:type="dxa"/>
            <w:vAlign w:val="center"/>
          </w:tcPr>
          <w:p w14:paraId="69B9B2A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2310" w:type="dxa"/>
            <w:vAlign w:val="center"/>
          </w:tcPr>
          <w:p w14:paraId="727D6F6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发现球馆地面脏乱现象。</w:t>
            </w:r>
          </w:p>
        </w:tc>
        <w:tc>
          <w:tcPr>
            <w:tcW w:w="1225" w:type="dxa"/>
            <w:vAlign w:val="center"/>
          </w:tcPr>
          <w:p w14:paraId="5FF342AC">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-1分/次</w:t>
            </w:r>
          </w:p>
        </w:tc>
        <w:tc>
          <w:tcPr>
            <w:tcW w:w="885" w:type="dxa"/>
            <w:vAlign w:val="center"/>
          </w:tcPr>
          <w:p w14:paraId="336D2FB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c>
          <w:tcPr>
            <w:tcW w:w="815" w:type="dxa"/>
            <w:vAlign w:val="center"/>
          </w:tcPr>
          <w:p w14:paraId="1445D27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r>
      <w:tr w14:paraId="182B4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14:paraId="5D38F3C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11</w:t>
            </w:r>
          </w:p>
        </w:tc>
        <w:tc>
          <w:tcPr>
            <w:tcW w:w="3102" w:type="dxa"/>
            <w:vAlign w:val="center"/>
          </w:tcPr>
          <w:p w14:paraId="65E7799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离馆前关闭电源与门窗，检查更衣室及卫生间内是否留有人，保证四个门及所有窗口锁好，确保球馆的安全。</w:t>
            </w:r>
          </w:p>
        </w:tc>
        <w:tc>
          <w:tcPr>
            <w:tcW w:w="870" w:type="dxa"/>
            <w:vAlign w:val="center"/>
          </w:tcPr>
          <w:p w14:paraId="1280DC5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w:t>
            </w:r>
          </w:p>
        </w:tc>
        <w:tc>
          <w:tcPr>
            <w:tcW w:w="2310" w:type="dxa"/>
            <w:vAlign w:val="center"/>
          </w:tcPr>
          <w:p w14:paraId="070DC66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发现闭馆后未关电源或门窗未按要求关闭现象。</w:t>
            </w:r>
          </w:p>
        </w:tc>
        <w:tc>
          <w:tcPr>
            <w:tcW w:w="1225" w:type="dxa"/>
            <w:vAlign w:val="center"/>
          </w:tcPr>
          <w:p w14:paraId="2A2DD2E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-1分/次</w:t>
            </w:r>
          </w:p>
        </w:tc>
        <w:tc>
          <w:tcPr>
            <w:tcW w:w="885" w:type="dxa"/>
            <w:vAlign w:val="center"/>
          </w:tcPr>
          <w:p w14:paraId="717704F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c>
          <w:tcPr>
            <w:tcW w:w="815" w:type="dxa"/>
            <w:vAlign w:val="center"/>
          </w:tcPr>
          <w:p w14:paraId="43C30FC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r>
      <w:tr w14:paraId="75E02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40" w:type="dxa"/>
            <w:vMerge w:val="restart"/>
            <w:vAlign w:val="center"/>
          </w:tcPr>
          <w:p w14:paraId="16F8247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12</w:t>
            </w:r>
          </w:p>
        </w:tc>
        <w:tc>
          <w:tcPr>
            <w:tcW w:w="3102" w:type="dxa"/>
            <w:vMerge w:val="restart"/>
            <w:vAlign w:val="center"/>
          </w:tcPr>
          <w:p w14:paraId="77CD9F4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供应商</w:t>
            </w:r>
            <w:r>
              <w:rPr>
                <w:rFonts w:hint="eastAsia" w:ascii="宋体" w:hAnsi="宋体" w:eastAsia="宋体" w:cs="宋体"/>
                <w:color w:val="auto"/>
                <w:sz w:val="20"/>
                <w:szCs w:val="20"/>
                <w:highlight w:val="none"/>
              </w:rPr>
              <w:t>应对</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布置的工作要求、任务予以积极响应。做到对</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布置的工作要求、任务有落实，有反馈。</w:t>
            </w:r>
          </w:p>
        </w:tc>
        <w:tc>
          <w:tcPr>
            <w:tcW w:w="870" w:type="dxa"/>
            <w:vMerge w:val="restart"/>
            <w:vAlign w:val="center"/>
          </w:tcPr>
          <w:p w14:paraId="3FED7D9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w:t>
            </w:r>
          </w:p>
        </w:tc>
        <w:tc>
          <w:tcPr>
            <w:tcW w:w="2310" w:type="dxa"/>
            <w:shd w:val="clear" w:color="auto" w:fill="auto"/>
            <w:vAlign w:val="center"/>
          </w:tcPr>
          <w:p w14:paraId="01DDB19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不按时完成布置的工作</w:t>
            </w:r>
            <w:r>
              <w:rPr>
                <w:rFonts w:hint="eastAsia" w:ascii="宋体" w:hAnsi="宋体" w:eastAsia="宋体" w:cs="宋体"/>
                <w:color w:val="auto"/>
                <w:sz w:val="20"/>
                <w:szCs w:val="20"/>
                <w:highlight w:val="none"/>
                <w:lang w:eastAsia="zh-CN"/>
              </w:rPr>
              <w:t>。</w:t>
            </w:r>
          </w:p>
        </w:tc>
        <w:tc>
          <w:tcPr>
            <w:tcW w:w="1225" w:type="dxa"/>
            <w:shd w:val="clear" w:color="auto" w:fill="auto"/>
            <w:vAlign w:val="center"/>
          </w:tcPr>
          <w:p w14:paraId="559AA0B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分/次</w:t>
            </w:r>
          </w:p>
        </w:tc>
        <w:tc>
          <w:tcPr>
            <w:tcW w:w="885" w:type="dxa"/>
            <w:vAlign w:val="center"/>
          </w:tcPr>
          <w:p w14:paraId="60A8CC3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c>
          <w:tcPr>
            <w:tcW w:w="815" w:type="dxa"/>
            <w:vAlign w:val="center"/>
          </w:tcPr>
          <w:p w14:paraId="7E34E76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r>
      <w:tr w14:paraId="6FA5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vMerge w:val="continue"/>
            <w:vAlign w:val="center"/>
          </w:tcPr>
          <w:p w14:paraId="5CB1D96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0"/>
                <w:szCs w:val="20"/>
                <w:highlight w:val="none"/>
                <w:lang w:val="en-US" w:eastAsia="zh-CN"/>
              </w:rPr>
            </w:pPr>
          </w:p>
        </w:tc>
        <w:tc>
          <w:tcPr>
            <w:tcW w:w="3102" w:type="dxa"/>
            <w:vMerge w:val="continue"/>
            <w:vAlign w:val="center"/>
          </w:tcPr>
          <w:p w14:paraId="3FFA2FD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0"/>
                <w:szCs w:val="20"/>
                <w:highlight w:val="none"/>
              </w:rPr>
            </w:pPr>
          </w:p>
        </w:tc>
        <w:tc>
          <w:tcPr>
            <w:tcW w:w="870" w:type="dxa"/>
            <w:vMerge w:val="continue"/>
            <w:vAlign w:val="center"/>
          </w:tcPr>
          <w:p w14:paraId="1D16B26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0"/>
                <w:szCs w:val="20"/>
                <w:highlight w:val="none"/>
                <w:lang w:val="en-US" w:eastAsia="zh-CN"/>
              </w:rPr>
            </w:pPr>
          </w:p>
        </w:tc>
        <w:tc>
          <w:tcPr>
            <w:tcW w:w="2310" w:type="dxa"/>
            <w:shd w:val="clear" w:color="auto" w:fill="auto"/>
            <w:vAlign w:val="center"/>
          </w:tcPr>
          <w:p w14:paraId="1C11DC6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eastAsia="宋体" w:cs="宋体"/>
                <w:color w:val="auto"/>
                <w:sz w:val="20"/>
                <w:szCs w:val="20"/>
                <w:highlight w:val="none"/>
                <w:lang w:eastAsia="zh-CN"/>
              </w:rPr>
              <w:t>。</w:t>
            </w:r>
          </w:p>
        </w:tc>
        <w:tc>
          <w:tcPr>
            <w:tcW w:w="1225" w:type="dxa"/>
            <w:shd w:val="clear" w:color="auto" w:fill="auto"/>
            <w:vAlign w:val="center"/>
          </w:tcPr>
          <w:p w14:paraId="7768223B">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份</w:t>
            </w:r>
          </w:p>
        </w:tc>
        <w:tc>
          <w:tcPr>
            <w:tcW w:w="885" w:type="dxa"/>
            <w:vAlign w:val="center"/>
          </w:tcPr>
          <w:p w14:paraId="720E9F6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c>
          <w:tcPr>
            <w:tcW w:w="815" w:type="dxa"/>
            <w:vAlign w:val="center"/>
          </w:tcPr>
          <w:p w14:paraId="5A37639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r>
      <w:tr w14:paraId="5959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Merge w:val="continue"/>
            <w:vAlign w:val="center"/>
          </w:tcPr>
          <w:p w14:paraId="2788680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p>
        </w:tc>
        <w:tc>
          <w:tcPr>
            <w:tcW w:w="3102" w:type="dxa"/>
            <w:vMerge w:val="continue"/>
            <w:vAlign w:val="center"/>
          </w:tcPr>
          <w:p w14:paraId="677C77C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c>
          <w:tcPr>
            <w:tcW w:w="870" w:type="dxa"/>
            <w:vMerge w:val="continue"/>
            <w:vAlign w:val="center"/>
          </w:tcPr>
          <w:p w14:paraId="57DBFFB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p>
        </w:tc>
        <w:tc>
          <w:tcPr>
            <w:tcW w:w="2310" w:type="dxa"/>
            <w:shd w:val="clear" w:color="auto" w:fill="auto"/>
            <w:vAlign w:val="center"/>
          </w:tcPr>
          <w:p w14:paraId="677677B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因工作执行不到位，对采购方照成重大不良影响，每出现一项。</w:t>
            </w:r>
          </w:p>
        </w:tc>
        <w:tc>
          <w:tcPr>
            <w:tcW w:w="1225" w:type="dxa"/>
            <w:shd w:val="clear" w:color="auto" w:fill="auto"/>
            <w:vAlign w:val="center"/>
          </w:tcPr>
          <w:p w14:paraId="0BCCC78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-1至-5分/项</w:t>
            </w:r>
          </w:p>
        </w:tc>
        <w:tc>
          <w:tcPr>
            <w:tcW w:w="885" w:type="dxa"/>
            <w:vAlign w:val="center"/>
          </w:tcPr>
          <w:p w14:paraId="4E09399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c>
          <w:tcPr>
            <w:tcW w:w="815" w:type="dxa"/>
            <w:vAlign w:val="center"/>
          </w:tcPr>
          <w:p w14:paraId="77CE68A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0"/>
                <w:szCs w:val="20"/>
                <w:highlight w:val="none"/>
                <w:lang w:val="en-US" w:eastAsia="zh-CN" w:bidi="ar-SA"/>
              </w:rPr>
            </w:pPr>
          </w:p>
        </w:tc>
      </w:tr>
      <w:tr w14:paraId="7AF68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747" w:type="dxa"/>
            <w:gridSpan w:val="7"/>
            <w:vAlign w:val="center"/>
          </w:tcPr>
          <w:p w14:paraId="07E06489">
            <w:pPr>
              <w:pStyle w:val="18"/>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考核得分：</w:t>
            </w:r>
          </w:p>
        </w:tc>
      </w:tr>
      <w:tr w14:paraId="0F7B0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47" w:type="dxa"/>
            <w:gridSpan w:val="7"/>
            <w:vAlign w:val="center"/>
          </w:tcPr>
          <w:p w14:paraId="11D0D084">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14BD29DA">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5C591F36">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7AF5DB18">
      <w:pPr>
        <w:keepNext/>
        <w:keepLines w:val="0"/>
        <w:pageBreakBefore w:val="0"/>
        <w:widowControl w:val="0"/>
        <w:kinsoku/>
        <w:wordWrap/>
        <w:overflowPunct/>
        <w:topLinePunct w:val="0"/>
        <w:autoSpaceDE/>
        <w:autoSpaceDN/>
        <w:bidi w:val="0"/>
        <w:adjustRightInd/>
        <w:snapToGrid/>
        <w:spacing w:line="560" w:lineRule="exact"/>
        <w:contextualSpacing/>
        <w:jc w:val="both"/>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4.9消防管理服务项目考核表（100分）</w:t>
      </w:r>
    </w:p>
    <w:tbl>
      <w:tblPr>
        <w:tblStyle w:val="15"/>
        <w:tblW w:w="9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3025"/>
        <w:gridCol w:w="750"/>
        <w:gridCol w:w="2303"/>
        <w:gridCol w:w="1170"/>
        <w:gridCol w:w="889"/>
        <w:gridCol w:w="930"/>
      </w:tblGrid>
      <w:tr w14:paraId="718A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14:paraId="5F681EB6">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3025" w:type="dxa"/>
            <w:tcBorders>
              <w:top w:val="single" w:color="auto" w:sz="4" w:space="0"/>
              <w:left w:val="nil"/>
              <w:bottom w:val="single" w:color="auto" w:sz="4" w:space="0"/>
              <w:right w:val="single" w:color="auto" w:sz="4" w:space="0"/>
            </w:tcBorders>
            <w:noWrap w:val="0"/>
            <w:vAlign w:val="center"/>
          </w:tcPr>
          <w:p w14:paraId="4F9626B9">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750" w:type="dxa"/>
            <w:tcBorders>
              <w:top w:val="single" w:color="auto" w:sz="4" w:space="0"/>
              <w:left w:val="nil"/>
              <w:bottom w:val="single" w:color="auto" w:sz="4" w:space="0"/>
              <w:right w:val="single" w:color="auto" w:sz="4" w:space="0"/>
            </w:tcBorders>
            <w:noWrap w:val="0"/>
            <w:vAlign w:val="center"/>
          </w:tcPr>
          <w:p w14:paraId="5EA74406">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303" w:type="dxa"/>
            <w:tcBorders>
              <w:top w:val="single" w:color="auto" w:sz="4" w:space="0"/>
              <w:left w:val="nil"/>
              <w:bottom w:val="single" w:color="auto" w:sz="4" w:space="0"/>
              <w:right w:val="single" w:color="auto" w:sz="4" w:space="0"/>
            </w:tcBorders>
            <w:noWrap w:val="0"/>
            <w:vAlign w:val="center"/>
          </w:tcPr>
          <w:p w14:paraId="0AC53F2D">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170" w:type="dxa"/>
            <w:tcBorders>
              <w:top w:val="single" w:color="auto" w:sz="4" w:space="0"/>
              <w:left w:val="nil"/>
              <w:bottom w:val="single" w:color="auto" w:sz="4" w:space="0"/>
              <w:right w:val="single" w:color="auto" w:sz="4" w:space="0"/>
            </w:tcBorders>
            <w:noWrap w:val="0"/>
            <w:vAlign w:val="center"/>
          </w:tcPr>
          <w:p w14:paraId="5B94056F">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16FE1DE3">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889" w:type="dxa"/>
            <w:tcBorders>
              <w:top w:val="single" w:color="auto" w:sz="4" w:space="0"/>
              <w:left w:val="nil"/>
              <w:bottom w:val="single" w:color="auto" w:sz="4" w:space="0"/>
              <w:right w:val="single" w:color="auto" w:sz="4" w:space="0"/>
            </w:tcBorders>
            <w:noWrap w:val="0"/>
            <w:vAlign w:val="center"/>
          </w:tcPr>
          <w:p w14:paraId="4F97C249">
            <w:pPr>
              <w:keepNext w:val="0"/>
              <w:keepLines w:val="0"/>
              <w:pageBreakBefore w:val="0"/>
              <w:widowControl w:val="0"/>
              <w:kinsoku/>
              <w:wordWrap/>
              <w:overflowPunct/>
              <w:topLinePunct w:val="0"/>
              <w:autoSpaceDE/>
              <w:autoSpaceDN/>
              <w:bidi w:val="0"/>
              <w:adjustRightInd/>
              <w:snapToGrid/>
              <w:spacing w:line="420" w:lineRule="exact"/>
              <w:ind w:firstLine="201" w:firstLineChars="100"/>
              <w:jc w:val="both"/>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实际</w:t>
            </w:r>
          </w:p>
          <w:p w14:paraId="3A4DB475">
            <w:pPr>
              <w:keepNext w:val="0"/>
              <w:keepLines w:val="0"/>
              <w:pageBreakBefore w:val="0"/>
              <w:widowControl w:val="0"/>
              <w:kinsoku/>
              <w:wordWrap/>
              <w:overflowPunct/>
              <w:topLinePunct w:val="0"/>
              <w:autoSpaceDE/>
              <w:autoSpaceDN/>
              <w:bidi w:val="0"/>
              <w:adjustRightInd/>
              <w:snapToGrid/>
              <w:spacing w:line="420" w:lineRule="exact"/>
              <w:ind w:firstLine="201" w:firstLineChars="100"/>
              <w:jc w:val="both"/>
              <w:textAlignment w:val="auto"/>
              <w:rPr>
                <w:rFonts w:hint="default"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扣分</w:t>
            </w:r>
          </w:p>
        </w:tc>
        <w:tc>
          <w:tcPr>
            <w:tcW w:w="930" w:type="dxa"/>
            <w:tcBorders>
              <w:top w:val="single" w:color="auto" w:sz="4" w:space="0"/>
              <w:left w:val="nil"/>
              <w:bottom w:val="single" w:color="auto" w:sz="4" w:space="0"/>
              <w:right w:val="single" w:color="auto" w:sz="4" w:space="0"/>
            </w:tcBorders>
            <w:noWrap w:val="0"/>
            <w:vAlign w:val="center"/>
          </w:tcPr>
          <w:p w14:paraId="6AA60F64">
            <w:pPr>
              <w:keepNext w:val="0"/>
              <w:keepLines w:val="0"/>
              <w:pageBreakBefore w:val="0"/>
              <w:widowControl w:val="0"/>
              <w:kinsoku/>
              <w:wordWrap/>
              <w:overflowPunct/>
              <w:topLinePunct w:val="0"/>
              <w:autoSpaceDE/>
              <w:autoSpaceDN/>
              <w:bidi w:val="0"/>
              <w:adjustRightInd/>
              <w:snapToGrid/>
              <w:spacing w:line="420" w:lineRule="exact"/>
              <w:ind w:firstLine="201" w:firstLineChars="100"/>
              <w:jc w:val="both"/>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15316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1" w:hRule="atLeast"/>
          <w:jc w:val="center"/>
        </w:trPr>
        <w:tc>
          <w:tcPr>
            <w:tcW w:w="540" w:type="dxa"/>
            <w:vMerge w:val="restart"/>
            <w:tcBorders>
              <w:top w:val="single" w:color="auto" w:sz="4" w:space="0"/>
              <w:left w:val="single" w:color="auto" w:sz="4" w:space="0"/>
              <w:right w:val="single" w:color="auto" w:sz="4" w:space="0"/>
            </w:tcBorders>
            <w:noWrap w:val="0"/>
            <w:vAlign w:val="center"/>
          </w:tcPr>
          <w:p w14:paraId="2BD8768D">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3025" w:type="dxa"/>
            <w:vMerge w:val="restart"/>
            <w:tcBorders>
              <w:top w:val="single" w:color="auto" w:sz="4" w:space="0"/>
              <w:left w:val="nil"/>
              <w:right w:val="single" w:color="auto" w:sz="4" w:space="0"/>
            </w:tcBorders>
            <w:noWrap w:val="0"/>
            <w:vAlign w:val="center"/>
          </w:tcPr>
          <w:p w14:paraId="74E587B8">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vertAlign w:val="baseline"/>
                <w:lang w:val="en-US" w:eastAsia="zh-CN"/>
              </w:rPr>
              <w:t>保证消防控制室24小时有人在岗值班，并按要求做好值班记录。</w:t>
            </w:r>
          </w:p>
        </w:tc>
        <w:tc>
          <w:tcPr>
            <w:tcW w:w="750" w:type="dxa"/>
            <w:vMerge w:val="restart"/>
            <w:tcBorders>
              <w:top w:val="single" w:color="auto" w:sz="4" w:space="0"/>
              <w:left w:val="nil"/>
              <w:right w:val="single" w:color="auto" w:sz="4" w:space="0"/>
            </w:tcBorders>
            <w:noWrap w:val="0"/>
            <w:vAlign w:val="center"/>
          </w:tcPr>
          <w:p w14:paraId="00E7D74E">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2</w:t>
            </w:r>
            <w:r>
              <w:rPr>
                <w:rFonts w:hint="eastAsia" w:ascii="宋体" w:hAnsi="宋体" w:eastAsia="宋体" w:cs="宋体"/>
                <w:color w:val="auto"/>
                <w:sz w:val="20"/>
                <w:szCs w:val="20"/>
                <w:highlight w:val="none"/>
                <w:lang w:val="en-US" w:eastAsia="zh-CN"/>
              </w:rPr>
              <w:t>0</w:t>
            </w:r>
          </w:p>
        </w:tc>
        <w:tc>
          <w:tcPr>
            <w:tcW w:w="2303" w:type="dxa"/>
            <w:tcBorders>
              <w:top w:val="single" w:color="auto" w:sz="4" w:space="0"/>
              <w:left w:val="nil"/>
              <w:bottom w:val="single" w:color="auto" w:sz="4" w:space="0"/>
              <w:right w:val="single" w:color="auto" w:sz="4" w:space="0"/>
            </w:tcBorders>
            <w:noWrap w:val="0"/>
            <w:vAlign w:val="center"/>
          </w:tcPr>
          <w:p w14:paraId="2059CBB7">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color w:val="auto"/>
                <w:sz w:val="20"/>
                <w:szCs w:val="20"/>
                <w:highlight w:val="none"/>
                <w:u w:val="single"/>
              </w:rPr>
            </w:pPr>
            <w:r>
              <w:rPr>
                <w:rFonts w:hint="eastAsia" w:ascii="宋体" w:hAnsi="宋体" w:eastAsia="宋体" w:cs="宋体"/>
                <w:b w:val="0"/>
                <w:bCs/>
                <w:color w:val="auto"/>
                <w:sz w:val="20"/>
                <w:szCs w:val="20"/>
                <w:highlight w:val="none"/>
                <w:lang w:val="en-US" w:eastAsia="zh-CN"/>
              </w:rPr>
              <w:t>未按要求24小时值班的。</w:t>
            </w:r>
          </w:p>
        </w:tc>
        <w:tc>
          <w:tcPr>
            <w:tcW w:w="1170" w:type="dxa"/>
            <w:tcBorders>
              <w:top w:val="single" w:color="auto" w:sz="4" w:space="0"/>
              <w:left w:val="nil"/>
              <w:bottom w:val="single" w:color="auto" w:sz="4" w:space="0"/>
              <w:right w:val="single" w:color="auto" w:sz="4" w:space="0"/>
            </w:tcBorders>
            <w:noWrap w:val="0"/>
            <w:vAlign w:val="center"/>
          </w:tcPr>
          <w:p w14:paraId="4CBFC9D6">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73B0740F">
            <w:pPr>
              <w:jc w:val="cente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68E7C774">
            <w:pPr>
              <w:jc w:val="center"/>
              <w:rPr>
                <w:rFonts w:hint="eastAsia" w:ascii="宋体" w:hAnsi="宋体" w:eastAsia="宋体" w:cs="宋体"/>
                <w:color w:val="auto"/>
                <w:sz w:val="20"/>
                <w:szCs w:val="20"/>
                <w:highlight w:val="none"/>
              </w:rPr>
            </w:pPr>
          </w:p>
        </w:tc>
      </w:tr>
      <w:tr w14:paraId="6D3B7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6" w:hRule="atLeast"/>
          <w:jc w:val="center"/>
        </w:trPr>
        <w:tc>
          <w:tcPr>
            <w:tcW w:w="540" w:type="dxa"/>
            <w:vMerge w:val="continue"/>
            <w:tcBorders>
              <w:left w:val="single" w:color="auto" w:sz="4" w:space="0"/>
              <w:right w:val="single" w:color="auto" w:sz="4" w:space="0"/>
            </w:tcBorders>
            <w:noWrap w:val="0"/>
            <w:vAlign w:val="center"/>
          </w:tcPr>
          <w:p w14:paraId="29AE91FC">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3025" w:type="dxa"/>
            <w:vMerge w:val="continue"/>
            <w:tcBorders>
              <w:left w:val="nil"/>
              <w:right w:val="single" w:color="auto" w:sz="4" w:space="0"/>
            </w:tcBorders>
            <w:noWrap w:val="0"/>
            <w:vAlign w:val="center"/>
          </w:tcPr>
          <w:p w14:paraId="5D5FFA95">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p>
        </w:tc>
        <w:tc>
          <w:tcPr>
            <w:tcW w:w="750" w:type="dxa"/>
            <w:vMerge w:val="continue"/>
            <w:tcBorders>
              <w:left w:val="nil"/>
              <w:right w:val="single" w:color="auto" w:sz="4" w:space="0"/>
            </w:tcBorders>
            <w:noWrap w:val="0"/>
            <w:vAlign w:val="center"/>
          </w:tcPr>
          <w:p w14:paraId="2F90AA25">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2303" w:type="dxa"/>
            <w:tcBorders>
              <w:top w:val="single" w:color="auto" w:sz="4" w:space="0"/>
              <w:left w:val="nil"/>
              <w:bottom w:val="single" w:color="auto" w:sz="4" w:space="0"/>
              <w:right w:val="single" w:color="auto" w:sz="4" w:space="0"/>
            </w:tcBorders>
            <w:noWrap w:val="0"/>
            <w:vAlign w:val="center"/>
          </w:tcPr>
          <w:p w14:paraId="4255F1F9">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b w:val="0"/>
                <w:bCs/>
                <w:color w:val="auto"/>
                <w:sz w:val="20"/>
                <w:szCs w:val="20"/>
                <w:highlight w:val="none"/>
                <w:lang w:val="en-US" w:eastAsia="zh-CN"/>
              </w:rPr>
              <w:t>未按要求做好值班记录</w:t>
            </w:r>
            <w:r>
              <w:rPr>
                <w:rFonts w:hint="eastAsia" w:ascii="宋体" w:hAnsi="宋体" w:eastAsia="宋体" w:cs="宋体"/>
                <w:color w:val="auto"/>
                <w:sz w:val="20"/>
                <w:szCs w:val="20"/>
                <w:highlight w:val="none"/>
              </w:rPr>
              <w:t>或记录内容不齐全的</w:t>
            </w:r>
            <w:r>
              <w:rPr>
                <w:rFonts w:hint="eastAsia" w:ascii="宋体" w:hAnsi="宋体" w:eastAsia="宋体" w:cs="宋体"/>
                <w:color w:val="auto"/>
                <w:sz w:val="20"/>
                <w:szCs w:val="20"/>
                <w:highlight w:val="none"/>
                <w:lang w:eastAsia="zh-CN"/>
              </w:rPr>
              <w:t>。</w:t>
            </w:r>
          </w:p>
        </w:tc>
        <w:tc>
          <w:tcPr>
            <w:tcW w:w="1170" w:type="dxa"/>
            <w:tcBorders>
              <w:top w:val="single" w:color="auto" w:sz="4" w:space="0"/>
              <w:left w:val="nil"/>
              <w:bottom w:val="single" w:color="auto" w:sz="4" w:space="0"/>
              <w:right w:val="single" w:color="auto" w:sz="4" w:space="0"/>
            </w:tcBorders>
            <w:noWrap w:val="0"/>
            <w:vAlign w:val="center"/>
          </w:tcPr>
          <w:p w14:paraId="5DD11B2D">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2BE0A521">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48AE2C49">
            <w:pPr>
              <w:rPr>
                <w:rFonts w:hint="eastAsia" w:ascii="宋体" w:hAnsi="宋体" w:eastAsia="宋体" w:cs="宋体"/>
                <w:color w:val="auto"/>
                <w:sz w:val="20"/>
                <w:szCs w:val="20"/>
                <w:highlight w:val="none"/>
              </w:rPr>
            </w:pPr>
          </w:p>
        </w:tc>
      </w:tr>
      <w:tr w14:paraId="625C1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jc w:val="center"/>
        </w:trPr>
        <w:tc>
          <w:tcPr>
            <w:tcW w:w="540" w:type="dxa"/>
            <w:vMerge w:val="restart"/>
            <w:tcBorders>
              <w:left w:val="single" w:color="auto" w:sz="4" w:space="0"/>
              <w:right w:val="single" w:color="auto" w:sz="4" w:space="0"/>
            </w:tcBorders>
            <w:noWrap w:val="0"/>
            <w:vAlign w:val="center"/>
          </w:tcPr>
          <w:p w14:paraId="0C7D6AE1">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3025" w:type="dxa"/>
            <w:vMerge w:val="restart"/>
            <w:tcBorders>
              <w:left w:val="nil"/>
              <w:right w:val="single" w:color="auto" w:sz="4" w:space="0"/>
            </w:tcBorders>
            <w:noWrap w:val="0"/>
            <w:vAlign w:val="center"/>
          </w:tcPr>
          <w:p w14:paraId="017EC237">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对火灾自动报警系统运行状况进行记录，如发生异常，应立即核实情况，按程序处理，并对事件进行相关记录及报告</w:t>
            </w:r>
            <w:r>
              <w:rPr>
                <w:rFonts w:hint="eastAsia" w:ascii="宋体" w:hAnsi="宋体" w:eastAsia="宋体" w:cs="宋体"/>
                <w:color w:val="auto"/>
                <w:sz w:val="20"/>
                <w:szCs w:val="20"/>
                <w:highlight w:val="none"/>
                <w:lang w:eastAsia="zh-CN"/>
              </w:rPr>
              <w:t>。</w:t>
            </w:r>
          </w:p>
        </w:tc>
        <w:tc>
          <w:tcPr>
            <w:tcW w:w="750" w:type="dxa"/>
            <w:vMerge w:val="restart"/>
            <w:tcBorders>
              <w:left w:val="nil"/>
              <w:right w:val="single" w:color="auto" w:sz="4" w:space="0"/>
            </w:tcBorders>
            <w:noWrap w:val="0"/>
            <w:vAlign w:val="center"/>
          </w:tcPr>
          <w:p w14:paraId="43A6B541">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2303" w:type="dxa"/>
            <w:tcBorders>
              <w:top w:val="single" w:color="auto" w:sz="4" w:space="0"/>
              <w:left w:val="nil"/>
              <w:bottom w:val="single" w:color="auto" w:sz="4" w:space="0"/>
              <w:right w:val="single" w:color="auto" w:sz="4" w:space="0"/>
            </w:tcBorders>
            <w:noWrap w:val="0"/>
            <w:vAlign w:val="center"/>
          </w:tcPr>
          <w:p w14:paraId="59F8820F">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火灾自动报警系统运行状况未进行记录。</w:t>
            </w:r>
          </w:p>
        </w:tc>
        <w:tc>
          <w:tcPr>
            <w:tcW w:w="1170" w:type="dxa"/>
            <w:tcBorders>
              <w:top w:val="single" w:color="auto" w:sz="4" w:space="0"/>
              <w:left w:val="nil"/>
              <w:bottom w:val="single" w:color="auto" w:sz="4" w:space="0"/>
              <w:right w:val="single" w:color="auto" w:sz="4" w:space="0"/>
            </w:tcBorders>
            <w:noWrap w:val="0"/>
            <w:vAlign w:val="center"/>
          </w:tcPr>
          <w:p w14:paraId="745468FF">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277CA3E6">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43ACC793">
            <w:pPr>
              <w:rPr>
                <w:rFonts w:hint="eastAsia" w:ascii="宋体" w:hAnsi="宋体" w:eastAsia="宋体" w:cs="宋体"/>
                <w:color w:val="auto"/>
                <w:sz w:val="20"/>
                <w:szCs w:val="20"/>
                <w:highlight w:val="none"/>
              </w:rPr>
            </w:pPr>
          </w:p>
        </w:tc>
      </w:tr>
      <w:tr w14:paraId="0604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540" w:type="dxa"/>
            <w:vMerge w:val="continue"/>
            <w:tcBorders>
              <w:left w:val="single" w:color="auto" w:sz="4" w:space="0"/>
              <w:right w:val="single" w:color="auto" w:sz="4" w:space="0"/>
            </w:tcBorders>
            <w:noWrap w:val="0"/>
            <w:vAlign w:val="center"/>
          </w:tcPr>
          <w:p w14:paraId="0676CA8E">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3025" w:type="dxa"/>
            <w:vMerge w:val="continue"/>
            <w:tcBorders>
              <w:left w:val="nil"/>
              <w:right w:val="single" w:color="auto" w:sz="4" w:space="0"/>
            </w:tcBorders>
            <w:noWrap w:val="0"/>
            <w:vAlign w:val="center"/>
          </w:tcPr>
          <w:p w14:paraId="0B722A4A">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p>
        </w:tc>
        <w:tc>
          <w:tcPr>
            <w:tcW w:w="750" w:type="dxa"/>
            <w:vMerge w:val="continue"/>
            <w:tcBorders>
              <w:left w:val="nil"/>
              <w:right w:val="single" w:color="auto" w:sz="4" w:space="0"/>
            </w:tcBorders>
            <w:noWrap w:val="0"/>
            <w:vAlign w:val="center"/>
          </w:tcPr>
          <w:p w14:paraId="7D94A19F">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2303" w:type="dxa"/>
            <w:tcBorders>
              <w:top w:val="single" w:color="auto" w:sz="4" w:space="0"/>
              <w:left w:val="nil"/>
              <w:bottom w:val="single" w:color="auto" w:sz="4" w:space="0"/>
              <w:right w:val="single" w:color="auto" w:sz="4" w:space="0"/>
            </w:tcBorders>
            <w:noWrap w:val="0"/>
            <w:vAlign w:val="center"/>
          </w:tcPr>
          <w:p w14:paraId="0C163BF9">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未及时处置异常情况。</w:t>
            </w:r>
          </w:p>
        </w:tc>
        <w:tc>
          <w:tcPr>
            <w:tcW w:w="1170" w:type="dxa"/>
            <w:tcBorders>
              <w:top w:val="single" w:color="auto" w:sz="4" w:space="0"/>
              <w:left w:val="nil"/>
              <w:bottom w:val="single" w:color="auto" w:sz="4" w:space="0"/>
              <w:right w:val="single" w:color="auto" w:sz="4" w:space="0"/>
            </w:tcBorders>
            <w:noWrap w:val="0"/>
            <w:vAlign w:val="center"/>
          </w:tcPr>
          <w:p w14:paraId="669ADDDB">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6BA1FE42">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5BC37BB2">
            <w:pPr>
              <w:rPr>
                <w:rFonts w:hint="eastAsia" w:ascii="宋体" w:hAnsi="宋体" w:eastAsia="宋体" w:cs="宋体"/>
                <w:color w:val="auto"/>
                <w:sz w:val="20"/>
                <w:szCs w:val="20"/>
                <w:highlight w:val="none"/>
              </w:rPr>
            </w:pPr>
          </w:p>
        </w:tc>
      </w:tr>
      <w:tr w14:paraId="52ED6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540" w:type="dxa"/>
            <w:vMerge w:val="restart"/>
            <w:tcBorders>
              <w:left w:val="single" w:color="auto" w:sz="4" w:space="0"/>
              <w:right w:val="single" w:color="auto" w:sz="4" w:space="0"/>
            </w:tcBorders>
            <w:noWrap w:val="0"/>
            <w:vAlign w:val="center"/>
          </w:tcPr>
          <w:p w14:paraId="181F2E1D">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3025" w:type="dxa"/>
            <w:vMerge w:val="restart"/>
            <w:tcBorders>
              <w:left w:val="nil"/>
              <w:right w:val="single" w:color="auto" w:sz="4" w:space="0"/>
            </w:tcBorders>
            <w:noWrap w:val="0"/>
            <w:vAlign w:val="center"/>
          </w:tcPr>
          <w:p w14:paraId="3B8E4FD0">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每日对办公区域进行防火巡查1次，并做好巡查记录，发现异常情况及时做好处理，并上报至采购方。</w:t>
            </w:r>
          </w:p>
        </w:tc>
        <w:tc>
          <w:tcPr>
            <w:tcW w:w="750" w:type="dxa"/>
            <w:vMerge w:val="restart"/>
            <w:tcBorders>
              <w:left w:val="nil"/>
              <w:right w:val="single" w:color="auto" w:sz="4" w:space="0"/>
            </w:tcBorders>
            <w:noWrap w:val="0"/>
            <w:vAlign w:val="center"/>
          </w:tcPr>
          <w:p w14:paraId="79D0E843">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2303" w:type="dxa"/>
            <w:tcBorders>
              <w:top w:val="single" w:color="auto" w:sz="4" w:space="0"/>
              <w:left w:val="nil"/>
              <w:bottom w:val="single" w:color="auto" w:sz="4" w:space="0"/>
              <w:right w:val="single" w:color="auto" w:sz="4" w:space="0"/>
            </w:tcBorders>
            <w:noWrap w:val="0"/>
            <w:vAlign w:val="center"/>
          </w:tcPr>
          <w:p w14:paraId="593401F8">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eastAsia="zh-CN"/>
              </w:rPr>
              <w:t>未</w:t>
            </w:r>
            <w:r>
              <w:rPr>
                <w:rFonts w:hint="eastAsia" w:ascii="宋体" w:hAnsi="宋体" w:eastAsia="宋体" w:cs="宋体"/>
                <w:color w:val="auto"/>
                <w:sz w:val="20"/>
                <w:szCs w:val="20"/>
                <w:highlight w:val="none"/>
                <w:vertAlign w:val="baseline"/>
                <w:lang w:val="en-US" w:eastAsia="zh-CN"/>
              </w:rPr>
              <w:t>开展每日防火巡查的。</w:t>
            </w:r>
          </w:p>
        </w:tc>
        <w:tc>
          <w:tcPr>
            <w:tcW w:w="1170" w:type="dxa"/>
            <w:tcBorders>
              <w:top w:val="single" w:color="auto" w:sz="4" w:space="0"/>
              <w:left w:val="nil"/>
              <w:bottom w:val="single" w:color="auto" w:sz="4" w:space="0"/>
              <w:right w:val="single" w:color="auto" w:sz="4" w:space="0"/>
            </w:tcBorders>
            <w:noWrap w:val="0"/>
            <w:vAlign w:val="center"/>
          </w:tcPr>
          <w:p w14:paraId="444BFEB8">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5FD0B495">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39421935">
            <w:pPr>
              <w:rPr>
                <w:rFonts w:hint="eastAsia" w:ascii="宋体" w:hAnsi="宋体" w:eastAsia="宋体" w:cs="宋体"/>
                <w:color w:val="auto"/>
                <w:sz w:val="20"/>
                <w:szCs w:val="20"/>
                <w:highlight w:val="none"/>
              </w:rPr>
            </w:pPr>
          </w:p>
        </w:tc>
      </w:tr>
      <w:tr w14:paraId="6DC1D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540" w:type="dxa"/>
            <w:vMerge w:val="continue"/>
            <w:tcBorders>
              <w:left w:val="single" w:color="auto" w:sz="4" w:space="0"/>
              <w:right w:val="single" w:color="auto" w:sz="4" w:space="0"/>
            </w:tcBorders>
            <w:noWrap w:val="0"/>
            <w:vAlign w:val="center"/>
          </w:tcPr>
          <w:p w14:paraId="02D1852C">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3025" w:type="dxa"/>
            <w:vMerge w:val="continue"/>
            <w:tcBorders>
              <w:left w:val="nil"/>
              <w:right w:val="single" w:color="auto" w:sz="4" w:space="0"/>
            </w:tcBorders>
            <w:noWrap w:val="0"/>
            <w:vAlign w:val="center"/>
          </w:tcPr>
          <w:p w14:paraId="5F3BB818">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p>
        </w:tc>
        <w:tc>
          <w:tcPr>
            <w:tcW w:w="750" w:type="dxa"/>
            <w:vMerge w:val="continue"/>
            <w:tcBorders>
              <w:left w:val="nil"/>
              <w:right w:val="single" w:color="auto" w:sz="4" w:space="0"/>
            </w:tcBorders>
            <w:noWrap w:val="0"/>
            <w:vAlign w:val="center"/>
          </w:tcPr>
          <w:p w14:paraId="6D51B73C">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2303" w:type="dxa"/>
            <w:tcBorders>
              <w:top w:val="single" w:color="auto" w:sz="4" w:space="0"/>
              <w:left w:val="nil"/>
              <w:bottom w:val="single" w:color="auto" w:sz="4" w:space="0"/>
              <w:right w:val="single" w:color="auto" w:sz="4" w:space="0"/>
            </w:tcBorders>
            <w:noWrap w:val="0"/>
            <w:vAlign w:val="center"/>
          </w:tcPr>
          <w:p w14:paraId="3CD8D584">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未及时处置异常情况。</w:t>
            </w:r>
          </w:p>
        </w:tc>
        <w:tc>
          <w:tcPr>
            <w:tcW w:w="1170" w:type="dxa"/>
            <w:tcBorders>
              <w:top w:val="single" w:color="auto" w:sz="4" w:space="0"/>
              <w:left w:val="nil"/>
              <w:bottom w:val="single" w:color="auto" w:sz="4" w:space="0"/>
              <w:right w:val="single" w:color="auto" w:sz="4" w:space="0"/>
            </w:tcBorders>
            <w:noWrap w:val="0"/>
            <w:vAlign w:val="center"/>
          </w:tcPr>
          <w:p w14:paraId="5109B0CE">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4B1FB8F7">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689AF2DB">
            <w:pPr>
              <w:rPr>
                <w:rFonts w:hint="eastAsia" w:ascii="宋体" w:hAnsi="宋体" w:eastAsia="宋体" w:cs="宋体"/>
                <w:color w:val="auto"/>
                <w:sz w:val="20"/>
                <w:szCs w:val="20"/>
                <w:highlight w:val="none"/>
              </w:rPr>
            </w:pPr>
          </w:p>
        </w:tc>
      </w:tr>
      <w:tr w14:paraId="69B2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jc w:val="center"/>
        </w:trPr>
        <w:tc>
          <w:tcPr>
            <w:tcW w:w="540" w:type="dxa"/>
            <w:vMerge w:val="continue"/>
            <w:tcBorders>
              <w:left w:val="single" w:color="auto" w:sz="4" w:space="0"/>
              <w:right w:val="single" w:color="auto" w:sz="4" w:space="0"/>
            </w:tcBorders>
            <w:noWrap w:val="0"/>
            <w:vAlign w:val="center"/>
          </w:tcPr>
          <w:p w14:paraId="358C5A2F">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3025" w:type="dxa"/>
            <w:vMerge w:val="continue"/>
            <w:tcBorders>
              <w:left w:val="nil"/>
              <w:right w:val="single" w:color="auto" w:sz="4" w:space="0"/>
            </w:tcBorders>
            <w:noWrap w:val="0"/>
            <w:vAlign w:val="center"/>
          </w:tcPr>
          <w:p w14:paraId="76295526">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p>
        </w:tc>
        <w:tc>
          <w:tcPr>
            <w:tcW w:w="750" w:type="dxa"/>
            <w:vMerge w:val="continue"/>
            <w:tcBorders>
              <w:left w:val="nil"/>
              <w:right w:val="single" w:color="auto" w:sz="4" w:space="0"/>
            </w:tcBorders>
            <w:noWrap w:val="0"/>
            <w:vAlign w:val="center"/>
          </w:tcPr>
          <w:p w14:paraId="14CC4761">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2303" w:type="dxa"/>
            <w:tcBorders>
              <w:top w:val="single" w:color="auto" w:sz="4" w:space="0"/>
              <w:left w:val="nil"/>
              <w:bottom w:val="single" w:color="auto" w:sz="4" w:space="0"/>
              <w:right w:val="single" w:color="auto" w:sz="4" w:space="0"/>
            </w:tcBorders>
            <w:noWrap w:val="0"/>
            <w:vAlign w:val="center"/>
          </w:tcPr>
          <w:p w14:paraId="7AFFBB3E">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未将异常情况上报综合服务中心。</w:t>
            </w:r>
          </w:p>
        </w:tc>
        <w:tc>
          <w:tcPr>
            <w:tcW w:w="1170" w:type="dxa"/>
            <w:tcBorders>
              <w:top w:val="single" w:color="auto" w:sz="4" w:space="0"/>
              <w:left w:val="nil"/>
              <w:bottom w:val="single" w:color="auto" w:sz="4" w:space="0"/>
              <w:right w:val="single" w:color="auto" w:sz="4" w:space="0"/>
            </w:tcBorders>
            <w:noWrap w:val="0"/>
            <w:vAlign w:val="center"/>
          </w:tcPr>
          <w:p w14:paraId="1C09A237">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分分/次</w:t>
            </w:r>
          </w:p>
        </w:tc>
        <w:tc>
          <w:tcPr>
            <w:tcW w:w="889" w:type="dxa"/>
            <w:tcBorders>
              <w:top w:val="single" w:color="auto" w:sz="4" w:space="0"/>
              <w:left w:val="nil"/>
              <w:bottom w:val="single" w:color="auto" w:sz="4" w:space="0"/>
              <w:right w:val="single" w:color="auto" w:sz="4" w:space="0"/>
            </w:tcBorders>
            <w:noWrap w:val="0"/>
            <w:vAlign w:val="center"/>
          </w:tcPr>
          <w:p w14:paraId="1AE74496">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3CD81E57">
            <w:pPr>
              <w:rPr>
                <w:rFonts w:hint="eastAsia" w:ascii="宋体" w:hAnsi="宋体" w:eastAsia="宋体" w:cs="宋体"/>
                <w:color w:val="auto"/>
                <w:sz w:val="20"/>
                <w:szCs w:val="20"/>
                <w:highlight w:val="none"/>
              </w:rPr>
            </w:pPr>
          </w:p>
        </w:tc>
      </w:tr>
      <w:tr w14:paraId="2C530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540" w:type="dxa"/>
            <w:vMerge w:val="restart"/>
            <w:tcBorders>
              <w:left w:val="single" w:color="auto" w:sz="4" w:space="0"/>
              <w:right w:val="single" w:color="auto" w:sz="4" w:space="0"/>
            </w:tcBorders>
            <w:noWrap w:val="0"/>
            <w:vAlign w:val="center"/>
          </w:tcPr>
          <w:p w14:paraId="11F847E8">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3025" w:type="dxa"/>
            <w:vMerge w:val="restart"/>
            <w:tcBorders>
              <w:left w:val="nil"/>
              <w:right w:val="single" w:color="auto" w:sz="4" w:space="0"/>
            </w:tcBorders>
            <w:noWrap w:val="0"/>
            <w:vAlign w:val="center"/>
          </w:tcPr>
          <w:p w14:paraId="714619D1">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交接班时清点微型消防站物资，</w:t>
            </w:r>
            <w:r>
              <w:rPr>
                <w:rFonts w:hint="eastAsia" w:ascii="宋体" w:hAnsi="宋体" w:eastAsia="宋体" w:cs="宋体"/>
                <w:color w:val="auto"/>
                <w:sz w:val="20"/>
                <w:szCs w:val="20"/>
                <w:highlight w:val="none"/>
                <w:lang w:val="en-US" w:eastAsia="zh-CN"/>
              </w:rPr>
              <w:t>每月</w:t>
            </w:r>
            <w:r>
              <w:rPr>
                <w:rFonts w:hint="eastAsia" w:ascii="宋体" w:hAnsi="宋体" w:eastAsia="宋体" w:cs="宋体"/>
                <w:color w:val="auto"/>
                <w:sz w:val="20"/>
                <w:szCs w:val="20"/>
                <w:highlight w:val="none"/>
              </w:rPr>
              <w:t>对微型消防站物资进行检查</w:t>
            </w:r>
            <w:r>
              <w:rPr>
                <w:rFonts w:hint="eastAsia" w:ascii="宋体" w:hAnsi="宋体" w:eastAsia="宋体" w:cs="宋体"/>
                <w:color w:val="auto"/>
                <w:sz w:val="20"/>
                <w:szCs w:val="20"/>
                <w:highlight w:val="none"/>
                <w:lang w:val="en-US" w:eastAsia="zh-CN"/>
              </w:rPr>
              <w:t>1次</w:t>
            </w:r>
            <w:r>
              <w:rPr>
                <w:rFonts w:hint="eastAsia" w:ascii="宋体" w:hAnsi="宋体" w:eastAsia="宋体" w:cs="宋体"/>
                <w:color w:val="auto"/>
                <w:sz w:val="20"/>
                <w:szCs w:val="20"/>
                <w:highlight w:val="none"/>
              </w:rPr>
              <w:t>，及时将故障/损坏上报至</w:t>
            </w:r>
            <w:r>
              <w:rPr>
                <w:rFonts w:hint="eastAsia" w:ascii="宋体" w:hAnsi="宋体" w:eastAsia="宋体" w:cs="宋体"/>
                <w:color w:val="auto"/>
                <w:sz w:val="20"/>
                <w:szCs w:val="20"/>
                <w:highlight w:val="none"/>
                <w:lang w:val="en-US" w:eastAsia="zh-CN"/>
              </w:rPr>
              <w:t>采购方</w:t>
            </w:r>
            <w:r>
              <w:rPr>
                <w:rFonts w:hint="eastAsia" w:ascii="宋体" w:hAnsi="宋体" w:eastAsia="宋体" w:cs="宋体"/>
                <w:b w:val="0"/>
                <w:bCs/>
                <w:color w:val="auto"/>
                <w:sz w:val="20"/>
                <w:szCs w:val="20"/>
                <w:highlight w:val="none"/>
                <w:lang w:val="en-US" w:eastAsia="zh-CN"/>
              </w:rPr>
              <w:t>。</w:t>
            </w:r>
          </w:p>
        </w:tc>
        <w:tc>
          <w:tcPr>
            <w:tcW w:w="750" w:type="dxa"/>
            <w:vMerge w:val="restart"/>
            <w:tcBorders>
              <w:left w:val="nil"/>
              <w:right w:val="single" w:color="auto" w:sz="4" w:space="0"/>
            </w:tcBorders>
            <w:noWrap w:val="0"/>
            <w:vAlign w:val="center"/>
          </w:tcPr>
          <w:p w14:paraId="71CACBA3">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2303" w:type="dxa"/>
            <w:tcBorders>
              <w:top w:val="single" w:color="auto" w:sz="4" w:space="0"/>
              <w:left w:val="nil"/>
              <w:bottom w:val="single" w:color="auto" w:sz="4" w:space="0"/>
              <w:right w:val="single" w:color="auto" w:sz="4" w:space="0"/>
            </w:tcBorders>
            <w:noWrap w:val="0"/>
            <w:vAlign w:val="center"/>
          </w:tcPr>
          <w:p w14:paraId="71E89FCD">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未开展每月微型消防站物资检查。</w:t>
            </w:r>
          </w:p>
        </w:tc>
        <w:tc>
          <w:tcPr>
            <w:tcW w:w="1170" w:type="dxa"/>
            <w:tcBorders>
              <w:top w:val="single" w:color="auto" w:sz="4" w:space="0"/>
              <w:left w:val="nil"/>
              <w:bottom w:val="single" w:color="auto" w:sz="4" w:space="0"/>
              <w:right w:val="single" w:color="auto" w:sz="4" w:space="0"/>
            </w:tcBorders>
            <w:noWrap w:val="0"/>
            <w:vAlign w:val="center"/>
          </w:tcPr>
          <w:p w14:paraId="1A58FAD6">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430E16E9">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3369A664">
            <w:pPr>
              <w:rPr>
                <w:rFonts w:hint="eastAsia" w:ascii="宋体" w:hAnsi="宋体" w:eastAsia="宋体" w:cs="宋体"/>
                <w:color w:val="auto"/>
                <w:sz w:val="20"/>
                <w:szCs w:val="20"/>
                <w:highlight w:val="none"/>
              </w:rPr>
            </w:pPr>
          </w:p>
        </w:tc>
      </w:tr>
      <w:tr w14:paraId="714F9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540" w:type="dxa"/>
            <w:vMerge w:val="continue"/>
            <w:tcBorders>
              <w:left w:val="single" w:color="auto" w:sz="4" w:space="0"/>
              <w:right w:val="single" w:color="auto" w:sz="4" w:space="0"/>
            </w:tcBorders>
            <w:noWrap w:val="0"/>
            <w:vAlign w:val="center"/>
          </w:tcPr>
          <w:p w14:paraId="2B346BE2">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3025" w:type="dxa"/>
            <w:vMerge w:val="continue"/>
            <w:tcBorders>
              <w:left w:val="nil"/>
              <w:right w:val="single" w:color="auto" w:sz="4" w:space="0"/>
            </w:tcBorders>
            <w:noWrap w:val="0"/>
            <w:vAlign w:val="center"/>
          </w:tcPr>
          <w:p w14:paraId="11602E65">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p>
        </w:tc>
        <w:tc>
          <w:tcPr>
            <w:tcW w:w="750" w:type="dxa"/>
            <w:vMerge w:val="continue"/>
            <w:tcBorders>
              <w:left w:val="nil"/>
              <w:right w:val="single" w:color="auto" w:sz="4" w:space="0"/>
            </w:tcBorders>
            <w:noWrap w:val="0"/>
            <w:vAlign w:val="center"/>
          </w:tcPr>
          <w:p w14:paraId="3C6F4313">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2303" w:type="dxa"/>
            <w:tcBorders>
              <w:top w:val="single" w:color="auto" w:sz="4" w:space="0"/>
              <w:left w:val="nil"/>
              <w:bottom w:val="single" w:color="auto" w:sz="4" w:space="0"/>
              <w:right w:val="single" w:color="auto" w:sz="4" w:space="0"/>
            </w:tcBorders>
            <w:noWrap w:val="0"/>
            <w:vAlign w:val="center"/>
          </w:tcPr>
          <w:p w14:paraId="12833C14">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未将报损情况上报综合服务中心。</w:t>
            </w:r>
          </w:p>
        </w:tc>
        <w:tc>
          <w:tcPr>
            <w:tcW w:w="1170" w:type="dxa"/>
            <w:tcBorders>
              <w:top w:val="single" w:color="auto" w:sz="4" w:space="0"/>
              <w:left w:val="nil"/>
              <w:bottom w:val="single" w:color="auto" w:sz="4" w:space="0"/>
              <w:right w:val="single" w:color="auto" w:sz="4" w:space="0"/>
            </w:tcBorders>
            <w:noWrap w:val="0"/>
            <w:vAlign w:val="center"/>
          </w:tcPr>
          <w:p w14:paraId="7624E445">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0833FA6F">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5F398F38">
            <w:pPr>
              <w:rPr>
                <w:rFonts w:hint="eastAsia" w:ascii="宋体" w:hAnsi="宋体" w:eastAsia="宋体" w:cs="宋体"/>
                <w:color w:val="auto"/>
                <w:sz w:val="20"/>
                <w:szCs w:val="20"/>
                <w:highlight w:val="none"/>
              </w:rPr>
            </w:pPr>
          </w:p>
        </w:tc>
      </w:tr>
      <w:tr w14:paraId="7BB0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540" w:type="dxa"/>
            <w:vMerge w:val="restart"/>
            <w:tcBorders>
              <w:left w:val="single" w:color="auto" w:sz="4" w:space="0"/>
              <w:right w:val="single" w:color="auto" w:sz="4" w:space="0"/>
            </w:tcBorders>
            <w:noWrap w:val="0"/>
            <w:vAlign w:val="center"/>
          </w:tcPr>
          <w:p w14:paraId="2659FFF1">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3025" w:type="dxa"/>
            <w:vMerge w:val="restart"/>
            <w:tcBorders>
              <w:left w:val="nil"/>
              <w:right w:val="single" w:color="auto" w:sz="4" w:space="0"/>
            </w:tcBorders>
            <w:noWrap w:val="0"/>
            <w:vAlign w:val="center"/>
          </w:tcPr>
          <w:p w14:paraId="33600EBA">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每月</w:t>
            </w:r>
            <w:r>
              <w:rPr>
                <w:rFonts w:hint="eastAsia" w:ascii="宋体" w:hAnsi="宋体" w:eastAsia="宋体" w:cs="宋体"/>
                <w:color w:val="auto"/>
                <w:sz w:val="20"/>
                <w:szCs w:val="20"/>
                <w:highlight w:val="none"/>
              </w:rPr>
              <w:t>对</w:t>
            </w:r>
            <w:r>
              <w:rPr>
                <w:rFonts w:hint="eastAsia" w:ascii="宋体" w:hAnsi="宋体" w:eastAsia="宋体" w:cs="宋体"/>
                <w:color w:val="auto"/>
                <w:sz w:val="20"/>
                <w:szCs w:val="20"/>
                <w:highlight w:val="none"/>
                <w:lang w:eastAsia="zh-CN"/>
              </w:rPr>
              <w:t>办公区域</w:t>
            </w:r>
            <w:r>
              <w:rPr>
                <w:rFonts w:hint="eastAsia" w:ascii="宋体" w:hAnsi="宋体" w:eastAsia="宋体" w:cs="宋体"/>
                <w:color w:val="auto"/>
                <w:sz w:val="20"/>
                <w:szCs w:val="20"/>
                <w:highlight w:val="none"/>
              </w:rPr>
              <w:t>消防</w:t>
            </w:r>
            <w:r>
              <w:rPr>
                <w:rFonts w:hint="eastAsia" w:ascii="宋体" w:hAnsi="宋体" w:eastAsia="宋体" w:cs="宋体"/>
                <w:color w:val="auto"/>
                <w:sz w:val="20"/>
                <w:szCs w:val="20"/>
                <w:highlight w:val="none"/>
                <w:lang w:val="en-US" w:eastAsia="zh-CN"/>
              </w:rPr>
              <w:t>简易</w:t>
            </w:r>
            <w:r>
              <w:rPr>
                <w:rFonts w:hint="eastAsia" w:ascii="宋体" w:hAnsi="宋体" w:eastAsia="宋体" w:cs="宋体"/>
                <w:color w:val="auto"/>
                <w:sz w:val="20"/>
                <w:szCs w:val="20"/>
                <w:highlight w:val="none"/>
              </w:rPr>
              <w:t>器材进行检查</w:t>
            </w:r>
            <w:r>
              <w:rPr>
                <w:rFonts w:hint="eastAsia" w:ascii="宋体" w:hAnsi="宋体" w:eastAsia="宋体" w:cs="宋体"/>
                <w:color w:val="auto"/>
                <w:sz w:val="20"/>
                <w:szCs w:val="20"/>
                <w:highlight w:val="none"/>
                <w:lang w:val="en-US" w:eastAsia="zh-CN"/>
              </w:rPr>
              <w:t>1次</w:t>
            </w:r>
            <w:r>
              <w:rPr>
                <w:rFonts w:hint="eastAsia" w:ascii="宋体" w:hAnsi="宋体" w:eastAsia="宋体" w:cs="宋体"/>
                <w:color w:val="auto"/>
                <w:sz w:val="20"/>
                <w:szCs w:val="20"/>
                <w:highlight w:val="none"/>
              </w:rPr>
              <w:t>，及时将故障/损坏上报至综</w:t>
            </w:r>
            <w:r>
              <w:rPr>
                <w:rFonts w:hint="eastAsia" w:ascii="宋体" w:hAnsi="宋体" w:eastAsia="宋体" w:cs="宋体"/>
                <w:color w:val="auto"/>
                <w:sz w:val="20"/>
                <w:szCs w:val="20"/>
                <w:highlight w:val="none"/>
                <w:lang w:val="en-US" w:eastAsia="zh-CN"/>
              </w:rPr>
              <w:t>采购方</w:t>
            </w:r>
            <w:r>
              <w:rPr>
                <w:rFonts w:hint="eastAsia" w:ascii="宋体" w:hAnsi="宋体" w:eastAsia="宋体" w:cs="宋体"/>
                <w:b w:val="0"/>
                <w:bCs/>
                <w:color w:val="auto"/>
                <w:sz w:val="20"/>
                <w:szCs w:val="20"/>
                <w:highlight w:val="none"/>
                <w:lang w:val="en-US" w:eastAsia="zh-CN"/>
              </w:rPr>
              <w:t>。</w:t>
            </w:r>
          </w:p>
        </w:tc>
        <w:tc>
          <w:tcPr>
            <w:tcW w:w="750" w:type="dxa"/>
            <w:vMerge w:val="restart"/>
            <w:tcBorders>
              <w:left w:val="nil"/>
              <w:right w:val="single" w:color="auto" w:sz="4" w:space="0"/>
            </w:tcBorders>
            <w:noWrap w:val="0"/>
            <w:vAlign w:val="center"/>
          </w:tcPr>
          <w:p w14:paraId="00910CFE">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w:t>
            </w:r>
          </w:p>
        </w:tc>
        <w:tc>
          <w:tcPr>
            <w:tcW w:w="2303" w:type="dxa"/>
            <w:tcBorders>
              <w:top w:val="single" w:color="auto" w:sz="4" w:space="0"/>
              <w:left w:val="nil"/>
              <w:bottom w:val="single" w:color="auto" w:sz="4" w:space="0"/>
              <w:right w:val="single" w:color="auto" w:sz="4" w:space="0"/>
            </w:tcBorders>
            <w:noWrap w:val="0"/>
            <w:vAlign w:val="center"/>
          </w:tcPr>
          <w:p w14:paraId="486C76D9">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color w:val="auto"/>
                <w:sz w:val="20"/>
                <w:szCs w:val="20"/>
                <w:highlight w:val="none"/>
              </w:rPr>
              <w:t>未开展办公区消防器材检查</w:t>
            </w:r>
            <w:r>
              <w:rPr>
                <w:rFonts w:hint="eastAsia" w:ascii="宋体" w:hAnsi="宋体" w:eastAsia="宋体" w:cs="宋体"/>
                <w:color w:val="auto"/>
                <w:sz w:val="20"/>
                <w:szCs w:val="20"/>
                <w:highlight w:val="none"/>
                <w:lang w:eastAsia="zh-CN"/>
              </w:rPr>
              <w:t>。</w:t>
            </w:r>
          </w:p>
        </w:tc>
        <w:tc>
          <w:tcPr>
            <w:tcW w:w="1170" w:type="dxa"/>
            <w:tcBorders>
              <w:top w:val="single" w:color="auto" w:sz="4" w:space="0"/>
              <w:left w:val="nil"/>
              <w:bottom w:val="single" w:color="auto" w:sz="4" w:space="0"/>
              <w:right w:val="single" w:color="auto" w:sz="4" w:space="0"/>
            </w:tcBorders>
            <w:noWrap w:val="0"/>
            <w:vAlign w:val="center"/>
          </w:tcPr>
          <w:p w14:paraId="6C439407">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3E3D0413">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61F30EC8">
            <w:pPr>
              <w:rPr>
                <w:rFonts w:hint="eastAsia" w:ascii="宋体" w:hAnsi="宋体" w:eastAsia="宋体" w:cs="宋体"/>
                <w:color w:val="auto"/>
                <w:sz w:val="20"/>
                <w:szCs w:val="20"/>
                <w:highlight w:val="none"/>
              </w:rPr>
            </w:pPr>
          </w:p>
        </w:tc>
      </w:tr>
      <w:tr w14:paraId="19EE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jc w:val="center"/>
        </w:trPr>
        <w:tc>
          <w:tcPr>
            <w:tcW w:w="540" w:type="dxa"/>
            <w:vMerge w:val="continue"/>
            <w:tcBorders>
              <w:left w:val="single" w:color="auto" w:sz="4" w:space="0"/>
              <w:right w:val="single" w:color="auto" w:sz="4" w:space="0"/>
            </w:tcBorders>
            <w:noWrap w:val="0"/>
            <w:vAlign w:val="center"/>
          </w:tcPr>
          <w:p w14:paraId="0B9D2862">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3025" w:type="dxa"/>
            <w:vMerge w:val="continue"/>
            <w:tcBorders>
              <w:left w:val="nil"/>
              <w:right w:val="single" w:color="auto" w:sz="4" w:space="0"/>
            </w:tcBorders>
            <w:noWrap w:val="0"/>
            <w:vAlign w:val="center"/>
          </w:tcPr>
          <w:p w14:paraId="0C60418D">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p>
        </w:tc>
        <w:tc>
          <w:tcPr>
            <w:tcW w:w="750" w:type="dxa"/>
            <w:vMerge w:val="continue"/>
            <w:tcBorders>
              <w:left w:val="nil"/>
              <w:right w:val="single" w:color="auto" w:sz="4" w:space="0"/>
            </w:tcBorders>
            <w:noWrap w:val="0"/>
            <w:vAlign w:val="center"/>
          </w:tcPr>
          <w:p w14:paraId="0666792C">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p>
        </w:tc>
        <w:tc>
          <w:tcPr>
            <w:tcW w:w="2303" w:type="dxa"/>
            <w:tcBorders>
              <w:top w:val="single" w:color="auto" w:sz="4" w:space="0"/>
              <w:left w:val="nil"/>
              <w:bottom w:val="single" w:color="auto" w:sz="4" w:space="0"/>
              <w:right w:val="single" w:color="auto" w:sz="4" w:space="0"/>
            </w:tcBorders>
            <w:noWrap w:val="0"/>
            <w:vAlign w:val="center"/>
          </w:tcPr>
          <w:p w14:paraId="78D4924B">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color w:val="auto"/>
                <w:sz w:val="20"/>
                <w:szCs w:val="20"/>
                <w:highlight w:val="none"/>
                <w:vertAlign w:val="baseline"/>
                <w:lang w:val="en-US" w:eastAsia="zh-CN"/>
              </w:rPr>
              <w:t>未将报损情况上报综合服务中心。</w:t>
            </w:r>
          </w:p>
        </w:tc>
        <w:tc>
          <w:tcPr>
            <w:tcW w:w="1170" w:type="dxa"/>
            <w:tcBorders>
              <w:top w:val="single" w:color="auto" w:sz="4" w:space="0"/>
              <w:left w:val="nil"/>
              <w:bottom w:val="single" w:color="auto" w:sz="4" w:space="0"/>
              <w:right w:val="single" w:color="auto" w:sz="4" w:space="0"/>
            </w:tcBorders>
            <w:noWrap w:val="0"/>
            <w:vAlign w:val="center"/>
          </w:tcPr>
          <w:p w14:paraId="5D30FDFB">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59BF9856">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17EAE604">
            <w:pPr>
              <w:rPr>
                <w:rFonts w:hint="eastAsia" w:ascii="宋体" w:hAnsi="宋体" w:eastAsia="宋体" w:cs="宋体"/>
                <w:color w:val="auto"/>
                <w:sz w:val="20"/>
                <w:szCs w:val="20"/>
                <w:highlight w:val="none"/>
              </w:rPr>
            </w:pPr>
          </w:p>
        </w:tc>
      </w:tr>
      <w:tr w14:paraId="4E4DA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540" w:type="dxa"/>
            <w:tcBorders>
              <w:left w:val="single" w:color="auto" w:sz="4" w:space="0"/>
              <w:right w:val="single" w:color="auto" w:sz="4" w:space="0"/>
            </w:tcBorders>
            <w:noWrap w:val="0"/>
            <w:vAlign w:val="center"/>
          </w:tcPr>
          <w:p w14:paraId="22CC420F">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3025" w:type="dxa"/>
            <w:tcBorders>
              <w:left w:val="nil"/>
              <w:right w:val="single" w:color="auto" w:sz="4" w:space="0"/>
            </w:tcBorders>
            <w:noWrap w:val="0"/>
            <w:vAlign w:val="center"/>
          </w:tcPr>
          <w:p w14:paraId="007D253E">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vertAlign w:val="baseline"/>
                <w:lang w:val="en-US" w:eastAsia="zh-CN"/>
              </w:rPr>
              <w:t>配合</w:t>
            </w:r>
            <w:r>
              <w:rPr>
                <w:rFonts w:hint="eastAsia" w:ascii="宋体" w:hAnsi="宋体" w:eastAsia="宋体" w:cs="宋体"/>
                <w:color w:val="auto"/>
                <w:sz w:val="20"/>
                <w:szCs w:val="20"/>
                <w:highlight w:val="none"/>
                <w:lang w:val="en-US" w:eastAsia="zh-CN"/>
              </w:rPr>
              <w:t>采购方负责人</w:t>
            </w:r>
            <w:r>
              <w:rPr>
                <w:rFonts w:hint="eastAsia" w:ascii="宋体" w:hAnsi="宋体" w:eastAsia="宋体" w:cs="宋体"/>
                <w:color w:val="auto"/>
                <w:sz w:val="20"/>
                <w:szCs w:val="20"/>
                <w:highlight w:val="none"/>
                <w:vertAlign w:val="baseline"/>
                <w:lang w:val="en-US" w:eastAsia="zh-CN"/>
              </w:rPr>
              <w:t>对消防器材开展换新放置、更换标签、台账更新等工作。</w:t>
            </w:r>
          </w:p>
        </w:tc>
        <w:tc>
          <w:tcPr>
            <w:tcW w:w="750" w:type="dxa"/>
            <w:tcBorders>
              <w:left w:val="nil"/>
              <w:right w:val="single" w:color="auto" w:sz="4" w:space="0"/>
            </w:tcBorders>
            <w:noWrap w:val="0"/>
            <w:vAlign w:val="center"/>
          </w:tcPr>
          <w:p w14:paraId="0671513B">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b w:val="0"/>
                <w:bCs/>
                <w:color w:val="auto"/>
                <w:sz w:val="20"/>
                <w:szCs w:val="20"/>
                <w:highlight w:val="none"/>
                <w:lang w:val="en-US" w:eastAsia="zh-CN"/>
              </w:rPr>
              <w:t>5</w:t>
            </w:r>
          </w:p>
        </w:tc>
        <w:tc>
          <w:tcPr>
            <w:tcW w:w="2303" w:type="dxa"/>
            <w:tcBorders>
              <w:top w:val="single" w:color="auto" w:sz="4" w:space="0"/>
              <w:left w:val="nil"/>
              <w:bottom w:val="single" w:color="auto" w:sz="4" w:space="0"/>
              <w:right w:val="single" w:color="auto" w:sz="4" w:space="0"/>
            </w:tcBorders>
            <w:noWrap w:val="0"/>
            <w:vAlign w:val="center"/>
          </w:tcPr>
          <w:p w14:paraId="7AA7FEB1">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color w:val="auto"/>
                <w:sz w:val="20"/>
                <w:szCs w:val="20"/>
                <w:highlight w:val="none"/>
                <w:vertAlign w:val="baseline"/>
                <w:lang w:val="en-US" w:eastAsia="zh-CN"/>
              </w:rPr>
              <w:t>未配合开展物资更换、台账更新工作。</w:t>
            </w:r>
          </w:p>
        </w:tc>
        <w:tc>
          <w:tcPr>
            <w:tcW w:w="1170" w:type="dxa"/>
            <w:tcBorders>
              <w:top w:val="single" w:color="auto" w:sz="4" w:space="0"/>
              <w:left w:val="nil"/>
              <w:bottom w:val="single" w:color="auto" w:sz="4" w:space="0"/>
              <w:right w:val="single" w:color="auto" w:sz="4" w:space="0"/>
            </w:tcBorders>
            <w:noWrap w:val="0"/>
            <w:vAlign w:val="center"/>
          </w:tcPr>
          <w:p w14:paraId="559C8FC3">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43F10E14">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5FDF39E3">
            <w:pPr>
              <w:rPr>
                <w:rFonts w:hint="eastAsia" w:ascii="宋体" w:hAnsi="宋体" w:eastAsia="宋体" w:cs="宋体"/>
                <w:color w:val="auto"/>
                <w:sz w:val="20"/>
                <w:szCs w:val="20"/>
                <w:highlight w:val="none"/>
              </w:rPr>
            </w:pPr>
          </w:p>
        </w:tc>
      </w:tr>
      <w:tr w14:paraId="59633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540" w:type="dxa"/>
            <w:tcBorders>
              <w:left w:val="single" w:color="auto" w:sz="4" w:space="0"/>
              <w:right w:val="single" w:color="auto" w:sz="4" w:space="0"/>
            </w:tcBorders>
            <w:noWrap w:val="0"/>
            <w:vAlign w:val="center"/>
          </w:tcPr>
          <w:p w14:paraId="41F71144">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3025" w:type="dxa"/>
            <w:tcBorders>
              <w:left w:val="nil"/>
              <w:right w:val="single" w:color="auto" w:sz="4" w:space="0"/>
            </w:tcBorders>
            <w:noWrap w:val="0"/>
            <w:vAlign w:val="center"/>
          </w:tcPr>
          <w:p w14:paraId="3259F26E">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每年2次不定期开展员工消防培训。</w:t>
            </w:r>
          </w:p>
        </w:tc>
        <w:tc>
          <w:tcPr>
            <w:tcW w:w="750" w:type="dxa"/>
            <w:tcBorders>
              <w:left w:val="nil"/>
              <w:right w:val="single" w:color="auto" w:sz="4" w:space="0"/>
            </w:tcBorders>
            <w:noWrap w:val="0"/>
            <w:vAlign w:val="center"/>
          </w:tcPr>
          <w:p w14:paraId="0245002B">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b w:val="0"/>
                <w:bCs/>
                <w:color w:val="auto"/>
                <w:sz w:val="20"/>
                <w:szCs w:val="20"/>
                <w:highlight w:val="none"/>
                <w:lang w:val="en-US" w:eastAsia="zh-CN"/>
              </w:rPr>
              <w:t>10</w:t>
            </w:r>
          </w:p>
        </w:tc>
        <w:tc>
          <w:tcPr>
            <w:tcW w:w="2303" w:type="dxa"/>
            <w:tcBorders>
              <w:top w:val="single" w:color="auto" w:sz="4" w:space="0"/>
              <w:left w:val="nil"/>
              <w:bottom w:val="single" w:color="auto" w:sz="4" w:space="0"/>
              <w:right w:val="single" w:color="auto" w:sz="4" w:space="0"/>
            </w:tcBorders>
            <w:noWrap w:val="0"/>
            <w:vAlign w:val="center"/>
          </w:tcPr>
          <w:p w14:paraId="046F92AB">
            <w:pPr>
              <w:keepNext w:val="0"/>
              <w:keepLines w:val="0"/>
              <w:pageBreakBefore w:val="0"/>
              <w:widowControl w:val="0"/>
              <w:kinsoku/>
              <w:wordWrap/>
              <w:overflowPunct/>
              <w:topLinePunct w:val="0"/>
              <w:autoSpaceDE/>
              <w:autoSpaceDN/>
              <w:bidi w:val="0"/>
              <w:spacing w:line="420" w:lineRule="exact"/>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eastAsia="zh-CN"/>
              </w:rPr>
              <w:t>未开展员工内部消防培训。</w:t>
            </w:r>
          </w:p>
        </w:tc>
        <w:tc>
          <w:tcPr>
            <w:tcW w:w="1170" w:type="dxa"/>
            <w:tcBorders>
              <w:top w:val="single" w:color="auto" w:sz="4" w:space="0"/>
              <w:left w:val="nil"/>
              <w:bottom w:val="single" w:color="auto" w:sz="4" w:space="0"/>
              <w:right w:val="single" w:color="auto" w:sz="4" w:space="0"/>
            </w:tcBorders>
            <w:noWrap w:val="0"/>
            <w:vAlign w:val="center"/>
          </w:tcPr>
          <w:p w14:paraId="6F186075">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5E933E3B">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020AA99C">
            <w:pPr>
              <w:rPr>
                <w:rFonts w:hint="eastAsia" w:ascii="宋体" w:hAnsi="宋体" w:eastAsia="宋体" w:cs="宋体"/>
                <w:color w:val="auto"/>
                <w:sz w:val="20"/>
                <w:szCs w:val="20"/>
                <w:highlight w:val="none"/>
              </w:rPr>
            </w:pPr>
          </w:p>
        </w:tc>
      </w:tr>
      <w:tr w14:paraId="138B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540" w:type="dxa"/>
            <w:tcBorders>
              <w:left w:val="single" w:color="auto" w:sz="4" w:space="0"/>
              <w:right w:val="single" w:color="auto" w:sz="4" w:space="0"/>
            </w:tcBorders>
            <w:noWrap w:val="0"/>
            <w:vAlign w:val="center"/>
          </w:tcPr>
          <w:p w14:paraId="78068F4B">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3025" w:type="dxa"/>
            <w:tcBorders>
              <w:left w:val="nil"/>
              <w:right w:val="single" w:color="auto" w:sz="4" w:space="0"/>
            </w:tcBorders>
            <w:noWrap w:val="0"/>
            <w:vAlign w:val="center"/>
          </w:tcPr>
          <w:p w14:paraId="377EA5DD">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每年2次不定期定期开展员工消防演练。</w:t>
            </w:r>
          </w:p>
        </w:tc>
        <w:tc>
          <w:tcPr>
            <w:tcW w:w="750" w:type="dxa"/>
            <w:tcBorders>
              <w:left w:val="nil"/>
              <w:right w:val="single" w:color="auto" w:sz="4" w:space="0"/>
            </w:tcBorders>
            <w:noWrap w:val="0"/>
            <w:vAlign w:val="center"/>
          </w:tcPr>
          <w:p w14:paraId="026CB8A0">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b w:val="0"/>
                <w:bCs/>
                <w:color w:val="auto"/>
                <w:sz w:val="20"/>
                <w:szCs w:val="20"/>
                <w:highlight w:val="none"/>
                <w:lang w:val="en-US" w:eastAsia="zh-CN"/>
              </w:rPr>
              <w:t>10</w:t>
            </w:r>
          </w:p>
        </w:tc>
        <w:tc>
          <w:tcPr>
            <w:tcW w:w="2303" w:type="dxa"/>
            <w:tcBorders>
              <w:top w:val="single" w:color="auto" w:sz="4" w:space="0"/>
              <w:left w:val="nil"/>
              <w:bottom w:val="single" w:color="auto" w:sz="4" w:space="0"/>
              <w:right w:val="single" w:color="auto" w:sz="4" w:space="0"/>
            </w:tcBorders>
            <w:noWrap w:val="0"/>
            <w:vAlign w:val="center"/>
          </w:tcPr>
          <w:p w14:paraId="00E39C75">
            <w:pPr>
              <w:keepNext w:val="0"/>
              <w:keepLines w:val="0"/>
              <w:pageBreakBefore w:val="0"/>
              <w:widowControl w:val="0"/>
              <w:kinsoku/>
              <w:wordWrap/>
              <w:overflowPunct/>
              <w:topLinePunct w:val="0"/>
              <w:autoSpaceDE/>
              <w:autoSpaceDN/>
              <w:bidi w:val="0"/>
              <w:spacing w:line="420" w:lineRule="exact"/>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eastAsia="zh-CN"/>
              </w:rPr>
              <w:t>未开展员工内部消防演练。</w:t>
            </w:r>
          </w:p>
        </w:tc>
        <w:tc>
          <w:tcPr>
            <w:tcW w:w="1170" w:type="dxa"/>
            <w:tcBorders>
              <w:top w:val="single" w:color="auto" w:sz="4" w:space="0"/>
              <w:left w:val="nil"/>
              <w:bottom w:val="single" w:color="auto" w:sz="4" w:space="0"/>
              <w:right w:val="single" w:color="auto" w:sz="4" w:space="0"/>
            </w:tcBorders>
            <w:noWrap w:val="0"/>
            <w:vAlign w:val="center"/>
          </w:tcPr>
          <w:p w14:paraId="1D0F5AF1">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3A0A7AC9">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7BE58570">
            <w:pPr>
              <w:rPr>
                <w:rFonts w:hint="eastAsia" w:ascii="宋体" w:hAnsi="宋体" w:eastAsia="宋体" w:cs="宋体"/>
                <w:color w:val="auto"/>
                <w:sz w:val="20"/>
                <w:szCs w:val="20"/>
                <w:highlight w:val="none"/>
              </w:rPr>
            </w:pPr>
          </w:p>
        </w:tc>
      </w:tr>
      <w:tr w14:paraId="0DB6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540" w:type="dxa"/>
            <w:vMerge w:val="restart"/>
            <w:tcBorders>
              <w:left w:val="single" w:color="auto" w:sz="4" w:space="0"/>
              <w:right w:val="single" w:color="auto" w:sz="4" w:space="0"/>
            </w:tcBorders>
            <w:noWrap w:val="0"/>
            <w:vAlign w:val="center"/>
          </w:tcPr>
          <w:p w14:paraId="532E0540">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3025" w:type="dxa"/>
            <w:vMerge w:val="restart"/>
            <w:tcBorders>
              <w:left w:val="nil"/>
              <w:right w:val="single" w:color="auto" w:sz="4" w:space="0"/>
            </w:tcBorders>
            <w:noWrap w:val="0"/>
            <w:vAlign w:val="center"/>
          </w:tcPr>
          <w:p w14:paraId="15C739C5">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供应商</w:t>
            </w:r>
            <w:r>
              <w:rPr>
                <w:rFonts w:hint="eastAsia" w:ascii="宋体" w:hAnsi="宋体" w:eastAsia="宋体" w:cs="宋体"/>
                <w:color w:val="auto"/>
                <w:sz w:val="20"/>
                <w:szCs w:val="20"/>
                <w:highlight w:val="none"/>
              </w:rPr>
              <w:t>应对</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布置的工作要求、任务予以积极响应。做到对</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布置的工作要求、任务有落实，有反馈。</w:t>
            </w:r>
          </w:p>
        </w:tc>
        <w:tc>
          <w:tcPr>
            <w:tcW w:w="750" w:type="dxa"/>
            <w:vMerge w:val="restart"/>
            <w:tcBorders>
              <w:left w:val="nil"/>
              <w:right w:val="single" w:color="auto" w:sz="4" w:space="0"/>
            </w:tcBorders>
            <w:noWrap w:val="0"/>
            <w:vAlign w:val="center"/>
          </w:tcPr>
          <w:p w14:paraId="2B097AA7">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20</w:t>
            </w:r>
          </w:p>
        </w:tc>
        <w:tc>
          <w:tcPr>
            <w:tcW w:w="2303" w:type="dxa"/>
            <w:tcBorders>
              <w:top w:val="single" w:color="auto" w:sz="4" w:space="0"/>
              <w:left w:val="nil"/>
              <w:bottom w:val="single" w:color="auto" w:sz="4" w:space="0"/>
              <w:right w:val="single" w:color="auto" w:sz="4" w:space="0"/>
            </w:tcBorders>
            <w:shd w:val="clear" w:color="auto" w:fill="auto"/>
            <w:noWrap w:val="0"/>
            <w:vAlign w:val="center"/>
          </w:tcPr>
          <w:p w14:paraId="7FA040A0">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不按时完成布置的工作</w:t>
            </w:r>
            <w:r>
              <w:rPr>
                <w:rFonts w:hint="eastAsia" w:ascii="宋体" w:hAnsi="宋体" w:eastAsia="宋体" w:cs="宋体"/>
                <w:color w:val="auto"/>
                <w:sz w:val="20"/>
                <w:szCs w:val="20"/>
                <w:highlight w:val="none"/>
                <w:lang w:eastAsia="zh-CN"/>
              </w:rPr>
              <w:t>。</w:t>
            </w:r>
          </w:p>
        </w:tc>
        <w:tc>
          <w:tcPr>
            <w:tcW w:w="1170" w:type="dxa"/>
            <w:tcBorders>
              <w:top w:val="single" w:color="auto" w:sz="4" w:space="0"/>
              <w:left w:val="nil"/>
              <w:bottom w:val="single" w:color="auto" w:sz="4" w:space="0"/>
              <w:right w:val="single" w:color="auto" w:sz="4" w:space="0"/>
            </w:tcBorders>
            <w:shd w:val="clear" w:color="auto" w:fill="auto"/>
            <w:noWrap w:val="0"/>
            <w:vAlign w:val="center"/>
          </w:tcPr>
          <w:p w14:paraId="4506895C">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分/次</w:t>
            </w:r>
          </w:p>
        </w:tc>
        <w:tc>
          <w:tcPr>
            <w:tcW w:w="889" w:type="dxa"/>
            <w:tcBorders>
              <w:top w:val="single" w:color="auto" w:sz="4" w:space="0"/>
              <w:left w:val="nil"/>
              <w:bottom w:val="single" w:color="auto" w:sz="4" w:space="0"/>
              <w:right w:val="single" w:color="auto" w:sz="4" w:space="0"/>
            </w:tcBorders>
            <w:noWrap w:val="0"/>
            <w:vAlign w:val="center"/>
          </w:tcPr>
          <w:p w14:paraId="230F0F1C">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5CE48036">
            <w:pPr>
              <w:rPr>
                <w:rFonts w:hint="eastAsia" w:ascii="宋体" w:hAnsi="宋体" w:eastAsia="宋体" w:cs="宋体"/>
                <w:color w:val="auto"/>
                <w:sz w:val="20"/>
                <w:szCs w:val="20"/>
                <w:highlight w:val="none"/>
              </w:rPr>
            </w:pPr>
          </w:p>
        </w:tc>
      </w:tr>
      <w:tr w14:paraId="6AA81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540" w:type="dxa"/>
            <w:vMerge w:val="continue"/>
            <w:tcBorders>
              <w:left w:val="single" w:color="auto" w:sz="4" w:space="0"/>
              <w:right w:val="single" w:color="auto" w:sz="4" w:space="0"/>
            </w:tcBorders>
            <w:noWrap w:val="0"/>
            <w:vAlign w:val="center"/>
          </w:tcPr>
          <w:p w14:paraId="0A950FFF">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p>
        </w:tc>
        <w:tc>
          <w:tcPr>
            <w:tcW w:w="3025" w:type="dxa"/>
            <w:vMerge w:val="continue"/>
            <w:tcBorders>
              <w:left w:val="nil"/>
              <w:right w:val="single" w:color="auto" w:sz="4" w:space="0"/>
            </w:tcBorders>
            <w:noWrap w:val="0"/>
            <w:vAlign w:val="center"/>
          </w:tcPr>
          <w:p w14:paraId="2D2B5083">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color w:val="auto"/>
                <w:sz w:val="20"/>
                <w:szCs w:val="20"/>
                <w:highlight w:val="none"/>
              </w:rPr>
            </w:pPr>
          </w:p>
        </w:tc>
        <w:tc>
          <w:tcPr>
            <w:tcW w:w="750" w:type="dxa"/>
            <w:vMerge w:val="continue"/>
            <w:tcBorders>
              <w:left w:val="nil"/>
              <w:right w:val="single" w:color="auto" w:sz="4" w:space="0"/>
            </w:tcBorders>
            <w:noWrap w:val="0"/>
            <w:vAlign w:val="center"/>
          </w:tcPr>
          <w:p w14:paraId="7985362F">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p>
        </w:tc>
        <w:tc>
          <w:tcPr>
            <w:tcW w:w="2303" w:type="dxa"/>
            <w:tcBorders>
              <w:top w:val="single" w:color="auto" w:sz="4" w:space="0"/>
              <w:left w:val="nil"/>
              <w:bottom w:val="single" w:color="auto" w:sz="4" w:space="0"/>
              <w:right w:val="single" w:color="auto" w:sz="4" w:space="0"/>
            </w:tcBorders>
            <w:shd w:val="clear" w:color="auto" w:fill="auto"/>
            <w:noWrap w:val="0"/>
            <w:vAlign w:val="center"/>
          </w:tcPr>
          <w:p w14:paraId="56C46D63">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eastAsia="宋体" w:cs="宋体"/>
                <w:color w:val="auto"/>
                <w:sz w:val="20"/>
                <w:szCs w:val="20"/>
                <w:highlight w:val="none"/>
                <w:lang w:eastAsia="zh-CN"/>
              </w:rPr>
              <w:t>。</w:t>
            </w:r>
          </w:p>
        </w:tc>
        <w:tc>
          <w:tcPr>
            <w:tcW w:w="1170" w:type="dxa"/>
            <w:tcBorders>
              <w:top w:val="single" w:color="auto" w:sz="4" w:space="0"/>
              <w:left w:val="nil"/>
              <w:bottom w:val="single" w:color="auto" w:sz="4" w:space="0"/>
              <w:right w:val="single" w:color="auto" w:sz="4" w:space="0"/>
            </w:tcBorders>
            <w:shd w:val="clear" w:color="auto" w:fill="auto"/>
            <w:noWrap w:val="0"/>
            <w:vAlign w:val="center"/>
          </w:tcPr>
          <w:p w14:paraId="1442961C">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10</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份</w:t>
            </w:r>
          </w:p>
        </w:tc>
        <w:tc>
          <w:tcPr>
            <w:tcW w:w="889" w:type="dxa"/>
            <w:tcBorders>
              <w:top w:val="single" w:color="auto" w:sz="4" w:space="0"/>
              <w:left w:val="nil"/>
              <w:bottom w:val="single" w:color="auto" w:sz="4" w:space="0"/>
              <w:right w:val="single" w:color="auto" w:sz="4" w:space="0"/>
            </w:tcBorders>
            <w:noWrap w:val="0"/>
            <w:vAlign w:val="center"/>
          </w:tcPr>
          <w:p w14:paraId="484CBDC8">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1EFB8CE5">
            <w:pPr>
              <w:rPr>
                <w:rFonts w:hint="eastAsia" w:ascii="宋体" w:hAnsi="宋体" w:eastAsia="宋体" w:cs="宋体"/>
                <w:color w:val="auto"/>
                <w:sz w:val="20"/>
                <w:szCs w:val="20"/>
                <w:highlight w:val="none"/>
              </w:rPr>
            </w:pPr>
          </w:p>
        </w:tc>
      </w:tr>
      <w:tr w14:paraId="371E1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540" w:type="dxa"/>
            <w:vMerge w:val="continue"/>
            <w:tcBorders>
              <w:left w:val="single" w:color="auto" w:sz="4" w:space="0"/>
              <w:right w:val="single" w:color="auto" w:sz="4" w:space="0"/>
            </w:tcBorders>
            <w:noWrap w:val="0"/>
            <w:vAlign w:val="center"/>
          </w:tcPr>
          <w:p w14:paraId="03747E73">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sz w:val="20"/>
                <w:szCs w:val="20"/>
                <w:highlight w:val="none"/>
                <w:lang w:val="en-US" w:eastAsia="zh-CN"/>
              </w:rPr>
            </w:pPr>
          </w:p>
        </w:tc>
        <w:tc>
          <w:tcPr>
            <w:tcW w:w="3025" w:type="dxa"/>
            <w:vMerge w:val="continue"/>
            <w:tcBorders>
              <w:left w:val="nil"/>
              <w:right w:val="single" w:color="auto" w:sz="4" w:space="0"/>
            </w:tcBorders>
            <w:noWrap w:val="0"/>
            <w:vAlign w:val="center"/>
          </w:tcPr>
          <w:p w14:paraId="6BAECF32">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auto"/>
                <w:sz w:val="20"/>
                <w:szCs w:val="20"/>
                <w:highlight w:val="none"/>
                <w:lang w:val="en-US" w:eastAsia="zh-CN"/>
              </w:rPr>
            </w:pPr>
          </w:p>
        </w:tc>
        <w:tc>
          <w:tcPr>
            <w:tcW w:w="750" w:type="dxa"/>
            <w:vMerge w:val="continue"/>
            <w:tcBorders>
              <w:left w:val="nil"/>
              <w:right w:val="single" w:color="auto" w:sz="4" w:space="0"/>
            </w:tcBorders>
            <w:noWrap w:val="0"/>
            <w:vAlign w:val="center"/>
          </w:tcPr>
          <w:p w14:paraId="6E2CDE34">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b w:val="0"/>
                <w:bCs/>
                <w:color w:val="auto"/>
                <w:sz w:val="20"/>
                <w:szCs w:val="20"/>
                <w:highlight w:val="none"/>
                <w:lang w:val="en-US" w:eastAsia="zh-CN"/>
              </w:rPr>
            </w:pPr>
          </w:p>
        </w:tc>
        <w:tc>
          <w:tcPr>
            <w:tcW w:w="2303" w:type="dxa"/>
            <w:tcBorders>
              <w:top w:val="single" w:color="auto" w:sz="4" w:space="0"/>
              <w:left w:val="nil"/>
              <w:bottom w:val="single" w:color="auto" w:sz="4" w:space="0"/>
              <w:right w:val="single" w:color="auto" w:sz="4" w:space="0"/>
            </w:tcBorders>
            <w:shd w:val="clear" w:color="auto" w:fill="auto"/>
            <w:noWrap w:val="0"/>
            <w:vAlign w:val="center"/>
          </w:tcPr>
          <w:p w14:paraId="46722AC8">
            <w:pPr>
              <w:keepNext w:val="0"/>
              <w:keepLines w:val="0"/>
              <w:pageBreakBefore w:val="0"/>
              <w:widowControl w:val="0"/>
              <w:kinsoku/>
              <w:wordWrap/>
              <w:overflowPunct/>
              <w:topLinePunct w:val="0"/>
              <w:autoSpaceDE/>
              <w:autoSpaceDN/>
              <w:bidi w:val="0"/>
              <w:spacing w:line="420" w:lineRule="exac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因工作执行不到位，对采购方照成重大不良影响，每出现一项。</w:t>
            </w:r>
          </w:p>
        </w:tc>
        <w:tc>
          <w:tcPr>
            <w:tcW w:w="1170" w:type="dxa"/>
            <w:tcBorders>
              <w:top w:val="single" w:color="auto" w:sz="4" w:space="0"/>
              <w:left w:val="nil"/>
              <w:bottom w:val="single" w:color="auto" w:sz="4" w:space="0"/>
              <w:right w:val="single" w:color="auto" w:sz="4" w:space="0"/>
            </w:tcBorders>
            <w:shd w:val="clear" w:color="auto" w:fill="auto"/>
            <w:noWrap w:val="0"/>
            <w:vAlign w:val="center"/>
          </w:tcPr>
          <w:p w14:paraId="2D17A326">
            <w:pPr>
              <w:keepNext w:val="0"/>
              <w:keepLines w:val="0"/>
              <w:pageBreakBefore w:val="0"/>
              <w:widowControl w:val="0"/>
              <w:kinsoku/>
              <w:wordWrap/>
              <w:overflowPunct/>
              <w:topLinePunct w:val="0"/>
              <w:autoSpaceDE/>
              <w:autoSpaceDN/>
              <w:bidi w:val="0"/>
              <w:spacing w:line="42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-10至-20分/项</w:t>
            </w:r>
          </w:p>
        </w:tc>
        <w:tc>
          <w:tcPr>
            <w:tcW w:w="889" w:type="dxa"/>
            <w:tcBorders>
              <w:top w:val="single" w:color="auto" w:sz="4" w:space="0"/>
              <w:left w:val="nil"/>
              <w:bottom w:val="single" w:color="auto" w:sz="4" w:space="0"/>
              <w:right w:val="single" w:color="auto" w:sz="4" w:space="0"/>
            </w:tcBorders>
            <w:noWrap w:val="0"/>
            <w:vAlign w:val="center"/>
          </w:tcPr>
          <w:p w14:paraId="5452A9EF">
            <w:pPr>
              <w:rPr>
                <w:rFonts w:hint="eastAsia" w:ascii="宋体" w:hAnsi="宋体" w:eastAsia="宋体" w:cs="宋体"/>
                <w:color w:val="auto"/>
                <w:sz w:val="20"/>
                <w:szCs w:val="20"/>
                <w:highlight w:val="none"/>
              </w:rPr>
            </w:pPr>
          </w:p>
        </w:tc>
        <w:tc>
          <w:tcPr>
            <w:tcW w:w="930" w:type="dxa"/>
            <w:tcBorders>
              <w:top w:val="single" w:color="auto" w:sz="4" w:space="0"/>
              <w:left w:val="nil"/>
              <w:bottom w:val="single" w:color="auto" w:sz="4" w:space="0"/>
              <w:right w:val="single" w:color="auto" w:sz="4" w:space="0"/>
            </w:tcBorders>
            <w:noWrap w:val="0"/>
            <w:vAlign w:val="center"/>
          </w:tcPr>
          <w:p w14:paraId="72B22F9F">
            <w:pPr>
              <w:rPr>
                <w:rFonts w:hint="eastAsia" w:ascii="宋体" w:hAnsi="宋体" w:eastAsia="宋体" w:cs="宋体"/>
                <w:color w:val="auto"/>
                <w:sz w:val="20"/>
                <w:szCs w:val="20"/>
                <w:highlight w:val="none"/>
              </w:rPr>
            </w:pPr>
          </w:p>
        </w:tc>
      </w:tr>
    </w:tbl>
    <w:tbl>
      <w:tblPr>
        <w:tblStyle w:val="16"/>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2"/>
      </w:tblGrid>
      <w:tr w14:paraId="0D90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622" w:type="dxa"/>
            <w:vAlign w:val="center"/>
          </w:tcPr>
          <w:p w14:paraId="0F9B42A6">
            <w:pPr>
              <w:pStyle w:val="18"/>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lang w:val="en-US" w:eastAsia="zh-CN"/>
              </w:rPr>
              <w:t xml:space="preserve">                                            考核得分：</w:t>
            </w:r>
          </w:p>
        </w:tc>
      </w:tr>
      <w:tr w14:paraId="70A30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2" w:type="dxa"/>
            <w:vAlign w:val="center"/>
          </w:tcPr>
          <w:p w14:paraId="5F1B52F5">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46C4F79C">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0B1E8DFF">
            <w:pP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lang w:val="en-US" w:eastAsia="zh-CN"/>
              </w:rPr>
              <w:t xml:space="preserve">                                                   日期：</w:t>
            </w:r>
          </w:p>
        </w:tc>
      </w:tr>
    </w:tbl>
    <w:p w14:paraId="2E0D7A68">
      <w:pPr>
        <w:bidi w:val="0"/>
        <w:rPr>
          <w:rFonts w:hint="eastAsia" w:ascii="宋体" w:hAnsi="宋体" w:eastAsia="宋体" w:cs="宋体"/>
          <w:b/>
          <w:bCs/>
          <w:color w:val="auto"/>
          <w:highlight w:val="none"/>
          <w:lang w:val="en-US" w:eastAsia="zh-CN"/>
        </w:rPr>
      </w:pPr>
    </w:p>
    <w:p w14:paraId="30B47C22">
      <w:pPr>
        <w:bidi w:val="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其他需要说明的事项</w:t>
      </w:r>
      <w:bookmarkEnd w:id="66"/>
      <w:bookmarkEnd w:id="67"/>
      <w:bookmarkEnd w:id="68"/>
      <w:bookmarkEnd w:id="69"/>
      <w:bookmarkEnd w:id="70"/>
      <w:bookmarkEnd w:id="71"/>
    </w:p>
    <w:p w14:paraId="37146949">
      <w:pPr>
        <w:bidi w:val="0"/>
        <w:rPr>
          <w:rFonts w:hint="default" w:ascii="宋体" w:hAnsi="宋体" w:eastAsia="宋体" w:cs="宋体"/>
          <w:b w:val="0"/>
          <w:bCs w:val="0"/>
          <w:color w:val="auto"/>
          <w:highlight w:val="none"/>
          <w:lang w:val="en-US" w:eastAsia="zh-CN"/>
        </w:rPr>
      </w:pPr>
      <w:bookmarkStart w:id="83" w:name="_Toc15006"/>
      <w:bookmarkStart w:id="84" w:name="_Toc29426"/>
      <w:bookmarkStart w:id="85" w:name="_Toc7331"/>
      <w:r>
        <w:rPr>
          <w:rFonts w:hint="eastAsia" w:ascii="宋体" w:hAnsi="宋体" w:cs="宋体"/>
          <w:b w:val="0"/>
          <w:bCs w:val="0"/>
          <w:color w:val="auto"/>
          <w:highlight w:val="none"/>
          <w:lang w:val="en-US" w:eastAsia="zh-CN"/>
        </w:rPr>
        <w:t>1.物业管理服务费用包含节假日期间办公场所内灯笼、横幅等氛围装饰物品的采购、摆放及撤场清理工作等费用</w:t>
      </w:r>
      <w:r>
        <w:rPr>
          <w:rFonts w:hint="eastAsia" w:ascii="宋体" w:hAnsi="宋体" w:eastAsia="宋体" w:cs="宋体"/>
          <w:b w:val="0"/>
          <w:bCs w:val="0"/>
          <w:color w:val="auto"/>
          <w:highlight w:val="none"/>
        </w:rPr>
        <w:t>。</w:t>
      </w:r>
      <w:r>
        <w:rPr>
          <w:rFonts w:hint="eastAsia" w:ascii="宋体" w:hAnsi="宋体" w:cs="宋体"/>
          <w:b w:val="0"/>
          <w:bCs w:val="0"/>
          <w:color w:val="auto"/>
          <w:highlight w:val="none"/>
          <w:lang w:val="en-US" w:eastAsia="zh-CN"/>
        </w:rPr>
        <w:t>合同期内物业面积调整的，以调整后的面积进行结算。</w:t>
      </w:r>
    </w:p>
    <w:p w14:paraId="00DC2227">
      <w:pPr>
        <w:bidi w:val="0"/>
        <w:rPr>
          <w:rFonts w:hint="eastAsia" w:ascii="宋体" w:hAnsi="宋体" w:eastAsia="宋体" w:cs="宋体"/>
          <w:b w:val="0"/>
          <w:bCs w:val="0"/>
          <w:color w:val="auto"/>
          <w:highlight w:val="none"/>
        </w:rPr>
      </w:pPr>
      <w:r>
        <w:rPr>
          <w:rFonts w:hint="eastAsia" w:ascii="宋体" w:hAnsi="宋体" w:cs="宋体"/>
          <w:b w:val="0"/>
          <w:bCs w:val="0"/>
          <w:color w:val="auto"/>
          <w:highlight w:val="none"/>
          <w:lang w:val="en-US" w:eastAsia="zh-CN"/>
        </w:rPr>
        <w:t>2.秩序维护费用说明：</w:t>
      </w:r>
      <w:r>
        <w:rPr>
          <w:rFonts w:hint="eastAsia" w:ascii="宋体" w:hAnsi="宋体" w:eastAsia="宋体" w:cs="宋体"/>
          <w:b w:val="0"/>
          <w:bCs w:val="0"/>
          <w:color w:val="auto"/>
          <w:highlight w:val="none"/>
        </w:rPr>
        <w:t>合同服务期内出现因采购方需要临时增加人员的情况，以及法定节假日，按以下加班费计费标准，计算加班工资：</w:t>
      </w:r>
    </w:p>
    <w:p w14:paraId="35EF4A0A">
      <w:pPr>
        <w:bidi w:val="0"/>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rPr>
        <w:t xml:space="preserve">  ①工作日加班</w:t>
      </w:r>
      <w:r>
        <w:rPr>
          <w:rFonts w:hint="eastAsia" w:ascii="宋体" w:hAnsi="宋体" w:cs="宋体"/>
          <w:b w:val="0"/>
          <w:bCs w:val="0"/>
          <w:color w:val="auto"/>
          <w:highlight w:val="none"/>
          <w:lang w:val="en-US" w:eastAsia="zh-CN"/>
        </w:rPr>
        <w:t>的，以调休为主；</w:t>
      </w:r>
    </w:p>
    <w:p w14:paraId="5AE92D82">
      <w:pPr>
        <w:bidi w:val="0"/>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rPr>
        <w:t xml:space="preserve">  ②周末加班费</w:t>
      </w:r>
      <w:r>
        <w:rPr>
          <w:rFonts w:hint="eastAsia" w:ascii="宋体" w:hAnsi="宋体" w:cs="宋体"/>
          <w:b w:val="0"/>
          <w:bCs w:val="0"/>
          <w:color w:val="auto"/>
          <w:highlight w:val="none"/>
          <w:lang w:val="en-US" w:eastAsia="zh-CN"/>
        </w:rPr>
        <w:t>的，以调休为主；</w:t>
      </w:r>
    </w:p>
    <w:p w14:paraId="108FFB2E">
      <w:pPr>
        <w:bidi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③法定节假日加班费=月最低工资标准/21.75*3.0*天数</w:t>
      </w:r>
    </w:p>
    <w:p w14:paraId="40244058">
      <w:pPr>
        <w:bidi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④每小时加班费=月最低工资标准/21.75/8</w:t>
      </w:r>
    </w:p>
    <w:p w14:paraId="1EA4EC7C">
      <w:pPr>
        <w:bidi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⑤日加班时长≥8小时，按照1天计算加班费，日加班时长＜8小时，按照加班小时计算加班费。</w:t>
      </w:r>
    </w:p>
    <w:p w14:paraId="29F8CF8C">
      <w:pPr>
        <w:bidi w:val="0"/>
        <w:ind w:firstLine="40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rPr>
        <w:t>临时增加人数及时间，以采购方书面通知为准。本加班款项为包干费用，包括服务商管理费、税金以及其他相关费用等。</w:t>
      </w:r>
    </w:p>
    <w:bookmarkEnd w:id="83"/>
    <w:p w14:paraId="2714D521">
      <w:pPr>
        <w:pStyle w:val="2"/>
        <w:ind w:firstLine="400" w:firstLineChars="200"/>
        <w:rPr>
          <w:rFonts w:hint="eastAsia"/>
          <w:color w:val="auto"/>
          <w:highlight w:val="none"/>
          <w:lang w:val="en-US" w:eastAsia="zh-CN"/>
        </w:rPr>
      </w:pPr>
      <w:r>
        <w:rPr>
          <w:rFonts w:hint="eastAsia" w:ascii="宋体" w:hAnsi="宋体" w:eastAsia="宋体" w:cs="宋体"/>
          <w:color w:val="auto"/>
          <w:sz w:val="20"/>
          <w:szCs w:val="20"/>
          <w:highlight w:val="none"/>
          <w:lang w:val="en-US" w:eastAsia="zh-CN"/>
        </w:rPr>
        <w:t>每月应付</w:t>
      </w:r>
      <w:r>
        <w:rPr>
          <w:rFonts w:hint="eastAsia" w:ascii="宋体" w:hAnsi="宋体" w:cs="宋体"/>
          <w:color w:val="auto"/>
          <w:sz w:val="20"/>
          <w:szCs w:val="20"/>
          <w:highlight w:val="none"/>
          <w:lang w:val="en-US" w:eastAsia="zh-CN"/>
        </w:rPr>
        <w:t>秩序维护</w:t>
      </w:r>
      <w:r>
        <w:rPr>
          <w:rFonts w:hint="eastAsia" w:ascii="宋体" w:hAnsi="宋体" w:eastAsia="宋体" w:cs="宋体"/>
          <w:color w:val="auto"/>
          <w:sz w:val="20"/>
          <w:szCs w:val="20"/>
          <w:highlight w:val="none"/>
          <w:lang w:val="en-US" w:eastAsia="zh-CN"/>
        </w:rPr>
        <w:t>费</w:t>
      </w:r>
      <w:r>
        <w:rPr>
          <w:rFonts w:hint="eastAsia" w:ascii="宋体" w:hAnsi="宋体" w:cs="宋体"/>
          <w:color w:val="auto"/>
          <w:sz w:val="20"/>
          <w:szCs w:val="20"/>
          <w:highlight w:val="none"/>
          <w:lang w:val="en-US" w:eastAsia="zh-CN"/>
        </w:rPr>
        <w:t>用（合同内）</w:t>
      </w:r>
      <w:r>
        <w:rPr>
          <w:rFonts w:hint="eastAsia" w:ascii="宋体" w:hAnsi="宋体" w:eastAsia="宋体" w:cs="宋体"/>
          <w:color w:val="auto"/>
          <w:sz w:val="20"/>
          <w:szCs w:val="20"/>
          <w:highlight w:val="none"/>
          <w:lang w:val="en-US" w:eastAsia="zh-CN"/>
        </w:rPr>
        <w:t>＝每月</w:t>
      </w:r>
      <w:r>
        <w:rPr>
          <w:rFonts w:hint="eastAsia" w:ascii="宋体" w:hAnsi="宋体" w:cs="宋体"/>
          <w:color w:val="auto"/>
          <w:sz w:val="20"/>
          <w:szCs w:val="20"/>
          <w:highlight w:val="none"/>
          <w:lang w:val="en-US" w:eastAsia="zh-CN"/>
        </w:rPr>
        <w:t>实际服务面积</w:t>
      </w:r>
      <w:r>
        <w:rPr>
          <w:rFonts w:hint="default" w:ascii="Arial" w:hAnsi="Arial" w:cs="Arial"/>
          <w:color w:val="auto"/>
          <w:sz w:val="20"/>
          <w:szCs w:val="20"/>
          <w:highlight w:val="none"/>
          <w:lang w:val="en-US" w:eastAsia="zh-CN"/>
        </w:rPr>
        <w:t>×</w:t>
      </w:r>
      <w:r>
        <w:rPr>
          <w:rFonts w:hint="eastAsia" w:ascii="宋体" w:hAnsi="宋体" w:cs="宋体"/>
          <w:color w:val="auto"/>
          <w:sz w:val="20"/>
          <w:szCs w:val="20"/>
          <w:highlight w:val="none"/>
          <w:lang w:val="en-US" w:eastAsia="zh-CN"/>
        </w:rPr>
        <w:t>基准价</w:t>
      </w:r>
      <w:r>
        <w:rPr>
          <w:rFonts w:hint="default" w:ascii="Arial" w:hAnsi="Arial" w:eastAsia="宋体" w:cs="Arial"/>
          <w:color w:val="auto"/>
          <w:sz w:val="20"/>
          <w:szCs w:val="20"/>
          <w:highlight w:val="none"/>
          <w:lang w:val="en-US" w:eastAsia="zh-CN"/>
        </w:rPr>
        <w:t>×</w:t>
      </w:r>
      <w:r>
        <w:rPr>
          <w:rFonts w:hint="eastAsia" w:ascii="宋体" w:hAnsi="宋体" w:eastAsia="宋体" w:cs="宋体"/>
          <w:color w:val="auto"/>
          <w:sz w:val="20"/>
          <w:szCs w:val="20"/>
          <w:highlight w:val="none"/>
          <w:lang w:val="en-US" w:eastAsia="zh-CN"/>
        </w:rPr>
        <w:t>(</w:t>
      </w:r>
      <w:r>
        <w:rPr>
          <w:rFonts w:hint="eastAsia" w:ascii="宋体" w:hAnsi="宋体" w:cs="宋体"/>
          <w:color w:val="auto"/>
          <w:sz w:val="20"/>
          <w:szCs w:val="20"/>
          <w:highlight w:val="none"/>
          <w:lang w:val="en-US" w:eastAsia="zh-CN"/>
        </w:rPr>
        <w:t>1-中标下浮率</w:t>
      </w:r>
      <w:r>
        <w:rPr>
          <w:rFonts w:hint="eastAsia" w:ascii="宋体" w:hAnsi="宋体" w:eastAsia="宋体" w:cs="宋体"/>
          <w:color w:val="auto"/>
          <w:sz w:val="20"/>
          <w:szCs w:val="20"/>
          <w:highlight w:val="none"/>
          <w:lang w:val="en-US" w:eastAsia="zh-CN"/>
        </w:rPr>
        <w:t>）－当月服务考核扣费。</w:t>
      </w:r>
    </w:p>
    <w:p w14:paraId="4817D4FF">
      <w:pPr>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br w:type="page"/>
      </w:r>
    </w:p>
    <w:p w14:paraId="56B8B018">
      <w:pPr>
        <w:rPr>
          <w:rFonts w:hint="eastAsia" w:ascii="宋体" w:hAnsi="宋体" w:eastAsia="宋体" w:cs="宋体"/>
          <w:b/>
          <w:bCs w:val="0"/>
          <w:color w:val="auto"/>
          <w:sz w:val="20"/>
          <w:szCs w:val="20"/>
          <w:highlight w:val="none"/>
          <w:lang w:val="en-US" w:eastAsia="zh-CN"/>
        </w:rPr>
      </w:pPr>
    </w:p>
    <w:p w14:paraId="4837F5EF">
      <w:pPr>
        <w:pStyle w:val="4"/>
        <w:keepNext/>
        <w:keepLines/>
        <w:pageBreakBefore w:val="0"/>
        <w:widowControl w:val="0"/>
        <w:kinsoku/>
        <w:wordWrap/>
        <w:overflowPunct/>
        <w:topLinePunct w:val="0"/>
        <w:autoSpaceDE/>
        <w:autoSpaceDN/>
        <w:bidi w:val="0"/>
        <w:adjustRightInd/>
        <w:snapToGrid/>
        <w:spacing w:before="0" w:after="0" w:line="580" w:lineRule="exact"/>
        <w:ind w:firstLine="201" w:firstLineChars="100"/>
        <w:jc w:val="center"/>
        <w:textAlignment w:val="auto"/>
        <w:outlineLvl w:val="1"/>
        <w:rPr>
          <w:rFonts w:hint="default" w:ascii="宋体" w:hAnsi="宋体" w:eastAsia="宋体" w:cs="宋体"/>
          <w:b/>
          <w:bCs w:val="0"/>
          <w:color w:val="auto"/>
          <w:sz w:val="20"/>
          <w:szCs w:val="20"/>
          <w:highlight w:val="none"/>
          <w:lang w:val="en-US" w:eastAsia="zh-CN"/>
        </w:rPr>
      </w:pPr>
      <w:bookmarkStart w:id="86" w:name="_Toc24615"/>
      <w:bookmarkStart w:id="87" w:name="_Toc32332"/>
      <w:r>
        <w:rPr>
          <w:rFonts w:hint="eastAsia" w:ascii="宋体" w:hAnsi="宋体" w:eastAsia="宋体" w:cs="宋体"/>
          <w:b/>
          <w:bCs w:val="0"/>
          <w:color w:val="auto"/>
          <w:sz w:val="20"/>
          <w:szCs w:val="20"/>
          <w:highlight w:val="none"/>
          <w:lang w:val="en-US" w:eastAsia="zh-CN"/>
        </w:rPr>
        <w:t>（二）车辆驾驶业务外委服务</w:t>
      </w:r>
      <w:r>
        <w:rPr>
          <w:rFonts w:hint="eastAsia" w:ascii="宋体" w:hAnsi="宋体" w:cs="宋体"/>
          <w:b/>
          <w:bCs w:val="0"/>
          <w:color w:val="auto"/>
          <w:sz w:val="20"/>
          <w:szCs w:val="20"/>
          <w:highlight w:val="none"/>
          <w:lang w:val="en-US" w:eastAsia="zh-CN"/>
        </w:rPr>
        <w:t>项目</w:t>
      </w:r>
      <w:bookmarkEnd w:id="86"/>
      <w:bookmarkEnd w:id="87"/>
      <w:r>
        <w:rPr>
          <w:rFonts w:hint="eastAsia" w:ascii="宋体" w:hAnsi="宋体" w:cs="宋体"/>
          <w:b/>
          <w:bCs w:val="0"/>
          <w:color w:val="auto"/>
          <w:sz w:val="20"/>
          <w:szCs w:val="20"/>
          <w:highlight w:val="none"/>
          <w:lang w:val="en-US" w:eastAsia="zh-CN"/>
        </w:rPr>
        <w:t xml:space="preserve"> </w:t>
      </w:r>
    </w:p>
    <w:p w14:paraId="356EFEFB">
      <w:pPr>
        <w:bidi w:val="0"/>
        <w:rPr>
          <w:rFonts w:hint="eastAsia"/>
          <w:b/>
          <w:bCs/>
          <w:highlight w:val="none"/>
          <w:lang w:val="en-US" w:eastAsia="zh-CN"/>
        </w:rPr>
      </w:pPr>
    </w:p>
    <w:p w14:paraId="4627DB51">
      <w:pPr>
        <w:bidi w:val="0"/>
        <w:rPr>
          <w:rFonts w:hint="eastAsia"/>
          <w:b/>
          <w:bCs/>
          <w:highlight w:val="none"/>
          <w:lang w:val="en-US" w:eastAsia="zh-CN"/>
        </w:rPr>
      </w:pPr>
    </w:p>
    <w:p w14:paraId="1C90DA29">
      <w:pPr>
        <w:bidi w:val="0"/>
        <w:rPr>
          <w:rFonts w:hint="eastAsia"/>
          <w:b/>
          <w:bCs/>
          <w:highlight w:val="none"/>
        </w:rPr>
      </w:pPr>
      <w:r>
        <w:rPr>
          <w:rFonts w:hint="eastAsia"/>
          <w:b/>
          <w:bCs/>
          <w:highlight w:val="none"/>
          <w:lang w:val="en-US" w:eastAsia="zh-CN"/>
        </w:rPr>
        <w:t>1.</w:t>
      </w:r>
      <w:r>
        <w:rPr>
          <w:rFonts w:hint="eastAsia"/>
          <w:b/>
          <w:bCs/>
          <w:highlight w:val="none"/>
        </w:rPr>
        <w:t>项目服务标准及要求</w:t>
      </w:r>
    </w:p>
    <w:p w14:paraId="28D9DBD7">
      <w:pPr>
        <w:bidi w:val="0"/>
        <w:ind w:firstLine="402" w:firstLineChars="200"/>
        <w:rPr>
          <w:rFonts w:hint="eastAsia"/>
          <w:b/>
          <w:bCs/>
          <w:highlight w:val="none"/>
        </w:rPr>
      </w:pPr>
      <w:bookmarkStart w:id="88" w:name="_Toc20267"/>
      <w:bookmarkStart w:id="89" w:name="_Toc2338"/>
      <w:bookmarkStart w:id="90" w:name="_Toc23331"/>
      <w:bookmarkStart w:id="91" w:name="_Toc19788"/>
      <w:r>
        <w:rPr>
          <w:rFonts w:hint="eastAsia"/>
          <w:b/>
          <w:bCs/>
          <w:highlight w:val="none"/>
          <w:lang w:val="en-US" w:eastAsia="zh-CN"/>
        </w:rPr>
        <w:t>1.1</w:t>
      </w:r>
      <w:r>
        <w:rPr>
          <w:rFonts w:hint="eastAsia"/>
          <w:b/>
          <w:bCs/>
          <w:highlight w:val="none"/>
        </w:rPr>
        <w:t>项目服务标准</w:t>
      </w:r>
      <w:bookmarkEnd w:id="88"/>
      <w:bookmarkEnd w:id="89"/>
      <w:bookmarkEnd w:id="90"/>
      <w:bookmarkEnd w:id="91"/>
    </w:p>
    <w:p w14:paraId="07A1B9C6">
      <w:pPr>
        <w:bidi w:val="0"/>
        <w:ind w:firstLine="400" w:firstLineChars="200"/>
        <w:rPr>
          <w:rFonts w:hint="eastAsia" w:ascii="宋体" w:hAnsi="宋体" w:eastAsia="宋体" w:cs="宋体"/>
          <w:highlight w:val="none"/>
        </w:rPr>
      </w:pPr>
      <w:bookmarkStart w:id="92" w:name="_Toc6041"/>
      <w:bookmarkStart w:id="93" w:name="_Toc28773"/>
      <w:bookmarkStart w:id="94" w:name="_Toc6099"/>
      <w:bookmarkStart w:id="95" w:name="_Toc29735"/>
      <w:r>
        <w:rPr>
          <w:rFonts w:hint="eastAsia" w:ascii="宋体" w:hAnsi="宋体" w:eastAsia="宋体" w:cs="宋体"/>
          <w:highlight w:val="none"/>
        </w:rPr>
        <w:t>服务商在提供服务时，需按照如下标准执行，如国家颁布新的标准时，应按最新的条款执行。</w:t>
      </w:r>
      <w:bookmarkEnd w:id="92"/>
      <w:bookmarkEnd w:id="93"/>
      <w:bookmarkEnd w:id="94"/>
      <w:bookmarkEnd w:id="95"/>
    </w:p>
    <w:tbl>
      <w:tblPr>
        <w:tblStyle w:val="16"/>
        <w:tblW w:w="8397"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7343"/>
      </w:tblGrid>
      <w:tr w14:paraId="5098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1054" w:type="dxa"/>
            <w:noWrap w:val="0"/>
            <w:vAlign w:val="center"/>
          </w:tcPr>
          <w:p w14:paraId="514D526C">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7343" w:type="dxa"/>
            <w:noWrap w:val="0"/>
            <w:vAlign w:val="center"/>
          </w:tcPr>
          <w:p w14:paraId="57D2CF3B">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相关标准</w:t>
            </w:r>
          </w:p>
        </w:tc>
      </w:tr>
      <w:tr w14:paraId="39C4A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57E39F61">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1</w:t>
            </w:r>
          </w:p>
        </w:tc>
        <w:tc>
          <w:tcPr>
            <w:tcW w:w="7343" w:type="dxa"/>
            <w:noWrap w:val="0"/>
            <w:vAlign w:val="center"/>
          </w:tcPr>
          <w:p w14:paraId="12D96295">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《机动车驾驶人安全文明操作规范》 （GA/T 1773.1-2021）</w:t>
            </w:r>
          </w:p>
        </w:tc>
      </w:tr>
      <w:tr w14:paraId="16D3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44B455CB">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2</w:t>
            </w:r>
          </w:p>
        </w:tc>
        <w:tc>
          <w:tcPr>
            <w:tcW w:w="7343" w:type="dxa"/>
            <w:noWrap w:val="0"/>
            <w:vAlign w:val="center"/>
          </w:tcPr>
          <w:p w14:paraId="0CE35D0F">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《中华人民共和国道路运输条例》</w:t>
            </w:r>
          </w:p>
        </w:tc>
      </w:tr>
      <w:tr w14:paraId="598BC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456D7E9C">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3</w:t>
            </w:r>
          </w:p>
        </w:tc>
        <w:tc>
          <w:tcPr>
            <w:tcW w:w="7343" w:type="dxa"/>
            <w:noWrap w:val="0"/>
            <w:vAlign w:val="center"/>
          </w:tcPr>
          <w:p w14:paraId="2E097000">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《中华人民共和国道路交通安全法》</w:t>
            </w:r>
          </w:p>
        </w:tc>
      </w:tr>
      <w:tr w14:paraId="55955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4CE4F02C">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4</w:t>
            </w:r>
          </w:p>
        </w:tc>
        <w:tc>
          <w:tcPr>
            <w:tcW w:w="7343" w:type="dxa"/>
            <w:noWrap w:val="0"/>
            <w:vAlign w:val="center"/>
          </w:tcPr>
          <w:p w14:paraId="5DD68193">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《机动车驾驶证申领和使用规定》</w:t>
            </w:r>
          </w:p>
        </w:tc>
      </w:tr>
      <w:tr w14:paraId="5742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68542447">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5</w:t>
            </w:r>
          </w:p>
        </w:tc>
        <w:tc>
          <w:tcPr>
            <w:tcW w:w="7343" w:type="dxa"/>
            <w:noWrap w:val="0"/>
            <w:vAlign w:val="center"/>
          </w:tcPr>
          <w:p w14:paraId="7E55BF99">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《商用车驾驶室乘员保护》</w:t>
            </w:r>
          </w:p>
        </w:tc>
      </w:tr>
      <w:tr w14:paraId="6700C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0180E506">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6</w:t>
            </w:r>
          </w:p>
        </w:tc>
        <w:tc>
          <w:tcPr>
            <w:tcW w:w="7343" w:type="dxa"/>
            <w:noWrap w:val="0"/>
            <w:vAlign w:val="center"/>
          </w:tcPr>
          <w:p w14:paraId="763BD886">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《机动车维修管理规定》（交通运输部令2021年第18号））</w:t>
            </w:r>
          </w:p>
        </w:tc>
      </w:tr>
      <w:tr w14:paraId="1FC12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6E3FBCFD">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7</w:t>
            </w:r>
          </w:p>
        </w:tc>
        <w:tc>
          <w:tcPr>
            <w:tcW w:w="7343" w:type="dxa"/>
            <w:noWrap w:val="0"/>
            <w:vAlign w:val="center"/>
          </w:tcPr>
          <w:p w14:paraId="574654BB">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《道路运输车辆技术管理规定》（交通运输部令2023年第3号）</w:t>
            </w:r>
          </w:p>
        </w:tc>
      </w:tr>
      <w:tr w14:paraId="0E5B6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2704E8A7">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8</w:t>
            </w:r>
          </w:p>
        </w:tc>
        <w:tc>
          <w:tcPr>
            <w:tcW w:w="7343" w:type="dxa"/>
            <w:noWrap w:val="0"/>
            <w:vAlign w:val="center"/>
          </w:tcPr>
          <w:p w14:paraId="5D901D72">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《机动车安全技术检验项目和方法》（GB 38900-2020）</w:t>
            </w:r>
          </w:p>
        </w:tc>
      </w:tr>
      <w:tr w14:paraId="669F1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11EFD094">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9</w:t>
            </w:r>
          </w:p>
        </w:tc>
        <w:tc>
          <w:tcPr>
            <w:tcW w:w="7343" w:type="dxa"/>
            <w:noWrap w:val="0"/>
            <w:vAlign w:val="center"/>
          </w:tcPr>
          <w:p w14:paraId="5A61D822">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《道路旅客运输企业安全管理规范》交运发〔2018〕55号</w:t>
            </w:r>
          </w:p>
        </w:tc>
      </w:tr>
      <w:tr w14:paraId="20BF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107E8D4A">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10</w:t>
            </w:r>
          </w:p>
        </w:tc>
        <w:tc>
          <w:tcPr>
            <w:tcW w:w="7343" w:type="dxa"/>
            <w:noWrap w:val="0"/>
            <w:vAlign w:val="center"/>
          </w:tcPr>
          <w:p w14:paraId="4C7914B1">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《道路旅客运输及客运站管理规定》（交通运输部令2020年第17号）</w:t>
            </w:r>
          </w:p>
        </w:tc>
      </w:tr>
      <w:tr w14:paraId="7F8F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054" w:type="dxa"/>
            <w:noWrap w:val="0"/>
            <w:vAlign w:val="center"/>
          </w:tcPr>
          <w:p w14:paraId="07A83045">
            <w:pPr>
              <w:keepNext/>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vertAlign w:val="baseline"/>
                <w:lang w:val="en-US" w:eastAsia="zh-CN"/>
              </w:rPr>
              <w:t>11</w:t>
            </w:r>
          </w:p>
        </w:tc>
        <w:tc>
          <w:tcPr>
            <w:tcW w:w="7343" w:type="dxa"/>
            <w:noWrap w:val="0"/>
            <w:vAlign w:val="center"/>
          </w:tcPr>
          <w:p w14:paraId="57AE2121">
            <w:pPr>
              <w:keepNext/>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《道路交通管理机动车类型》GA 802-2019</w:t>
            </w:r>
          </w:p>
        </w:tc>
      </w:tr>
    </w:tbl>
    <w:p w14:paraId="0BF89B38">
      <w:pPr>
        <w:rPr>
          <w:rFonts w:hint="eastAsia"/>
          <w:sz w:val="20"/>
          <w:szCs w:val="20"/>
          <w:highlight w:val="none"/>
        </w:rPr>
      </w:pPr>
    </w:p>
    <w:p w14:paraId="4F6E33A8">
      <w:pPr>
        <w:bidi w:val="0"/>
        <w:ind w:firstLine="402" w:firstLineChars="200"/>
        <w:rPr>
          <w:rFonts w:hint="eastAsia"/>
          <w:b/>
          <w:bCs/>
          <w:highlight w:val="none"/>
        </w:rPr>
      </w:pPr>
      <w:bookmarkStart w:id="96" w:name="_Toc7737"/>
      <w:bookmarkStart w:id="97" w:name="_Toc17130"/>
      <w:bookmarkStart w:id="98" w:name="_Toc22988"/>
      <w:bookmarkStart w:id="99" w:name="_Toc23713"/>
      <w:r>
        <w:rPr>
          <w:rFonts w:hint="eastAsia"/>
          <w:b/>
          <w:bCs/>
          <w:highlight w:val="none"/>
          <w:lang w:val="en-US" w:eastAsia="zh-CN"/>
        </w:rPr>
        <w:t>1.2</w:t>
      </w:r>
      <w:r>
        <w:rPr>
          <w:rFonts w:hint="eastAsia"/>
          <w:b/>
          <w:bCs/>
          <w:highlight w:val="none"/>
        </w:rPr>
        <w:t>项目服务要求</w:t>
      </w:r>
      <w:bookmarkEnd w:id="96"/>
      <w:bookmarkEnd w:id="97"/>
      <w:bookmarkEnd w:id="98"/>
      <w:bookmarkEnd w:id="99"/>
    </w:p>
    <w:p w14:paraId="4955EBCA">
      <w:pPr>
        <w:bidi w:val="0"/>
        <w:ind w:firstLine="400" w:firstLineChars="200"/>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1.2.1合同实施前，服务商应对采购方的具体状况进行全面摸查和调查，根据摸查情况，应指派专人进行对接。</w:t>
      </w:r>
    </w:p>
    <w:p w14:paraId="3071BF24">
      <w:pPr>
        <w:bidi w:val="0"/>
        <w:ind w:firstLine="400" w:firstLineChars="200"/>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1.2.2为保证工作正常有序开展，服务商必须按照采购方的要求执行，按时按质地提供相关服务。</w:t>
      </w:r>
    </w:p>
    <w:p w14:paraId="3CB64217">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1.2.3服务商应提供24小时的响应接收渠道（热线电话、微信、传真、电子邮件等）。采购方在提出需求后，服务商应在1小时内作出响应，并派出专业的服务人员按采购方的时间要求提供服务。如果未能按规定时间内提供服务的，应与采购方协商解决。</w:t>
      </w:r>
    </w:p>
    <w:p w14:paraId="47237CF8">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1.2.4如遇到不能及时解决的紧急事情，服务商在不影响采购方正常工作的前提下应提供解决建议和解决方案，经采购方同意后作为临时应急措施进行实施。</w:t>
      </w:r>
    </w:p>
    <w:p w14:paraId="7157965C">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1.2.5服务期间，服务商根据采购方要求填写服务活动记录表，并经采购方值班人员或管理员核实签字认可,作为结算的重要依据。</w:t>
      </w:r>
    </w:p>
    <w:p w14:paraId="7058E05F">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1.2.6服务商负责制定服务范围内紧急事件的工作预案，经服务商和采购方双方审定后由服务商组织实施；在发生紧急事件时，服务商须立即委派经应急培训后合格的人员妥善处理。</w:t>
      </w:r>
    </w:p>
    <w:p w14:paraId="386F22F6">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1.2.7服务商应根据项目需求配备专业的服务人员，服务人员应具备项目所需的丰富经验，且应持有国家法规和行业要求的相关的资质证书、从业资格证等。</w:t>
      </w:r>
    </w:p>
    <w:p w14:paraId="556522F7">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1.2.8服务商应配备足够的可随时调遣的后备服务人员，以便随时响应采购方的临时及紧急的工作安排，后备人员也应具备相应的资质证书、从业资格证等。</w:t>
      </w:r>
    </w:p>
    <w:p w14:paraId="56E3D446">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1.2.9服务商应建立规范的档案管理制度，设立专人负责妥善保管和正确使用本合同范围内档案资料。</w:t>
      </w:r>
    </w:p>
    <w:p w14:paraId="4A03074B">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1.2.10服务商加强人员管理，合理安排人员，保障项目服务的工作进度。确因不可抗力影响项目服务实施，需与采购人协商修订项目服务实施计划，达成一致后执行。</w:t>
      </w:r>
    </w:p>
    <w:p w14:paraId="2A26ACFE">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1.2.11根据采购方的需求，提供在服务范围内的相关指导或培训，使采购方相关人员能掌握对应的基础知识或操作方法。</w:t>
      </w:r>
    </w:p>
    <w:p w14:paraId="71850BD8">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1.2.12服务商必须建立健全严格的安全管理制度。在服务期间，服务商应负责落实现场安全防护措施，建立可靠的安全防护措施，保证安全作业。如因非采购方原因导致的安全问题，由服务商承担责任，并按国家法律法规及相关要求进行赔偿。</w:t>
      </w:r>
    </w:p>
    <w:p w14:paraId="16ED488D">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1.2.13服务商应严格遵守有关法律法规和采购方内部规章制度，不得擅自翻阅、复制、传播所接触的资料或数据，禁止窥窃采购方任何信息。服务商应对采购方作出保密承诺，并负责约束有关员工的保密工作。</w:t>
      </w:r>
    </w:p>
    <w:p w14:paraId="61979017">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1.2.14服务商应建立健全的各项规章制度，提高服务管理水平（包含但不限于安全生产责任及管理制度、质量安全及事故呈报与处理制度、回访制度等）。</w:t>
      </w:r>
    </w:p>
    <w:p w14:paraId="4C3E2A7C">
      <w:pPr>
        <w:bidi w:val="0"/>
        <w:ind w:firstLine="402" w:firstLineChars="200"/>
        <w:rPr>
          <w:rFonts w:hint="eastAsia" w:ascii="宋体" w:hAnsi="宋体" w:eastAsia="宋体" w:cs="宋体"/>
          <w:b/>
          <w:bCs/>
          <w:highlight w:val="none"/>
          <w:lang w:val="en-US" w:eastAsia="zh-CN"/>
        </w:rPr>
      </w:pPr>
    </w:p>
    <w:p w14:paraId="31469877">
      <w:pPr>
        <w:bidi w:val="0"/>
        <w:ind w:firstLine="402" w:firstLineChars="20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2.服务达标要求</w:t>
      </w:r>
    </w:p>
    <w:p w14:paraId="2A1E485F">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ind w:left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2.1车辆驾驶业务外委服务</w:t>
      </w:r>
      <w:r>
        <w:rPr>
          <w:rFonts w:hint="eastAsia" w:ascii="宋体" w:hAnsi="宋体" w:eastAsia="宋体" w:cs="宋体"/>
          <w:b w:val="0"/>
          <w:bCs w:val="0"/>
          <w:color w:val="auto"/>
          <w:sz w:val="20"/>
          <w:szCs w:val="20"/>
          <w:highlight w:val="none"/>
          <w:lang w:val="en-US" w:eastAsia="zh-CN"/>
        </w:rPr>
        <w:t>达标要求</w:t>
      </w:r>
    </w:p>
    <w:tbl>
      <w:tblPr>
        <w:tblStyle w:val="15"/>
        <w:tblW w:w="8458" w:type="dxa"/>
        <w:tblInd w:w="-23" w:type="dxa"/>
        <w:tblLayout w:type="fixed"/>
        <w:tblCellMar>
          <w:top w:w="0" w:type="dxa"/>
          <w:left w:w="108" w:type="dxa"/>
          <w:bottom w:w="0" w:type="dxa"/>
          <w:right w:w="108" w:type="dxa"/>
        </w:tblCellMar>
      </w:tblPr>
      <w:tblGrid>
        <w:gridCol w:w="1601"/>
        <w:gridCol w:w="3777"/>
        <w:gridCol w:w="3080"/>
      </w:tblGrid>
      <w:tr w14:paraId="1BCD40C1">
        <w:tblPrEx>
          <w:tblCellMar>
            <w:top w:w="0" w:type="dxa"/>
            <w:left w:w="108" w:type="dxa"/>
            <w:bottom w:w="0" w:type="dxa"/>
            <w:right w:w="108" w:type="dxa"/>
          </w:tblCellMar>
        </w:tblPrEx>
        <w:trPr>
          <w:trHeight w:val="23" w:hRule="atLeast"/>
        </w:trPr>
        <w:tc>
          <w:tcPr>
            <w:tcW w:w="1601" w:type="dxa"/>
            <w:tcBorders>
              <w:top w:val="single" w:color="auto" w:sz="8" w:space="0"/>
              <w:left w:val="single" w:color="auto" w:sz="8" w:space="0"/>
              <w:bottom w:val="single" w:color="auto" w:sz="4" w:space="0"/>
              <w:right w:val="single" w:color="auto" w:sz="8" w:space="0"/>
            </w:tcBorders>
            <w:noWrap w:val="0"/>
            <w:vAlign w:val="center"/>
          </w:tcPr>
          <w:p w14:paraId="4892A966">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序号</w:t>
            </w:r>
          </w:p>
        </w:tc>
        <w:tc>
          <w:tcPr>
            <w:tcW w:w="3777" w:type="dxa"/>
            <w:tcBorders>
              <w:top w:val="single" w:color="auto" w:sz="8" w:space="0"/>
              <w:left w:val="nil"/>
              <w:bottom w:val="single" w:color="auto" w:sz="4" w:space="0"/>
              <w:right w:val="single" w:color="auto" w:sz="8" w:space="0"/>
            </w:tcBorders>
            <w:noWrap w:val="0"/>
            <w:vAlign w:val="center"/>
          </w:tcPr>
          <w:p w14:paraId="16D13D90">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项       目</w:t>
            </w:r>
          </w:p>
        </w:tc>
        <w:tc>
          <w:tcPr>
            <w:tcW w:w="3080" w:type="dxa"/>
            <w:tcBorders>
              <w:top w:val="single" w:color="auto" w:sz="8" w:space="0"/>
              <w:left w:val="nil"/>
              <w:bottom w:val="single" w:color="auto" w:sz="4" w:space="0"/>
              <w:right w:val="single" w:color="auto" w:sz="8" w:space="0"/>
            </w:tcBorders>
            <w:noWrap w:val="0"/>
            <w:vAlign w:val="center"/>
          </w:tcPr>
          <w:p w14:paraId="361A43EA">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要求达到标准</w:t>
            </w:r>
          </w:p>
        </w:tc>
      </w:tr>
      <w:tr w14:paraId="7B1030BD">
        <w:tblPrEx>
          <w:tblCellMar>
            <w:top w:w="0" w:type="dxa"/>
            <w:left w:w="108" w:type="dxa"/>
            <w:bottom w:w="0" w:type="dxa"/>
            <w:right w:w="108" w:type="dxa"/>
          </w:tblCellMar>
        </w:tblPrEx>
        <w:trPr>
          <w:trHeight w:val="23" w:hRule="atLeast"/>
        </w:trPr>
        <w:tc>
          <w:tcPr>
            <w:tcW w:w="1601" w:type="dxa"/>
            <w:tcBorders>
              <w:top w:val="single" w:color="auto" w:sz="4" w:space="0"/>
              <w:left w:val="single" w:color="auto" w:sz="4" w:space="0"/>
              <w:bottom w:val="single" w:color="auto" w:sz="4" w:space="0"/>
              <w:right w:val="single" w:color="auto" w:sz="4" w:space="0"/>
            </w:tcBorders>
            <w:noWrap w:val="0"/>
            <w:vAlign w:val="center"/>
          </w:tcPr>
          <w:p w14:paraId="5BB9CDE3">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1</w:t>
            </w:r>
          </w:p>
        </w:tc>
        <w:tc>
          <w:tcPr>
            <w:tcW w:w="3777" w:type="dxa"/>
            <w:tcBorders>
              <w:top w:val="single" w:color="auto" w:sz="4" w:space="0"/>
              <w:left w:val="single" w:color="auto" w:sz="4" w:space="0"/>
              <w:bottom w:val="single" w:color="auto" w:sz="4" w:space="0"/>
              <w:right w:val="single" w:color="auto" w:sz="4" w:space="0"/>
            </w:tcBorders>
            <w:noWrap w:val="0"/>
            <w:vAlign w:val="center"/>
          </w:tcPr>
          <w:p w14:paraId="61D25869">
            <w:pPr>
              <w:widowControl/>
              <w:spacing w:line="360" w:lineRule="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负主要责任交通事故发生率</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78066DDF">
            <w:pPr>
              <w:widowControl/>
              <w:spacing w:line="360" w:lineRule="auto"/>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0</w:t>
            </w:r>
          </w:p>
        </w:tc>
      </w:tr>
      <w:tr w14:paraId="1DCCC47B">
        <w:tblPrEx>
          <w:tblCellMar>
            <w:top w:w="0" w:type="dxa"/>
            <w:left w:w="108" w:type="dxa"/>
            <w:bottom w:w="0" w:type="dxa"/>
            <w:right w:w="108" w:type="dxa"/>
          </w:tblCellMar>
        </w:tblPrEx>
        <w:trPr>
          <w:trHeight w:val="23" w:hRule="atLeast"/>
        </w:trPr>
        <w:tc>
          <w:tcPr>
            <w:tcW w:w="1601" w:type="dxa"/>
            <w:tcBorders>
              <w:top w:val="single" w:color="auto" w:sz="4" w:space="0"/>
              <w:left w:val="single" w:color="auto" w:sz="4" w:space="0"/>
              <w:bottom w:val="single" w:color="auto" w:sz="4" w:space="0"/>
              <w:right w:val="single" w:color="auto" w:sz="4" w:space="0"/>
            </w:tcBorders>
            <w:noWrap w:val="0"/>
            <w:vAlign w:val="center"/>
          </w:tcPr>
          <w:p w14:paraId="6F7531C3">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2</w:t>
            </w:r>
          </w:p>
        </w:tc>
        <w:tc>
          <w:tcPr>
            <w:tcW w:w="3777" w:type="dxa"/>
            <w:tcBorders>
              <w:top w:val="single" w:color="auto" w:sz="4" w:space="0"/>
              <w:left w:val="single" w:color="auto" w:sz="4" w:space="0"/>
              <w:bottom w:val="single" w:color="auto" w:sz="4" w:space="0"/>
              <w:right w:val="single" w:color="auto" w:sz="4" w:space="0"/>
            </w:tcBorders>
            <w:noWrap w:val="0"/>
            <w:vAlign w:val="center"/>
          </w:tcPr>
          <w:p w14:paraId="41C3452C">
            <w:pPr>
              <w:widowControl/>
              <w:spacing w:line="360" w:lineRule="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人员伤亡交通事故发生率</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5D5E36C6">
            <w:pPr>
              <w:widowControl/>
              <w:spacing w:line="360" w:lineRule="auto"/>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0</w:t>
            </w:r>
          </w:p>
        </w:tc>
      </w:tr>
      <w:tr w14:paraId="2748345E">
        <w:tblPrEx>
          <w:tblCellMar>
            <w:top w:w="0" w:type="dxa"/>
            <w:left w:w="108" w:type="dxa"/>
            <w:bottom w:w="0" w:type="dxa"/>
            <w:right w:w="108" w:type="dxa"/>
          </w:tblCellMar>
        </w:tblPrEx>
        <w:trPr>
          <w:trHeight w:val="23" w:hRule="atLeast"/>
        </w:trPr>
        <w:tc>
          <w:tcPr>
            <w:tcW w:w="1601" w:type="dxa"/>
            <w:tcBorders>
              <w:top w:val="single" w:color="auto" w:sz="4" w:space="0"/>
              <w:left w:val="single" w:color="auto" w:sz="4" w:space="0"/>
              <w:bottom w:val="single" w:color="auto" w:sz="4" w:space="0"/>
              <w:right w:val="single" w:color="auto" w:sz="4" w:space="0"/>
            </w:tcBorders>
            <w:noWrap w:val="0"/>
            <w:vAlign w:val="center"/>
          </w:tcPr>
          <w:p w14:paraId="4718C036">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3</w:t>
            </w:r>
          </w:p>
        </w:tc>
        <w:tc>
          <w:tcPr>
            <w:tcW w:w="3777" w:type="dxa"/>
            <w:tcBorders>
              <w:top w:val="single" w:color="auto" w:sz="4" w:space="0"/>
              <w:left w:val="single" w:color="auto" w:sz="4" w:space="0"/>
              <w:bottom w:val="single" w:color="auto" w:sz="4" w:space="0"/>
              <w:right w:val="single" w:color="auto" w:sz="4" w:space="0"/>
            </w:tcBorders>
            <w:noWrap w:val="0"/>
            <w:vAlign w:val="center"/>
          </w:tcPr>
          <w:p w14:paraId="4DC17C6D">
            <w:pPr>
              <w:widowControl/>
              <w:spacing w:line="360" w:lineRule="auto"/>
              <w:jc w:val="both"/>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rPr>
              <w:t>驾驶</w:t>
            </w:r>
            <w:r>
              <w:rPr>
                <w:rFonts w:hint="eastAsia" w:ascii="宋体" w:hAnsi="宋体" w:eastAsia="宋体" w:cs="宋体"/>
                <w:color w:val="auto"/>
                <w:kern w:val="0"/>
                <w:sz w:val="20"/>
                <w:szCs w:val="20"/>
                <w:highlight w:val="none"/>
              </w:rPr>
              <w:t>人员上岗持证</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驾驶证</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率</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493D0DE1">
            <w:pPr>
              <w:widowControl/>
              <w:spacing w:line="360" w:lineRule="auto"/>
              <w:ind w:firstLine="1200" w:firstLineChars="600"/>
              <w:jc w:val="both"/>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rPr>
              <w:t>100%</w:t>
            </w:r>
          </w:p>
        </w:tc>
      </w:tr>
      <w:tr w14:paraId="4979E70E">
        <w:tblPrEx>
          <w:tblCellMar>
            <w:top w:w="0" w:type="dxa"/>
            <w:left w:w="108" w:type="dxa"/>
            <w:bottom w:w="0" w:type="dxa"/>
            <w:right w:w="108" w:type="dxa"/>
          </w:tblCellMar>
        </w:tblPrEx>
        <w:trPr>
          <w:trHeight w:val="23" w:hRule="atLeast"/>
        </w:trPr>
        <w:tc>
          <w:tcPr>
            <w:tcW w:w="1601" w:type="dxa"/>
            <w:tcBorders>
              <w:top w:val="single" w:color="auto" w:sz="4" w:space="0"/>
              <w:left w:val="single" w:color="auto" w:sz="4" w:space="0"/>
              <w:bottom w:val="single" w:color="auto" w:sz="4" w:space="0"/>
              <w:right w:val="single" w:color="auto" w:sz="4" w:space="0"/>
            </w:tcBorders>
            <w:noWrap w:val="0"/>
            <w:vAlign w:val="center"/>
          </w:tcPr>
          <w:p w14:paraId="1152C8D8">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4</w:t>
            </w:r>
          </w:p>
        </w:tc>
        <w:tc>
          <w:tcPr>
            <w:tcW w:w="3777" w:type="dxa"/>
            <w:tcBorders>
              <w:top w:val="single" w:color="auto" w:sz="4" w:space="0"/>
              <w:left w:val="single" w:color="auto" w:sz="4" w:space="0"/>
              <w:bottom w:val="single" w:color="auto" w:sz="4" w:space="0"/>
              <w:right w:val="single" w:color="auto" w:sz="4" w:space="0"/>
            </w:tcBorders>
            <w:noWrap w:val="0"/>
            <w:vAlign w:val="center"/>
          </w:tcPr>
          <w:p w14:paraId="6C4F67F1">
            <w:pPr>
              <w:widowControl/>
              <w:spacing w:line="360" w:lineRule="auto"/>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驾驶人员培训合格率</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2C9A81E9">
            <w:pPr>
              <w:widowControl/>
              <w:spacing w:line="360" w:lineRule="auto"/>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100%</w:t>
            </w:r>
          </w:p>
        </w:tc>
      </w:tr>
      <w:tr w14:paraId="5E0ED16A">
        <w:tblPrEx>
          <w:tblCellMar>
            <w:top w:w="0" w:type="dxa"/>
            <w:left w:w="108" w:type="dxa"/>
            <w:bottom w:w="0" w:type="dxa"/>
            <w:right w:w="108" w:type="dxa"/>
          </w:tblCellMar>
        </w:tblPrEx>
        <w:trPr>
          <w:trHeight w:val="23" w:hRule="atLeast"/>
        </w:trPr>
        <w:tc>
          <w:tcPr>
            <w:tcW w:w="1601" w:type="dxa"/>
            <w:tcBorders>
              <w:top w:val="single" w:color="auto" w:sz="4" w:space="0"/>
              <w:left w:val="single" w:color="auto" w:sz="4" w:space="0"/>
              <w:bottom w:val="single" w:color="auto" w:sz="4" w:space="0"/>
              <w:right w:val="single" w:color="auto" w:sz="4" w:space="0"/>
            </w:tcBorders>
            <w:noWrap w:val="0"/>
            <w:vAlign w:val="center"/>
          </w:tcPr>
          <w:p w14:paraId="316AF39C">
            <w:pPr>
              <w:widowControl/>
              <w:spacing w:line="360" w:lineRule="auto"/>
              <w:jc w:val="center"/>
              <w:rPr>
                <w:rFonts w:hint="eastAsia" w:ascii="宋体" w:hAnsi="宋体" w:eastAsia="宋体" w:cs="宋体"/>
                <w:b w:val="0"/>
                <w:bCs w:val="0"/>
                <w:color w:val="auto"/>
                <w:kern w:val="0"/>
                <w:sz w:val="20"/>
                <w:szCs w:val="20"/>
                <w:highlight w:val="none"/>
              </w:rPr>
            </w:pPr>
            <w:r>
              <w:rPr>
                <w:rFonts w:hint="eastAsia" w:ascii="宋体" w:hAnsi="宋体" w:eastAsia="宋体" w:cs="宋体"/>
                <w:b w:val="0"/>
                <w:bCs w:val="0"/>
                <w:color w:val="auto"/>
                <w:kern w:val="0"/>
                <w:sz w:val="20"/>
                <w:szCs w:val="20"/>
                <w:highlight w:val="none"/>
              </w:rPr>
              <w:t>5</w:t>
            </w:r>
          </w:p>
        </w:tc>
        <w:tc>
          <w:tcPr>
            <w:tcW w:w="3777" w:type="dxa"/>
            <w:tcBorders>
              <w:top w:val="single" w:color="auto" w:sz="4" w:space="0"/>
              <w:left w:val="single" w:color="auto" w:sz="4" w:space="0"/>
              <w:bottom w:val="single" w:color="auto" w:sz="4" w:space="0"/>
              <w:right w:val="single" w:color="auto" w:sz="4" w:space="0"/>
            </w:tcBorders>
            <w:noWrap w:val="0"/>
            <w:vAlign w:val="center"/>
          </w:tcPr>
          <w:p w14:paraId="1CEBABE5">
            <w:pPr>
              <w:widowControl/>
              <w:spacing w:line="360" w:lineRule="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服务响应率</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40DF963D">
            <w:pPr>
              <w:widowControl/>
              <w:spacing w:line="360" w:lineRule="auto"/>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lang w:val="en-US" w:eastAsia="zh-CN"/>
              </w:rPr>
              <w:t>100%</w:t>
            </w:r>
          </w:p>
        </w:tc>
      </w:tr>
      <w:tr w14:paraId="5425F374">
        <w:tblPrEx>
          <w:tblCellMar>
            <w:top w:w="0" w:type="dxa"/>
            <w:left w:w="108" w:type="dxa"/>
            <w:bottom w:w="0" w:type="dxa"/>
            <w:right w:w="108" w:type="dxa"/>
          </w:tblCellMar>
        </w:tblPrEx>
        <w:trPr>
          <w:trHeight w:val="23" w:hRule="atLeast"/>
        </w:trPr>
        <w:tc>
          <w:tcPr>
            <w:tcW w:w="1601" w:type="dxa"/>
            <w:tcBorders>
              <w:top w:val="single" w:color="auto" w:sz="4" w:space="0"/>
              <w:left w:val="single" w:color="auto" w:sz="4" w:space="0"/>
              <w:bottom w:val="single" w:color="auto" w:sz="4" w:space="0"/>
              <w:right w:val="single" w:color="auto" w:sz="4" w:space="0"/>
            </w:tcBorders>
            <w:noWrap w:val="0"/>
            <w:vAlign w:val="center"/>
          </w:tcPr>
          <w:p w14:paraId="15B3C02B">
            <w:pPr>
              <w:widowControl/>
              <w:spacing w:line="360" w:lineRule="auto"/>
              <w:jc w:val="center"/>
              <w:rPr>
                <w:rFonts w:hint="eastAsia"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6</w:t>
            </w:r>
          </w:p>
        </w:tc>
        <w:tc>
          <w:tcPr>
            <w:tcW w:w="3777" w:type="dxa"/>
            <w:tcBorders>
              <w:top w:val="single" w:color="auto" w:sz="4" w:space="0"/>
              <w:left w:val="single" w:color="auto" w:sz="4" w:space="0"/>
              <w:bottom w:val="single" w:color="auto" w:sz="4" w:space="0"/>
              <w:right w:val="single" w:color="auto" w:sz="4" w:space="0"/>
            </w:tcBorders>
            <w:noWrap w:val="0"/>
            <w:vAlign w:val="center"/>
          </w:tcPr>
          <w:p w14:paraId="537E8F5C">
            <w:pPr>
              <w:widowControl/>
              <w:spacing w:line="360" w:lineRule="auto"/>
              <w:rPr>
                <w:rFonts w:hint="eastAsia" w:ascii="宋体" w:hAnsi="宋体" w:eastAsia="宋体" w:cs="宋体"/>
                <w:b w:val="0"/>
                <w:bCs w:val="0"/>
                <w:color w:val="auto"/>
                <w:kern w:val="0"/>
                <w:sz w:val="20"/>
                <w:szCs w:val="20"/>
                <w:highlight w:val="none"/>
                <w:lang w:val="en-US" w:eastAsia="zh-CN" w:bidi="ar-SA"/>
              </w:rPr>
            </w:pPr>
            <w:r>
              <w:rPr>
                <w:rFonts w:hint="eastAsia" w:ascii="宋体" w:hAnsi="宋体" w:cs="宋体"/>
                <w:b w:val="0"/>
                <w:bCs w:val="0"/>
                <w:color w:val="auto"/>
                <w:kern w:val="0"/>
                <w:sz w:val="20"/>
                <w:szCs w:val="20"/>
                <w:highlight w:val="none"/>
                <w:lang w:eastAsia="zh-CN"/>
              </w:rPr>
              <w:t>采购方</w:t>
            </w:r>
            <w:r>
              <w:rPr>
                <w:rFonts w:hint="eastAsia" w:ascii="宋体" w:hAnsi="宋体" w:eastAsia="宋体" w:cs="宋体"/>
                <w:b w:val="0"/>
                <w:bCs w:val="0"/>
                <w:color w:val="auto"/>
                <w:kern w:val="0"/>
                <w:sz w:val="20"/>
                <w:szCs w:val="20"/>
                <w:highlight w:val="none"/>
              </w:rPr>
              <w:t>对</w:t>
            </w:r>
            <w:r>
              <w:rPr>
                <w:rFonts w:hint="eastAsia" w:ascii="宋体" w:hAnsi="宋体" w:eastAsia="宋体" w:cs="宋体"/>
                <w:b w:val="0"/>
                <w:bCs w:val="0"/>
                <w:color w:val="auto"/>
                <w:kern w:val="0"/>
                <w:sz w:val="20"/>
                <w:szCs w:val="20"/>
                <w:highlight w:val="none"/>
                <w:lang w:val="en-US" w:eastAsia="zh-CN"/>
              </w:rPr>
              <w:t>车辆驾驶</w:t>
            </w:r>
            <w:r>
              <w:rPr>
                <w:rFonts w:hint="eastAsia" w:ascii="宋体" w:hAnsi="宋体" w:eastAsia="宋体" w:cs="宋体"/>
                <w:b w:val="0"/>
                <w:bCs w:val="0"/>
                <w:color w:val="auto"/>
                <w:kern w:val="0"/>
                <w:sz w:val="20"/>
                <w:szCs w:val="20"/>
                <w:highlight w:val="none"/>
              </w:rPr>
              <w:t>服务满意率</w:t>
            </w:r>
          </w:p>
        </w:tc>
        <w:tc>
          <w:tcPr>
            <w:tcW w:w="3080" w:type="dxa"/>
            <w:tcBorders>
              <w:top w:val="single" w:color="auto" w:sz="4" w:space="0"/>
              <w:left w:val="single" w:color="auto" w:sz="4" w:space="0"/>
              <w:bottom w:val="single" w:color="auto" w:sz="4" w:space="0"/>
              <w:right w:val="single" w:color="auto" w:sz="4" w:space="0"/>
            </w:tcBorders>
            <w:noWrap w:val="0"/>
            <w:vAlign w:val="center"/>
          </w:tcPr>
          <w:p w14:paraId="7E19E865">
            <w:pPr>
              <w:widowControl/>
              <w:spacing w:line="360" w:lineRule="auto"/>
              <w:jc w:val="center"/>
              <w:rPr>
                <w:rFonts w:hint="eastAsia" w:ascii="宋体" w:hAnsi="宋体" w:eastAsia="宋体" w:cs="宋体"/>
                <w:b w:val="0"/>
                <w:bCs w:val="0"/>
                <w:color w:val="auto"/>
                <w:kern w:val="0"/>
                <w:sz w:val="20"/>
                <w:szCs w:val="20"/>
                <w:highlight w:val="none"/>
                <w:lang w:val="en-US" w:eastAsia="zh-CN" w:bidi="ar-SA"/>
              </w:rPr>
            </w:pPr>
            <w:r>
              <w:rPr>
                <w:rFonts w:hint="eastAsia" w:ascii="宋体" w:hAnsi="宋体" w:eastAsia="宋体" w:cs="宋体"/>
                <w:b w:val="0"/>
                <w:bCs w:val="0"/>
                <w:color w:val="auto"/>
                <w:kern w:val="0"/>
                <w:sz w:val="20"/>
                <w:szCs w:val="20"/>
                <w:highlight w:val="none"/>
              </w:rPr>
              <w:t>≥95%</w:t>
            </w:r>
          </w:p>
        </w:tc>
      </w:tr>
    </w:tbl>
    <w:p w14:paraId="3128AFBE">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3.具体工作要求</w:t>
      </w:r>
    </w:p>
    <w:p w14:paraId="1C941243">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3.1车辆驾驶业务外委服务具体工作要求</w:t>
      </w:r>
    </w:p>
    <w:tbl>
      <w:tblPr>
        <w:tblStyle w:val="16"/>
        <w:tblW w:w="82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697"/>
        <w:gridCol w:w="5869"/>
      </w:tblGrid>
      <w:tr w14:paraId="6E6A1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723" w:type="dxa"/>
            <w:vAlign w:val="center"/>
          </w:tcPr>
          <w:p w14:paraId="20563A1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1697" w:type="dxa"/>
            <w:vAlign w:val="center"/>
          </w:tcPr>
          <w:p w14:paraId="0789116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5869" w:type="dxa"/>
            <w:vAlign w:val="center"/>
          </w:tcPr>
          <w:p w14:paraId="61742F0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1E5E6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723" w:type="dxa"/>
            <w:vAlign w:val="center"/>
          </w:tcPr>
          <w:p w14:paraId="0D7518F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1697" w:type="dxa"/>
            <w:vAlign w:val="center"/>
          </w:tcPr>
          <w:p w14:paraId="782129C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台账</w:t>
            </w:r>
            <w:r>
              <w:rPr>
                <w:rFonts w:hint="eastAsia" w:ascii="宋体" w:hAnsi="宋体" w:eastAsia="宋体" w:cs="宋体"/>
                <w:color w:val="auto"/>
                <w:sz w:val="20"/>
                <w:szCs w:val="20"/>
                <w:highlight w:val="none"/>
                <w:lang w:val="en-US" w:eastAsia="zh-CN"/>
              </w:rPr>
              <w:t>管理</w:t>
            </w:r>
          </w:p>
        </w:tc>
        <w:tc>
          <w:tcPr>
            <w:tcW w:w="5869" w:type="dxa"/>
            <w:vAlign w:val="center"/>
          </w:tcPr>
          <w:p w14:paraId="3A221DA4">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按</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要求做好车辆</w:t>
            </w:r>
            <w:r>
              <w:rPr>
                <w:rFonts w:hint="eastAsia" w:ascii="宋体" w:hAnsi="宋体" w:eastAsia="宋体" w:cs="宋体"/>
                <w:color w:val="auto"/>
                <w:sz w:val="20"/>
                <w:szCs w:val="20"/>
                <w:highlight w:val="none"/>
                <w:lang w:eastAsia="zh-CN"/>
              </w:rPr>
              <w:t>和驾驶员台账和档案</w:t>
            </w:r>
            <w:r>
              <w:rPr>
                <w:rFonts w:hint="eastAsia" w:ascii="宋体" w:hAnsi="宋体" w:eastAsia="宋体" w:cs="宋体"/>
                <w:color w:val="auto"/>
                <w:sz w:val="20"/>
                <w:szCs w:val="20"/>
                <w:highlight w:val="none"/>
              </w:rPr>
              <w:t>，并做好</w:t>
            </w:r>
            <w:r>
              <w:rPr>
                <w:rFonts w:hint="eastAsia" w:ascii="宋体" w:hAnsi="宋体" w:eastAsia="宋体" w:cs="宋体"/>
                <w:color w:val="auto"/>
                <w:sz w:val="20"/>
                <w:szCs w:val="20"/>
                <w:highlight w:val="none"/>
                <w:lang w:eastAsia="zh-CN"/>
              </w:rPr>
              <w:t>资料归档工作。</w:t>
            </w:r>
          </w:p>
        </w:tc>
      </w:tr>
      <w:tr w14:paraId="70304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78F7A62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1697" w:type="dxa"/>
            <w:vAlign w:val="center"/>
          </w:tcPr>
          <w:p w14:paraId="597B38C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车辆</w:t>
            </w:r>
            <w:r>
              <w:rPr>
                <w:rFonts w:hint="eastAsia" w:ascii="宋体" w:hAnsi="宋体" w:eastAsia="宋体" w:cs="宋体"/>
                <w:color w:val="auto"/>
                <w:sz w:val="20"/>
                <w:szCs w:val="20"/>
                <w:highlight w:val="none"/>
                <w:lang w:val="en-US" w:eastAsia="zh-CN"/>
              </w:rPr>
              <w:t>检查</w:t>
            </w:r>
          </w:p>
        </w:tc>
        <w:tc>
          <w:tcPr>
            <w:tcW w:w="5869" w:type="dxa"/>
            <w:vAlign w:val="center"/>
          </w:tcPr>
          <w:p w14:paraId="499CDDB3">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按</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要求做好车辆日检、</w:t>
            </w:r>
            <w:r>
              <w:rPr>
                <w:rFonts w:hint="eastAsia" w:ascii="宋体" w:hAnsi="宋体" w:eastAsia="宋体" w:cs="宋体"/>
                <w:color w:val="auto"/>
                <w:sz w:val="20"/>
                <w:szCs w:val="20"/>
                <w:highlight w:val="none"/>
                <w:lang w:eastAsia="zh-CN"/>
              </w:rPr>
              <w:t>月检、</w:t>
            </w:r>
            <w:r>
              <w:rPr>
                <w:rFonts w:hint="eastAsia" w:ascii="宋体" w:hAnsi="宋体" w:eastAsia="宋体" w:cs="宋体"/>
                <w:color w:val="auto"/>
                <w:sz w:val="20"/>
                <w:szCs w:val="20"/>
                <w:highlight w:val="none"/>
              </w:rPr>
              <w:t>季度检及年检工作，并做好相关记录备查</w:t>
            </w:r>
            <w:r>
              <w:rPr>
                <w:rFonts w:hint="eastAsia" w:ascii="宋体" w:hAnsi="宋体" w:eastAsia="宋体" w:cs="宋体"/>
                <w:color w:val="auto"/>
                <w:sz w:val="20"/>
                <w:szCs w:val="20"/>
                <w:highlight w:val="none"/>
                <w:lang w:eastAsia="zh-CN"/>
              </w:rPr>
              <w:t>。</w:t>
            </w:r>
          </w:p>
        </w:tc>
      </w:tr>
      <w:tr w14:paraId="5F47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723" w:type="dxa"/>
            <w:vAlign w:val="center"/>
          </w:tcPr>
          <w:p w14:paraId="7EFABABA">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1697" w:type="dxa"/>
            <w:vAlign w:val="center"/>
          </w:tcPr>
          <w:p w14:paraId="71F964A5">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日常维护</w:t>
            </w:r>
          </w:p>
        </w:tc>
        <w:tc>
          <w:tcPr>
            <w:tcW w:w="5869" w:type="dxa"/>
            <w:vAlign w:val="center"/>
          </w:tcPr>
          <w:p w14:paraId="115ACEBD">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做好车辆的日常维护</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保养</w:t>
            </w:r>
            <w:r>
              <w:rPr>
                <w:rFonts w:hint="eastAsia" w:ascii="宋体" w:hAnsi="宋体" w:eastAsia="宋体" w:cs="宋体"/>
                <w:color w:val="auto"/>
                <w:sz w:val="20"/>
                <w:szCs w:val="20"/>
                <w:highlight w:val="none"/>
                <w:lang w:eastAsia="zh-CN"/>
              </w:rPr>
              <w:t>和清洗工作。</w:t>
            </w:r>
          </w:p>
        </w:tc>
      </w:tr>
      <w:tr w14:paraId="4BDE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6056A92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1697" w:type="dxa"/>
            <w:vAlign w:val="center"/>
          </w:tcPr>
          <w:p w14:paraId="6DF4DCD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驾驶员基本要求</w:t>
            </w:r>
          </w:p>
        </w:tc>
        <w:tc>
          <w:tcPr>
            <w:tcW w:w="5869" w:type="dxa"/>
            <w:vAlign w:val="center"/>
          </w:tcPr>
          <w:p w14:paraId="0C46C2DC">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yellow"/>
                <w:lang w:eastAsia="zh-CN"/>
              </w:rPr>
            </w:pPr>
            <w:r>
              <w:rPr>
                <w:rFonts w:hint="eastAsia" w:ascii="宋体" w:hAnsi="宋体" w:eastAsia="宋体" w:cs="宋体"/>
                <w:color w:val="FF0000"/>
                <w:sz w:val="20"/>
                <w:szCs w:val="20"/>
                <w:highlight w:val="yellow"/>
                <w:lang w:val="en-US" w:eastAsia="zh-CN"/>
              </w:rPr>
              <w:t>须持有交通管理部门颁发的</w:t>
            </w:r>
            <w:r>
              <w:rPr>
                <w:rFonts w:hint="eastAsia" w:ascii="宋体" w:hAnsi="宋体" w:cs="宋体"/>
                <w:color w:val="FF0000"/>
                <w:sz w:val="20"/>
                <w:szCs w:val="20"/>
                <w:highlight w:val="yellow"/>
                <w:lang w:val="en-US" w:eastAsia="zh-CN"/>
              </w:rPr>
              <w:t>C1</w:t>
            </w:r>
            <w:r>
              <w:rPr>
                <w:rFonts w:hint="eastAsia" w:ascii="宋体" w:hAnsi="宋体" w:eastAsia="宋体" w:cs="宋体"/>
                <w:color w:val="FF0000"/>
                <w:sz w:val="20"/>
                <w:szCs w:val="20"/>
                <w:highlight w:val="yellow"/>
                <w:lang w:val="en-US" w:eastAsia="zh-CN"/>
              </w:rPr>
              <w:t>及以上机动车驾驶证一年以上</w:t>
            </w:r>
            <w:r>
              <w:rPr>
                <w:rFonts w:hint="eastAsia" w:ascii="宋体" w:hAnsi="宋体" w:cs="宋体"/>
                <w:color w:val="FF0000"/>
                <w:sz w:val="20"/>
                <w:szCs w:val="20"/>
                <w:highlight w:val="yellow"/>
                <w:lang w:val="en-US" w:eastAsia="zh-CN"/>
              </w:rPr>
              <w:t>（根据不同车型配备驾驶员）</w:t>
            </w:r>
            <w:r>
              <w:rPr>
                <w:rFonts w:hint="eastAsia" w:ascii="宋体" w:hAnsi="宋体" w:eastAsia="宋体" w:cs="宋体"/>
                <w:color w:val="auto"/>
                <w:sz w:val="20"/>
                <w:szCs w:val="20"/>
                <w:highlight w:val="yellow"/>
                <w:lang w:val="en-US" w:eastAsia="zh-CN"/>
              </w:rPr>
              <w:t>，身体状况符合机动车驾驶条件要求，</w:t>
            </w:r>
            <w:r>
              <w:rPr>
                <w:rFonts w:hint="eastAsia" w:ascii="宋体" w:hAnsi="宋体" w:eastAsia="宋体" w:cs="宋体"/>
                <w:color w:val="auto"/>
                <w:sz w:val="20"/>
                <w:szCs w:val="20"/>
                <w:highlight w:val="yellow"/>
              </w:rPr>
              <w:t>无重特大交通责任事故记录</w:t>
            </w:r>
            <w:r>
              <w:rPr>
                <w:rFonts w:hint="eastAsia" w:ascii="宋体" w:hAnsi="宋体" w:eastAsia="宋体" w:cs="宋体"/>
                <w:color w:val="auto"/>
                <w:sz w:val="20"/>
                <w:szCs w:val="20"/>
                <w:highlight w:val="yellow"/>
                <w:lang w:eastAsia="zh-CN"/>
              </w:rPr>
              <w:t>，</w:t>
            </w:r>
            <w:r>
              <w:rPr>
                <w:rFonts w:hint="eastAsia" w:ascii="宋体" w:hAnsi="宋体" w:eastAsia="宋体" w:cs="宋体"/>
                <w:color w:val="auto"/>
                <w:sz w:val="20"/>
                <w:szCs w:val="20"/>
                <w:highlight w:val="yellow"/>
                <w:lang w:val="en-US" w:eastAsia="zh-CN"/>
              </w:rPr>
              <w:t>无犯罪和吸毒前科，无酗酒嗜好行为；</w:t>
            </w:r>
            <w:r>
              <w:rPr>
                <w:rFonts w:hint="eastAsia" w:ascii="宋体" w:hAnsi="宋体" w:eastAsia="宋体" w:cs="宋体"/>
                <w:color w:val="auto"/>
                <w:sz w:val="20"/>
                <w:szCs w:val="20"/>
                <w:highlight w:val="yellow"/>
              </w:rPr>
              <w:t>具有良好的职业道德</w:t>
            </w:r>
            <w:r>
              <w:rPr>
                <w:rFonts w:hint="eastAsia" w:ascii="宋体" w:hAnsi="宋体" w:eastAsia="宋体" w:cs="宋体"/>
                <w:color w:val="auto"/>
                <w:sz w:val="20"/>
                <w:szCs w:val="20"/>
                <w:highlight w:val="yellow"/>
                <w:lang w:eastAsia="zh-CN"/>
              </w:rPr>
              <w:t>、</w:t>
            </w:r>
            <w:r>
              <w:rPr>
                <w:rFonts w:hint="eastAsia" w:ascii="宋体" w:hAnsi="宋体" w:eastAsia="宋体" w:cs="宋体"/>
                <w:color w:val="auto"/>
                <w:sz w:val="20"/>
                <w:szCs w:val="20"/>
                <w:highlight w:val="yellow"/>
              </w:rPr>
              <w:t>敬业精神和个人形象，责任心强，遵纪守法的驾驶服务人员。</w:t>
            </w:r>
          </w:p>
        </w:tc>
      </w:tr>
      <w:tr w14:paraId="23BC8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77203E7A">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1697" w:type="dxa"/>
            <w:vAlign w:val="center"/>
          </w:tcPr>
          <w:p w14:paraId="6BF9E71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驾驶技能</w:t>
            </w:r>
          </w:p>
        </w:tc>
        <w:tc>
          <w:tcPr>
            <w:tcW w:w="5869" w:type="dxa"/>
            <w:vAlign w:val="center"/>
          </w:tcPr>
          <w:p w14:paraId="4CA54304">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驾驶员应该具备优秀的驾驶技能，熟悉各种车辆的操作和驾驶规范，能够安全、稳定地行驶车辆。</w:t>
            </w:r>
          </w:p>
        </w:tc>
      </w:tr>
      <w:tr w14:paraId="333C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4724645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1697" w:type="dxa"/>
            <w:vAlign w:val="center"/>
          </w:tcPr>
          <w:p w14:paraId="521FFEB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道路安全</w:t>
            </w:r>
          </w:p>
        </w:tc>
        <w:tc>
          <w:tcPr>
            <w:tcW w:w="5869" w:type="dxa"/>
            <w:vAlign w:val="center"/>
          </w:tcPr>
          <w:p w14:paraId="14449E2E">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驾驶员需要遵守交通规则，关注道路安全，避免交通事故。</w:t>
            </w:r>
          </w:p>
        </w:tc>
      </w:tr>
      <w:tr w14:paraId="3C934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2A555222">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1697" w:type="dxa"/>
            <w:vAlign w:val="center"/>
          </w:tcPr>
          <w:p w14:paraId="72FAA63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时间管理</w:t>
            </w:r>
          </w:p>
        </w:tc>
        <w:tc>
          <w:tcPr>
            <w:tcW w:w="5869" w:type="dxa"/>
            <w:vAlign w:val="center"/>
          </w:tcPr>
          <w:p w14:paraId="26495745">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驾驶员需要严格遵守约定的行车时间表，保证准时到达目的地。</w:t>
            </w:r>
          </w:p>
        </w:tc>
      </w:tr>
      <w:tr w14:paraId="18DC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144FB9C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1697" w:type="dxa"/>
            <w:vAlign w:val="center"/>
          </w:tcPr>
          <w:p w14:paraId="6F4C589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服务态度</w:t>
            </w:r>
          </w:p>
        </w:tc>
        <w:tc>
          <w:tcPr>
            <w:tcW w:w="5869" w:type="dxa"/>
            <w:vAlign w:val="center"/>
          </w:tcPr>
          <w:p w14:paraId="6B416093">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驾驶员需要有良好的服务态度，礼貌、耐心地对待乘客，提供优质的服务。</w:t>
            </w:r>
          </w:p>
        </w:tc>
      </w:tr>
      <w:tr w14:paraId="3013B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1ADF772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1697" w:type="dxa"/>
            <w:vAlign w:val="center"/>
          </w:tcPr>
          <w:p w14:paraId="4D888E9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车辆维护</w:t>
            </w:r>
          </w:p>
        </w:tc>
        <w:tc>
          <w:tcPr>
            <w:tcW w:w="5869" w:type="dxa"/>
            <w:vAlign w:val="center"/>
          </w:tcPr>
          <w:p w14:paraId="106BA4C0">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驾驶员需要对车辆进行定期维护和保养，确保车辆的正常运行。</w:t>
            </w:r>
          </w:p>
        </w:tc>
      </w:tr>
      <w:tr w14:paraId="08BD5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55DC23F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1697" w:type="dxa"/>
            <w:vAlign w:val="center"/>
          </w:tcPr>
          <w:p w14:paraId="6E4F004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安全意识</w:t>
            </w:r>
          </w:p>
        </w:tc>
        <w:tc>
          <w:tcPr>
            <w:tcW w:w="5869" w:type="dxa"/>
            <w:vAlign w:val="center"/>
          </w:tcPr>
          <w:p w14:paraId="2BC8F39C">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驾驶员需要具备高度的安全意识，对车辆和乘客的安全负责。</w:t>
            </w:r>
          </w:p>
        </w:tc>
      </w:tr>
      <w:tr w14:paraId="2DC09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5D517121">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1697" w:type="dxa"/>
            <w:vAlign w:val="center"/>
          </w:tcPr>
          <w:p w14:paraId="6294773A">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紧急情况处理</w:t>
            </w:r>
          </w:p>
        </w:tc>
        <w:tc>
          <w:tcPr>
            <w:tcW w:w="5869" w:type="dxa"/>
            <w:vAlign w:val="center"/>
          </w:tcPr>
          <w:p w14:paraId="7BF82061">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驾驶员需要在紧急情况下冷静应对，采取正确的应急措施，保证乘客的安全。</w:t>
            </w:r>
            <w:r>
              <w:rPr>
                <w:rFonts w:hint="eastAsia" w:ascii="宋体" w:hAnsi="宋体" w:eastAsia="宋体" w:cs="宋体"/>
                <w:color w:val="auto"/>
                <w:sz w:val="20"/>
                <w:szCs w:val="20"/>
                <w:highlight w:val="none"/>
              </w:rPr>
              <w:t>按</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要求做好交通</w:t>
            </w:r>
            <w:r>
              <w:rPr>
                <w:rFonts w:hint="eastAsia" w:ascii="宋体" w:hAnsi="宋体" w:eastAsia="宋体" w:cs="宋体"/>
                <w:color w:val="auto"/>
                <w:sz w:val="20"/>
                <w:szCs w:val="20"/>
                <w:highlight w:val="none"/>
                <w:lang w:eastAsia="zh-CN"/>
              </w:rPr>
              <w:t>事件、</w:t>
            </w:r>
            <w:r>
              <w:rPr>
                <w:rFonts w:hint="eastAsia" w:ascii="宋体" w:hAnsi="宋体" w:eastAsia="宋体" w:cs="宋体"/>
                <w:color w:val="auto"/>
                <w:sz w:val="20"/>
                <w:szCs w:val="20"/>
                <w:highlight w:val="none"/>
              </w:rPr>
              <w:t>事故</w:t>
            </w:r>
            <w:r>
              <w:rPr>
                <w:rFonts w:hint="eastAsia" w:ascii="宋体" w:hAnsi="宋体" w:eastAsia="宋体" w:cs="宋体"/>
                <w:color w:val="auto"/>
                <w:sz w:val="20"/>
                <w:szCs w:val="20"/>
                <w:highlight w:val="none"/>
                <w:lang w:eastAsia="zh-CN"/>
              </w:rPr>
              <w:t>的处理配合工作。</w:t>
            </w:r>
          </w:p>
        </w:tc>
      </w:tr>
      <w:tr w14:paraId="7327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65B280A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1697" w:type="dxa"/>
            <w:vAlign w:val="center"/>
          </w:tcPr>
          <w:p w14:paraId="1782F9F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车辆调配</w:t>
            </w:r>
          </w:p>
        </w:tc>
        <w:tc>
          <w:tcPr>
            <w:tcW w:w="5869" w:type="dxa"/>
            <w:vAlign w:val="center"/>
          </w:tcPr>
          <w:p w14:paraId="2B257ED2">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根据</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的工作</w:t>
            </w:r>
            <w:r>
              <w:rPr>
                <w:rFonts w:hint="eastAsia" w:ascii="宋体" w:hAnsi="宋体" w:eastAsia="宋体" w:cs="宋体"/>
                <w:color w:val="auto"/>
                <w:sz w:val="20"/>
                <w:szCs w:val="20"/>
                <w:highlight w:val="none"/>
                <w:lang w:eastAsia="zh-CN"/>
              </w:rPr>
              <w:t>用车</w:t>
            </w:r>
            <w:r>
              <w:rPr>
                <w:rFonts w:hint="eastAsia" w:ascii="宋体" w:hAnsi="宋体" w:eastAsia="宋体" w:cs="宋体"/>
                <w:color w:val="auto"/>
                <w:sz w:val="20"/>
                <w:szCs w:val="20"/>
                <w:highlight w:val="none"/>
              </w:rPr>
              <w:t>需求，做好车辆使用的安排；</w:t>
            </w:r>
            <w:r>
              <w:rPr>
                <w:rFonts w:hint="eastAsia" w:ascii="宋体" w:hAnsi="宋体" w:eastAsia="宋体" w:cs="宋体"/>
                <w:color w:val="auto"/>
                <w:sz w:val="20"/>
                <w:szCs w:val="20"/>
                <w:highlight w:val="none"/>
                <w:lang w:val="en-US" w:eastAsia="zh-CN"/>
              </w:rPr>
              <w:t>根据采购方车辆的状况，做好各部门和班组车辆使用的调配；服务商车辆调度负责人做好车辆相关信息及派单业务的对接工作。</w:t>
            </w:r>
            <w:r>
              <w:rPr>
                <w:rFonts w:hint="eastAsia" w:ascii="宋体" w:hAnsi="宋体" w:eastAsia="宋体" w:cs="宋体"/>
                <w:color w:val="auto"/>
                <w:sz w:val="20"/>
                <w:szCs w:val="20"/>
                <w:highlight w:val="none"/>
              </w:rPr>
              <w:t>根据</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委派的出差任务单，合理及时调度驾驶员及车辆完成驾驶运输服务任务</w:t>
            </w:r>
            <w:r>
              <w:rPr>
                <w:rFonts w:hint="eastAsia" w:ascii="宋体" w:hAnsi="宋体" w:eastAsia="宋体" w:cs="宋体"/>
                <w:color w:val="auto"/>
                <w:sz w:val="20"/>
                <w:szCs w:val="20"/>
                <w:highlight w:val="none"/>
                <w:lang w:eastAsia="zh-CN"/>
              </w:rPr>
              <w:t>。</w:t>
            </w:r>
          </w:p>
        </w:tc>
      </w:tr>
      <w:tr w14:paraId="5B441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497754CC">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13</w:t>
            </w:r>
          </w:p>
        </w:tc>
        <w:tc>
          <w:tcPr>
            <w:tcW w:w="1697" w:type="dxa"/>
            <w:vAlign w:val="center"/>
          </w:tcPr>
          <w:p w14:paraId="6A271A5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健康</w:t>
            </w:r>
            <w:r>
              <w:rPr>
                <w:rFonts w:hint="eastAsia" w:ascii="宋体" w:hAnsi="宋体" w:eastAsia="宋体" w:cs="宋体"/>
                <w:color w:val="auto"/>
                <w:sz w:val="20"/>
                <w:szCs w:val="20"/>
                <w:highlight w:val="none"/>
              </w:rPr>
              <w:t>出车</w:t>
            </w:r>
          </w:p>
        </w:tc>
        <w:tc>
          <w:tcPr>
            <w:tcW w:w="5869" w:type="dxa"/>
            <w:vAlign w:val="center"/>
          </w:tcPr>
          <w:p w14:paraId="27590325">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驾驶员在出车当天确保身体健康状况良好，避免带病及带情绪出车影响出车期间的行驶安全</w:t>
            </w:r>
            <w:r>
              <w:rPr>
                <w:rFonts w:hint="eastAsia" w:ascii="宋体" w:hAnsi="宋体" w:eastAsia="宋体" w:cs="宋体"/>
                <w:color w:val="auto"/>
                <w:sz w:val="20"/>
                <w:szCs w:val="20"/>
                <w:highlight w:val="none"/>
                <w:lang w:eastAsia="zh-CN"/>
              </w:rPr>
              <w:t>。</w:t>
            </w:r>
          </w:p>
        </w:tc>
      </w:tr>
      <w:tr w14:paraId="4069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085F3D7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1697" w:type="dxa"/>
            <w:vAlign w:val="center"/>
          </w:tcPr>
          <w:p w14:paraId="39A2321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出车检查</w:t>
            </w:r>
          </w:p>
        </w:tc>
        <w:tc>
          <w:tcPr>
            <w:tcW w:w="5869" w:type="dxa"/>
            <w:vAlign w:val="center"/>
          </w:tcPr>
          <w:p w14:paraId="7768A50D">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驾驶员出车前</w:t>
            </w:r>
            <w:r>
              <w:rPr>
                <w:rFonts w:hint="eastAsia" w:ascii="宋体" w:hAnsi="宋体" w:eastAsia="宋体" w:cs="宋体"/>
                <w:color w:val="auto"/>
                <w:sz w:val="20"/>
                <w:szCs w:val="20"/>
                <w:highlight w:val="none"/>
                <w:lang w:eastAsia="zh-CN"/>
              </w:rPr>
              <w:t>对车辆</w:t>
            </w:r>
            <w:r>
              <w:rPr>
                <w:rFonts w:hint="eastAsia" w:ascii="宋体" w:hAnsi="宋体" w:eastAsia="宋体" w:cs="宋体"/>
                <w:color w:val="auto"/>
                <w:sz w:val="20"/>
                <w:szCs w:val="20"/>
                <w:highlight w:val="none"/>
              </w:rPr>
              <w:t>的</w:t>
            </w:r>
            <w:r>
              <w:rPr>
                <w:rFonts w:hint="eastAsia" w:ascii="宋体" w:hAnsi="宋体" w:eastAsia="宋体" w:cs="宋体"/>
                <w:color w:val="auto"/>
                <w:sz w:val="20"/>
                <w:szCs w:val="20"/>
                <w:highlight w:val="none"/>
                <w:lang w:eastAsia="zh-CN"/>
              </w:rPr>
              <w:t>证件和安全性能进行</w:t>
            </w:r>
            <w:r>
              <w:rPr>
                <w:rFonts w:hint="eastAsia" w:ascii="宋体" w:hAnsi="宋体" w:eastAsia="宋体" w:cs="宋体"/>
                <w:color w:val="auto"/>
                <w:sz w:val="20"/>
                <w:szCs w:val="20"/>
                <w:highlight w:val="none"/>
              </w:rPr>
              <w:t>检查，杜绝车辆带病上路</w:t>
            </w:r>
            <w:r>
              <w:rPr>
                <w:rFonts w:hint="eastAsia" w:ascii="宋体" w:hAnsi="宋体" w:eastAsia="宋体" w:cs="宋体"/>
                <w:color w:val="auto"/>
                <w:sz w:val="20"/>
                <w:szCs w:val="20"/>
                <w:highlight w:val="none"/>
                <w:lang w:eastAsia="zh-CN"/>
              </w:rPr>
              <w:t>，并做好</w:t>
            </w:r>
            <w:r>
              <w:rPr>
                <w:rFonts w:hint="eastAsia" w:ascii="宋体" w:hAnsi="宋体" w:eastAsia="宋体" w:cs="宋体"/>
                <w:color w:val="auto"/>
                <w:sz w:val="20"/>
                <w:szCs w:val="20"/>
                <w:highlight w:val="none"/>
              </w:rPr>
              <w:t>车辆使用记录</w:t>
            </w:r>
            <w:r>
              <w:rPr>
                <w:rFonts w:hint="eastAsia" w:ascii="宋体" w:hAnsi="宋体" w:eastAsia="宋体" w:cs="宋体"/>
                <w:color w:val="auto"/>
                <w:sz w:val="20"/>
                <w:szCs w:val="20"/>
                <w:highlight w:val="none"/>
                <w:lang w:eastAsia="zh-CN"/>
              </w:rPr>
              <w:t>。</w:t>
            </w:r>
          </w:p>
        </w:tc>
      </w:tr>
      <w:tr w14:paraId="60BD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38E1253C">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1697" w:type="dxa"/>
            <w:vAlign w:val="center"/>
          </w:tcPr>
          <w:p w14:paraId="02486CE5">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用车人联系</w:t>
            </w:r>
          </w:p>
        </w:tc>
        <w:tc>
          <w:tcPr>
            <w:tcW w:w="5869" w:type="dxa"/>
            <w:vAlign w:val="center"/>
          </w:tcPr>
          <w:p w14:paraId="662E5EA7">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驾驶员</w:t>
            </w:r>
            <w:r>
              <w:rPr>
                <w:rFonts w:hint="eastAsia" w:ascii="宋体" w:hAnsi="宋体" w:eastAsia="宋体" w:cs="宋体"/>
                <w:color w:val="auto"/>
                <w:sz w:val="20"/>
                <w:szCs w:val="20"/>
                <w:highlight w:val="none"/>
                <w:lang w:eastAsia="zh-CN"/>
              </w:rPr>
              <w:t>应提前与用车人联系，</w:t>
            </w:r>
            <w:r>
              <w:rPr>
                <w:rFonts w:hint="eastAsia" w:ascii="宋体" w:hAnsi="宋体" w:eastAsia="宋体" w:cs="宋体"/>
                <w:color w:val="auto"/>
                <w:sz w:val="20"/>
                <w:szCs w:val="20"/>
                <w:highlight w:val="none"/>
              </w:rPr>
              <w:t>按照任务单申请确定的时间及地点做好提前等候</w:t>
            </w:r>
            <w:r>
              <w:rPr>
                <w:rFonts w:hint="eastAsia" w:ascii="宋体" w:hAnsi="宋体" w:eastAsia="宋体" w:cs="宋体"/>
                <w:color w:val="auto"/>
                <w:sz w:val="20"/>
                <w:szCs w:val="20"/>
                <w:highlight w:val="none"/>
                <w:lang w:eastAsia="zh-CN"/>
              </w:rPr>
              <w:t>。</w:t>
            </w:r>
          </w:p>
        </w:tc>
      </w:tr>
      <w:tr w14:paraId="2216A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7A939BD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16</w:t>
            </w:r>
          </w:p>
        </w:tc>
        <w:tc>
          <w:tcPr>
            <w:tcW w:w="1697" w:type="dxa"/>
            <w:vAlign w:val="center"/>
          </w:tcPr>
          <w:p w14:paraId="7EFD8442">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回场检查</w:t>
            </w:r>
          </w:p>
        </w:tc>
        <w:tc>
          <w:tcPr>
            <w:tcW w:w="5869" w:type="dxa"/>
            <w:vAlign w:val="center"/>
          </w:tcPr>
          <w:p w14:paraId="73C3900E">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用车任务完成后，及时填写确认车辆使用情况及相关信息</w:t>
            </w:r>
            <w:r>
              <w:rPr>
                <w:rFonts w:hint="eastAsia" w:ascii="宋体" w:hAnsi="宋体" w:eastAsia="宋体" w:cs="宋体"/>
                <w:color w:val="auto"/>
                <w:sz w:val="20"/>
                <w:szCs w:val="20"/>
                <w:highlight w:val="none"/>
                <w:lang w:eastAsia="zh-CN"/>
              </w:rPr>
              <w:t>，做好车辆回场检查。</w:t>
            </w:r>
          </w:p>
        </w:tc>
      </w:tr>
      <w:tr w14:paraId="15983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7244BBDC">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17</w:t>
            </w:r>
          </w:p>
        </w:tc>
        <w:tc>
          <w:tcPr>
            <w:tcW w:w="1697" w:type="dxa"/>
            <w:vAlign w:val="center"/>
          </w:tcPr>
          <w:p w14:paraId="6DE189C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回场停放</w:t>
            </w:r>
          </w:p>
        </w:tc>
        <w:tc>
          <w:tcPr>
            <w:tcW w:w="5869" w:type="dxa"/>
            <w:vAlign w:val="center"/>
          </w:tcPr>
          <w:p w14:paraId="2EB12BB5">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加强车辆</w:t>
            </w:r>
            <w:r>
              <w:rPr>
                <w:rFonts w:hint="eastAsia" w:ascii="宋体" w:hAnsi="宋体" w:eastAsia="宋体" w:cs="宋体"/>
                <w:color w:val="auto"/>
                <w:sz w:val="20"/>
                <w:szCs w:val="20"/>
                <w:highlight w:val="none"/>
                <w:lang w:eastAsia="zh-CN"/>
              </w:rPr>
              <w:t>的回场停放</w:t>
            </w:r>
            <w:r>
              <w:rPr>
                <w:rFonts w:hint="eastAsia" w:ascii="宋体" w:hAnsi="宋体" w:eastAsia="宋体" w:cs="宋体"/>
                <w:color w:val="auto"/>
                <w:sz w:val="20"/>
                <w:szCs w:val="20"/>
                <w:highlight w:val="none"/>
              </w:rPr>
              <w:t>管理工作，车辆</w:t>
            </w:r>
            <w:r>
              <w:rPr>
                <w:rFonts w:hint="eastAsia" w:ascii="宋体" w:hAnsi="宋体" w:eastAsia="宋体" w:cs="宋体"/>
                <w:color w:val="auto"/>
                <w:sz w:val="20"/>
                <w:szCs w:val="20"/>
                <w:highlight w:val="none"/>
                <w:lang w:eastAsia="zh-CN"/>
              </w:rPr>
              <w:t>在工作结束后</w:t>
            </w:r>
            <w:r>
              <w:rPr>
                <w:rFonts w:hint="eastAsia" w:ascii="宋体" w:hAnsi="宋体" w:eastAsia="宋体" w:cs="宋体"/>
                <w:color w:val="auto"/>
                <w:sz w:val="20"/>
                <w:szCs w:val="20"/>
                <w:highlight w:val="none"/>
              </w:rPr>
              <w:t>必须停放在</w:t>
            </w:r>
            <w:r>
              <w:rPr>
                <w:rFonts w:hint="eastAsia" w:ascii="宋体" w:hAnsi="宋体" w:eastAsia="宋体" w:cs="宋体"/>
                <w:color w:val="auto"/>
                <w:sz w:val="20"/>
                <w:szCs w:val="20"/>
                <w:highlight w:val="none"/>
                <w:lang w:val="en-US" w:eastAsia="zh-CN"/>
              </w:rPr>
              <w:t>采购方</w:t>
            </w:r>
            <w:r>
              <w:rPr>
                <w:rFonts w:hint="eastAsia" w:ascii="宋体" w:hAnsi="宋体" w:eastAsia="宋体" w:cs="宋体"/>
                <w:color w:val="auto"/>
                <w:sz w:val="20"/>
                <w:szCs w:val="20"/>
                <w:highlight w:val="none"/>
              </w:rPr>
              <w:t>指定停放点车位，不能擅自停放在其他非指定地点过夜</w:t>
            </w:r>
            <w:r>
              <w:rPr>
                <w:rFonts w:hint="eastAsia" w:ascii="宋体" w:hAnsi="宋体" w:eastAsia="宋体" w:cs="宋体"/>
                <w:color w:val="auto"/>
                <w:sz w:val="20"/>
                <w:szCs w:val="20"/>
                <w:highlight w:val="none"/>
                <w:lang w:eastAsia="zh-CN"/>
              </w:rPr>
              <w:t>。出差在外的应停放在有人保管的停车场，并按要求关闭车窗、锁好车辆门和方向盘锁。</w:t>
            </w:r>
          </w:p>
        </w:tc>
      </w:tr>
      <w:tr w14:paraId="0F00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5DE23A3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18</w:t>
            </w:r>
          </w:p>
        </w:tc>
        <w:tc>
          <w:tcPr>
            <w:tcW w:w="1697" w:type="dxa"/>
            <w:vAlign w:val="center"/>
          </w:tcPr>
          <w:p w14:paraId="76975585">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禁止公车私用</w:t>
            </w:r>
          </w:p>
        </w:tc>
        <w:tc>
          <w:tcPr>
            <w:tcW w:w="5869" w:type="dxa"/>
            <w:vAlign w:val="center"/>
          </w:tcPr>
          <w:p w14:paraId="148BD11A">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车辆在外工作时，除工作以外禁止公车私用</w:t>
            </w:r>
            <w:r>
              <w:rPr>
                <w:rFonts w:hint="eastAsia" w:ascii="宋体" w:hAnsi="宋体" w:eastAsia="宋体" w:cs="宋体"/>
                <w:color w:val="auto"/>
                <w:sz w:val="20"/>
                <w:szCs w:val="20"/>
                <w:highlight w:val="none"/>
                <w:lang w:eastAsia="zh-CN"/>
              </w:rPr>
              <w:t>。</w:t>
            </w:r>
          </w:p>
        </w:tc>
      </w:tr>
      <w:tr w14:paraId="55AD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08ADAEF6">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19</w:t>
            </w:r>
          </w:p>
        </w:tc>
        <w:tc>
          <w:tcPr>
            <w:tcW w:w="1697" w:type="dxa"/>
            <w:vAlign w:val="center"/>
          </w:tcPr>
          <w:p w14:paraId="3885CFD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行车记录</w:t>
            </w:r>
          </w:p>
        </w:tc>
        <w:tc>
          <w:tcPr>
            <w:tcW w:w="5869" w:type="dxa"/>
            <w:vAlign w:val="center"/>
          </w:tcPr>
          <w:p w14:paraId="359450F9">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按</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要求做好每月车辆的维修、保养、公里数、油耗</w:t>
            </w:r>
            <w:r>
              <w:rPr>
                <w:rFonts w:hint="eastAsia" w:ascii="宋体" w:hAnsi="宋体" w:eastAsia="宋体" w:cs="宋体"/>
                <w:color w:val="auto"/>
                <w:sz w:val="20"/>
                <w:szCs w:val="20"/>
                <w:highlight w:val="none"/>
                <w:lang w:eastAsia="zh-CN"/>
              </w:rPr>
              <w:t>、过路费</w:t>
            </w:r>
            <w:r>
              <w:rPr>
                <w:rFonts w:hint="eastAsia" w:ascii="宋体" w:hAnsi="宋体" w:eastAsia="宋体" w:cs="宋体"/>
                <w:color w:val="auto"/>
                <w:sz w:val="20"/>
                <w:szCs w:val="20"/>
                <w:highlight w:val="none"/>
              </w:rPr>
              <w:t>等项目统计工作</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记录</w:t>
            </w:r>
            <w:r>
              <w:rPr>
                <w:rFonts w:hint="eastAsia" w:ascii="宋体" w:hAnsi="宋体" w:eastAsia="宋体" w:cs="宋体"/>
                <w:color w:val="auto"/>
                <w:sz w:val="20"/>
                <w:szCs w:val="20"/>
                <w:highlight w:val="none"/>
                <w:lang w:eastAsia="zh-CN"/>
              </w:rPr>
              <w:t>行车里程、油耗等相关数据，提供相关报告和统计分析。</w:t>
            </w:r>
          </w:p>
        </w:tc>
      </w:tr>
      <w:tr w14:paraId="5FE6A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1D78F4E9">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20</w:t>
            </w:r>
          </w:p>
        </w:tc>
        <w:tc>
          <w:tcPr>
            <w:tcW w:w="1697" w:type="dxa"/>
            <w:vAlign w:val="center"/>
          </w:tcPr>
          <w:p w14:paraId="0263585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安全驾驶</w:t>
            </w:r>
          </w:p>
        </w:tc>
        <w:tc>
          <w:tcPr>
            <w:tcW w:w="5869" w:type="dxa"/>
            <w:vAlign w:val="center"/>
          </w:tcPr>
          <w:p w14:paraId="697DF5DC">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遵守相关交通法规，文明行车，安全第一</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驾驶车辆过程中，不发生疲劳、超速及酒后驾驶等违反交通安全规定的行为</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驾驶员严禁</w:t>
            </w:r>
            <w:r>
              <w:rPr>
                <w:rFonts w:hint="eastAsia" w:ascii="宋体" w:hAnsi="宋体" w:eastAsia="宋体" w:cs="宋体"/>
                <w:color w:val="auto"/>
                <w:sz w:val="20"/>
                <w:szCs w:val="20"/>
                <w:highlight w:val="none"/>
                <w:lang w:eastAsia="zh-CN"/>
              </w:rPr>
              <w:t>在驾驶车辆时</w:t>
            </w:r>
            <w:r>
              <w:rPr>
                <w:rFonts w:hint="eastAsia" w:ascii="宋体" w:hAnsi="宋体" w:eastAsia="宋体" w:cs="宋体"/>
                <w:color w:val="auto"/>
                <w:sz w:val="20"/>
                <w:szCs w:val="20"/>
                <w:highlight w:val="none"/>
              </w:rPr>
              <w:t>接听或拨打电话</w:t>
            </w:r>
            <w:r>
              <w:rPr>
                <w:rFonts w:hint="eastAsia" w:ascii="宋体" w:hAnsi="宋体" w:eastAsia="宋体" w:cs="宋体"/>
                <w:color w:val="auto"/>
                <w:sz w:val="20"/>
                <w:szCs w:val="20"/>
                <w:highlight w:val="none"/>
                <w:lang w:eastAsia="zh-CN"/>
              </w:rPr>
              <w:t>，如需要时，应将车辆停放在安全地带后方可接听或</w:t>
            </w:r>
            <w:r>
              <w:rPr>
                <w:rFonts w:hint="eastAsia" w:ascii="宋体" w:hAnsi="宋体" w:eastAsia="宋体" w:cs="宋体"/>
                <w:color w:val="auto"/>
                <w:sz w:val="20"/>
                <w:szCs w:val="20"/>
                <w:highlight w:val="none"/>
              </w:rPr>
              <w:t>拨打电话</w:t>
            </w:r>
            <w:r>
              <w:rPr>
                <w:rFonts w:hint="eastAsia" w:ascii="宋体" w:hAnsi="宋体" w:eastAsia="宋体" w:cs="宋体"/>
                <w:color w:val="auto"/>
                <w:sz w:val="20"/>
                <w:szCs w:val="20"/>
                <w:highlight w:val="none"/>
                <w:lang w:eastAsia="zh-CN"/>
              </w:rPr>
              <w:t>。</w:t>
            </w:r>
          </w:p>
        </w:tc>
      </w:tr>
      <w:tr w14:paraId="3A05F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337F058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21</w:t>
            </w:r>
          </w:p>
        </w:tc>
        <w:tc>
          <w:tcPr>
            <w:tcW w:w="1697" w:type="dxa"/>
            <w:vAlign w:val="center"/>
          </w:tcPr>
          <w:p w14:paraId="1B10D159">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文明礼貌</w:t>
            </w:r>
          </w:p>
        </w:tc>
        <w:tc>
          <w:tcPr>
            <w:tcW w:w="5869" w:type="dxa"/>
            <w:vAlign w:val="center"/>
          </w:tcPr>
          <w:p w14:paraId="29195EB2">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对待乘车人员文明礼貌，对超出派车单范围以外的行车要求，做好解释工作</w:t>
            </w:r>
            <w:r>
              <w:rPr>
                <w:rFonts w:hint="eastAsia" w:ascii="宋体" w:hAnsi="宋体" w:eastAsia="宋体" w:cs="宋体"/>
                <w:color w:val="auto"/>
                <w:sz w:val="20"/>
                <w:szCs w:val="20"/>
                <w:highlight w:val="none"/>
                <w:lang w:eastAsia="zh-CN"/>
              </w:rPr>
              <w:t>。</w:t>
            </w:r>
          </w:p>
        </w:tc>
      </w:tr>
      <w:tr w14:paraId="7BCD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485E670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22</w:t>
            </w:r>
          </w:p>
        </w:tc>
        <w:tc>
          <w:tcPr>
            <w:tcW w:w="1697" w:type="dxa"/>
            <w:vAlign w:val="center"/>
          </w:tcPr>
          <w:p w14:paraId="21CD0B4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临时应急</w:t>
            </w:r>
            <w:r>
              <w:rPr>
                <w:rFonts w:hint="eastAsia" w:ascii="宋体" w:hAnsi="宋体" w:eastAsia="宋体" w:cs="宋体"/>
                <w:color w:val="auto"/>
                <w:sz w:val="20"/>
                <w:szCs w:val="20"/>
                <w:highlight w:val="none"/>
              </w:rPr>
              <w:t>用车</w:t>
            </w:r>
          </w:p>
        </w:tc>
        <w:tc>
          <w:tcPr>
            <w:tcW w:w="5869" w:type="dxa"/>
            <w:vAlign w:val="center"/>
          </w:tcPr>
          <w:p w14:paraId="45E17FA8">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临时应急</w:t>
            </w:r>
            <w:r>
              <w:rPr>
                <w:rFonts w:hint="eastAsia" w:ascii="宋体" w:hAnsi="宋体" w:eastAsia="宋体" w:cs="宋体"/>
                <w:color w:val="auto"/>
                <w:sz w:val="20"/>
                <w:szCs w:val="20"/>
                <w:highlight w:val="none"/>
              </w:rPr>
              <w:t>用车：</w:t>
            </w:r>
            <w:r>
              <w:rPr>
                <w:rFonts w:hint="eastAsia" w:ascii="宋体" w:hAnsi="宋体" w:eastAsia="宋体" w:cs="宋体"/>
                <w:color w:val="auto"/>
                <w:sz w:val="20"/>
                <w:szCs w:val="20"/>
                <w:highlight w:val="none"/>
                <w:lang w:eastAsia="zh-CN"/>
              </w:rPr>
              <w:t>工作日</w:t>
            </w:r>
            <w:r>
              <w:rPr>
                <w:rFonts w:hint="eastAsia" w:ascii="宋体" w:hAnsi="宋体" w:eastAsia="宋体" w:cs="宋体"/>
                <w:color w:val="auto"/>
                <w:sz w:val="20"/>
                <w:szCs w:val="20"/>
                <w:highlight w:val="none"/>
              </w:rPr>
              <w:t>白天</w:t>
            </w:r>
            <w:r>
              <w:rPr>
                <w:rFonts w:hint="eastAsia" w:ascii="宋体" w:hAnsi="宋体" w:eastAsia="宋体" w:cs="宋体"/>
                <w:color w:val="auto"/>
                <w:sz w:val="20"/>
                <w:szCs w:val="20"/>
                <w:highlight w:val="none"/>
                <w:lang w:val="en-US" w:eastAsia="zh-CN"/>
              </w:rPr>
              <w:t>0.5</w:t>
            </w:r>
            <w:r>
              <w:rPr>
                <w:rFonts w:hint="eastAsia" w:ascii="宋体" w:hAnsi="宋体" w:eastAsia="宋体" w:cs="宋体"/>
                <w:color w:val="auto"/>
                <w:sz w:val="20"/>
                <w:szCs w:val="20"/>
                <w:highlight w:val="none"/>
              </w:rPr>
              <w:t>小时、夜间</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小时内出车</w:t>
            </w:r>
            <w:r>
              <w:rPr>
                <w:rFonts w:hint="eastAsia" w:ascii="宋体" w:hAnsi="宋体" w:eastAsia="宋体" w:cs="宋体"/>
                <w:color w:val="auto"/>
                <w:sz w:val="20"/>
                <w:szCs w:val="20"/>
                <w:highlight w:val="none"/>
                <w:lang w:eastAsia="zh-CN"/>
              </w:rPr>
              <w:t>，节假日</w:t>
            </w:r>
            <w:r>
              <w:rPr>
                <w:rFonts w:hint="eastAsia" w:ascii="宋体" w:hAnsi="宋体" w:eastAsia="宋体" w:cs="宋体"/>
                <w:color w:val="auto"/>
                <w:sz w:val="20"/>
                <w:szCs w:val="20"/>
                <w:highlight w:val="none"/>
              </w:rPr>
              <w:t>白天1小时、夜间2小时内出车</w:t>
            </w:r>
            <w:r>
              <w:rPr>
                <w:rFonts w:hint="eastAsia" w:ascii="宋体" w:hAnsi="宋体" w:eastAsia="宋体" w:cs="宋体"/>
                <w:color w:val="auto"/>
                <w:sz w:val="20"/>
                <w:szCs w:val="20"/>
                <w:highlight w:val="none"/>
                <w:lang w:eastAsia="zh-CN"/>
              </w:rPr>
              <w:t>。</w:t>
            </w:r>
          </w:p>
        </w:tc>
      </w:tr>
      <w:tr w14:paraId="347BE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78ADFC9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23</w:t>
            </w:r>
          </w:p>
        </w:tc>
        <w:tc>
          <w:tcPr>
            <w:tcW w:w="1697" w:type="dxa"/>
            <w:vAlign w:val="center"/>
          </w:tcPr>
          <w:p w14:paraId="2879DB8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接待用车</w:t>
            </w:r>
          </w:p>
        </w:tc>
        <w:tc>
          <w:tcPr>
            <w:tcW w:w="5869" w:type="dxa"/>
            <w:vAlign w:val="center"/>
          </w:tcPr>
          <w:p w14:paraId="18294FBC">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在重要会议、重要活动及重要接待任务用车时，驾驶员应规范着装，树立</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良好形象</w:t>
            </w:r>
            <w:r>
              <w:rPr>
                <w:rFonts w:hint="eastAsia" w:ascii="宋体" w:hAnsi="宋体" w:eastAsia="宋体" w:cs="宋体"/>
                <w:color w:val="auto"/>
                <w:sz w:val="20"/>
                <w:szCs w:val="20"/>
                <w:highlight w:val="none"/>
                <w:lang w:eastAsia="zh-CN"/>
              </w:rPr>
              <w:t>。</w:t>
            </w:r>
          </w:p>
        </w:tc>
      </w:tr>
      <w:tr w14:paraId="59927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1529E40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24</w:t>
            </w:r>
          </w:p>
        </w:tc>
        <w:tc>
          <w:tcPr>
            <w:tcW w:w="1697" w:type="dxa"/>
            <w:vAlign w:val="center"/>
          </w:tcPr>
          <w:p w14:paraId="4C196B6A">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节假日用车</w:t>
            </w:r>
          </w:p>
        </w:tc>
        <w:tc>
          <w:tcPr>
            <w:tcW w:w="5869" w:type="dxa"/>
            <w:vAlign w:val="center"/>
          </w:tcPr>
          <w:p w14:paraId="187FD73A">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合同履行期间</w:t>
            </w:r>
            <w:r>
              <w:rPr>
                <w:rFonts w:hint="eastAsia" w:ascii="宋体" w:hAnsi="宋体" w:eastAsia="宋体" w:cs="宋体"/>
                <w:color w:val="auto"/>
                <w:sz w:val="20"/>
                <w:szCs w:val="20"/>
                <w:highlight w:val="none"/>
                <w:lang w:eastAsia="zh-CN"/>
              </w:rPr>
              <w:t>服务商</w:t>
            </w:r>
            <w:r>
              <w:rPr>
                <w:rFonts w:hint="eastAsia" w:ascii="宋体" w:hAnsi="宋体" w:eastAsia="宋体" w:cs="宋体"/>
                <w:color w:val="auto"/>
                <w:sz w:val="20"/>
                <w:szCs w:val="20"/>
                <w:highlight w:val="none"/>
              </w:rPr>
              <w:t>需根据</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实际情况保证节假日用车</w:t>
            </w:r>
            <w:r>
              <w:rPr>
                <w:rFonts w:hint="eastAsia" w:ascii="宋体" w:hAnsi="宋体" w:eastAsia="宋体" w:cs="宋体"/>
                <w:color w:val="auto"/>
                <w:sz w:val="20"/>
                <w:szCs w:val="20"/>
                <w:highlight w:val="none"/>
                <w:lang w:eastAsia="zh-CN"/>
              </w:rPr>
              <w:t>。</w:t>
            </w:r>
          </w:p>
        </w:tc>
      </w:tr>
      <w:tr w14:paraId="01BD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006B9D4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25</w:t>
            </w:r>
          </w:p>
        </w:tc>
        <w:tc>
          <w:tcPr>
            <w:tcW w:w="1697" w:type="dxa"/>
            <w:vAlign w:val="center"/>
          </w:tcPr>
          <w:p w14:paraId="2889B49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紧急情况处理</w:t>
            </w:r>
          </w:p>
        </w:tc>
        <w:tc>
          <w:tcPr>
            <w:tcW w:w="5869" w:type="dxa"/>
            <w:vAlign w:val="center"/>
          </w:tcPr>
          <w:p w14:paraId="63C91C27">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驾驶员需要在紧急情况下冷静应对，采取正确的应急措施，保证乘客的安全。</w:t>
            </w:r>
            <w:r>
              <w:rPr>
                <w:rFonts w:hint="eastAsia" w:ascii="宋体" w:hAnsi="宋体" w:eastAsia="宋体" w:cs="宋体"/>
                <w:color w:val="auto"/>
                <w:sz w:val="20"/>
                <w:szCs w:val="20"/>
                <w:highlight w:val="none"/>
              </w:rPr>
              <w:t>按</w:t>
            </w:r>
            <w:r>
              <w:rPr>
                <w:rFonts w:hint="eastAsia" w:ascii="宋体" w:hAnsi="宋体" w:eastAsia="宋体" w:cs="宋体"/>
                <w:color w:val="auto"/>
                <w:sz w:val="20"/>
                <w:szCs w:val="20"/>
                <w:highlight w:val="none"/>
                <w:lang w:eastAsia="zh-CN"/>
              </w:rPr>
              <w:t>采购方</w:t>
            </w:r>
            <w:r>
              <w:rPr>
                <w:rFonts w:hint="eastAsia" w:ascii="宋体" w:hAnsi="宋体" w:eastAsia="宋体" w:cs="宋体"/>
                <w:color w:val="auto"/>
                <w:sz w:val="20"/>
                <w:szCs w:val="20"/>
                <w:highlight w:val="none"/>
              </w:rPr>
              <w:t>要求做好交通</w:t>
            </w:r>
            <w:r>
              <w:rPr>
                <w:rFonts w:hint="eastAsia" w:ascii="宋体" w:hAnsi="宋体" w:eastAsia="宋体" w:cs="宋体"/>
                <w:color w:val="auto"/>
                <w:sz w:val="20"/>
                <w:szCs w:val="20"/>
                <w:highlight w:val="none"/>
                <w:lang w:eastAsia="zh-CN"/>
              </w:rPr>
              <w:t>事件、</w:t>
            </w:r>
            <w:r>
              <w:rPr>
                <w:rFonts w:hint="eastAsia" w:ascii="宋体" w:hAnsi="宋体" w:eastAsia="宋体" w:cs="宋体"/>
                <w:color w:val="auto"/>
                <w:sz w:val="20"/>
                <w:szCs w:val="20"/>
                <w:highlight w:val="none"/>
              </w:rPr>
              <w:t>事故</w:t>
            </w:r>
            <w:r>
              <w:rPr>
                <w:rFonts w:hint="eastAsia" w:ascii="宋体" w:hAnsi="宋体" w:eastAsia="宋体" w:cs="宋体"/>
                <w:color w:val="auto"/>
                <w:sz w:val="20"/>
                <w:szCs w:val="20"/>
                <w:highlight w:val="none"/>
                <w:lang w:eastAsia="zh-CN"/>
              </w:rPr>
              <w:t>的处理配合工作。</w:t>
            </w:r>
          </w:p>
        </w:tc>
      </w:tr>
      <w:tr w14:paraId="4D94B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7F332955">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26</w:t>
            </w:r>
          </w:p>
        </w:tc>
        <w:tc>
          <w:tcPr>
            <w:tcW w:w="1697" w:type="dxa"/>
            <w:vAlign w:val="center"/>
          </w:tcPr>
          <w:p w14:paraId="4218C216">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违章扣分</w:t>
            </w:r>
          </w:p>
        </w:tc>
        <w:tc>
          <w:tcPr>
            <w:tcW w:w="5869" w:type="dxa"/>
            <w:vAlign w:val="center"/>
          </w:tcPr>
          <w:p w14:paraId="652E77DE">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代驾司机违章驾驶产生扣分罚款的由服务商负责处理完毕，不影响采购方车辆年检工作。</w:t>
            </w:r>
          </w:p>
        </w:tc>
      </w:tr>
      <w:tr w14:paraId="1BB8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3F3431E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27</w:t>
            </w:r>
          </w:p>
        </w:tc>
        <w:tc>
          <w:tcPr>
            <w:tcW w:w="1697" w:type="dxa"/>
            <w:vAlign w:val="center"/>
          </w:tcPr>
          <w:p w14:paraId="00B6F2B5">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事故</w:t>
            </w:r>
            <w:r>
              <w:rPr>
                <w:rFonts w:hint="eastAsia" w:ascii="宋体" w:hAnsi="宋体" w:eastAsia="宋体" w:cs="宋体"/>
                <w:color w:val="auto"/>
                <w:sz w:val="20"/>
                <w:szCs w:val="20"/>
                <w:highlight w:val="none"/>
                <w:lang w:val="en-US" w:eastAsia="zh-CN"/>
              </w:rPr>
              <w:t>处理</w:t>
            </w:r>
          </w:p>
        </w:tc>
        <w:tc>
          <w:tcPr>
            <w:tcW w:w="5869" w:type="dxa"/>
            <w:vAlign w:val="center"/>
          </w:tcPr>
          <w:p w14:paraId="0B305FFB">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代驾期间发生交通事故造成车辆损坏及人身伤害的，</w:t>
            </w:r>
            <w:r>
              <w:rPr>
                <w:rFonts w:hint="eastAsia" w:ascii="宋体" w:hAnsi="宋体" w:eastAsia="宋体" w:cs="宋体"/>
                <w:color w:val="auto"/>
                <w:sz w:val="20"/>
                <w:szCs w:val="20"/>
                <w:highlight w:val="none"/>
                <w:lang w:eastAsia="zh-CN"/>
              </w:rPr>
              <w:t>按</w:t>
            </w:r>
            <w:r>
              <w:rPr>
                <w:rFonts w:hint="eastAsia" w:ascii="宋体" w:hAnsi="宋体" w:eastAsia="宋体" w:cs="宋体"/>
                <w:color w:val="auto"/>
                <w:sz w:val="20"/>
                <w:szCs w:val="20"/>
                <w:highlight w:val="none"/>
                <w:lang w:val="en-US" w:eastAsia="zh-CN"/>
              </w:rPr>
              <w:t>相关法律法规处理</w:t>
            </w:r>
            <w:r>
              <w:rPr>
                <w:rFonts w:hint="eastAsia" w:ascii="宋体" w:hAnsi="宋体" w:eastAsia="宋体" w:cs="宋体"/>
                <w:color w:val="auto"/>
                <w:sz w:val="20"/>
                <w:szCs w:val="20"/>
                <w:highlight w:val="none"/>
              </w:rPr>
              <w:t>。</w:t>
            </w:r>
          </w:p>
        </w:tc>
      </w:tr>
      <w:tr w14:paraId="5400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76FA6499">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28</w:t>
            </w:r>
          </w:p>
        </w:tc>
        <w:tc>
          <w:tcPr>
            <w:tcW w:w="1697" w:type="dxa"/>
            <w:vAlign w:val="center"/>
          </w:tcPr>
          <w:p w14:paraId="60C01B56">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车辆送修</w:t>
            </w:r>
          </w:p>
        </w:tc>
        <w:tc>
          <w:tcPr>
            <w:tcW w:w="5869" w:type="dxa"/>
            <w:vAlign w:val="center"/>
          </w:tcPr>
          <w:p w14:paraId="137714F6">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根据</w:t>
            </w:r>
            <w:r>
              <w:rPr>
                <w:rFonts w:hint="eastAsia" w:ascii="宋体" w:hAnsi="宋体" w:eastAsia="宋体" w:cs="宋体"/>
                <w:color w:val="auto"/>
                <w:sz w:val="20"/>
                <w:szCs w:val="20"/>
                <w:highlight w:val="none"/>
                <w:lang w:val="en-US" w:eastAsia="zh-CN"/>
              </w:rPr>
              <w:t>采购方</w:t>
            </w:r>
            <w:r>
              <w:rPr>
                <w:rFonts w:hint="eastAsia" w:ascii="宋体" w:hAnsi="宋体" w:eastAsia="宋体" w:cs="宋体"/>
                <w:color w:val="auto"/>
                <w:sz w:val="20"/>
                <w:szCs w:val="20"/>
                <w:highlight w:val="none"/>
              </w:rPr>
              <w:t>车辆维修规定，按要求做好车辆送修和验收</w:t>
            </w:r>
            <w:r>
              <w:rPr>
                <w:rFonts w:hint="eastAsia" w:ascii="宋体" w:hAnsi="宋体" w:eastAsia="宋体" w:cs="宋体"/>
                <w:color w:val="auto"/>
                <w:sz w:val="20"/>
                <w:szCs w:val="20"/>
                <w:highlight w:val="none"/>
                <w:lang w:eastAsia="zh-CN"/>
              </w:rPr>
              <w:t>接车</w:t>
            </w:r>
            <w:r>
              <w:rPr>
                <w:rFonts w:hint="eastAsia" w:ascii="宋体" w:hAnsi="宋体" w:eastAsia="宋体" w:cs="宋体"/>
                <w:color w:val="auto"/>
                <w:sz w:val="20"/>
                <w:szCs w:val="20"/>
                <w:highlight w:val="none"/>
              </w:rPr>
              <w:t>工作</w:t>
            </w:r>
            <w:r>
              <w:rPr>
                <w:rFonts w:hint="eastAsia" w:ascii="宋体" w:hAnsi="宋体" w:eastAsia="宋体" w:cs="宋体"/>
                <w:color w:val="auto"/>
                <w:sz w:val="20"/>
                <w:szCs w:val="20"/>
                <w:highlight w:val="none"/>
                <w:lang w:eastAsia="zh-CN"/>
              </w:rPr>
              <w:t>。</w:t>
            </w:r>
          </w:p>
        </w:tc>
      </w:tr>
      <w:tr w14:paraId="0F11E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3" w:type="dxa"/>
            <w:vAlign w:val="center"/>
          </w:tcPr>
          <w:p w14:paraId="4F3500B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29</w:t>
            </w:r>
          </w:p>
        </w:tc>
        <w:tc>
          <w:tcPr>
            <w:tcW w:w="1697" w:type="dxa"/>
            <w:vAlign w:val="center"/>
          </w:tcPr>
          <w:p w14:paraId="05192EB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驾驶员培训</w:t>
            </w:r>
          </w:p>
        </w:tc>
        <w:tc>
          <w:tcPr>
            <w:tcW w:w="5869" w:type="dxa"/>
            <w:vAlign w:val="center"/>
          </w:tcPr>
          <w:p w14:paraId="1E82A549">
            <w:pPr>
              <w:keepNext w:val="0"/>
              <w:keepLines w:val="0"/>
              <w:pageBreakBefore w:val="0"/>
              <w:widowControl w:val="0"/>
              <w:kinsoku/>
              <w:wordWrap/>
              <w:overflowPunct/>
              <w:topLinePunct w:val="0"/>
              <w:autoSpaceDE/>
              <w:autoSpaceDN/>
              <w:bidi w:val="0"/>
              <w:adjustRightInd/>
              <w:snapToGrid/>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按要求参加采购方组织的车辆维护和驾驶技能培训；服务商每</w:t>
            </w:r>
            <w:r>
              <w:rPr>
                <w:rFonts w:hint="eastAsia" w:ascii="宋体" w:hAnsi="宋体" w:cs="宋体"/>
                <w:color w:val="auto"/>
                <w:sz w:val="20"/>
                <w:szCs w:val="20"/>
                <w:highlight w:val="none"/>
                <w:lang w:val="en-US" w:eastAsia="zh-CN"/>
              </w:rPr>
              <w:t>季度</w:t>
            </w:r>
            <w:r>
              <w:rPr>
                <w:rFonts w:hint="eastAsia" w:ascii="宋体" w:hAnsi="宋体" w:eastAsia="宋体" w:cs="宋体"/>
                <w:color w:val="auto"/>
                <w:sz w:val="20"/>
                <w:szCs w:val="20"/>
                <w:highlight w:val="none"/>
                <w:lang w:val="en-US" w:eastAsia="zh-CN"/>
              </w:rPr>
              <w:t>组织驾驶员开展一次</w:t>
            </w:r>
            <w:r>
              <w:rPr>
                <w:rFonts w:hint="eastAsia" w:ascii="宋体" w:hAnsi="宋体" w:eastAsia="宋体" w:cs="宋体"/>
                <w:color w:val="auto"/>
                <w:sz w:val="20"/>
                <w:szCs w:val="20"/>
                <w:highlight w:val="none"/>
              </w:rPr>
              <w:t>交通安全知识培训</w:t>
            </w:r>
            <w:r>
              <w:rPr>
                <w:rFonts w:hint="eastAsia" w:ascii="宋体" w:hAnsi="宋体" w:eastAsia="宋体" w:cs="宋体"/>
                <w:color w:val="auto"/>
                <w:sz w:val="20"/>
                <w:szCs w:val="20"/>
                <w:highlight w:val="none"/>
                <w:lang w:val="en-US" w:eastAsia="zh-CN"/>
              </w:rPr>
              <w:t>。</w:t>
            </w:r>
          </w:p>
        </w:tc>
      </w:tr>
    </w:tbl>
    <w:p w14:paraId="3B9C84E3">
      <w:pPr>
        <w:bidi w:val="0"/>
        <w:rPr>
          <w:rFonts w:hint="eastAsia" w:ascii="宋体" w:hAnsi="宋体" w:eastAsia="宋体" w:cs="宋体"/>
          <w:b/>
          <w:bCs/>
          <w:highlight w:val="none"/>
          <w:lang w:val="en-US" w:eastAsia="zh-CN"/>
        </w:rPr>
      </w:pPr>
    </w:p>
    <w:p w14:paraId="08FF2946">
      <w:pPr>
        <w:bidi w:val="0"/>
        <w:ind w:firstLine="402" w:firstLineChars="20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4.服务履约考核</w:t>
      </w:r>
    </w:p>
    <w:p w14:paraId="1AD87273">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yellow"/>
          <w:lang w:val="en-US" w:eastAsia="zh-CN"/>
        </w:rPr>
      </w:pPr>
      <w:r>
        <w:rPr>
          <w:rFonts w:hint="eastAsia" w:ascii="宋体" w:hAnsi="宋体" w:eastAsia="宋体" w:cs="宋体"/>
          <w:bCs/>
          <w:color w:val="auto"/>
          <w:sz w:val="20"/>
          <w:szCs w:val="20"/>
          <w:highlight w:val="yellow"/>
          <w:lang w:val="en-US" w:eastAsia="zh-CN"/>
        </w:rPr>
        <w:t>采购方每月对服务商工作进行考核，考核结果作为对服务商履约考核的评价，每扣1分折合人民币100元。</w:t>
      </w:r>
    </w:p>
    <w:p w14:paraId="64DCFABF">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4.1车辆驾驶业务外委服务履约考核表（100分）</w:t>
      </w:r>
    </w:p>
    <w:tbl>
      <w:tblPr>
        <w:tblStyle w:val="15"/>
        <w:tblW w:w="10028" w:type="dxa"/>
        <w:jc w:val="center"/>
        <w:shd w:val="clear" w:color="auto" w:fill="auto"/>
        <w:tblLayout w:type="fixed"/>
        <w:tblCellMar>
          <w:top w:w="0" w:type="dxa"/>
          <w:left w:w="0" w:type="dxa"/>
          <w:bottom w:w="0" w:type="dxa"/>
          <w:right w:w="0" w:type="dxa"/>
        </w:tblCellMar>
      </w:tblPr>
      <w:tblGrid>
        <w:gridCol w:w="737"/>
        <w:gridCol w:w="892"/>
        <w:gridCol w:w="2204"/>
        <w:gridCol w:w="675"/>
        <w:gridCol w:w="2111"/>
        <w:gridCol w:w="2129"/>
        <w:gridCol w:w="709"/>
        <w:gridCol w:w="571"/>
      </w:tblGrid>
      <w:tr w14:paraId="7413F108">
        <w:tblPrEx>
          <w:shd w:val="clear" w:color="auto" w:fill="auto"/>
          <w:tblCellMar>
            <w:top w:w="0" w:type="dxa"/>
            <w:left w:w="0" w:type="dxa"/>
            <w:bottom w:w="0" w:type="dxa"/>
            <w:right w:w="0" w:type="dxa"/>
          </w:tblCellMar>
        </w:tblPrEx>
        <w:trPr>
          <w:trHeight w:val="23" w:hRule="atLeast"/>
          <w:jc w:val="center"/>
        </w:trPr>
        <w:tc>
          <w:tcPr>
            <w:tcW w:w="73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B0B250A">
            <w:pPr>
              <w:keepNext w:val="0"/>
              <w:keepLines w:val="0"/>
              <w:pageBreakBefore w:val="0"/>
              <w:widowControl w:val="0"/>
              <w:kinsoku/>
              <w:wordWrap/>
              <w:overflowPunct/>
              <w:topLinePunct w:val="0"/>
              <w:autoSpaceDE/>
              <w:autoSpaceDN/>
              <w:bidi w:val="0"/>
              <w:adjustRightInd/>
              <w:snapToGrid/>
              <w:spacing w:line="540" w:lineRule="exact"/>
              <w:ind w:left="0" w:leftChars="0" w:firstLine="0" w:firstLineChars="0"/>
              <w:jc w:val="center"/>
              <w:textAlignment w:val="auto"/>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序号</w:t>
            </w:r>
          </w:p>
        </w:tc>
        <w:tc>
          <w:tcPr>
            <w:tcW w:w="89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6221841">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考核项目</w:t>
            </w:r>
          </w:p>
        </w:tc>
        <w:tc>
          <w:tcPr>
            <w:tcW w:w="2204"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BC69A12">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服务内容及标准要求</w:t>
            </w:r>
          </w:p>
        </w:tc>
        <w:tc>
          <w:tcPr>
            <w:tcW w:w="67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ECCFA16">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标准分</w:t>
            </w:r>
          </w:p>
        </w:tc>
        <w:tc>
          <w:tcPr>
            <w:tcW w:w="2111"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6946A5B">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检查内容</w:t>
            </w:r>
          </w:p>
        </w:tc>
        <w:tc>
          <w:tcPr>
            <w:tcW w:w="2129"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1A09BA2">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扣分标准</w:t>
            </w:r>
          </w:p>
        </w:tc>
        <w:tc>
          <w:tcPr>
            <w:tcW w:w="709"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CBF604F">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实际   扣分</w:t>
            </w:r>
          </w:p>
        </w:tc>
        <w:tc>
          <w:tcPr>
            <w:tcW w:w="57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0C3AE">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备注</w:t>
            </w:r>
          </w:p>
        </w:tc>
      </w:tr>
      <w:tr w14:paraId="0063D72F">
        <w:tblPrEx>
          <w:shd w:val="clear" w:color="auto" w:fill="auto"/>
          <w:tblCellMar>
            <w:top w:w="0" w:type="dxa"/>
            <w:left w:w="0" w:type="dxa"/>
            <w:bottom w:w="0" w:type="dxa"/>
            <w:right w:w="0" w:type="dxa"/>
          </w:tblCellMar>
        </w:tblPrEx>
        <w:trPr>
          <w:trHeight w:val="23" w:hRule="atLeast"/>
          <w:jc w:val="center"/>
        </w:trPr>
        <w:tc>
          <w:tcPr>
            <w:tcW w:w="737"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AC89073">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892"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26C635E">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驾驶员 管理</w:t>
            </w:r>
          </w:p>
        </w:tc>
        <w:tc>
          <w:tcPr>
            <w:tcW w:w="2204"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155128B">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代驾人员严禁将车辆交给无驾驶证人员和无准驾证驾驶的，严禁私自开公车，如造成事故，赔偿修理车辆的全部经济损失。</w:t>
            </w:r>
          </w:p>
        </w:tc>
        <w:tc>
          <w:tcPr>
            <w:tcW w:w="675"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D96DF63">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6596315">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代驾人员将车辆交给无驾驶证人员和无准驾证驾驶的。</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288376">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-10分/次（造成事故者，赔偿修理车辆的全部经济损失）</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8DF073C">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4A217884">
            <w:pPr>
              <w:rPr>
                <w:rFonts w:hint="eastAsia" w:ascii="宋体" w:hAnsi="宋体" w:eastAsia="宋体" w:cs="宋体"/>
                <w:i w:val="0"/>
                <w:color w:val="auto"/>
                <w:sz w:val="20"/>
                <w:szCs w:val="20"/>
                <w:highlight w:val="none"/>
                <w:u w:val="none"/>
              </w:rPr>
            </w:pPr>
          </w:p>
        </w:tc>
      </w:tr>
      <w:tr w14:paraId="48CB22B3">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FCCABD">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3012D51">
            <w:pPr>
              <w:jc w:val="center"/>
              <w:rPr>
                <w:rFonts w:hint="eastAsia" w:ascii="宋体" w:hAnsi="宋体" w:eastAsia="宋体" w:cs="宋体"/>
                <w:i w:val="0"/>
                <w:color w:val="auto"/>
                <w:sz w:val="20"/>
                <w:szCs w:val="20"/>
                <w:highlight w:val="none"/>
                <w:u w:val="none"/>
              </w:rPr>
            </w:pPr>
          </w:p>
        </w:tc>
        <w:tc>
          <w:tcPr>
            <w:tcW w:w="220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B75E6E6">
            <w:pPr>
              <w:keepNext w:val="0"/>
              <w:keepLines w:val="0"/>
              <w:widowControl/>
              <w:suppressLineNumbers w:val="0"/>
              <w:jc w:val="left"/>
              <w:textAlignment w:val="center"/>
              <w:rPr>
                <w:rFonts w:hint="eastAsia" w:ascii="宋体" w:hAnsi="宋体" w:eastAsia="宋体" w:cs="宋体"/>
                <w:i w:val="0"/>
                <w:color w:val="auto"/>
                <w:kern w:val="0"/>
                <w:sz w:val="20"/>
                <w:szCs w:val="20"/>
                <w:highlight w:val="none"/>
                <w:u w:val="none"/>
                <w:lang w:val="en-US" w:eastAsia="zh-CN" w:bidi="ar"/>
              </w:rPr>
            </w:pPr>
          </w:p>
        </w:tc>
        <w:tc>
          <w:tcPr>
            <w:tcW w:w="675"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94C75F">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8132318">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代驾人员公车私用的。</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54301A9">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kern w:val="0"/>
                <w:sz w:val="20"/>
                <w:szCs w:val="20"/>
                <w:highlight w:val="none"/>
                <w:u w:val="none"/>
                <w:lang w:val="en-US" w:eastAsia="zh-CN" w:bidi="ar"/>
              </w:rPr>
              <w:t>-2分/次（造成事故者，赔偿修理车辆的全部经济损失）</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B482686">
            <w:pPr>
              <w:jc w:val="center"/>
              <w:rPr>
                <w:rFonts w:hint="eastAsia" w:ascii="宋体" w:hAnsi="宋体" w:eastAsia="宋体" w:cs="宋体"/>
                <w:i w:val="0"/>
                <w:color w:val="auto"/>
                <w:kern w:val="2"/>
                <w:sz w:val="20"/>
                <w:szCs w:val="20"/>
                <w:highlight w:val="none"/>
                <w:u w:val="none"/>
                <w:lang w:val="en-US" w:eastAsia="zh-CN" w:bidi="ar-SA"/>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33A3F8B1">
            <w:pPr>
              <w:rPr>
                <w:rFonts w:hint="eastAsia" w:ascii="宋体" w:hAnsi="宋体" w:eastAsia="宋体" w:cs="宋体"/>
                <w:i w:val="0"/>
                <w:color w:val="auto"/>
                <w:sz w:val="20"/>
                <w:szCs w:val="20"/>
                <w:highlight w:val="none"/>
                <w:u w:val="none"/>
              </w:rPr>
            </w:pPr>
          </w:p>
        </w:tc>
      </w:tr>
      <w:tr w14:paraId="58443FE3">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E62967E">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914E14A">
            <w:pPr>
              <w:jc w:val="center"/>
              <w:rPr>
                <w:rFonts w:hint="eastAsia" w:ascii="宋体" w:hAnsi="宋体" w:eastAsia="宋体" w:cs="宋体"/>
                <w:i w:val="0"/>
                <w:color w:val="auto"/>
                <w:sz w:val="20"/>
                <w:szCs w:val="20"/>
                <w:highlight w:val="none"/>
                <w:u w:val="none"/>
              </w:rPr>
            </w:pPr>
          </w:p>
        </w:tc>
        <w:tc>
          <w:tcPr>
            <w:tcW w:w="22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7A2D3F6">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 xml:space="preserve">保守秘密，不随意传播乘车人员谈论的工作及他人私人信息。                                              </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8A7368">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8C2D33E">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 xml:space="preserve">随意传播乘车人员谈论的工作及他人私人信息。                                             </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0FED95D">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-5分/次（造成泄漏机密者，赔偿全部经济损失承担法律责任）</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7E7FD2F">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63FB582E">
            <w:pPr>
              <w:rPr>
                <w:rFonts w:hint="eastAsia" w:ascii="宋体" w:hAnsi="宋体" w:eastAsia="宋体" w:cs="宋体"/>
                <w:i w:val="0"/>
                <w:color w:val="auto"/>
                <w:sz w:val="20"/>
                <w:szCs w:val="20"/>
                <w:highlight w:val="none"/>
                <w:u w:val="none"/>
              </w:rPr>
            </w:pPr>
          </w:p>
        </w:tc>
      </w:tr>
      <w:tr w14:paraId="38DCC626">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973851D">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666AA9F">
            <w:pPr>
              <w:jc w:val="center"/>
              <w:rPr>
                <w:rFonts w:hint="eastAsia" w:ascii="宋体" w:hAnsi="宋体" w:eastAsia="宋体" w:cs="宋体"/>
                <w:i w:val="0"/>
                <w:color w:val="auto"/>
                <w:sz w:val="20"/>
                <w:szCs w:val="20"/>
                <w:highlight w:val="none"/>
                <w:u w:val="none"/>
              </w:rPr>
            </w:pPr>
          </w:p>
        </w:tc>
        <w:tc>
          <w:tcPr>
            <w:tcW w:w="22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78EF3A4">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车班组织的安全学习或技术培训，每</w:t>
            </w:r>
            <w:r>
              <w:rPr>
                <w:rFonts w:hint="eastAsia" w:ascii="宋体" w:hAnsi="宋体" w:cs="宋体"/>
                <w:i w:val="0"/>
                <w:color w:val="auto"/>
                <w:kern w:val="0"/>
                <w:sz w:val="20"/>
                <w:szCs w:val="20"/>
                <w:highlight w:val="none"/>
                <w:u w:val="none"/>
                <w:lang w:val="en-US" w:eastAsia="zh-CN" w:bidi="ar"/>
              </w:rPr>
              <w:t>季度</w:t>
            </w:r>
            <w:r>
              <w:rPr>
                <w:rFonts w:hint="eastAsia" w:ascii="宋体" w:hAnsi="宋体" w:eastAsia="宋体" w:cs="宋体"/>
                <w:i w:val="0"/>
                <w:color w:val="auto"/>
                <w:kern w:val="0"/>
                <w:sz w:val="20"/>
                <w:szCs w:val="20"/>
                <w:highlight w:val="none"/>
                <w:u w:val="none"/>
                <w:lang w:val="en-US" w:eastAsia="zh-CN" w:bidi="ar"/>
              </w:rPr>
              <w:t>不应少于一次。</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D59CABF">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9C6D3B0">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每</w:t>
            </w:r>
            <w:r>
              <w:rPr>
                <w:rFonts w:hint="eastAsia" w:ascii="宋体" w:hAnsi="宋体" w:cs="宋体"/>
                <w:i w:val="0"/>
                <w:color w:val="auto"/>
                <w:kern w:val="0"/>
                <w:sz w:val="20"/>
                <w:szCs w:val="20"/>
                <w:highlight w:val="none"/>
                <w:u w:val="none"/>
                <w:lang w:val="en-US" w:eastAsia="zh-CN" w:bidi="ar"/>
              </w:rPr>
              <w:t>季度</w:t>
            </w:r>
            <w:r>
              <w:rPr>
                <w:rFonts w:hint="eastAsia" w:ascii="宋体" w:hAnsi="宋体" w:eastAsia="宋体" w:cs="宋体"/>
                <w:i w:val="0"/>
                <w:color w:val="auto"/>
                <w:kern w:val="0"/>
                <w:sz w:val="20"/>
                <w:szCs w:val="20"/>
                <w:highlight w:val="none"/>
                <w:u w:val="none"/>
                <w:lang w:val="en-US" w:eastAsia="zh-CN" w:bidi="ar"/>
              </w:rPr>
              <w:t>没有开展或参加安全学习会议、技术培训。</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9835413">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9969F45">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7EA9790F">
            <w:pPr>
              <w:rPr>
                <w:rFonts w:hint="eastAsia" w:ascii="宋体" w:hAnsi="宋体" w:eastAsia="宋体" w:cs="宋体"/>
                <w:i w:val="0"/>
                <w:color w:val="auto"/>
                <w:sz w:val="20"/>
                <w:szCs w:val="20"/>
                <w:highlight w:val="none"/>
                <w:u w:val="none"/>
              </w:rPr>
            </w:pPr>
          </w:p>
        </w:tc>
      </w:tr>
      <w:tr w14:paraId="7F0CCDFE">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6B5E4AE">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ED5D8FA">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22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31E8A32">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遵守企业劳动纪律，按时上班，不迟到早退</w:t>
            </w:r>
            <w:r>
              <w:rPr>
                <w:rFonts w:hint="eastAsia" w:ascii="宋体" w:hAnsi="宋体" w:cs="宋体"/>
                <w:i w:val="0"/>
                <w:color w:val="0000FF"/>
                <w:kern w:val="0"/>
                <w:sz w:val="20"/>
                <w:szCs w:val="20"/>
                <w:highlight w:val="none"/>
                <w:u w:val="none"/>
                <w:lang w:val="en-US" w:eastAsia="zh-CN" w:bidi="ar"/>
              </w:rPr>
              <w:t>。</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EF5B6E5">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109EC52">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违反企业劳动纪律，按时上班，不迟到早退。</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AB69995">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D86B520">
            <w:pP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728C9B08">
            <w:pPr>
              <w:rPr>
                <w:rFonts w:hint="eastAsia" w:ascii="宋体" w:hAnsi="宋体" w:eastAsia="宋体" w:cs="宋体"/>
                <w:i w:val="0"/>
                <w:color w:val="auto"/>
                <w:sz w:val="20"/>
                <w:szCs w:val="20"/>
                <w:highlight w:val="none"/>
                <w:u w:val="none"/>
              </w:rPr>
            </w:pPr>
          </w:p>
        </w:tc>
      </w:tr>
      <w:tr w14:paraId="11AEB76C">
        <w:tblPrEx>
          <w:shd w:val="clear" w:color="auto" w:fill="auto"/>
          <w:tblCellMar>
            <w:top w:w="0" w:type="dxa"/>
            <w:left w:w="0" w:type="dxa"/>
            <w:bottom w:w="0" w:type="dxa"/>
            <w:right w:w="0" w:type="dxa"/>
          </w:tblCellMar>
        </w:tblPrEx>
        <w:trPr>
          <w:trHeight w:val="23" w:hRule="atLeast"/>
          <w:jc w:val="center"/>
        </w:trPr>
        <w:tc>
          <w:tcPr>
            <w:tcW w:w="737"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E842DCE">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p>
        </w:tc>
        <w:tc>
          <w:tcPr>
            <w:tcW w:w="892"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86E3C8A">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车辆管理</w:t>
            </w:r>
          </w:p>
        </w:tc>
        <w:tc>
          <w:tcPr>
            <w:tcW w:w="22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2B7A90D">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机动车辆应按指定区域停放，不得在非指定区域停放过夜。</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FDAB828">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80D0C18">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车辆发生乱停、乱放，在非指定区域停放过夜。</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7A43110">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764C746">
            <w:pP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493E4831">
            <w:pPr>
              <w:rPr>
                <w:rFonts w:hint="eastAsia" w:ascii="宋体" w:hAnsi="宋体" w:eastAsia="宋体" w:cs="宋体"/>
                <w:i w:val="0"/>
                <w:color w:val="auto"/>
                <w:sz w:val="20"/>
                <w:szCs w:val="20"/>
                <w:highlight w:val="none"/>
                <w:u w:val="none"/>
              </w:rPr>
            </w:pPr>
          </w:p>
        </w:tc>
      </w:tr>
      <w:tr w14:paraId="32308678">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F9CCE07">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DE9621E">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p>
        </w:tc>
        <w:tc>
          <w:tcPr>
            <w:tcW w:w="22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0CA07AE">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按</w:t>
            </w:r>
            <w:r>
              <w:rPr>
                <w:rFonts w:hint="eastAsia" w:ascii="宋体" w:hAnsi="宋体" w:cs="宋体"/>
                <w:i w:val="0"/>
                <w:color w:val="auto"/>
                <w:kern w:val="0"/>
                <w:sz w:val="20"/>
                <w:szCs w:val="20"/>
                <w:highlight w:val="none"/>
                <w:u w:val="none"/>
                <w:lang w:val="en-US" w:eastAsia="zh-CN" w:bidi="ar"/>
              </w:rPr>
              <w:t>采购方</w:t>
            </w:r>
            <w:r>
              <w:rPr>
                <w:rFonts w:hint="eastAsia" w:ascii="宋体" w:hAnsi="宋体" w:eastAsia="宋体" w:cs="宋体"/>
                <w:i w:val="0"/>
                <w:color w:val="auto"/>
                <w:kern w:val="0"/>
                <w:sz w:val="20"/>
                <w:szCs w:val="20"/>
                <w:highlight w:val="none"/>
                <w:u w:val="none"/>
                <w:lang w:val="en-US" w:eastAsia="zh-CN" w:bidi="ar"/>
              </w:rPr>
              <w:t>管理要求用车。</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C540E5E">
            <w:pPr>
              <w:keepNext w:val="0"/>
              <w:keepLines w:val="0"/>
              <w:widowControl/>
              <w:suppressLineNumbers w:val="0"/>
              <w:ind w:left="0" w:leftChars="0" w:firstLine="0" w:firstLineChars="0"/>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BE8597B">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不按规定用车。</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6C60D27">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E4FF0F4">
            <w:pP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3654C965">
            <w:pPr>
              <w:rPr>
                <w:rFonts w:hint="eastAsia" w:ascii="宋体" w:hAnsi="宋体" w:eastAsia="宋体" w:cs="宋体"/>
                <w:i w:val="0"/>
                <w:color w:val="auto"/>
                <w:sz w:val="20"/>
                <w:szCs w:val="20"/>
                <w:highlight w:val="none"/>
                <w:u w:val="none"/>
              </w:rPr>
            </w:pPr>
          </w:p>
        </w:tc>
      </w:tr>
      <w:tr w14:paraId="26E1A615">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7FD8470">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D63252C">
            <w:pPr>
              <w:jc w:val="center"/>
              <w:rPr>
                <w:rFonts w:hint="eastAsia" w:ascii="宋体" w:hAnsi="宋体" w:eastAsia="宋体" w:cs="宋体"/>
                <w:i w:val="0"/>
                <w:color w:val="auto"/>
                <w:sz w:val="20"/>
                <w:szCs w:val="20"/>
                <w:highlight w:val="none"/>
                <w:u w:val="none"/>
              </w:rPr>
            </w:pPr>
          </w:p>
        </w:tc>
        <w:tc>
          <w:tcPr>
            <w:tcW w:w="22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91714DD">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按规定完成车辆的日常维护及检查，发现问题及时汇报，保持良好的车况，提供安全出车条件。</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15B5DA3">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1D58D3C">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不按规定进行对车辆进行检查、维护。</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1BB8D30">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FF869AD">
            <w:pP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66B657A3">
            <w:pPr>
              <w:rPr>
                <w:rFonts w:hint="eastAsia" w:ascii="宋体" w:hAnsi="宋体" w:eastAsia="宋体" w:cs="宋体"/>
                <w:i w:val="0"/>
                <w:color w:val="auto"/>
                <w:sz w:val="20"/>
                <w:szCs w:val="20"/>
                <w:highlight w:val="none"/>
                <w:u w:val="none"/>
              </w:rPr>
            </w:pPr>
          </w:p>
        </w:tc>
      </w:tr>
      <w:tr w14:paraId="4C69E71C">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625BFD6">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DE0AEF3">
            <w:pPr>
              <w:jc w:val="center"/>
              <w:rPr>
                <w:rFonts w:hint="eastAsia" w:ascii="宋体" w:hAnsi="宋体" w:eastAsia="宋体" w:cs="宋体"/>
                <w:i w:val="0"/>
                <w:color w:val="auto"/>
                <w:sz w:val="20"/>
                <w:szCs w:val="20"/>
                <w:highlight w:val="none"/>
                <w:u w:val="none"/>
              </w:rPr>
            </w:pPr>
          </w:p>
        </w:tc>
        <w:tc>
          <w:tcPr>
            <w:tcW w:w="2204"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936C444">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lang w:val="en-US"/>
              </w:rPr>
            </w:pPr>
            <w:r>
              <w:rPr>
                <w:rFonts w:hint="eastAsia" w:ascii="宋体" w:hAnsi="宋体" w:eastAsia="宋体" w:cs="宋体"/>
                <w:i w:val="0"/>
                <w:color w:val="auto"/>
                <w:kern w:val="0"/>
                <w:sz w:val="20"/>
                <w:szCs w:val="20"/>
                <w:highlight w:val="none"/>
                <w:u w:val="none"/>
                <w:lang w:val="en-US" w:eastAsia="zh-CN" w:bidi="ar"/>
              </w:rPr>
              <w:t>出车返回后，按规定完成车辆的日常清洗，保持车厢内、外清洁、无垃圾、车内无异味、车室内干净，玻璃明亮。并及时做好车钥匙交接管理工作。</w:t>
            </w:r>
          </w:p>
        </w:tc>
        <w:tc>
          <w:tcPr>
            <w:tcW w:w="675"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0188085">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D389727">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未按要求做好车辆清洁工作。</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875EF1B">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AA7BF6A">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2A9486BE">
            <w:pPr>
              <w:rPr>
                <w:rFonts w:hint="eastAsia" w:ascii="宋体" w:hAnsi="宋体" w:eastAsia="宋体" w:cs="宋体"/>
                <w:i w:val="0"/>
                <w:color w:val="auto"/>
                <w:sz w:val="20"/>
                <w:szCs w:val="20"/>
                <w:highlight w:val="none"/>
                <w:u w:val="none"/>
              </w:rPr>
            </w:pPr>
          </w:p>
        </w:tc>
      </w:tr>
      <w:tr w14:paraId="45A6E54E">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0F96634">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0BFC392">
            <w:pPr>
              <w:jc w:val="center"/>
              <w:rPr>
                <w:rFonts w:hint="eastAsia" w:ascii="宋体" w:hAnsi="宋体" w:eastAsia="宋体" w:cs="宋体"/>
                <w:i w:val="0"/>
                <w:color w:val="auto"/>
                <w:sz w:val="20"/>
                <w:szCs w:val="20"/>
                <w:highlight w:val="none"/>
                <w:u w:val="none"/>
              </w:rPr>
            </w:pPr>
          </w:p>
        </w:tc>
        <w:tc>
          <w:tcPr>
            <w:tcW w:w="220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C3AC972">
            <w:pPr>
              <w:keepNext w:val="0"/>
              <w:keepLines w:val="0"/>
              <w:widowControl/>
              <w:suppressLineNumbers w:val="0"/>
              <w:jc w:val="left"/>
              <w:textAlignment w:val="center"/>
              <w:rPr>
                <w:rFonts w:hint="eastAsia" w:ascii="宋体" w:hAnsi="宋体" w:eastAsia="宋体" w:cs="宋体"/>
                <w:i w:val="0"/>
                <w:color w:val="auto"/>
                <w:kern w:val="0"/>
                <w:sz w:val="20"/>
                <w:szCs w:val="20"/>
                <w:highlight w:val="none"/>
                <w:u w:val="none"/>
                <w:lang w:val="en-US" w:eastAsia="zh-CN" w:bidi="ar"/>
              </w:rPr>
            </w:pPr>
          </w:p>
        </w:tc>
        <w:tc>
          <w:tcPr>
            <w:tcW w:w="675"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1E1558F">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B645A1A">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车内有异味、车室内有垃圾，玻璃有污渍。</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C9AE385">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90D6C0F">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67FED878">
            <w:pPr>
              <w:rPr>
                <w:rFonts w:hint="eastAsia" w:ascii="宋体" w:hAnsi="宋体" w:eastAsia="宋体" w:cs="宋体"/>
                <w:i w:val="0"/>
                <w:color w:val="auto"/>
                <w:sz w:val="20"/>
                <w:szCs w:val="20"/>
                <w:highlight w:val="none"/>
                <w:u w:val="none"/>
              </w:rPr>
            </w:pPr>
          </w:p>
        </w:tc>
      </w:tr>
      <w:tr w14:paraId="0DE7AD15">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E897E54">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891D2E5">
            <w:pPr>
              <w:jc w:val="center"/>
              <w:rPr>
                <w:rFonts w:hint="eastAsia" w:ascii="宋体" w:hAnsi="宋体" w:eastAsia="宋体" w:cs="宋体"/>
                <w:i w:val="0"/>
                <w:color w:val="auto"/>
                <w:sz w:val="20"/>
                <w:szCs w:val="20"/>
                <w:highlight w:val="none"/>
                <w:u w:val="none"/>
              </w:rPr>
            </w:pPr>
          </w:p>
        </w:tc>
        <w:tc>
          <w:tcPr>
            <w:tcW w:w="220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200DC8F">
            <w:pPr>
              <w:keepNext w:val="0"/>
              <w:keepLines w:val="0"/>
              <w:widowControl/>
              <w:suppressLineNumbers w:val="0"/>
              <w:jc w:val="left"/>
              <w:textAlignment w:val="center"/>
              <w:rPr>
                <w:rFonts w:hint="eastAsia" w:ascii="宋体" w:hAnsi="宋体" w:eastAsia="宋体" w:cs="宋体"/>
                <w:i w:val="0"/>
                <w:color w:val="auto"/>
                <w:kern w:val="0"/>
                <w:sz w:val="20"/>
                <w:szCs w:val="20"/>
                <w:highlight w:val="none"/>
                <w:u w:val="none"/>
                <w:lang w:val="en-US" w:eastAsia="zh-CN" w:bidi="ar"/>
              </w:rPr>
            </w:pPr>
          </w:p>
        </w:tc>
        <w:tc>
          <w:tcPr>
            <w:tcW w:w="675"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98B27D5">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1D611F0">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未及时做好车钥匙交接管理工作</w:t>
            </w:r>
            <w:r>
              <w:rPr>
                <w:rFonts w:hint="eastAsia" w:ascii="宋体" w:hAnsi="宋体" w:cs="宋体"/>
                <w:i w:val="0"/>
                <w:color w:val="0000FF"/>
                <w:kern w:val="0"/>
                <w:sz w:val="20"/>
                <w:szCs w:val="20"/>
                <w:highlight w:val="none"/>
                <w:u w:val="none"/>
                <w:lang w:val="en-US" w:eastAsia="zh-CN" w:bidi="ar"/>
              </w:rPr>
              <w:t>。</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0D6D0D9">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B3E2C4">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46C63114">
            <w:pPr>
              <w:rPr>
                <w:rFonts w:hint="eastAsia" w:ascii="宋体" w:hAnsi="宋体" w:eastAsia="宋体" w:cs="宋体"/>
                <w:i w:val="0"/>
                <w:color w:val="auto"/>
                <w:sz w:val="20"/>
                <w:szCs w:val="20"/>
                <w:highlight w:val="none"/>
                <w:u w:val="none"/>
              </w:rPr>
            </w:pPr>
          </w:p>
        </w:tc>
      </w:tr>
      <w:tr w14:paraId="373849C7">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12C4B2B">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2D50DC3">
            <w:pPr>
              <w:jc w:val="center"/>
              <w:rPr>
                <w:rFonts w:hint="eastAsia" w:ascii="宋体" w:hAnsi="宋体" w:eastAsia="宋体" w:cs="宋体"/>
                <w:i w:val="0"/>
                <w:color w:val="auto"/>
                <w:sz w:val="20"/>
                <w:szCs w:val="20"/>
                <w:highlight w:val="none"/>
                <w:u w:val="none"/>
              </w:rPr>
            </w:pPr>
          </w:p>
        </w:tc>
        <w:tc>
          <w:tcPr>
            <w:tcW w:w="22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60B8281">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完成代驾车辆的年审、保险二维及时报验等车辆保险工作。</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806852E">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27E7500">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没有及时办理好车辆的年审、保险、报验工作</w:t>
            </w:r>
            <w:r>
              <w:rPr>
                <w:rFonts w:hint="eastAsia" w:ascii="宋体" w:hAnsi="宋体" w:cs="宋体"/>
                <w:i w:val="0"/>
                <w:color w:val="0000FF"/>
                <w:kern w:val="0"/>
                <w:sz w:val="20"/>
                <w:szCs w:val="20"/>
                <w:highlight w:val="none"/>
                <w:u w:val="none"/>
                <w:lang w:val="en-US" w:eastAsia="zh-CN" w:bidi="ar"/>
              </w:rPr>
              <w:t>。</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1A4C97B">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8FE13DB">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525358E0">
            <w:pPr>
              <w:rPr>
                <w:rFonts w:hint="eastAsia" w:ascii="宋体" w:hAnsi="宋体" w:eastAsia="宋体" w:cs="宋体"/>
                <w:i w:val="0"/>
                <w:color w:val="auto"/>
                <w:sz w:val="20"/>
                <w:szCs w:val="20"/>
                <w:highlight w:val="none"/>
                <w:u w:val="none"/>
              </w:rPr>
            </w:pPr>
          </w:p>
        </w:tc>
      </w:tr>
      <w:tr w14:paraId="67E6E773">
        <w:tblPrEx>
          <w:shd w:val="clear" w:color="auto" w:fill="auto"/>
          <w:tblCellMar>
            <w:top w:w="0" w:type="dxa"/>
            <w:left w:w="0" w:type="dxa"/>
            <w:bottom w:w="0" w:type="dxa"/>
            <w:right w:w="0" w:type="dxa"/>
          </w:tblCellMar>
        </w:tblPrEx>
        <w:trPr>
          <w:trHeight w:val="23" w:hRule="atLeast"/>
          <w:jc w:val="center"/>
        </w:trPr>
        <w:tc>
          <w:tcPr>
            <w:tcW w:w="737"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9F48155">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3</w:t>
            </w:r>
          </w:p>
        </w:tc>
        <w:tc>
          <w:tcPr>
            <w:tcW w:w="892"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49A382A">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安全驾驶</w:t>
            </w:r>
          </w:p>
        </w:tc>
        <w:tc>
          <w:tcPr>
            <w:tcW w:w="2204"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06053A2">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lang w:val="en-US"/>
              </w:rPr>
            </w:pPr>
            <w:r>
              <w:rPr>
                <w:rFonts w:hint="eastAsia" w:ascii="宋体" w:hAnsi="宋体" w:eastAsia="宋体" w:cs="宋体"/>
                <w:i w:val="0"/>
                <w:color w:val="auto"/>
                <w:kern w:val="0"/>
                <w:sz w:val="20"/>
                <w:szCs w:val="20"/>
                <w:highlight w:val="none"/>
                <w:u w:val="none"/>
                <w:lang w:val="en-US" w:eastAsia="zh-CN" w:bidi="ar"/>
              </w:rPr>
              <w:t>每次执行出车任务，均能保证安全，不发生交通事故。</w:t>
            </w:r>
          </w:p>
        </w:tc>
        <w:tc>
          <w:tcPr>
            <w:tcW w:w="675"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5F14236">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02E2D4C">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一般性交通事故：次要责任。</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CA5300D">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E175496">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05CC4C50">
            <w:pPr>
              <w:rPr>
                <w:rFonts w:hint="eastAsia" w:ascii="宋体" w:hAnsi="宋体" w:eastAsia="宋体" w:cs="宋体"/>
                <w:i w:val="0"/>
                <w:color w:val="auto"/>
                <w:sz w:val="20"/>
                <w:szCs w:val="20"/>
                <w:highlight w:val="none"/>
                <w:u w:val="none"/>
              </w:rPr>
            </w:pPr>
          </w:p>
        </w:tc>
      </w:tr>
      <w:tr w14:paraId="2F8B47AA">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5A9E1F9">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6E44706">
            <w:pPr>
              <w:jc w:val="center"/>
              <w:rPr>
                <w:rFonts w:hint="eastAsia" w:ascii="宋体" w:hAnsi="宋体" w:eastAsia="宋体" w:cs="宋体"/>
                <w:i w:val="0"/>
                <w:color w:val="auto"/>
                <w:sz w:val="20"/>
                <w:szCs w:val="20"/>
                <w:highlight w:val="none"/>
                <w:u w:val="none"/>
              </w:rPr>
            </w:pPr>
          </w:p>
        </w:tc>
        <w:tc>
          <w:tcPr>
            <w:tcW w:w="220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98BF7D5">
            <w:pPr>
              <w:keepNext w:val="0"/>
              <w:keepLines w:val="0"/>
              <w:widowControl/>
              <w:suppressLineNumbers w:val="0"/>
              <w:jc w:val="left"/>
              <w:textAlignment w:val="center"/>
              <w:rPr>
                <w:rFonts w:hint="eastAsia" w:ascii="宋体" w:hAnsi="宋体" w:eastAsia="宋体" w:cs="宋体"/>
                <w:i w:val="0"/>
                <w:color w:val="auto"/>
                <w:kern w:val="0"/>
                <w:sz w:val="20"/>
                <w:szCs w:val="20"/>
                <w:highlight w:val="none"/>
                <w:u w:val="none"/>
                <w:lang w:val="en-US" w:eastAsia="zh-CN" w:bidi="ar"/>
              </w:rPr>
            </w:pPr>
          </w:p>
        </w:tc>
        <w:tc>
          <w:tcPr>
            <w:tcW w:w="675"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F1BD8A0">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73440C1">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一般性交通事故：同等责任。</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69D334E">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A17F89A">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70251765">
            <w:pPr>
              <w:rPr>
                <w:rFonts w:hint="eastAsia" w:ascii="宋体" w:hAnsi="宋体" w:eastAsia="宋体" w:cs="宋体"/>
                <w:i w:val="0"/>
                <w:color w:val="auto"/>
                <w:sz w:val="20"/>
                <w:szCs w:val="20"/>
                <w:highlight w:val="none"/>
                <w:u w:val="none"/>
              </w:rPr>
            </w:pPr>
          </w:p>
        </w:tc>
      </w:tr>
      <w:tr w14:paraId="48BFDB4B">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A3CBAAC">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5DB2A5C">
            <w:pPr>
              <w:jc w:val="center"/>
              <w:rPr>
                <w:rFonts w:hint="eastAsia" w:ascii="宋体" w:hAnsi="宋体" w:eastAsia="宋体" w:cs="宋体"/>
                <w:i w:val="0"/>
                <w:color w:val="auto"/>
                <w:sz w:val="20"/>
                <w:szCs w:val="20"/>
                <w:highlight w:val="none"/>
                <w:u w:val="none"/>
              </w:rPr>
            </w:pPr>
          </w:p>
        </w:tc>
        <w:tc>
          <w:tcPr>
            <w:tcW w:w="220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B67815A">
            <w:pPr>
              <w:keepNext w:val="0"/>
              <w:keepLines w:val="0"/>
              <w:widowControl/>
              <w:suppressLineNumbers w:val="0"/>
              <w:jc w:val="left"/>
              <w:textAlignment w:val="center"/>
              <w:rPr>
                <w:rFonts w:hint="eastAsia" w:ascii="宋体" w:hAnsi="宋体" w:eastAsia="宋体" w:cs="宋体"/>
                <w:i w:val="0"/>
                <w:color w:val="auto"/>
                <w:kern w:val="0"/>
                <w:sz w:val="20"/>
                <w:szCs w:val="20"/>
                <w:highlight w:val="none"/>
                <w:u w:val="none"/>
                <w:lang w:val="en-US" w:eastAsia="zh-CN" w:bidi="ar"/>
              </w:rPr>
            </w:pPr>
          </w:p>
        </w:tc>
        <w:tc>
          <w:tcPr>
            <w:tcW w:w="675"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F82EE3">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DB7779E">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一般性交通事故：主要责任。</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CD3700F">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C5D8D79">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1A1743D2">
            <w:pPr>
              <w:rPr>
                <w:rFonts w:hint="eastAsia" w:ascii="宋体" w:hAnsi="宋体" w:eastAsia="宋体" w:cs="宋体"/>
                <w:i w:val="0"/>
                <w:color w:val="auto"/>
                <w:sz w:val="20"/>
                <w:szCs w:val="20"/>
                <w:highlight w:val="none"/>
                <w:u w:val="none"/>
              </w:rPr>
            </w:pPr>
          </w:p>
        </w:tc>
      </w:tr>
      <w:tr w14:paraId="311CFF65">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CD90091">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EC2165">
            <w:pPr>
              <w:jc w:val="center"/>
              <w:rPr>
                <w:rFonts w:hint="eastAsia" w:ascii="宋体" w:hAnsi="宋体" w:eastAsia="宋体" w:cs="宋体"/>
                <w:i w:val="0"/>
                <w:color w:val="auto"/>
                <w:sz w:val="20"/>
                <w:szCs w:val="20"/>
                <w:highlight w:val="none"/>
                <w:u w:val="none"/>
              </w:rPr>
            </w:pPr>
          </w:p>
        </w:tc>
        <w:tc>
          <w:tcPr>
            <w:tcW w:w="2204"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46DE81">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严格遵守国家道路交通和电力生产交通等管理规定。</w:t>
            </w:r>
          </w:p>
        </w:tc>
        <w:tc>
          <w:tcPr>
            <w:tcW w:w="67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B1506">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10</w:t>
            </w:r>
          </w:p>
        </w:tc>
        <w:tc>
          <w:tcPr>
            <w:tcW w:w="2111"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82817">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违反国家道路交通和电力生产交通等管理规定。</w:t>
            </w:r>
          </w:p>
        </w:tc>
        <w:tc>
          <w:tcPr>
            <w:tcW w:w="2129"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015A2E">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w:t>
            </w:r>
            <w:r>
              <w:rPr>
                <w:rFonts w:hint="eastAsia" w:ascii="宋体" w:hAnsi="宋体" w:eastAsia="宋体" w:cs="宋体"/>
                <w:color w:val="auto"/>
                <w:sz w:val="20"/>
                <w:szCs w:val="20"/>
                <w:highlight w:val="none"/>
                <w:lang w:val="en-US" w:eastAsia="zh-CN"/>
              </w:rPr>
              <w:t>至-</w:t>
            </w:r>
            <w:r>
              <w:rPr>
                <w:rFonts w:hint="eastAsia" w:ascii="宋体" w:hAnsi="宋体" w:eastAsia="宋体" w:cs="宋体"/>
                <w:i w:val="0"/>
                <w:color w:val="auto"/>
                <w:kern w:val="0"/>
                <w:sz w:val="20"/>
                <w:szCs w:val="20"/>
                <w:highlight w:val="none"/>
                <w:u w:val="none"/>
                <w:lang w:val="en-US" w:eastAsia="zh-CN" w:bidi="ar"/>
              </w:rPr>
              <w:t>5分/次</w:t>
            </w:r>
          </w:p>
        </w:tc>
        <w:tc>
          <w:tcPr>
            <w:tcW w:w="709"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683A9">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D2A312">
            <w:pPr>
              <w:rPr>
                <w:rFonts w:hint="eastAsia" w:ascii="宋体" w:hAnsi="宋体" w:eastAsia="宋体" w:cs="宋体"/>
                <w:i w:val="0"/>
                <w:color w:val="auto"/>
                <w:sz w:val="20"/>
                <w:szCs w:val="20"/>
                <w:highlight w:val="none"/>
                <w:u w:val="none"/>
              </w:rPr>
            </w:pPr>
          </w:p>
        </w:tc>
      </w:tr>
      <w:tr w14:paraId="14017E89">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000000"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14:paraId="47F5EBCA">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D108AB2">
            <w:pPr>
              <w:jc w:val="center"/>
              <w:rPr>
                <w:rFonts w:hint="eastAsia" w:ascii="宋体" w:hAnsi="宋体" w:eastAsia="宋体" w:cs="宋体"/>
                <w:i w:val="0"/>
                <w:color w:val="auto"/>
                <w:sz w:val="20"/>
                <w:szCs w:val="20"/>
                <w:highlight w:val="none"/>
                <w:u w:val="none"/>
              </w:rPr>
            </w:pPr>
          </w:p>
        </w:tc>
        <w:tc>
          <w:tcPr>
            <w:tcW w:w="2204"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BEC3BA3">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代驾人员不发生扣分及罚款违章行为。</w:t>
            </w:r>
          </w:p>
        </w:tc>
        <w:tc>
          <w:tcPr>
            <w:tcW w:w="67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7D4ECEB">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5</w:t>
            </w:r>
          </w:p>
        </w:tc>
        <w:tc>
          <w:tcPr>
            <w:tcW w:w="2111"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63823EF">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发生扣分及罚款违章行为，由驾驶车辆代驾人员负责处理。</w:t>
            </w:r>
          </w:p>
        </w:tc>
        <w:tc>
          <w:tcPr>
            <w:tcW w:w="2129"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6C58D74">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-1分/次</w:t>
            </w:r>
          </w:p>
        </w:tc>
        <w:tc>
          <w:tcPr>
            <w:tcW w:w="709"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0C4978F">
            <w:pPr>
              <w:jc w:val="center"/>
              <w:rPr>
                <w:rFonts w:hint="eastAsia" w:ascii="宋体" w:hAnsi="宋体" w:eastAsia="宋体" w:cs="宋体"/>
                <w:i w:val="0"/>
                <w:color w:val="auto"/>
                <w:sz w:val="20"/>
                <w:szCs w:val="20"/>
                <w:highlight w:val="none"/>
                <w:u w:val="none"/>
              </w:rPr>
            </w:pPr>
          </w:p>
        </w:tc>
        <w:tc>
          <w:tcPr>
            <w:tcW w:w="571"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03922C1B">
            <w:pPr>
              <w:rPr>
                <w:rFonts w:hint="eastAsia" w:ascii="宋体" w:hAnsi="宋体" w:eastAsia="宋体" w:cs="宋体"/>
                <w:i w:val="0"/>
                <w:color w:val="auto"/>
                <w:sz w:val="20"/>
                <w:szCs w:val="20"/>
                <w:highlight w:val="none"/>
                <w:u w:val="none"/>
              </w:rPr>
            </w:pPr>
          </w:p>
        </w:tc>
      </w:tr>
      <w:tr w14:paraId="14870139">
        <w:tblPrEx>
          <w:shd w:val="clear" w:color="auto" w:fill="auto"/>
          <w:tblCellMar>
            <w:top w:w="0" w:type="dxa"/>
            <w:left w:w="0" w:type="dxa"/>
            <w:bottom w:w="0" w:type="dxa"/>
            <w:right w:w="0" w:type="dxa"/>
          </w:tblCellMar>
        </w:tblPrEx>
        <w:trPr>
          <w:trHeight w:val="23" w:hRule="atLeast"/>
          <w:jc w:val="center"/>
        </w:trPr>
        <w:tc>
          <w:tcPr>
            <w:tcW w:w="737"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023A573">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c>
          <w:tcPr>
            <w:tcW w:w="892"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9C908E0">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优质服务</w:t>
            </w:r>
          </w:p>
        </w:tc>
        <w:tc>
          <w:tcPr>
            <w:tcW w:w="22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B8E0112">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服从调度用车安排，按时出车。</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7FC6E9A">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8</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AF3C4D3">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不服从调度安排，不按时出车。</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471BD3D">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-2分/次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303A5C2">
            <w:pPr>
              <w:jc w:val="center"/>
              <w:rPr>
                <w:rFonts w:hint="eastAsia" w:ascii="宋体" w:hAnsi="宋体" w:eastAsia="宋体" w:cs="宋体"/>
                <w:i w:val="0"/>
                <w:color w:val="auto"/>
                <w:sz w:val="20"/>
                <w:szCs w:val="20"/>
                <w:highlight w:val="none"/>
                <w:u w:val="none"/>
              </w:rPr>
            </w:pPr>
          </w:p>
        </w:tc>
        <w:tc>
          <w:tcPr>
            <w:tcW w:w="571"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83A7CEE">
            <w:pPr>
              <w:rPr>
                <w:rFonts w:hint="eastAsia" w:ascii="宋体" w:hAnsi="宋体" w:eastAsia="宋体" w:cs="宋体"/>
                <w:i w:val="0"/>
                <w:color w:val="auto"/>
                <w:sz w:val="20"/>
                <w:szCs w:val="20"/>
                <w:highlight w:val="none"/>
                <w:u w:val="none"/>
              </w:rPr>
            </w:pPr>
          </w:p>
        </w:tc>
      </w:tr>
      <w:tr w14:paraId="3973734D">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8BC0DBD">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4E96607">
            <w:pPr>
              <w:jc w:val="center"/>
              <w:rPr>
                <w:rFonts w:hint="eastAsia" w:ascii="宋体" w:hAnsi="宋体" w:eastAsia="宋体" w:cs="宋体"/>
                <w:i w:val="0"/>
                <w:color w:val="auto"/>
                <w:sz w:val="20"/>
                <w:szCs w:val="20"/>
                <w:highlight w:val="none"/>
                <w:u w:val="none"/>
              </w:rPr>
            </w:pPr>
          </w:p>
        </w:tc>
        <w:tc>
          <w:tcPr>
            <w:tcW w:w="2204"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1567CF4">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代驾人员</w:t>
            </w:r>
            <w:r>
              <w:rPr>
                <w:rFonts w:hint="eastAsia" w:ascii="宋体" w:hAnsi="宋体" w:eastAsia="宋体" w:cs="宋体"/>
                <w:color w:val="auto"/>
                <w:kern w:val="0"/>
                <w:sz w:val="20"/>
                <w:szCs w:val="20"/>
                <w:highlight w:val="none"/>
              </w:rPr>
              <w:t>要遵守职业道德，做到礼貌待人，服务</w:t>
            </w:r>
            <w:r>
              <w:rPr>
                <w:rFonts w:hint="eastAsia" w:ascii="宋体" w:hAnsi="宋体" w:eastAsia="宋体" w:cs="宋体"/>
                <w:color w:val="auto"/>
                <w:kern w:val="0"/>
                <w:sz w:val="20"/>
                <w:szCs w:val="20"/>
                <w:highlight w:val="none"/>
                <w:lang w:val="en-US" w:eastAsia="zh-CN"/>
              </w:rPr>
              <w:t>态度好</w:t>
            </w:r>
            <w:r>
              <w:rPr>
                <w:rFonts w:hint="eastAsia" w:ascii="宋体" w:hAnsi="宋体" w:eastAsia="宋体" w:cs="宋体"/>
                <w:color w:val="auto"/>
                <w:kern w:val="0"/>
                <w:sz w:val="20"/>
                <w:szCs w:val="20"/>
                <w:highlight w:val="none"/>
              </w:rPr>
              <w:t>。有反映服务态度不好的，经查属实的。</w:t>
            </w:r>
          </w:p>
        </w:tc>
        <w:tc>
          <w:tcPr>
            <w:tcW w:w="675"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306334B">
            <w:pPr>
              <w:keepNext w:val="0"/>
              <w:keepLines w:val="0"/>
              <w:widowControl/>
              <w:suppressLineNumbers w:val="0"/>
              <w:ind w:left="0" w:leftChars="0"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4</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E2332DE">
            <w:pPr>
              <w:keepNext w:val="0"/>
              <w:keepLines w:val="0"/>
              <w:widowControl/>
              <w:suppressLineNumbers w:val="0"/>
              <w:ind w:left="0" w:leftChars="0" w:firstLine="0" w:firstLineChars="0"/>
              <w:jc w:val="left"/>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color w:val="auto"/>
                <w:kern w:val="0"/>
                <w:sz w:val="20"/>
                <w:szCs w:val="20"/>
                <w:highlight w:val="none"/>
              </w:rPr>
              <w:t>发现</w:t>
            </w:r>
            <w:r>
              <w:rPr>
                <w:rFonts w:hint="eastAsia" w:ascii="宋体" w:hAnsi="宋体" w:eastAsia="宋体" w:cs="宋体"/>
                <w:color w:val="auto"/>
                <w:kern w:val="0"/>
                <w:sz w:val="20"/>
                <w:szCs w:val="20"/>
                <w:highlight w:val="none"/>
                <w:lang w:val="en-US" w:eastAsia="zh-CN"/>
              </w:rPr>
              <w:t>代驾人员</w:t>
            </w:r>
            <w:r>
              <w:rPr>
                <w:rFonts w:hint="eastAsia" w:ascii="宋体" w:hAnsi="宋体" w:eastAsia="宋体" w:cs="宋体"/>
                <w:color w:val="auto"/>
                <w:kern w:val="0"/>
                <w:sz w:val="20"/>
                <w:szCs w:val="20"/>
                <w:highlight w:val="none"/>
              </w:rPr>
              <w:t>不遵守职业道德，不做到礼貌待人，服务态度不好。</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1A601FF">
            <w:pPr>
              <w:keepNext w:val="0"/>
              <w:keepLines w:val="0"/>
              <w:widowControl/>
              <w:suppressLineNumbers w:val="0"/>
              <w:ind w:left="0" w:leftChars="0"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C7B5ACD">
            <w:pPr>
              <w:jc w:val="center"/>
              <w:rPr>
                <w:rFonts w:hint="eastAsia" w:ascii="宋体" w:hAnsi="宋体" w:eastAsia="宋体" w:cs="宋体"/>
                <w:i w:val="0"/>
                <w:color w:val="auto"/>
                <w:sz w:val="20"/>
                <w:szCs w:val="20"/>
                <w:highlight w:val="none"/>
                <w:u w:val="none"/>
              </w:rPr>
            </w:pPr>
          </w:p>
        </w:tc>
        <w:tc>
          <w:tcPr>
            <w:tcW w:w="571"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6007530">
            <w:pPr>
              <w:rPr>
                <w:rFonts w:hint="eastAsia" w:ascii="宋体" w:hAnsi="宋体" w:eastAsia="宋体" w:cs="宋体"/>
                <w:i w:val="0"/>
                <w:color w:val="auto"/>
                <w:sz w:val="20"/>
                <w:szCs w:val="20"/>
                <w:highlight w:val="none"/>
                <w:u w:val="none"/>
              </w:rPr>
            </w:pPr>
          </w:p>
        </w:tc>
      </w:tr>
      <w:tr w14:paraId="605840E8">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9AA415B">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02F4322">
            <w:pPr>
              <w:jc w:val="center"/>
              <w:rPr>
                <w:rFonts w:hint="eastAsia" w:ascii="宋体" w:hAnsi="宋体" w:eastAsia="宋体" w:cs="宋体"/>
                <w:i w:val="0"/>
                <w:color w:val="auto"/>
                <w:sz w:val="20"/>
                <w:szCs w:val="20"/>
                <w:highlight w:val="none"/>
                <w:u w:val="none"/>
              </w:rPr>
            </w:pPr>
          </w:p>
        </w:tc>
        <w:tc>
          <w:tcPr>
            <w:tcW w:w="220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48F771F">
            <w:pPr>
              <w:keepNext w:val="0"/>
              <w:keepLines w:val="0"/>
              <w:widowControl/>
              <w:suppressLineNumbers w:val="0"/>
              <w:jc w:val="left"/>
              <w:textAlignment w:val="center"/>
              <w:rPr>
                <w:rFonts w:hint="eastAsia" w:ascii="宋体" w:hAnsi="宋体" w:eastAsia="宋体" w:cs="宋体"/>
                <w:i w:val="0"/>
                <w:color w:val="auto"/>
                <w:kern w:val="0"/>
                <w:sz w:val="20"/>
                <w:szCs w:val="20"/>
                <w:highlight w:val="none"/>
                <w:u w:val="none"/>
                <w:lang w:val="en-US" w:eastAsia="zh-CN" w:bidi="ar"/>
              </w:rPr>
            </w:pPr>
          </w:p>
        </w:tc>
        <w:tc>
          <w:tcPr>
            <w:tcW w:w="675"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FEB6108">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0A180C3">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开车鲁莽、粗野驾驶、仪容不整、言谈举止不文明。</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8911131">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024B50">
            <w:pPr>
              <w:jc w:val="center"/>
              <w:rPr>
                <w:rFonts w:hint="eastAsia" w:ascii="宋体" w:hAnsi="宋体" w:eastAsia="宋体" w:cs="宋体"/>
                <w:i w:val="0"/>
                <w:color w:val="auto"/>
                <w:sz w:val="20"/>
                <w:szCs w:val="20"/>
                <w:highlight w:val="none"/>
                <w:u w:val="none"/>
              </w:rPr>
            </w:pPr>
          </w:p>
        </w:tc>
        <w:tc>
          <w:tcPr>
            <w:tcW w:w="571"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1D5331A">
            <w:pPr>
              <w:rPr>
                <w:rFonts w:hint="eastAsia" w:ascii="宋体" w:hAnsi="宋体" w:eastAsia="宋体" w:cs="宋体"/>
                <w:i w:val="0"/>
                <w:color w:val="auto"/>
                <w:sz w:val="20"/>
                <w:szCs w:val="20"/>
                <w:highlight w:val="none"/>
                <w:u w:val="none"/>
              </w:rPr>
            </w:pPr>
          </w:p>
        </w:tc>
      </w:tr>
      <w:tr w14:paraId="55AE4380">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79E5637">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C583601">
            <w:pPr>
              <w:jc w:val="center"/>
              <w:rPr>
                <w:rFonts w:hint="eastAsia" w:ascii="宋体" w:hAnsi="宋体" w:eastAsia="宋体" w:cs="宋体"/>
                <w:i w:val="0"/>
                <w:color w:val="auto"/>
                <w:sz w:val="20"/>
                <w:szCs w:val="20"/>
                <w:highlight w:val="none"/>
                <w:u w:val="none"/>
              </w:rPr>
            </w:pPr>
          </w:p>
        </w:tc>
        <w:tc>
          <w:tcPr>
            <w:tcW w:w="22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9DAB8BD">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kern w:val="0"/>
                <w:sz w:val="20"/>
                <w:szCs w:val="20"/>
                <w:highlight w:val="none"/>
                <w:u w:val="none"/>
                <w:lang w:val="en-US" w:eastAsia="zh-CN" w:bidi="ar"/>
              </w:rPr>
              <w:t>电话24小时保持开机状态，有电话立即接听，服从上级安排的出车及加班用车。</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A8937F4">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kern w:val="0"/>
                <w:sz w:val="20"/>
                <w:szCs w:val="20"/>
                <w:highlight w:val="none"/>
                <w:u w:val="none"/>
                <w:lang w:val="en-US" w:eastAsia="zh-CN" w:bidi="ar"/>
              </w:rPr>
              <w:t>4</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D6CF5DE">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kern w:val="0"/>
                <w:sz w:val="20"/>
                <w:szCs w:val="20"/>
                <w:highlight w:val="none"/>
                <w:u w:val="none"/>
                <w:lang w:val="en-US" w:eastAsia="zh-CN" w:bidi="ar"/>
              </w:rPr>
              <w:t>电话关机或无人接听，耽误出车工作任务。</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77AD893">
            <w:pPr>
              <w:keepNext w:val="0"/>
              <w:keepLines w:val="0"/>
              <w:widowControl/>
              <w:suppressLineNumbers w:val="0"/>
              <w:ind w:left="0" w:leftChars="0" w:firstLine="0" w:firstLineChars="0"/>
              <w:jc w:val="both"/>
              <w:textAlignment w:val="center"/>
              <w:rPr>
                <w:rFonts w:hint="eastAsia"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kern w:val="0"/>
                <w:sz w:val="20"/>
                <w:szCs w:val="20"/>
                <w:highlight w:val="none"/>
                <w:u w:val="none"/>
                <w:lang w:val="en-US" w:eastAsia="zh-CN" w:bidi="ar"/>
              </w:rPr>
              <w:t>-2分/次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04BA146">
            <w:pPr>
              <w:jc w:val="center"/>
              <w:rPr>
                <w:rFonts w:hint="eastAsia" w:ascii="宋体" w:hAnsi="宋体" w:eastAsia="宋体" w:cs="宋体"/>
                <w:i w:val="0"/>
                <w:color w:val="auto"/>
                <w:sz w:val="20"/>
                <w:szCs w:val="20"/>
                <w:highlight w:val="none"/>
                <w:u w:val="none"/>
              </w:rPr>
            </w:pPr>
          </w:p>
        </w:tc>
        <w:tc>
          <w:tcPr>
            <w:tcW w:w="571"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2C47278">
            <w:pPr>
              <w:rPr>
                <w:rFonts w:hint="eastAsia" w:ascii="宋体" w:hAnsi="宋体" w:eastAsia="宋体" w:cs="宋体"/>
                <w:i w:val="0"/>
                <w:color w:val="auto"/>
                <w:sz w:val="20"/>
                <w:szCs w:val="20"/>
                <w:highlight w:val="none"/>
                <w:u w:val="none"/>
              </w:rPr>
            </w:pPr>
          </w:p>
        </w:tc>
      </w:tr>
      <w:tr w14:paraId="7B3C9FED">
        <w:tblPrEx>
          <w:shd w:val="clear" w:color="auto" w:fill="auto"/>
          <w:tblCellMar>
            <w:top w:w="0" w:type="dxa"/>
            <w:left w:w="0" w:type="dxa"/>
            <w:bottom w:w="0" w:type="dxa"/>
            <w:right w:w="0" w:type="dxa"/>
          </w:tblCellMar>
        </w:tblPrEx>
        <w:trPr>
          <w:trHeight w:val="23" w:hRule="atLeast"/>
          <w:jc w:val="center"/>
        </w:trPr>
        <w:tc>
          <w:tcPr>
            <w:tcW w:w="737"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6777CDB">
            <w:pPr>
              <w:ind w:left="0" w:leftChars="0" w:firstLine="0" w:firstLineChars="0"/>
              <w:jc w:val="center"/>
              <w:rPr>
                <w:rFonts w:hint="eastAsia" w:ascii="宋体" w:hAnsi="宋体" w:eastAsia="宋体" w:cs="宋体"/>
                <w:i w:val="0"/>
                <w:color w:val="auto"/>
                <w:sz w:val="20"/>
                <w:szCs w:val="20"/>
                <w:highlight w:val="none"/>
                <w:u w:val="none"/>
                <w:lang w:val="en-US" w:eastAsia="zh-CN"/>
              </w:rPr>
            </w:pPr>
            <w:r>
              <w:rPr>
                <w:rFonts w:hint="eastAsia" w:ascii="宋体" w:hAnsi="宋体" w:eastAsia="宋体" w:cs="宋体"/>
                <w:i w:val="0"/>
                <w:color w:val="auto"/>
                <w:sz w:val="20"/>
                <w:szCs w:val="20"/>
                <w:highlight w:val="none"/>
                <w:u w:val="none"/>
                <w:lang w:val="en-US" w:eastAsia="zh-CN"/>
              </w:rPr>
              <w:t>5</w:t>
            </w:r>
          </w:p>
        </w:tc>
        <w:tc>
          <w:tcPr>
            <w:tcW w:w="892"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72CD43E">
            <w:pPr>
              <w:ind w:left="0" w:leftChars="0" w:firstLine="0" w:firstLineChars="0"/>
              <w:jc w:val="both"/>
              <w:rPr>
                <w:rFonts w:hint="eastAsia" w:ascii="宋体" w:hAnsi="宋体" w:eastAsia="宋体" w:cs="宋体"/>
                <w:i w:val="0"/>
                <w:color w:val="auto"/>
                <w:sz w:val="20"/>
                <w:szCs w:val="20"/>
                <w:highlight w:val="none"/>
                <w:u w:val="none"/>
                <w:lang w:val="en-US" w:eastAsia="zh-CN"/>
              </w:rPr>
            </w:pPr>
            <w:r>
              <w:rPr>
                <w:rFonts w:hint="eastAsia" w:ascii="宋体" w:hAnsi="宋体" w:eastAsia="宋体" w:cs="宋体"/>
                <w:i w:val="0"/>
                <w:color w:val="auto"/>
                <w:sz w:val="20"/>
                <w:szCs w:val="20"/>
                <w:highlight w:val="none"/>
                <w:u w:val="none"/>
                <w:lang w:val="en-US" w:eastAsia="zh-CN"/>
              </w:rPr>
              <w:t>服务响应</w:t>
            </w:r>
          </w:p>
        </w:tc>
        <w:tc>
          <w:tcPr>
            <w:tcW w:w="2204"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CDEAB4F">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cs="宋体"/>
                <w:color w:val="auto"/>
                <w:sz w:val="20"/>
                <w:szCs w:val="20"/>
                <w:highlight w:val="none"/>
                <w:lang w:eastAsia="zh-CN"/>
              </w:rPr>
              <w:t>服务商</w:t>
            </w:r>
            <w:r>
              <w:rPr>
                <w:rFonts w:hint="eastAsia" w:ascii="宋体" w:hAnsi="宋体" w:eastAsia="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布置的工作要求、任务有落实，有反馈。</w:t>
            </w:r>
          </w:p>
        </w:tc>
        <w:tc>
          <w:tcPr>
            <w:tcW w:w="675"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B15D26B">
            <w:pPr>
              <w:keepNext w:val="0"/>
              <w:keepLines w:val="0"/>
              <w:widowControl/>
              <w:suppressLineNumbers w:val="0"/>
              <w:ind w:left="0" w:leftChars="0" w:firstLine="0" w:firstLineChars="0"/>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10</w:t>
            </w: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B40D7F8">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19FC0EF">
            <w:pPr>
              <w:jc w:val="both"/>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F2BA30F">
            <w:pPr>
              <w:jc w:val="center"/>
              <w:rPr>
                <w:rFonts w:hint="eastAsia" w:ascii="宋体" w:hAnsi="宋体" w:eastAsia="宋体" w:cs="宋体"/>
                <w:i w:val="0"/>
                <w:color w:val="auto"/>
                <w:sz w:val="20"/>
                <w:szCs w:val="20"/>
                <w:highlight w:val="none"/>
                <w:u w:val="none"/>
              </w:rPr>
            </w:pPr>
          </w:p>
        </w:tc>
        <w:tc>
          <w:tcPr>
            <w:tcW w:w="571"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22E12B7">
            <w:pPr>
              <w:rPr>
                <w:rFonts w:hint="eastAsia" w:ascii="宋体" w:hAnsi="宋体" w:eastAsia="宋体" w:cs="宋体"/>
                <w:i w:val="0"/>
                <w:color w:val="auto"/>
                <w:sz w:val="20"/>
                <w:szCs w:val="20"/>
                <w:highlight w:val="none"/>
                <w:u w:val="none"/>
              </w:rPr>
            </w:pPr>
          </w:p>
        </w:tc>
      </w:tr>
      <w:tr w14:paraId="23095F46">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7F6FDF7">
            <w:pPr>
              <w:ind w:left="0" w:leftChars="0" w:firstLine="0" w:firstLineChars="0"/>
              <w:jc w:val="center"/>
              <w:rPr>
                <w:rFonts w:hint="eastAsia" w:ascii="宋体" w:hAnsi="宋体" w:eastAsia="宋体" w:cs="宋体"/>
                <w:i w:val="0"/>
                <w:color w:val="auto"/>
                <w:sz w:val="20"/>
                <w:szCs w:val="20"/>
                <w:highlight w:val="none"/>
                <w:u w:val="none"/>
                <w:lang w:val="en-US" w:eastAsia="zh-CN"/>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8BB442B">
            <w:pPr>
              <w:ind w:left="0" w:leftChars="0" w:firstLine="0" w:firstLineChars="0"/>
              <w:jc w:val="both"/>
              <w:rPr>
                <w:rFonts w:hint="eastAsia" w:ascii="宋体" w:hAnsi="宋体" w:eastAsia="宋体" w:cs="宋体"/>
                <w:i w:val="0"/>
                <w:color w:val="auto"/>
                <w:sz w:val="20"/>
                <w:szCs w:val="20"/>
                <w:highlight w:val="none"/>
                <w:u w:val="none"/>
                <w:lang w:val="en-US" w:eastAsia="zh-CN"/>
              </w:rPr>
            </w:pPr>
          </w:p>
        </w:tc>
        <w:tc>
          <w:tcPr>
            <w:tcW w:w="220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CC31E33">
            <w:pPr>
              <w:keepNext w:val="0"/>
              <w:keepLines w:val="0"/>
              <w:widowControl/>
              <w:suppressLineNumbers w:val="0"/>
              <w:ind w:left="0" w:leftChars="0" w:firstLine="0" w:firstLineChars="0"/>
              <w:jc w:val="left"/>
              <w:textAlignment w:val="center"/>
              <w:rPr>
                <w:rFonts w:hint="eastAsia" w:ascii="宋体" w:hAnsi="宋体" w:eastAsia="宋体" w:cs="宋体"/>
                <w:color w:val="auto"/>
                <w:sz w:val="20"/>
                <w:szCs w:val="20"/>
                <w:highlight w:val="none"/>
              </w:rPr>
            </w:pPr>
          </w:p>
        </w:tc>
        <w:tc>
          <w:tcPr>
            <w:tcW w:w="675"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52D1ED2">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2F4C474">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423919C">
            <w:pPr>
              <w:jc w:val="both"/>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F2AE530">
            <w:pPr>
              <w:jc w:val="center"/>
              <w:rPr>
                <w:rFonts w:hint="eastAsia" w:ascii="宋体" w:hAnsi="宋体" w:eastAsia="宋体" w:cs="宋体"/>
                <w:i w:val="0"/>
                <w:color w:val="auto"/>
                <w:sz w:val="20"/>
                <w:szCs w:val="20"/>
                <w:highlight w:val="none"/>
                <w:u w:val="none"/>
              </w:rPr>
            </w:pPr>
          </w:p>
        </w:tc>
        <w:tc>
          <w:tcPr>
            <w:tcW w:w="571"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5001A75">
            <w:pPr>
              <w:rPr>
                <w:rFonts w:hint="eastAsia" w:ascii="宋体" w:hAnsi="宋体" w:eastAsia="宋体" w:cs="宋体"/>
                <w:i w:val="0"/>
                <w:color w:val="auto"/>
                <w:sz w:val="20"/>
                <w:szCs w:val="20"/>
                <w:highlight w:val="none"/>
                <w:u w:val="none"/>
              </w:rPr>
            </w:pPr>
          </w:p>
        </w:tc>
      </w:tr>
      <w:tr w14:paraId="2C7D0A11">
        <w:tblPrEx>
          <w:shd w:val="clear" w:color="auto" w:fill="auto"/>
          <w:tblCellMar>
            <w:top w:w="0" w:type="dxa"/>
            <w:left w:w="0" w:type="dxa"/>
            <w:bottom w:w="0" w:type="dxa"/>
            <w:right w:w="0" w:type="dxa"/>
          </w:tblCellMar>
        </w:tblPrEx>
        <w:trPr>
          <w:trHeight w:val="23" w:hRule="atLeast"/>
          <w:jc w:val="center"/>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E2B327F">
            <w:pPr>
              <w:jc w:val="center"/>
              <w:rPr>
                <w:rFonts w:hint="eastAsia" w:ascii="宋体" w:hAnsi="宋体" w:eastAsia="宋体" w:cs="宋体"/>
                <w:i w:val="0"/>
                <w:color w:val="auto"/>
                <w:sz w:val="20"/>
                <w:szCs w:val="20"/>
                <w:highlight w:val="none"/>
                <w:u w:val="none"/>
              </w:rPr>
            </w:pPr>
          </w:p>
        </w:tc>
        <w:tc>
          <w:tcPr>
            <w:tcW w:w="892"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C0F89E1">
            <w:pPr>
              <w:jc w:val="center"/>
              <w:rPr>
                <w:rFonts w:hint="eastAsia" w:ascii="宋体" w:hAnsi="宋体" w:eastAsia="宋体" w:cs="宋体"/>
                <w:i w:val="0"/>
                <w:color w:val="auto"/>
                <w:sz w:val="20"/>
                <w:szCs w:val="20"/>
                <w:highlight w:val="none"/>
                <w:u w:val="none"/>
              </w:rPr>
            </w:pPr>
          </w:p>
        </w:tc>
        <w:tc>
          <w:tcPr>
            <w:tcW w:w="2204"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6F8F848">
            <w:pPr>
              <w:keepNext w:val="0"/>
              <w:keepLines w:val="0"/>
              <w:widowControl/>
              <w:suppressLineNumbers w:val="0"/>
              <w:ind w:left="0" w:leftChars="0" w:firstLine="0" w:firstLineChars="0"/>
              <w:jc w:val="left"/>
              <w:textAlignment w:val="center"/>
              <w:rPr>
                <w:rFonts w:hint="eastAsia" w:ascii="宋体" w:hAnsi="宋体" w:eastAsia="宋体" w:cs="宋体"/>
                <w:i w:val="0"/>
                <w:color w:val="auto"/>
                <w:kern w:val="0"/>
                <w:sz w:val="20"/>
                <w:szCs w:val="20"/>
                <w:highlight w:val="none"/>
                <w:u w:val="none"/>
                <w:lang w:val="en-US" w:eastAsia="zh-CN" w:bidi="ar"/>
              </w:rPr>
            </w:pPr>
          </w:p>
        </w:tc>
        <w:tc>
          <w:tcPr>
            <w:tcW w:w="675"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85DAB40">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211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E333E7B">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212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7AD1A88">
            <w:pPr>
              <w:jc w:val="both"/>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10分/项</w:t>
            </w:r>
          </w:p>
        </w:tc>
        <w:tc>
          <w:tcPr>
            <w:tcW w:w="70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6FBCBBC">
            <w:pPr>
              <w:jc w:val="center"/>
              <w:rPr>
                <w:rFonts w:hint="eastAsia" w:ascii="宋体" w:hAnsi="宋体" w:eastAsia="宋体" w:cs="宋体"/>
                <w:i w:val="0"/>
                <w:color w:val="auto"/>
                <w:sz w:val="20"/>
                <w:szCs w:val="20"/>
                <w:highlight w:val="none"/>
                <w:u w:val="none"/>
              </w:rPr>
            </w:pPr>
          </w:p>
        </w:tc>
        <w:tc>
          <w:tcPr>
            <w:tcW w:w="571"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5E3BFB3">
            <w:pPr>
              <w:rPr>
                <w:rFonts w:hint="eastAsia" w:ascii="宋体" w:hAnsi="宋体" w:eastAsia="宋体" w:cs="宋体"/>
                <w:i w:val="0"/>
                <w:color w:val="auto"/>
                <w:sz w:val="20"/>
                <w:szCs w:val="20"/>
                <w:highlight w:val="none"/>
                <w:u w:val="none"/>
              </w:rPr>
            </w:pPr>
          </w:p>
        </w:tc>
      </w:tr>
      <w:tr w14:paraId="621C35EB">
        <w:tblPrEx>
          <w:shd w:val="clear" w:color="auto" w:fill="auto"/>
          <w:tblCellMar>
            <w:top w:w="0" w:type="dxa"/>
            <w:left w:w="0" w:type="dxa"/>
            <w:bottom w:w="0" w:type="dxa"/>
            <w:right w:w="0" w:type="dxa"/>
          </w:tblCellMar>
        </w:tblPrEx>
        <w:trPr>
          <w:trHeight w:val="23" w:hRule="atLeast"/>
          <w:jc w:val="center"/>
        </w:trPr>
        <w:tc>
          <w:tcPr>
            <w:tcW w:w="10028" w:type="dxa"/>
            <w:gridSpan w:val="8"/>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507E3D9">
            <w:pPr>
              <w:ind w:firstLine="400" w:firstLineChars="20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lang w:eastAsia="zh-CN"/>
              </w:rPr>
              <w:t>考核分数：</w:t>
            </w:r>
          </w:p>
        </w:tc>
      </w:tr>
      <w:tr w14:paraId="78F6EF59">
        <w:tblPrEx>
          <w:shd w:val="clear" w:color="auto" w:fill="auto"/>
          <w:tblCellMar>
            <w:top w:w="0" w:type="dxa"/>
            <w:left w:w="0" w:type="dxa"/>
            <w:bottom w:w="0" w:type="dxa"/>
            <w:right w:w="0" w:type="dxa"/>
          </w:tblCellMar>
        </w:tblPrEx>
        <w:trPr>
          <w:trHeight w:val="23" w:hRule="atLeast"/>
          <w:jc w:val="center"/>
        </w:trPr>
        <w:tc>
          <w:tcPr>
            <w:tcW w:w="10028" w:type="dxa"/>
            <w:gridSpan w:val="8"/>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FAF9448">
            <w:pPr>
              <w:rPr>
                <w:rFonts w:hint="eastAsia" w:ascii="宋体" w:hAnsi="宋体" w:eastAsia="宋体" w:cs="宋体"/>
                <w:b w:val="0"/>
                <w:bCs w:val="0"/>
                <w:color w:val="auto"/>
                <w:sz w:val="20"/>
                <w:szCs w:val="20"/>
                <w:highlight w:val="none"/>
              </w:rPr>
            </w:pPr>
            <w:r>
              <w:rPr>
                <w:rFonts w:hint="eastAsia" w:ascii="宋体" w:hAnsi="宋体" w:eastAsia="宋体" w:cs="宋体"/>
                <w:color w:val="auto"/>
                <w:sz w:val="20"/>
                <w:szCs w:val="20"/>
                <w:highlight w:val="none"/>
                <w:lang w:eastAsia="zh-CN"/>
              </w:rPr>
              <w:t>考核意见：</w:t>
            </w:r>
          </w:p>
          <w:p w14:paraId="5DA28519">
            <w:pPr>
              <w:pStyle w:val="18"/>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 xml:space="preserve">                                                    </w:t>
            </w:r>
            <w:r>
              <w:rPr>
                <w:rFonts w:hint="eastAsia" w:ascii="宋体" w:hAnsi="宋体" w:eastAsia="宋体" w:cs="宋体"/>
                <w:color w:val="auto"/>
                <w:kern w:val="2"/>
                <w:sz w:val="20"/>
                <w:szCs w:val="20"/>
                <w:highlight w:val="none"/>
                <w:lang w:val="en-US" w:eastAsia="zh-CN" w:bidi="ar-SA"/>
              </w:rPr>
              <w:t>签名：</w:t>
            </w:r>
          </w:p>
          <w:p w14:paraId="274201CE">
            <w:pPr>
              <w:ind w:firstLine="400" w:firstLineChars="200"/>
              <w:jc w:val="both"/>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 xml:space="preserve">                                                   日期：</w:t>
            </w:r>
          </w:p>
        </w:tc>
      </w:tr>
    </w:tbl>
    <w:p w14:paraId="0B46798E">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color w:val="FF0000"/>
          <w:sz w:val="20"/>
          <w:szCs w:val="20"/>
          <w:highlight w:val="yellow"/>
          <w:lang w:val="en-US" w:eastAsia="zh-CN"/>
        </w:rPr>
      </w:pPr>
      <w:bookmarkStart w:id="100" w:name="_Toc16330"/>
    </w:p>
    <w:p w14:paraId="45ACE564">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color w:val="FF0000"/>
          <w:sz w:val="20"/>
          <w:szCs w:val="20"/>
          <w:highlight w:val="yellow"/>
          <w:lang w:val="en-US" w:eastAsia="zh-CN"/>
        </w:rPr>
      </w:pPr>
      <w:r>
        <w:rPr>
          <w:rFonts w:hint="eastAsia" w:ascii="宋体" w:hAnsi="宋体" w:eastAsia="宋体" w:cs="宋体"/>
          <w:b/>
          <w:bCs/>
          <w:color w:val="FF0000"/>
          <w:sz w:val="20"/>
          <w:szCs w:val="20"/>
          <w:highlight w:val="yellow"/>
          <w:lang w:val="en-US" w:eastAsia="zh-CN"/>
        </w:rPr>
        <w:t>5.项目其他需要说明的事项</w:t>
      </w:r>
    </w:p>
    <w:p w14:paraId="2BE7A049">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t>5.1结算方式</w:t>
      </w:r>
    </w:p>
    <w:p w14:paraId="6C15BD41">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t>5.1.1固定工资费用结算：按照每月实际提供人数及相应单价进行结算支付，结算单价按照中标单价标准执行。合同生效之日起，根据合同价款，采购方每月按中标方上月实际提供人数及中标单价进行结算，按月支付。</w:t>
      </w:r>
    </w:p>
    <w:p w14:paraId="7C318568">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t>5.1.2浮动费用结算</w:t>
      </w:r>
    </w:p>
    <w:p w14:paraId="27BF8D18">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t>（1）因甲方派工产生相应的差旅费（即外勤</w:t>
      </w:r>
      <w:r>
        <w:rPr>
          <w:rFonts w:hint="eastAsia" w:ascii="宋体" w:hAnsi="宋体" w:cs="宋体"/>
          <w:color w:val="FF0000"/>
          <w:sz w:val="20"/>
          <w:szCs w:val="20"/>
          <w:highlight w:val="yellow"/>
          <w:lang w:val="en-US" w:eastAsia="zh-CN"/>
        </w:rPr>
        <w:t>出差</w:t>
      </w:r>
      <w:r>
        <w:rPr>
          <w:rFonts w:hint="eastAsia" w:ascii="宋体" w:hAnsi="宋体" w:eastAsia="宋体" w:cs="宋体"/>
          <w:color w:val="FF0000"/>
          <w:sz w:val="20"/>
          <w:szCs w:val="20"/>
          <w:highlight w:val="yellow"/>
          <w:lang w:val="en-US" w:eastAsia="zh-CN"/>
        </w:rPr>
        <w:t>补助及交通住宿等）、法定节假日加班费等费用，按照实际发生费用由甲方另行支付，标准按照甲方制定的标准执行。</w:t>
      </w:r>
    </w:p>
    <w:p w14:paraId="5B77FC28">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default"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t>①工作时间超过4小时的，按1天计算；工作时间不足4小时的，按0.5天计算。</w:t>
      </w:r>
    </w:p>
    <w:p w14:paraId="05A8BB67">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t>（2）服务商驾驶员正常工作日（含休息日）时间实行综合计算工时工作制计算，时间范围外为甲方提供车辆代驾服务的，原则上以调休方式处理。国家法定节假日加班的，甲方按照国家有关规定支付费用。</w:t>
      </w:r>
    </w:p>
    <w:p w14:paraId="63CFC493">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t>①法定节假日加班费=以乙方实际发放的基本工资为基数/21.75*3*1.06*天数</w:t>
      </w:r>
    </w:p>
    <w:p w14:paraId="284E9BCE">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t>每月应付服务费＝每月服务费金额(固定工资+浮动费用）－当月服务考核扣费。</w:t>
      </w:r>
    </w:p>
    <w:p w14:paraId="53FCF0CC">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t>如果服务人员新增（减少），乙方根据甲方的书面通知函件调整的人员核实后，每月应付服务费按实际代驾服务人数*固定工资*(1-中标下浮率)+每人实际产生的浮动费用据实结算。</w:t>
      </w:r>
    </w:p>
    <w:p w14:paraId="47149AC6">
      <w:pPr>
        <w:ind w:firstLine="400" w:firstLineChars="200"/>
        <w:rPr>
          <w:rFonts w:hint="eastAsia" w:ascii="宋体" w:hAnsi="宋体" w:eastAsia="宋体" w:cs="宋体"/>
          <w:color w:val="FF0000"/>
          <w:sz w:val="20"/>
          <w:szCs w:val="20"/>
          <w:highlight w:val="yellow"/>
          <w:lang w:val="en-US" w:eastAsia="zh-CN"/>
        </w:rPr>
      </w:pPr>
      <w:r>
        <w:rPr>
          <w:rFonts w:hint="eastAsia" w:ascii="宋体" w:hAnsi="宋体" w:eastAsia="宋体" w:cs="宋体"/>
          <w:color w:val="FF0000"/>
          <w:sz w:val="20"/>
          <w:szCs w:val="20"/>
          <w:highlight w:val="yellow"/>
          <w:lang w:val="en-US" w:eastAsia="zh-CN"/>
        </w:rPr>
        <w:br w:type="page"/>
      </w:r>
      <w:bookmarkStart w:id="101" w:name="_Toc32190"/>
      <w:bookmarkStart w:id="102" w:name="_Toc15655"/>
      <w:bookmarkStart w:id="103" w:name="_Toc2868"/>
    </w:p>
    <w:p w14:paraId="01BFF0CF">
      <w:pPr>
        <w:keepNext w:val="0"/>
        <w:keepLines w:val="0"/>
        <w:pageBreakBefore w:val="0"/>
        <w:widowControl w:val="0"/>
        <w:kinsoku/>
        <w:wordWrap/>
        <w:overflowPunct/>
        <w:topLinePunct w:val="0"/>
        <w:autoSpaceDE/>
        <w:autoSpaceDN/>
        <w:bidi w:val="0"/>
        <w:adjustRightInd/>
        <w:snapToGrid/>
        <w:spacing w:line="240" w:lineRule="auto"/>
        <w:ind w:firstLine="402" w:firstLineChars="200"/>
        <w:jc w:val="center"/>
        <w:textAlignment w:val="auto"/>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（三）环境治理服务项目</w:t>
      </w:r>
      <w:bookmarkEnd w:id="101"/>
      <w:bookmarkEnd w:id="102"/>
      <w:bookmarkEnd w:id="103"/>
    </w:p>
    <w:p w14:paraId="1D00395A">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104" w:name="_Toc27333"/>
      <w:bookmarkStart w:id="105" w:name="_Toc10816"/>
      <w:bookmarkStart w:id="106" w:name="_Toc23944"/>
      <w:bookmarkStart w:id="107" w:name="_Toc4687"/>
      <w:r>
        <w:rPr>
          <w:rFonts w:hint="eastAsia" w:ascii="宋体" w:hAnsi="宋体" w:eastAsia="宋体" w:cs="宋体"/>
          <w:b/>
          <w:bCs/>
          <w:color w:val="auto"/>
          <w:sz w:val="20"/>
          <w:szCs w:val="20"/>
          <w:highlight w:val="none"/>
          <w:lang w:val="en-US" w:eastAsia="zh-CN"/>
        </w:rPr>
        <w:t>1.项目服务标准及要求</w:t>
      </w:r>
      <w:bookmarkEnd w:id="104"/>
      <w:bookmarkEnd w:id="105"/>
      <w:bookmarkEnd w:id="106"/>
      <w:bookmarkEnd w:id="107"/>
    </w:p>
    <w:p w14:paraId="7FBAFDF0">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108" w:name="_Toc10513"/>
      <w:bookmarkStart w:id="109" w:name="_Toc3400"/>
      <w:bookmarkStart w:id="110" w:name="_Toc4512"/>
      <w:bookmarkStart w:id="111" w:name="_Toc808"/>
      <w:bookmarkStart w:id="112" w:name="_Toc28808"/>
      <w:bookmarkStart w:id="113" w:name="_Toc31299"/>
      <w:bookmarkStart w:id="114" w:name="_Toc5672"/>
      <w:bookmarkStart w:id="115" w:name="_Toc17416"/>
      <w:bookmarkStart w:id="116" w:name="_Toc32615"/>
      <w:bookmarkStart w:id="117" w:name="_Toc28391"/>
      <w:bookmarkStart w:id="118" w:name="_Toc17805"/>
      <w:bookmarkStart w:id="119" w:name="_Toc5548"/>
      <w:bookmarkStart w:id="120" w:name="_Toc22949"/>
      <w:bookmarkStart w:id="121" w:name="_Toc24086"/>
      <w:bookmarkStart w:id="122" w:name="_Toc1474"/>
      <w:bookmarkStart w:id="123" w:name="_Toc10455"/>
      <w:bookmarkStart w:id="124" w:name="_Toc17198"/>
      <w:bookmarkStart w:id="125" w:name="_Toc19076"/>
      <w:bookmarkStart w:id="126" w:name="_Toc28896"/>
      <w:r>
        <w:rPr>
          <w:rFonts w:hint="eastAsia" w:ascii="宋体" w:hAnsi="宋体" w:eastAsia="宋体" w:cs="宋体"/>
          <w:b/>
          <w:bCs/>
          <w:color w:val="auto"/>
          <w:sz w:val="20"/>
          <w:szCs w:val="20"/>
          <w:highlight w:val="none"/>
          <w:lang w:val="en-US" w:eastAsia="zh-CN"/>
        </w:rPr>
        <w:t>1.1项目服务标准</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1889B86B">
      <w:pPr>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b w:val="0"/>
          <w:bCs w:val="0"/>
          <w:color w:val="auto"/>
          <w:sz w:val="20"/>
          <w:szCs w:val="20"/>
          <w:highlight w:val="none"/>
        </w:rPr>
        <w:t>服务商在提供</w:t>
      </w:r>
      <w:r>
        <w:rPr>
          <w:rFonts w:hint="eastAsia" w:ascii="宋体" w:hAnsi="宋体" w:eastAsia="宋体" w:cs="宋体"/>
          <w:color w:val="auto"/>
          <w:sz w:val="20"/>
          <w:szCs w:val="20"/>
          <w:highlight w:val="none"/>
        </w:rPr>
        <w:t>环境治理</w:t>
      </w:r>
      <w:r>
        <w:rPr>
          <w:rFonts w:hint="eastAsia" w:ascii="宋体" w:hAnsi="宋体" w:eastAsia="宋体" w:cs="宋体"/>
          <w:b w:val="0"/>
          <w:bCs w:val="0"/>
          <w:color w:val="auto"/>
          <w:sz w:val="20"/>
          <w:szCs w:val="20"/>
          <w:highlight w:val="none"/>
        </w:rPr>
        <w:t>服务时，需按照如下标准执行，如果在合同执行期间国家颁布新的标准时，应按最新的条款执行。</w:t>
      </w:r>
    </w:p>
    <w:tbl>
      <w:tblPr>
        <w:tblStyle w:val="16"/>
        <w:tblpPr w:leftFromText="180" w:rightFromText="180" w:vertAnchor="text" w:tblpX="-88" w:tblpY="1"/>
        <w:tblOverlap w:val="never"/>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7831"/>
      </w:tblGrid>
      <w:tr w14:paraId="40D0C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blHeader/>
        </w:trPr>
        <w:tc>
          <w:tcPr>
            <w:tcW w:w="928" w:type="dxa"/>
            <w:vAlign w:val="center"/>
          </w:tcPr>
          <w:p w14:paraId="31449A9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7831" w:type="dxa"/>
            <w:vAlign w:val="center"/>
          </w:tcPr>
          <w:p w14:paraId="390E56A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相关标准</w:t>
            </w:r>
          </w:p>
        </w:tc>
      </w:tr>
      <w:tr w14:paraId="62191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928" w:type="dxa"/>
            <w:vAlign w:val="center"/>
          </w:tcPr>
          <w:p w14:paraId="1608D2B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7831" w:type="dxa"/>
            <w:vAlign w:val="center"/>
          </w:tcPr>
          <w:p w14:paraId="58AE4E7E">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《中华人民共和国环境保护法》</w:t>
            </w:r>
          </w:p>
        </w:tc>
      </w:tr>
      <w:tr w14:paraId="7BD47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928" w:type="dxa"/>
            <w:vAlign w:val="center"/>
          </w:tcPr>
          <w:p w14:paraId="3BF7F77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831" w:type="dxa"/>
            <w:vAlign w:val="center"/>
          </w:tcPr>
          <w:p w14:paraId="4FC5709C">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《生态环境标准管理办法》</w:t>
            </w:r>
          </w:p>
        </w:tc>
      </w:tr>
      <w:tr w14:paraId="1244A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928" w:type="dxa"/>
            <w:vAlign w:val="center"/>
          </w:tcPr>
          <w:p w14:paraId="2FEA15A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7831" w:type="dxa"/>
            <w:vAlign w:val="center"/>
          </w:tcPr>
          <w:p w14:paraId="70E4599E">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《“十四五”全国清洁生产推行方案》</w:t>
            </w:r>
          </w:p>
        </w:tc>
      </w:tr>
      <w:tr w14:paraId="217E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928" w:type="dxa"/>
            <w:vAlign w:val="center"/>
          </w:tcPr>
          <w:p w14:paraId="4B972CF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7831" w:type="dxa"/>
            <w:vAlign w:val="center"/>
          </w:tcPr>
          <w:p w14:paraId="275F5D13">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《清洁生产评价指标体系编制通则》</w:t>
            </w:r>
          </w:p>
        </w:tc>
      </w:tr>
      <w:tr w14:paraId="3740C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928" w:type="dxa"/>
            <w:vAlign w:val="center"/>
          </w:tcPr>
          <w:p w14:paraId="07DBF7DC">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7831" w:type="dxa"/>
            <w:vAlign w:val="center"/>
          </w:tcPr>
          <w:p w14:paraId="45143338">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《清洁行业经营服务规范》 （中国商业企业管理协会 ）</w:t>
            </w:r>
          </w:p>
        </w:tc>
      </w:tr>
      <w:tr w14:paraId="0E7F7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928" w:type="dxa"/>
            <w:vAlign w:val="center"/>
          </w:tcPr>
          <w:p w14:paraId="2C2E73CF">
            <w:pPr>
              <w:keepNext w:val="0"/>
              <w:keepLines w:val="0"/>
              <w:pageBreakBefore w:val="0"/>
              <w:widowControl w:val="0"/>
              <w:kinsoku/>
              <w:wordWrap/>
              <w:overflowPunct/>
              <w:topLinePunct w:val="0"/>
              <w:autoSpaceDE/>
              <w:autoSpaceDN/>
              <w:bidi w:val="0"/>
              <w:adjustRightInd/>
              <w:snapToGrid/>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7831" w:type="dxa"/>
            <w:vAlign w:val="center"/>
          </w:tcPr>
          <w:p w14:paraId="0C9DA002">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i w:val="0"/>
                <w:iCs w:val="0"/>
                <w:caps w:val="0"/>
                <w:color w:val="auto"/>
                <w:spacing w:val="0"/>
                <w:sz w:val="20"/>
                <w:szCs w:val="20"/>
                <w:highlight w:val="none"/>
                <w:shd w:val="clear" w:fill="FFFFFF"/>
              </w:rPr>
              <w:t>《城市环境卫生质量标准》</w:t>
            </w:r>
            <w:r>
              <w:rPr>
                <w:rFonts w:hint="eastAsia" w:ascii="宋体" w:hAnsi="宋体" w:eastAsia="宋体" w:cs="宋体"/>
                <w:i w:val="0"/>
                <w:iCs w:val="0"/>
                <w:caps w:val="0"/>
                <w:color w:val="auto"/>
                <w:spacing w:val="0"/>
                <w:sz w:val="20"/>
                <w:szCs w:val="20"/>
                <w:highlight w:val="none"/>
                <w:shd w:val="clear" w:fill="FFFFFF"/>
                <w:lang w:val="en-US" w:eastAsia="zh-CN"/>
              </w:rPr>
              <w:t>建城〔1997〕21号</w:t>
            </w:r>
          </w:p>
        </w:tc>
      </w:tr>
    </w:tbl>
    <w:p w14:paraId="4CD4DC61">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127" w:name="_Toc30892"/>
      <w:bookmarkStart w:id="128" w:name="_Toc3212"/>
      <w:bookmarkStart w:id="129" w:name="_Toc24660"/>
      <w:bookmarkStart w:id="130" w:name="_Toc16713"/>
      <w:bookmarkStart w:id="131" w:name="_Toc31648"/>
      <w:bookmarkStart w:id="132" w:name="_Toc18793"/>
      <w:bookmarkStart w:id="133" w:name="_Toc3911"/>
      <w:bookmarkStart w:id="134" w:name="_Toc28226"/>
      <w:bookmarkStart w:id="135" w:name="_Toc5884"/>
      <w:bookmarkStart w:id="136" w:name="_Toc1205"/>
      <w:bookmarkStart w:id="137" w:name="_Toc9050"/>
      <w:bookmarkStart w:id="138" w:name="_Toc26071"/>
      <w:bookmarkStart w:id="139" w:name="_Toc3041"/>
      <w:bookmarkStart w:id="140" w:name="_Toc7676"/>
      <w:bookmarkStart w:id="141" w:name="_Toc13721"/>
      <w:bookmarkStart w:id="142" w:name="_Toc32344"/>
      <w:bookmarkStart w:id="143" w:name="_Toc937"/>
      <w:bookmarkStart w:id="144" w:name="_Toc14644"/>
      <w:bookmarkStart w:id="145" w:name="_Toc22304"/>
      <w:r>
        <w:rPr>
          <w:rFonts w:hint="eastAsia" w:ascii="宋体" w:hAnsi="宋体" w:eastAsia="宋体" w:cs="宋体"/>
          <w:b/>
          <w:bCs/>
          <w:color w:val="auto"/>
          <w:sz w:val="20"/>
          <w:szCs w:val="20"/>
          <w:highlight w:val="none"/>
          <w:lang w:val="en-US" w:eastAsia="zh-CN"/>
        </w:rPr>
        <w:t>1.2项目服务要求</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604B46C4">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1.2.1合同实施前，服务商需对采购方整体</w:t>
      </w:r>
      <w:r>
        <w:rPr>
          <w:rFonts w:hint="eastAsia" w:ascii="宋体" w:hAnsi="宋体" w:eastAsia="宋体" w:cs="宋体"/>
          <w:color w:val="auto"/>
          <w:sz w:val="20"/>
          <w:szCs w:val="20"/>
          <w:highlight w:val="none"/>
          <w:u w:val="none"/>
          <w:lang w:val="en-US" w:eastAsia="zh-CN"/>
        </w:rPr>
        <w:t>环境治理</w:t>
      </w:r>
      <w:r>
        <w:rPr>
          <w:rFonts w:hint="eastAsia" w:ascii="宋体" w:hAnsi="宋体" w:eastAsia="宋体" w:cs="宋体"/>
          <w:color w:val="auto"/>
          <w:sz w:val="20"/>
          <w:szCs w:val="20"/>
          <w:highlight w:val="none"/>
          <w:u w:val="none"/>
        </w:rPr>
        <w:t>服务</w:t>
      </w:r>
      <w:r>
        <w:rPr>
          <w:rFonts w:hint="eastAsia" w:ascii="宋体" w:hAnsi="宋体" w:eastAsia="宋体" w:cs="宋体"/>
          <w:color w:val="auto"/>
          <w:sz w:val="20"/>
          <w:szCs w:val="20"/>
          <w:highlight w:val="none"/>
          <w:lang w:val="en-US" w:eastAsia="zh-CN"/>
        </w:rPr>
        <w:t>状况进行全面摸查，根据摸查情况，针对</w:t>
      </w:r>
      <w:r>
        <w:rPr>
          <w:rFonts w:hint="eastAsia" w:ascii="宋体" w:hAnsi="宋体" w:eastAsia="宋体" w:cs="宋体"/>
          <w:color w:val="auto"/>
          <w:sz w:val="20"/>
          <w:szCs w:val="20"/>
          <w:highlight w:val="none"/>
          <w:u w:val="none"/>
          <w:lang w:val="en-US" w:eastAsia="zh-CN"/>
        </w:rPr>
        <w:t>环境治理</w:t>
      </w:r>
      <w:r>
        <w:rPr>
          <w:rFonts w:hint="eastAsia" w:ascii="宋体" w:hAnsi="宋体" w:eastAsia="宋体" w:cs="宋体"/>
          <w:color w:val="auto"/>
          <w:sz w:val="20"/>
          <w:szCs w:val="20"/>
          <w:highlight w:val="none"/>
          <w:u w:val="none"/>
        </w:rPr>
        <w:t>服务</w:t>
      </w:r>
      <w:r>
        <w:rPr>
          <w:rFonts w:hint="eastAsia" w:ascii="宋体" w:hAnsi="宋体" w:eastAsia="宋体" w:cs="宋体"/>
          <w:color w:val="auto"/>
          <w:sz w:val="20"/>
          <w:szCs w:val="20"/>
          <w:highlight w:val="none"/>
          <w:lang w:val="en-US" w:eastAsia="zh-CN"/>
        </w:rPr>
        <w:t>项目，需指派专人进行对接，熟悉和了解采购方服务需求。</w:t>
      </w:r>
    </w:p>
    <w:p w14:paraId="4C80ECDA">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bCs/>
          <w:color w:val="auto"/>
          <w:sz w:val="20"/>
          <w:szCs w:val="20"/>
          <w:highlight w:val="none"/>
          <w:lang w:val="en-US" w:eastAsia="zh-CN"/>
        </w:rPr>
        <w:t>为保证工作正常有序开展，服务商必须按照采购方的要求执行，</w:t>
      </w:r>
      <w:r>
        <w:rPr>
          <w:rFonts w:hint="eastAsia" w:ascii="宋体" w:hAnsi="宋体" w:eastAsia="宋体" w:cs="宋体"/>
          <w:color w:val="auto"/>
          <w:sz w:val="20"/>
          <w:szCs w:val="20"/>
          <w:highlight w:val="none"/>
          <w:lang w:val="en-US" w:eastAsia="zh-CN"/>
        </w:rPr>
        <w:t>提供</w:t>
      </w:r>
      <w:r>
        <w:rPr>
          <w:rFonts w:hint="eastAsia"/>
          <w:color w:val="auto"/>
          <w:sz w:val="20"/>
          <w:szCs w:val="20"/>
          <w:highlight w:val="none"/>
          <w:u w:val="none"/>
        </w:rPr>
        <w:t>卫生清洁</w:t>
      </w:r>
      <w:r>
        <w:rPr>
          <w:rFonts w:hint="eastAsia"/>
          <w:color w:val="auto"/>
          <w:sz w:val="20"/>
          <w:szCs w:val="20"/>
          <w:highlight w:val="none"/>
          <w:u w:val="none"/>
          <w:lang w:val="en-US" w:eastAsia="zh-CN"/>
        </w:rPr>
        <w:t>和垃圾清运</w:t>
      </w:r>
      <w:r>
        <w:rPr>
          <w:rFonts w:hint="eastAsia" w:ascii="宋体" w:hAnsi="宋体" w:eastAsia="宋体" w:cs="宋体"/>
          <w:color w:val="auto"/>
          <w:sz w:val="20"/>
          <w:szCs w:val="20"/>
          <w:highlight w:val="none"/>
          <w:lang w:val="en-US" w:eastAsia="zh-CN"/>
        </w:rPr>
        <w:t>等各项服务，且保证星期六、日及所有国家法定假日的期间也正常提供相关服务。如遇特殊情况，采购方可要求服务商调整工作时间。</w:t>
      </w:r>
    </w:p>
    <w:p w14:paraId="6728A526">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1.2.3环境治理服务在采购方工作场所开展的，需严格按照采购方的安全管理规定及各项管理制度要求。此外，在采购方规定的工作时间范围外，相关人员撤离相关场所，不得逗留。</w:t>
      </w:r>
    </w:p>
    <w:p w14:paraId="415240F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1.2.4环境治理服务在采购方工作场所开展的，服务商安排的人员应保障项目服务地点环境的整洁，在使用相关设备后及时清理归位，并对场地进行清洁。</w:t>
      </w:r>
    </w:p>
    <w:p w14:paraId="54146B19">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1.2.5服务商安排的人员应及时按时的完成环境治理服务工作，并按照约定时间将环境治理服务的成果交付采购方验收。</w:t>
      </w:r>
    </w:p>
    <w:p w14:paraId="5AC0E40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1.2.6服务商提供24小时服务热线（热线电话、微信、传真、电子邮件等）。服务商在接到采购方的需求后，必须在1小时内作出响应，并在采购方规定的时间内提供服务，满足采购方要求。若服务商预期无法按规定时间完成需求，则需提前通知采购方，采购方同意后，方可执行。</w:t>
      </w:r>
    </w:p>
    <w:p w14:paraId="27F2E083">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1.2.7服务商加强人员管理，合理安排人员，保障项目工作进度。</w:t>
      </w:r>
    </w:p>
    <w:p w14:paraId="649F791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1.2.8服务商安排的人员应规范做好环境治理服务台账，按月提供环境治理服务数据，确保环境治理服务数据真实有效，双方确认后，作为结算凭证。</w:t>
      </w:r>
    </w:p>
    <w:p w14:paraId="53286E7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1.2.9服务商必须建立健全严格的安全管理制度。如因非采购方原因导致的安全问题，由服务商承担责任，并按国家法律法规及相关要求进行赔偿。</w:t>
      </w:r>
    </w:p>
    <w:p w14:paraId="42150114">
      <w:pPr>
        <w:keepNext/>
        <w:keepLines w:val="0"/>
        <w:pageBreakBefore w:val="0"/>
        <w:widowControl w:val="0"/>
        <w:kinsoku/>
        <w:wordWrap/>
        <w:overflowPunct/>
        <w:topLinePunct w:val="0"/>
        <w:autoSpaceDE/>
        <w:autoSpaceDN/>
        <w:bidi w:val="0"/>
        <w:adjustRightInd/>
        <w:snapToGrid/>
        <w:spacing w:line="560" w:lineRule="exact"/>
        <w:ind w:firstLine="402" w:firstLineChars="200"/>
        <w:outlineLvl w:val="0"/>
        <w:rPr>
          <w:rFonts w:hint="eastAsia" w:ascii="宋体" w:hAnsi="宋体" w:eastAsia="宋体" w:cs="宋体"/>
          <w:b/>
          <w:bCs/>
          <w:color w:val="auto"/>
          <w:sz w:val="20"/>
          <w:szCs w:val="20"/>
          <w:highlight w:val="none"/>
          <w:lang w:val="en-US" w:eastAsia="zh-CN"/>
        </w:rPr>
      </w:pPr>
      <w:bookmarkStart w:id="146" w:name="_Toc1922"/>
      <w:bookmarkStart w:id="147" w:name="_Toc4171"/>
      <w:bookmarkStart w:id="148" w:name="_Toc27338"/>
      <w:bookmarkStart w:id="149" w:name="_Toc21267"/>
      <w:r>
        <w:rPr>
          <w:rFonts w:hint="eastAsia" w:ascii="宋体" w:hAnsi="宋体" w:eastAsia="宋体" w:cs="宋体"/>
          <w:b/>
          <w:bCs/>
          <w:color w:val="auto"/>
          <w:sz w:val="20"/>
          <w:szCs w:val="20"/>
          <w:highlight w:val="none"/>
          <w:lang w:val="en-US" w:eastAsia="zh-CN"/>
        </w:rPr>
        <w:t>2.服务达标要求</w:t>
      </w:r>
      <w:bookmarkEnd w:id="146"/>
      <w:bookmarkEnd w:id="147"/>
      <w:bookmarkEnd w:id="148"/>
    </w:p>
    <w:p w14:paraId="1897B214">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0"/>
        <w:rPr>
          <w:rFonts w:hint="eastAsia" w:ascii="宋体" w:hAnsi="宋体" w:eastAsia="宋体" w:cs="宋体"/>
          <w:b/>
          <w:bCs/>
          <w:color w:val="auto"/>
          <w:sz w:val="20"/>
          <w:szCs w:val="20"/>
          <w:highlight w:val="none"/>
          <w:lang w:val="en-US" w:eastAsia="zh-CN"/>
        </w:rPr>
      </w:pPr>
      <w:bookmarkStart w:id="150" w:name="_Toc29929"/>
      <w:bookmarkStart w:id="151" w:name="_Toc3492"/>
      <w:bookmarkStart w:id="152" w:name="_Toc24285"/>
      <w:bookmarkStart w:id="153" w:name="_Toc30538"/>
      <w:bookmarkStart w:id="154" w:name="_Toc14857"/>
      <w:bookmarkStart w:id="155" w:name="_Toc10787"/>
      <w:bookmarkStart w:id="156" w:name="_Toc30197"/>
      <w:bookmarkStart w:id="157" w:name="_Toc3542"/>
      <w:bookmarkStart w:id="158" w:name="_Toc23142"/>
      <w:bookmarkStart w:id="159" w:name="_Toc31884"/>
      <w:bookmarkStart w:id="160" w:name="_Toc30668"/>
      <w:bookmarkStart w:id="161" w:name="_Toc31894"/>
      <w:r>
        <w:rPr>
          <w:rFonts w:hint="eastAsia" w:ascii="宋体" w:hAnsi="宋体" w:eastAsia="宋体" w:cs="宋体"/>
          <w:b w:val="0"/>
          <w:bCs w:val="0"/>
          <w:color w:val="auto"/>
          <w:sz w:val="20"/>
          <w:szCs w:val="20"/>
          <w:highlight w:val="none"/>
          <w:lang w:val="en-US" w:eastAsia="zh-CN"/>
        </w:rPr>
        <w:t>2.1物业管环境治理服务达标要求</w:t>
      </w:r>
      <w:bookmarkEnd w:id="150"/>
      <w:bookmarkEnd w:id="151"/>
      <w:bookmarkEnd w:id="152"/>
      <w:bookmarkEnd w:id="153"/>
      <w:bookmarkEnd w:id="154"/>
      <w:bookmarkEnd w:id="155"/>
      <w:bookmarkEnd w:id="156"/>
      <w:bookmarkEnd w:id="157"/>
      <w:bookmarkEnd w:id="158"/>
      <w:bookmarkEnd w:id="159"/>
      <w:bookmarkEnd w:id="160"/>
      <w:bookmarkEnd w:id="161"/>
    </w:p>
    <w:tbl>
      <w:tblPr>
        <w:tblStyle w:val="16"/>
        <w:tblW w:w="9883" w:type="dxa"/>
        <w:tblInd w:w="-6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3"/>
        <w:gridCol w:w="1517"/>
        <w:gridCol w:w="7333"/>
      </w:tblGrid>
      <w:tr w14:paraId="536D8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33" w:type="dxa"/>
            <w:vAlign w:val="center"/>
          </w:tcPr>
          <w:p w14:paraId="0234A76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序号</w:t>
            </w:r>
          </w:p>
        </w:tc>
        <w:tc>
          <w:tcPr>
            <w:tcW w:w="1517" w:type="dxa"/>
            <w:vAlign w:val="center"/>
          </w:tcPr>
          <w:p w14:paraId="5126DD9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服务内容</w:t>
            </w:r>
          </w:p>
        </w:tc>
        <w:tc>
          <w:tcPr>
            <w:tcW w:w="7333" w:type="dxa"/>
            <w:vAlign w:val="center"/>
          </w:tcPr>
          <w:p w14:paraId="72C3EEB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服务达标要求</w:t>
            </w:r>
          </w:p>
        </w:tc>
      </w:tr>
      <w:tr w14:paraId="021F7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1" w:hRule="atLeast"/>
        </w:trPr>
        <w:tc>
          <w:tcPr>
            <w:tcW w:w="1033" w:type="dxa"/>
            <w:vAlign w:val="center"/>
          </w:tcPr>
          <w:p w14:paraId="384EB1F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w:t>
            </w:r>
          </w:p>
        </w:tc>
        <w:tc>
          <w:tcPr>
            <w:tcW w:w="1517" w:type="dxa"/>
            <w:vAlign w:val="center"/>
          </w:tcPr>
          <w:p w14:paraId="7DBE3BE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sz w:val="20"/>
                <w:szCs w:val="20"/>
                <w:highlight w:val="none"/>
                <w:vertAlign w:val="baseline"/>
              </w:rPr>
            </w:pPr>
            <w:r>
              <w:rPr>
                <w:rFonts w:hint="eastAsia" w:ascii="宋体" w:hAnsi="宋体" w:eastAsia="宋体" w:cs="宋体"/>
                <w:b w:val="0"/>
                <w:bCs w:val="0"/>
                <w:color w:val="auto"/>
                <w:sz w:val="20"/>
                <w:szCs w:val="20"/>
                <w:highlight w:val="none"/>
                <w:vertAlign w:val="baseline"/>
                <w:lang w:eastAsia="zh-CN"/>
              </w:rPr>
              <w:t>卫生清洁</w:t>
            </w:r>
            <w:r>
              <w:rPr>
                <w:rFonts w:hint="eastAsia" w:ascii="宋体" w:hAnsi="宋体" w:eastAsia="宋体" w:cs="宋体"/>
                <w:b w:val="0"/>
                <w:bCs w:val="0"/>
                <w:color w:val="auto"/>
                <w:sz w:val="20"/>
                <w:szCs w:val="20"/>
                <w:highlight w:val="none"/>
                <w:vertAlign w:val="baseline"/>
                <w:lang w:val="en-US" w:eastAsia="zh-CN"/>
              </w:rPr>
              <w:t>和垃圾清运</w:t>
            </w:r>
          </w:p>
        </w:tc>
        <w:tc>
          <w:tcPr>
            <w:tcW w:w="7333" w:type="dxa"/>
            <w:vAlign w:val="center"/>
          </w:tcPr>
          <w:p w14:paraId="7916801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（1）接到</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通知后3小时内，或双方约定的其他时间内安排人员到达现场开展卫生清洁服务，并做好清洁记录；</w:t>
            </w:r>
          </w:p>
          <w:p w14:paraId="10232F52">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（2）配合社区对责任区域内私自占用绿地种植蔬菜、饲养家禽等进行清理；</w:t>
            </w:r>
          </w:p>
          <w:p w14:paraId="0E49EEF3">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（3）垃圾清运后的处理符合相关规定；</w:t>
            </w:r>
          </w:p>
          <w:p w14:paraId="0E0EE09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（4）责任区域内的环境卫生清洁，各类乱贴乱画、违规小广告、违规悬挂的横幅处理达标；</w:t>
            </w:r>
          </w:p>
          <w:p w14:paraId="4BB74CD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（5）自行做好安全措施、现场防护措施及其他相关的安全管理工作。对服务人员进行安全教育培训不少于1次；</w:t>
            </w:r>
          </w:p>
          <w:p w14:paraId="0320FD57">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color w:val="auto"/>
                <w:sz w:val="20"/>
                <w:szCs w:val="20"/>
                <w:highlight w:val="none"/>
                <w:lang w:eastAsia="zh-CN"/>
              </w:rPr>
            </w:pPr>
            <w:r>
              <w:rPr>
                <w:rFonts w:hint="eastAsia" w:ascii="宋体" w:hAnsi="宋体" w:eastAsia="宋体" w:cs="宋体"/>
                <w:i w:val="0"/>
                <w:iCs w:val="0"/>
                <w:color w:val="auto"/>
                <w:kern w:val="0"/>
                <w:sz w:val="20"/>
                <w:szCs w:val="20"/>
                <w:highlight w:val="none"/>
                <w:u w:val="none"/>
                <w:lang w:val="en-US" w:eastAsia="zh-CN" w:bidi="ar"/>
              </w:rPr>
              <w:t>（6）对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布置的工作要求、任务予以积极响应和落实。</w:t>
            </w:r>
          </w:p>
        </w:tc>
      </w:tr>
    </w:tbl>
    <w:p w14:paraId="6FAA3E22">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162" w:name="_Toc12098"/>
      <w:bookmarkStart w:id="163" w:name="_Toc28434"/>
      <w:bookmarkStart w:id="164" w:name="_Toc15238"/>
      <w:r>
        <w:rPr>
          <w:rFonts w:hint="eastAsia" w:ascii="宋体" w:hAnsi="宋体" w:eastAsia="宋体" w:cs="宋体"/>
          <w:b/>
          <w:bCs/>
          <w:color w:val="auto"/>
          <w:sz w:val="20"/>
          <w:szCs w:val="20"/>
          <w:highlight w:val="none"/>
          <w:lang w:val="en-US" w:eastAsia="zh-CN"/>
        </w:rPr>
        <w:t>3.服务履约考核</w:t>
      </w:r>
      <w:bookmarkEnd w:id="149"/>
      <w:bookmarkEnd w:id="162"/>
      <w:bookmarkEnd w:id="163"/>
      <w:bookmarkEnd w:id="164"/>
    </w:p>
    <w:p w14:paraId="43EB2114">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color w:val="auto"/>
          <w:sz w:val="20"/>
          <w:szCs w:val="20"/>
          <w:highlight w:val="none"/>
        </w:rPr>
      </w:pPr>
      <w:r>
        <w:rPr>
          <w:rFonts w:hint="eastAsia" w:ascii="宋体" w:hAnsi="宋体" w:eastAsia="宋体" w:cs="宋体"/>
          <w:color w:val="auto"/>
          <w:sz w:val="20"/>
          <w:szCs w:val="20"/>
          <w:highlight w:val="none"/>
        </w:rPr>
        <w:t>采购方</w:t>
      </w:r>
      <w:r>
        <w:rPr>
          <w:rFonts w:hint="eastAsia" w:ascii="宋体" w:hAnsi="宋体" w:eastAsia="宋体" w:cs="宋体"/>
          <w:color w:val="auto"/>
          <w:sz w:val="20"/>
          <w:szCs w:val="20"/>
          <w:highlight w:val="none"/>
          <w:lang w:val="en-US" w:eastAsia="zh-CN"/>
        </w:rPr>
        <w:t>每月</w:t>
      </w:r>
      <w:r>
        <w:rPr>
          <w:rFonts w:hint="eastAsia" w:ascii="宋体" w:hAnsi="宋体" w:eastAsia="宋体" w:cs="宋体"/>
          <w:color w:val="auto"/>
          <w:sz w:val="20"/>
          <w:szCs w:val="20"/>
          <w:highlight w:val="none"/>
        </w:rPr>
        <w:t>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p w14:paraId="2683C2D7">
      <w:pPr>
        <w:keepNext w:val="0"/>
        <w:keepLines w:val="0"/>
        <w:pageBreakBefore w:val="0"/>
        <w:widowControl w:val="0"/>
        <w:kinsoku/>
        <w:wordWrap/>
        <w:overflowPunct/>
        <w:topLinePunct w:val="0"/>
        <w:autoSpaceDE/>
        <w:autoSpaceDN/>
        <w:bidi w:val="0"/>
        <w:adjustRightInd/>
        <w:snapToGrid/>
        <w:spacing w:line="560" w:lineRule="exact"/>
        <w:ind w:firstLine="402" w:firstLineChars="200"/>
        <w:contextualSpacing/>
        <w:jc w:val="left"/>
        <w:textAlignment w:val="auto"/>
        <w:rPr>
          <w:rFonts w:hint="default" w:ascii="宋体" w:hAnsi="宋体" w:eastAsia="宋体" w:cs="宋体"/>
          <w:b/>
          <w:bCs w:val="0"/>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3.1</w:t>
      </w:r>
      <w:r>
        <w:rPr>
          <w:rFonts w:hint="eastAsia" w:ascii="宋体" w:hAnsi="宋体" w:eastAsia="宋体" w:cs="宋体"/>
          <w:b/>
          <w:bCs w:val="0"/>
          <w:color w:val="auto"/>
          <w:sz w:val="20"/>
          <w:szCs w:val="20"/>
          <w:highlight w:val="none"/>
          <w:lang w:val="en-US" w:eastAsia="zh-CN"/>
        </w:rPr>
        <w:t>服务履约考核表</w:t>
      </w:r>
    </w:p>
    <w:tbl>
      <w:tblPr>
        <w:tblStyle w:val="15"/>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958"/>
        <w:gridCol w:w="849"/>
        <w:gridCol w:w="2905"/>
        <w:gridCol w:w="1105"/>
        <w:gridCol w:w="757"/>
        <w:gridCol w:w="566"/>
      </w:tblGrid>
      <w:tr w14:paraId="5043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38" w:type="dxa"/>
            <w:tcBorders>
              <w:top w:val="single" w:color="auto" w:sz="4" w:space="0"/>
              <w:left w:val="single" w:color="auto" w:sz="4" w:space="0"/>
              <w:bottom w:val="single" w:color="auto" w:sz="4" w:space="0"/>
              <w:right w:val="single" w:color="auto" w:sz="4" w:space="0"/>
            </w:tcBorders>
            <w:noWrap w:val="0"/>
            <w:vAlign w:val="center"/>
          </w:tcPr>
          <w:p w14:paraId="6433914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bookmarkStart w:id="165" w:name="_Toc29124"/>
            <w:r>
              <w:rPr>
                <w:rFonts w:hint="eastAsia" w:ascii="宋体" w:hAnsi="宋体" w:eastAsia="宋体" w:cs="宋体"/>
                <w:b/>
                <w:bCs/>
                <w:color w:val="auto"/>
                <w:sz w:val="20"/>
                <w:szCs w:val="20"/>
                <w:highlight w:val="none"/>
              </w:rPr>
              <w:t>序号</w:t>
            </w:r>
          </w:p>
        </w:tc>
        <w:tc>
          <w:tcPr>
            <w:tcW w:w="2958" w:type="dxa"/>
            <w:tcBorders>
              <w:top w:val="single" w:color="auto" w:sz="4" w:space="0"/>
              <w:left w:val="nil"/>
              <w:bottom w:val="single" w:color="auto" w:sz="4" w:space="0"/>
              <w:right w:val="single" w:color="auto" w:sz="4" w:space="0"/>
            </w:tcBorders>
            <w:noWrap w:val="0"/>
            <w:vAlign w:val="center"/>
          </w:tcPr>
          <w:p w14:paraId="5F253BB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849" w:type="dxa"/>
            <w:tcBorders>
              <w:top w:val="single" w:color="auto" w:sz="4" w:space="0"/>
              <w:left w:val="nil"/>
              <w:bottom w:val="single" w:color="auto" w:sz="4" w:space="0"/>
              <w:right w:val="single" w:color="auto" w:sz="4" w:space="0"/>
            </w:tcBorders>
            <w:noWrap w:val="0"/>
            <w:vAlign w:val="center"/>
          </w:tcPr>
          <w:p w14:paraId="7BB0472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905" w:type="dxa"/>
            <w:tcBorders>
              <w:top w:val="single" w:color="auto" w:sz="4" w:space="0"/>
              <w:left w:val="nil"/>
              <w:bottom w:val="single" w:color="auto" w:sz="4" w:space="0"/>
              <w:right w:val="single" w:color="auto" w:sz="4" w:space="0"/>
            </w:tcBorders>
            <w:noWrap w:val="0"/>
            <w:vAlign w:val="center"/>
          </w:tcPr>
          <w:p w14:paraId="31BDC3F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105" w:type="dxa"/>
            <w:tcBorders>
              <w:top w:val="single" w:color="auto" w:sz="4" w:space="0"/>
              <w:left w:val="nil"/>
              <w:bottom w:val="single" w:color="auto" w:sz="4" w:space="0"/>
              <w:right w:val="single" w:color="auto" w:sz="4" w:space="0"/>
            </w:tcBorders>
            <w:noWrap w:val="0"/>
            <w:vAlign w:val="center"/>
          </w:tcPr>
          <w:p w14:paraId="4341D0C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7F9BDBA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757" w:type="dxa"/>
            <w:tcBorders>
              <w:top w:val="single" w:color="auto" w:sz="4" w:space="0"/>
              <w:left w:val="nil"/>
              <w:bottom w:val="single" w:color="auto" w:sz="4" w:space="0"/>
              <w:right w:val="single" w:color="auto" w:sz="4" w:space="0"/>
            </w:tcBorders>
            <w:noWrap w:val="0"/>
            <w:vAlign w:val="center"/>
          </w:tcPr>
          <w:p w14:paraId="76B0D3E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0D82D07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566" w:type="dxa"/>
            <w:tcBorders>
              <w:top w:val="single" w:color="auto" w:sz="4" w:space="0"/>
              <w:left w:val="nil"/>
              <w:bottom w:val="single" w:color="auto" w:sz="4" w:space="0"/>
              <w:right w:val="single" w:color="auto" w:sz="4" w:space="0"/>
            </w:tcBorders>
            <w:noWrap w:val="0"/>
            <w:vAlign w:val="center"/>
          </w:tcPr>
          <w:p w14:paraId="054BD821">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50FE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38" w:type="dxa"/>
            <w:vMerge w:val="restart"/>
            <w:tcBorders>
              <w:top w:val="single" w:color="auto" w:sz="4" w:space="0"/>
              <w:left w:val="single" w:color="auto" w:sz="4" w:space="0"/>
              <w:right w:val="single" w:color="auto" w:sz="4" w:space="0"/>
            </w:tcBorders>
            <w:noWrap w:val="0"/>
            <w:vAlign w:val="center"/>
          </w:tcPr>
          <w:p w14:paraId="5D29B6A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2958" w:type="dxa"/>
            <w:vMerge w:val="restart"/>
            <w:tcBorders>
              <w:top w:val="single" w:color="auto" w:sz="4" w:space="0"/>
              <w:left w:val="nil"/>
              <w:right w:val="single" w:color="auto" w:sz="4" w:space="0"/>
            </w:tcBorders>
            <w:noWrap w:val="0"/>
            <w:vAlign w:val="center"/>
          </w:tcPr>
          <w:p w14:paraId="5FB8BE7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en-US" w:eastAsia="zh-CN"/>
              </w:rPr>
              <w:t>接到</w:t>
            </w:r>
            <w:r>
              <w:rPr>
                <w:rFonts w:hint="eastAsia" w:ascii="宋体" w:hAnsi="宋体" w:cs="宋体"/>
                <w:b w:val="0"/>
                <w:bCs w:val="0"/>
                <w:color w:val="auto"/>
                <w:sz w:val="20"/>
                <w:szCs w:val="20"/>
                <w:highlight w:val="none"/>
                <w:lang w:val="en-US" w:eastAsia="zh-CN"/>
              </w:rPr>
              <w:t>采购方</w:t>
            </w:r>
            <w:r>
              <w:rPr>
                <w:rFonts w:hint="eastAsia" w:ascii="宋体" w:hAnsi="宋体" w:eastAsia="宋体" w:cs="宋体"/>
                <w:b w:val="0"/>
                <w:bCs w:val="0"/>
                <w:color w:val="auto"/>
                <w:sz w:val="20"/>
                <w:szCs w:val="20"/>
                <w:highlight w:val="none"/>
                <w:lang w:val="en-US" w:eastAsia="zh-CN"/>
              </w:rPr>
              <w:t>通知后3小时内，或双方约定的其他时间内安排人员到达现场开展卫生清洁服务，并做好清洁记录。</w:t>
            </w:r>
          </w:p>
        </w:tc>
        <w:tc>
          <w:tcPr>
            <w:tcW w:w="849" w:type="dxa"/>
            <w:vMerge w:val="restart"/>
            <w:tcBorders>
              <w:top w:val="single" w:color="auto" w:sz="4" w:space="0"/>
              <w:left w:val="nil"/>
              <w:right w:val="single" w:color="auto" w:sz="4" w:space="0"/>
            </w:tcBorders>
            <w:noWrap w:val="0"/>
            <w:vAlign w:val="center"/>
          </w:tcPr>
          <w:p w14:paraId="1C32A1D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05" w:type="dxa"/>
            <w:tcBorders>
              <w:top w:val="single" w:color="auto" w:sz="4" w:space="0"/>
              <w:left w:val="nil"/>
              <w:bottom w:val="single" w:color="auto" w:sz="4" w:space="0"/>
              <w:right w:val="single" w:color="auto" w:sz="4" w:space="0"/>
            </w:tcBorders>
            <w:noWrap w:val="0"/>
            <w:vAlign w:val="center"/>
          </w:tcPr>
          <w:p w14:paraId="19A67ED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single"/>
              </w:rPr>
            </w:pPr>
            <w:r>
              <w:rPr>
                <w:rFonts w:hint="eastAsia" w:ascii="宋体" w:hAnsi="宋体" w:eastAsia="宋体" w:cs="宋体"/>
                <w:b w:val="0"/>
                <w:bCs w:val="0"/>
                <w:color w:val="auto"/>
                <w:sz w:val="20"/>
                <w:szCs w:val="20"/>
                <w:highlight w:val="none"/>
                <w:lang w:val="en-US" w:eastAsia="zh-CN"/>
              </w:rPr>
              <w:t>未按时间节点要求安排人员到达现场开展工作。</w:t>
            </w:r>
          </w:p>
        </w:tc>
        <w:tc>
          <w:tcPr>
            <w:tcW w:w="1105" w:type="dxa"/>
            <w:tcBorders>
              <w:top w:val="single" w:color="auto" w:sz="4" w:space="0"/>
              <w:left w:val="nil"/>
              <w:bottom w:val="single" w:color="auto" w:sz="4" w:space="0"/>
              <w:right w:val="single" w:color="auto" w:sz="4" w:space="0"/>
            </w:tcBorders>
            <w:noWrap w:val="0"/>
            <w:vAlign w:val="center"/>
          </w:tcPr>
          <w:p w14:paraId="2CADFED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w:t>
            </w:r>
            <w:r>
              <w:rPr>
                <w:rFonts w:hint="eastAsia" w:ascii="宋体" w:hAnsi="宋体" w:eastAsia="宋体" w:cs="宋体"/>
                <w:b w:val="0"/>
                <w:bCs w:val="0"/>
                <w:color w:val="auto"/>
                <w:sz w:val="20"/>
                <w:szCs w:val="20"/>
                <w:highlight w:val="none"/>
              </w:rPr>
              <w:t>分/次</w:t>
            </w:r>
          </w:p>
        </w:tc>
        <w:tc>
          <w:tcPr>
            <w:tcW w:w="757" w:type="dxa"/>
            <w:tcBorders>
              <w:top w:val="single" w:color="auto" w:sz="4" w:space="0"/>
              <w:left w:val="nil"/>
              <w:bottom w:val="single" w:color="auto" w:sz="4" w:space="0"/>
              <w:right w:val="single" w:color="auto" w:sz="4" w:space="0"/>
            </w:tcBorders>
            <w:noWrap w:val="0"/>
            <w:vAlign w:val="top"/>
          </w:tcPr>
          <w:p w14:paraId="3E2FEF5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1F6498A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39652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0" w:hRule="atLeast"/>
          <w:jc w:val="center"/>
        </w:trPr>
        <w:tc>
          <w:tcPr>
            <w:tcW w:w="638" w:type="dxa"/>
            <w:vMerge w:val="continue"/>
            <w:tcBorders>
              <w:left w:val="single" w:color="auto" w:sz="4" w:space="0"/>
              <w:right w:val="single" w:color="auto" w:sz="4" w:space="0"/>
            </w:tcBorders>
            <w:noWrap w:val="0"/>
            <w:vAlign w:val="center"/>
          </w:tcPr>
          <w:p w14:paraId="2F035FC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958" w:type="dxa"/>
            <w:vMerge w:val="continue"/>
            <w:tcBorders>
              <w:left w:val="nil"/>
              <w:right w:val="single" w:color="auto" w:sz="4" w:space="0"/>
            </w:tcBorders>
            <w:noWrap w:val="0"/>
            <w:vAlign w:val="center"/>
          </w:tcPr>
          <w:p w14:paraId="217F5AD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b w:val="0"/>
                <w:bCs w:val="0"/>
                <w:color w:val="auto"/>
                <w:sz w:val="20"/>
                <w:szCs w:val="20"/>
                <w:highlight w:val="none"/>
              </w:rPr>
            </w:pPr>
          </w:p>
        </w:tc>
        <w:tc>
          <w:tcPr>
            <w:tcW w:w="849" w:type="dxa"/>
            <w:vMerge w:val="continue"/>
            <w:tcBorders>
              <w:left w:val="nil"/>
              <w:right w:val="single" w:color="auto" w:sz="4" w:space="0"/>
            </w:tcBorders>
            <w:noWrap w:val="0"/>
            <w:vAlign w:val="center"/>
          </w:tcPr>
          <w:p w14:paraId="6B8AF28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905" w:type="dxa"/>
            <w:tcBorders>
              <w:top w:val="single" w:color="auto" w:sz="4" w:space="0"/>
              <w:left w:val="nil"/>
              <w:bottom w:val="single" w:color="auto" w:sz="4" w:space="0"/>
              <w:right w:val="single" w:color="auto" w:sz="4" w:space="0"/>
            </w:tcBorders>
            <w:noWrap w:val="0"/>
            <w:vAlign w:val="center"/>
          </w:tcPr>
          <w:p w14:paraId="673A449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val="en-US" w:eastAsia="zh-CN"/>
              </w:rPr>
              <w:t>未按要求做好清洁记录</w:t>
            </w:r>
            <w:r>
              <w:rPr>
                <w:rFonts w:hint="eastAsia" w:ascii="宋体" w:hAnsi="宋体" w:eastAsia="宋体" w:cs="宋体"/>
                <w:b w:val="0"/>
                <w:bCs w:val="0"/>
                <w:color w:val="auto"/>
                <w:sz w:val="20"/>
                <w:szCs w:val="20"/>
                <w:highlight w:val="none"/>
              </w:rPr>
              <w:t>或记录内容不齐全的</w:t>
            </w:r>
            <w:r>
              <w:rPr>
                <w:rFonts w:hint="eastAsia" w:ascii="宋体" w:hAnsi="宋体" w:eastAsia="宋体" w:cs="宋体"/>
                <w:b w:val="0"/>
                <w:bCs w:val="0"/>
                <w:color w:val="auto"/>
                <w:sz w:val="20"/>
                <w:szCs w:val="20"/>
                <w:highlight w:val="none"/>
                <w:lang w:eastAsia="zh-CN"/>
              </w:rPr>
              <w:t>。</w:t>
            </w:r>
          </w:p>
        </w:tc>
        <w:tc>
          <w:tcPr>
            <w:tcW w:w="1105" w:type="dxa"/>
            <w:tcBorders>
              <w:top w:val="single" w:color="auto" w:sz="4" w:space="0"/>
              <w:left w:val="nil"/>
              <w:bottom w:val="single" w:color="auto" w:sz="4" w:space="0"/>
              <w:right w:val="single" w:color="auto" w:sz="4" w:space="0"/>
            </w:tcBorders>
            <w:noWrap w:val="0"/>
            <w:vAlign w:val="center"/>
          </w:tcPr>
          <w:p w14:paraId="173BE5C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w:t>
            </w:r>
            <w:r>
              <w:rPr>
                <w:rFonts w:hint="eastAsia" w:ascii="宋体" w:hAnsi="宋体" w:eastAsia="宋体" w:cs="宋体"/>
                <w:b w:val="0"/>
                <w:bCs w:val="0"/>
                <w:color w:val="auto"/>
                <w:sz w:val="20"/>
                <w:szCs w:val="20"/>
                <w:highlight w:val="none"/>
              </w:rPr>
              <w:t>分/次</w:t>
            </w:r>
          </w:p>
        </w:tc>
        <w:tc>
          <w:tcPr>
            <w:tcW w:w="757" w:type="dxa"/>
            <w:tcBorders>
              <w:top w:val="single" w:color="auto" w:sz="4" w:space="0"/>
              <w:left w:val="nil"/>
              <w:bottom w:val="single" w:color="auto" w:sz="4" w:space="0"/>
              <w:right w:val="single" w:color="auto" w:sz="4" w:space="0"/>
            </w:tcBorders>
            <w:noWrap w:val="0"/>
            <w:vAlign w:val="top"/>
          </w:tcPr>
          <w:p w14:paraId="146A7A81">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2690697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7987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638" w:type="dxa"/>
            <w:vMerge w:val="restart"/>
            <w:tcBorders>
              <w:left w:val="single" w:color="auto" w:sz="4" w:space="0"/>
              <w:right w:val="single" w:color="auto" w:sz="4" w:space="0"/>
            </w:tcBorders>
            <w:noWrap w:val="0"/>
            <w:vAlign w:val="center"/>
          </w:tcPr>
          <w:p w14:paraId="5682728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958" w:type="dxa"/>
            <w:vMerge w:val="restart"/>
            <w:tcBorders>
              <w:left w:val="nil"/>
              <w:right w:val="single" w:color="auto" w:sz="4" w:space="0"/>
            </w:tcBorders>
            <w:noWrap w:val="0"/>
            <w:vAlign w:val="center"/>
          </w:tcPr>
          <w:p w14:paraId="632FCA11">
            <w:pP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配合社区对责任区域内私自占用绿地种植蔬菜、饲养家禽等进行清理。</w:t>
            </w:r>
          </w:p>
        </w:tc>
        <w:tc>
          <w:tcPr>
            <w:tcW w:w="849" w:type="dxa"/>
            <w:vMerge w:val="restart"/>
            <w:tcBorders>
              <w:left w:val="nil"/>
              <w:right w:val="single" w:color="auto" w:sz="4" w:space="0"/>
            </w:tcBorders>
            <w:noWrap w:val="0"/>
            <w:vAlign w:val="center"/>
          </w:tcPr>
          <w:p w14:paraId="39D4A65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05" w:type="dxa"/>
            <w:tcBorders>
              <w:top w:val="single" w:color="auto" w:sz="4" w:space="0"/>
              <w:left w:val="nil"/>
              <w:bottom w:val="single" w:color="auto" w:sz="4" w:space="0"/>
              <w:right w:val="single" w:color="auto" w:sz="4" w:space="0"/>
            </w:tcBorders>
            <w:noWrap w:val="0"/>
            <w:vAlign w:val="center"/>
          </w:tcPr>
          <w:p w14:paraId="7DD410A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不配合社区开展工作。</w:t>
            </w:r>
          </w:p>
        </w:tc>
        <w:tc>
          <w:tcPr>
            <w:tcW w:w="1105" w:type="dxa"/>
            <w:tcBorders>
              <w:top w:val="single" w:color="auto" w:sz="4" w:space="0"/>
              <w:left w:val="nil"/>
              <w:bottom w:val="single" w:color="auto" w:sz="4" w:space="0"/>
              <w:right w:val="single" w:color="auto" w:sz="4" w:space="0"/>
            </w:tcBorders>
            <w:noWrap w:val="0"/>
            <w:vAlign w:val="center"/>
          </w:tcPr>
          <w:p w14:paraId="1C0B502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w:t>
            </w:r>
            <w:r>
              <w:rPr>
                <w:rFonts w:hint="eastAsia" w:ascii="宋体" w:hAnsi="宋体" w:eastAsia="宋体" w:cs="宋体"/>
                <w:b w:val="0"/>
                <w:bCs w:val="0"/>
                <w:color w:val="auto"/>
                <w:sz w:val="20"/>
                <w:szCs w:val="20"/>
                <w:highlight w:val="none"/>
              </w:rPr>
              <w:t>分/次</w:t>
            </w:r>
          </w:p>
        </w:tc>
        <w:tc>
          <w:tcPr>
            <w:tcW w:w="757" w:type="dxa"/>
            <w:tcBorders>
              <w:top w:val="single" w:color="auto" w:sz="4" w:space="0"/>
              <w:left w:val="nil"/>
              <w:bottom w:val="single" w:color="auto" w:sz="4" w:space="0"/>
              <w:right w:val="single" w:color="auto" w:sz="4" w:space="0"/>
            </w:tcBorders>
            <w:noWrap w:val="0"/>
            <w:vAlign w:val="top"/>
          </w:tcPr>
          <w:p w14:paraId="549AE72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0AB4930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3F0A6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jc w:val="center"/>
        </w:trPr>
        <w:tc>
          <w:tcPr>
            <w:tcW w:w="638" w:type="dxa"/>
            <w:vMerge w:val="continue"/>
            <w:tcBorders>
              <w:left w:val="single" w:color="auto" w:sz="4" w:space="0"/>
              <w:right w:val="single" w:color="auto" w:sz="4" w:space="0"/>
            </w:tcBorders>
            <w:noWrap w:val="0"/>
            <w:vAlign w:val="center"/>
          </w:tcPr>
          <w:p w14:paraId="126261A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958" w:type="dxa"/>
            <w:vMerge w:val="continue"/>
            <w:tcBorders>
              <w:left w:val="nil"/>
              <w:right w:val="single" w:color="auto" w:sz="4" w:space="0"/>
            </w:tcBorders>
            <w:noWrap w:val="0"/>
            <w:vAlign w:val="center"/>
          </w:tcPr>
          <w:p w14:paraId="3E33C8D0">
            <w:pPr>
              <w:rPr>
                <w:rFonts w:hint="eastAsia" w:ascii="宋体" w:hAnsi="宋体" w:eastAsia="宋体" w:cs="宋体"/>
                <w:b w:val="0"/>
                <w:bCs w:val="0"/>
                <w:color w:val="auto"/>
                <w:sz w:val="20"/>
                <w:szCs w:val="20"/>
                <w:highlight w:val="none"/>
                <w:lang w:val="en-US" w:eastAsia="zh-CN"/>
              </w:rPr>
            </w:pPr>
          </w:p>
        </w:tc>
        <w:tc>
          <w:tcPr>
            <w:tcW w:w="849" w:type="dxa"/>
            <w:vMerge w:val="continue"/>
            <w:tcBorders>
              <w:left w:val="nil"/>
              <w:right w:val="single" w:color="auto" w:sz="4" w:space="0"/>
            </w:tcBorders>
            <w:noWrap w:val="0"/>
            <w:vAlign w:val="center"/>
          </w:tcPr>
          <w:p w14:paraId="7F39897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905" w:type="dxa"/>
            <w:tcBorders>
              <w:top w:val="single" w:color="auto" w:sz="4" w:space="0"/>
              <w:left w:val="nil"/>
              <w:bottom w:val="single" w:color="auto" w:sz="4" w:space="0"/>
              <w:right w:val="single" w:color="auto" w:sz="4" w:space="0"/>
            </w:tcBorders>
            <w:noWrap w:val="0"/>
            <w:vAlign w:val="center"/>
          </w:tcPr>
          <w:p w14:paraId="1FA66C9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被社区投诉工作配合度差</w:t>
            </w:r>
          </w:p>
        </w:tc>
        <w:tc>
          <w:tcPr>
            <w:tcW w:w="1105" w:type="dxa"/>
            <w:tcBorders>
              <w:top w:val="single" w:color="auto" w:sz="4" w:space="0"/>
              <w:left w:val="nil"/>
              <w:bottom w:val="single" w:color="auto" w:sz="4" w:space="0"/>
              <w:right w:val="single" w:color="auto" w:sz="4" w:space="0"/>
            </w:tcBorders>
            <w:noWrap w:val="0"/>
            <w:vAlign w:val="center"/>
          </w:tcPr>
          <w:p w14:paraId="7E87B58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w:t>
            </w:r>
            <w:r>
              <w:rPr>
                <w:rFonts w:hint="eastAsia" w:ascii="宋体" w:hAnsi="宋体" w:eastAsia="宋体" w:cs="宋体"/>
                <w:b w:val="0"/>
                <w:bCs w:val="0"/>
                <w:color w:val="auto"/>
                <w:sz w:val="20"/>
                <w:szCs w:val="20"/>
                <w:highlight w:val="none"/>
              </w:rPr>
              <w:t>分/次</w:t>
            </w:r>
          </w:p>
        </w:tc>
        <w:tc>
          <w:tcPr>
            <w:tcW w:w="757" w:type="dxa"/>
            <w:tcBorders>
              <w:top w:val="single" w:color="auto" w:sz="4" w:space="0"/>
              <w:left w:val="nil"/>
              <w:bottom w:val="single" w:color="auto" w:sz="4" w:space="0"/>
              <w:right w:val="single" w:color="auto" w:sz="4" w:space="0"/>
            </w:tcBorders>
            <w:noWrap w:val="0"/>
            <w:vAlign w:val="top"/>
          </w:tcPr>
          <w:p w14:paraId="028523E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5C69AA4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2BCC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638" w:type="dxa"/>
            <w:tcBorders>
              <w:left w:val="single" w:color="auto" w:sz="4" w:space="0"/>
              <w:right w:val="single" w:color="auto" w:sz="4" w:space="0"/>
            </w:tcBorders>
            <w:noWrap w:val="0"/>
            <w:vAlign w:val="center"/>
          </w:tcPr>
          <w:p w14:paraId="05CDF61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958" w:type="dxa"/>
            <w:tcBorders>
              <w:left w:val="nil"/>
              <w:right w:val="single" w:color="auto" w:sz="4" w:space="0"/>
            </w:tcBorders>
            <w:noWrap w:val="0"/>
            <w:vAlign w:val="center"/>
          </w:tcPr>
          <w:p w14:paraId="72108694">
            <w:pP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垃圾清运后的处理符合相关规定。</w:t>
            </w:r>
          </w:p>
        </w:tc>
        <w:tc>
          <w:tcPr>
            <w:tcW w:w="849" w:type="dxa"/>
            <w:tcBorders>
              <w:left w:val="nil"/>
              <w:right w:val="single" w:color="auto" w:sz="4" w:space="0"/>
            </w:tcBorders>
            <w:noWrap w:val="0"/>
            <w:vAlign w:val="center"/>
          </w:tcPr>
          <w:p w14:paraId="5F750A8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05" w:type="dxa"/>
            <w:tcBorders>
              <w:top w:val="single" w:color="auto" w:sz="4" w:space="0"/>
              <w:left w:val="nil"/>
              <w:bottom w:val="single" w:color="auto" w:sz="4" w:space="0"/>
              <w:right w:val="single" w:color="auto" w:sz="4" w:space="0"/>
            </w:tcBorders>
            <w:noWrap w:val="0"/>
            <w:vAlign w:val="center"/>
          </w:tcPr>
          <w:p w14:paraId="6F6DB18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因不按规定处理垃圾被政府相关部门处罚。</w:t>
            </w:r>
          </w:p>
        </w:tc>
        <w:tc>
          <w:tcPr>
            <w:tcW w:w="1105" w:type="dxa"/>
            <w:tcBorders>
              <w:top w:val="single" w:color="auto" w:sz="4" w:space="0"/>
              <w:left w:val="nil"/>
              <w:bottom w:val="single" w:color="auto" w:sz="4" w:space="0"/>
              <w:right w:val="single" w:color="auto" w:sz="4" w:space="0"/>
            </w:tcBorders>
            <w:noWrap w:val="0"/>
            <w:vAlign w:val="center"/>
          </w:tcPr>
          <w:p w14:paraId="2434DBF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757" w:type="dxa"/>
            <w:tcBorders>
              <w:top w:val="single" w:color="auto" w:sz="4" w:space="0"/>
              <w:left w:val="nil"/>
              <w:bottom w:val="single" w:color="auto" w:sz="4" w:space="0"/>
              <w:right w:val="single" w:color="auto" w:sz="4" w:space="0"/>
            </w:tcBorders>
            <w:noWrap w:val="0"/>
            <w:vAlign w:val="top"/>
          </w:tcPr>
          <w:p w14:paraId="52DC7C3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2376B56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5EF4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1" w:hRule="atLeast"/>
          <w:jc w:val="center"/>
        </w:trPr>
        <w:tc>
          <w:tcPr>
            <w:tcW w:w="638" w:type="dxa"/>
            <w:tcBorders>
              <w:left w:val="single" w:color="auto" w:sz="4" w:space="0"/>
              <w:right w:val="single" w:color="auto" w:sz="4" w:space="0"/>
            </w:tcBorders>
            <w:noWrap w:val="0"/>
            <w:vAlign w:val="center"/>
          </w:tcPr>
          <w:p w14:paraId="6FB2508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958" w:type="dxa"/>
            <w:tcBorders>
              <w:left w:val="nil"/>
              <w:right w:val="single" w:color="auto" w:sz="4" w:space="0"/>
            </w:tcBorders>
            <w:noWrap w:val="0"/>
            <w:vAlign w:val="center"/>
          </w:tcPr>
          <w:p w14:paraId="5EFF9723">
            <w:pP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责任区域内的环境卫生清洁，各类乱贴乱画、违规小广告、违规悬挂的横幅处理达标。</w:t>
            </w:r>
          </w:p>
        </w:tc>
        <w:tc>
          <w:tcPr>
            <w:tcW w:w="849" w:type="dxa"/>
            <w:tcBorders>
              <w:left w:val="nil"/>
              <w:right w:val="single" w:color="auto" w:sz="4" w:space="0"/>
            </w:tcBorders>
            <w:noWrap w:val="0"/>
            <w:vAlign w:val="center"/>
          </w:tcPr>
          <w:p w14:paraId="1BE3637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05" w:type="dxa"/>
            <w:tcBorders>
              <w:top w:val="single" w:color="auto" w:sz="4" w:space="0"/>
              <w:left w:val="nil"/>
              <w:bottom w:val="single" w:color="auto" w:sz="4" w:space="0"/>
              <w:right w:val="single" w:color="auto" w:sz="4" w:space="0"/>
            </w:tcBorders>
            <w:noWrap w:val="0"/>
            <w:vAlign w:val="center"/>
          </w:tcPr>
          <w:p w14:paraId="775B8CD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检查发现环境治理服务各项工作处理不达标。</w:t>
            </w:r>
          </w:p>
        </w:tc>
        <w:tc>
          <w:tcPr>
            <w:tcW w:w="1105" w:type="dxa"/>
            <w:tcBorders>
              <w:top w:val="single" w:color="auto" w:sz="4" w:space="0"/>
              <w:left w:val="nil"/>
              <w:bottom w:val="single" w:color="auto" w:sz="4" w:space="0"/>
              <w:right w:val="single" w:color="auto" w:sz="4" w:space="0"/>
            </w:tcBorders>
            <w:noWrap w:val="0"/>
            <w:vAlign w:val="center"/>
          </w:tcPr>
          <w:p w14:paraId="07BBD76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w:t>
            </w:r>
            <w:r>
              <w:rPr>
                <w:rFonts w:hint="eastAsia" w:ascii="宋体" w:hAnsi="宋体" w:eastAsia="宋体" w:cs="宋体"/>
                <w:b w:val="0"/>
                <w:bCs w:val="0"/>
                <w:color w:val="auto"/>
                <w:sz w:val="20"/>
                <w:szCs w:val="20"/>
                <w:highlight w:val="none"/>
              </w:rPr>
              <w:t>分/</w:t>
            </w:r>
            <w:r>
              <w:rPr>
                <w:rFonts w:hint="eastAsia" w:ascii="宋体" w:hAnsi="宋体" w:eastAsia="宋体" w:cs="宋体"/>
                <w:b w:val="0"/>
                <w:bCs w:val="0"/>
                <w:color w:val="auto"/>
                <w:sz w:val="20"/>
                <w:szCs w:val="20"/>
                <w:highlight w:val="none"/>
                <w:lang w:val="en-US" w:eastAsia="zh-CN"/>
              </w:rPr>
              <w:t>处</w:t>
            </w:r>
          </w:p>
        </w:tc>
        <w:tc>
          <w:tcPr>
            <w:tcW w:w="757" w:type="dxa"/>
            <w:tcBorders>
              <w:top w:val="single" w:color="auto" w:sz="4" w:space="0"/>
              <w:left w:val="nil"/>
              <w:bottom w:val="single" w:color="auto" w:sz="4" w:space="0"/>
              <w:right w:val="single" w:color="auto" w:sz="4" w:space="0"/>
            </w:tcBorders>
            <w:noWrap w:val="0"/>
            <w:vAlign w:val="top"/>
          </w:tcPr>
          <w:p w14:paraId="322C87C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4829111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543A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jc w:val="center"/>
        </w:trPr>
        <w:tc>
          <w:tcPr>
            <w:tcW w:w="638" w:type="dxa"/>
            <w:vMerge w:val="restart"/>
            <w:tcBorders>
              <w:left w:val="single" w:color="auto" w:sz="4" w:space="0"/>
              <w:right w:val="single" w:color="auto" w:sz="4" w:space="0"/>
            </w:tcBorders>
            <w:noWrap w:val="0"/>
            <w:vAlign w:val="center"/>
          </w:tcPr>
          <w:p w14:paraId="09FF590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5</w:t>
            </w:r>
          </w:p>
        </w:tc>
        <w:tc>
          <w:tcPr>
            <w:tcW w:w="2958" w:type="dxa"/>
            <w:vMerge w:val="restart"/>
            <w:tcBorders>
              <w:left w:val="nil"/>
              <w:right w:val="single" w:color="auto" w:sz="4" w:space="0"/>
            </w:tcBorders>
            <w:noWrap w:val="0"/>
            <w:vAlign w:val="center"/>
          </w:tcPr>
          <w:p w14:paraId="10147602">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自行做好安全措施、现场防护措施及其他相关的安全管理工作。对服务人员进行安全教育培训不少于1次。</w:t>
            </w:r>
          </w:p>
        </w:tc>
        <w:tc>
          <w:tcPr>
            <w:tcW w:w="849" w:type="dxa"/>
            <w:vMerge w:val="restart"/>
            <w:tcBorders>
              <w:left w:val="nil"/>
              <w:right w:val="single" w:color="auto" w:sz="4" w:space="0"/>
            </w:tcBorders>
            <w:noWrap w:val="0"/>
            <w:vAlign w:val="center"/>
          </w:tcPr>
          <w:p w14:paraId="0D5E7E0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20</w:t>
            </w:r>
          </w:p>
        </w:tc>
        <w:tc>
          <w:tcPr>
            <w:tcW w:w="2905" w:type="dxa"/>
            <w:tcBorders>
              <w:top w:val="single" w:color="auto" w:sz="4" w:space="0"/>
              <w:left w:val="nil"/>
              <w:bottom w:val="single" w:color="auto" w:sz="4" w:space="0"/>
              <w:right w:val="single" w:color="auto" w:sz="4" w:space="0"/>
            </w:tcBorders>
            <w:noWrap w:val="0"/>
            <w:vAlign w:val="center"/>
          </w:tcPr>
          <w:p w14:paraId="15DC4636">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没有做好安全措施和现场防护措施。</w:t>
            </w:r>
          </w:p>
        </w:tc>
        <w:tc>
          <w:tcPr>
            <w:tcW w:w="1105" w:type="dxa"/>
            <w:tcBorders>
              <w:top w:val="single" w:color="auto" w:sz="4" w:space="0"/>
              <w:left w:val="nil"/>
              <w:bottom w:val="single" w:color="auto" w:sz="4" w:space="0"/>
              <w:right w:val="single" w:color="auto" w:sz="4" w:space="0"/>
            </w:tcBorders>
            <w:noWrap w:val="0"/>
            <w:vAlign w:val="center"/>
          </w:tcPr>
          <w:p w14:paraId="143322D7">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7" w:type="dxa"/>
            <w:tcBorders>
              <w:top w:val="single" w:color="auto" w:sz="4" w:space="0"/>
              <w:left w:val="nil"/>
              <w:bottom w:val="single" w:color="auto" w:sz="4" w:space="0"/>
              <w:right w:val="single" w:color="auto" w:sz="4" w:space="0"/>
            </w:tcBorders>
            <w:noWrap w:val="0"/>
            <w:vAlign w:val="top"/>
          </w:tcPr>
          <w:p w14:paraId="48E1D49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665BDF2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4D76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jc w:val="center"/>
        </w:trPr>
        <w:tc>
          <w:tcPr>
            <w:tcW w:w="638" w:type="dxa"/>
            <w:vMerge w:val="continue"/>
            <w:tcBorders>
              <w:left w:val="single" w:color="auto" w:sz="4" w:space="0"/>
              <w:right w:val="single" w:color="auto" w:sz="4" w:space="0"/>
            </w:tcBorders>
            <w:noWrap w:val="0"/>
            <w:vAlign w:val="center"/>
          </w:tcPr>
          <w:p w14:paraId="751F827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58" w:type="dxa"/>
            <w:vMerge w:val="continue"/>
            <w:tcBorders>
              <w:left w:val="nil"/>
              <w:right w:val="single" w:color="auto" w:sz="4" w:space="0"/>
            </w:tcBorders>
            <w:noWrap w:val="0"/>
            <w:vAlign w:val="center"/>
          </w:tcPr>
          <w:p w14:paraId="6EFA89A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b w:val="0"/>
                <w:bCs w:val="0"/>
                <w:color w:val="auto"/>
                <w:sz w:val="20"/>
                <w:szCs w:val="20"/>
                <w:highlight w:val="none"/>
                <w:vertAlign w:val="baseline"/>
                <w:lang w:val="en-US" w:eastAsia="zh-CN"/>
              </w:rPr>
            </w:pPr>
          </w:p>
        </w:tc>
        <w:tc>
          <w:tcPr>
            <w:tcW w:w="849" w:type="dxa"/>
            <w:vMerge w:val="continue"/>
            <w:tcBorders>
              <w:left w:val="nil"/>
              <w:right w:val="single" w:color="auto" w:sz="4" w:space="0"/>
            </w:tcBorders>
            <w:noWrap w:val="0"/>
            <w:vAlign w:val="center"/>
          </w:tcPr>
          <w:p w14:paraId="0834AF0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05" w:type="dxa"/>
            <w:tcBorders>
              <w:top w:val="single" w:color="auto" w:sz="4" w:space="0"/>
              <w:left w:val="nil"/>
              <w:bottom w:val="single" w:color="auto" w:sz="4" w:space="0"/>
              <w:right w:val="single" w:color="auto" w:sz="4" w:space="0"/>
            </w:tcBorders>
            <w:noWrap w:val="0"/>
            <w:vAlign w:val="center"/>
          </w:tcPr>
          <w:p w14:paraId="65428067">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未按要求开展安全教育培训。</w:t>
            </w:r>
          </w:p>
        </w:tc>
        <w:tc>
          <w:tcPr>
            <w:tcW w:w="1105" w:type="dxa"/>
            <w:tcBorders>
              <w:top w:val="single" w:color="auto" w:sz="4" w:space="0"/>
              <w:left w:val="nil"/>
              <w:bottom w:val="single" w:color="auto" w:sz="4" w:space="0"/>
              <w:right w:val="single" w:color="auto" w:sz="4" w:space="0"/>
            </w:tcBorders>
            <w:noWrap w:val="0"/>
            <w:vAlign w:val="center"/>
          </w:tcPr>
          <w:p w14:paraId="5ABF0CFC">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7" w:type="dxa"/>
            <w:tcBorders>
              <w:top w:val="single" w:color="auto" w:sz="4" w:space="0"/>
              <w:left w:val="nil"/>
              <w:bottom w:val="single" w:color="auto" w:sz="4" w:space="0"/>
              <w:right w:val="single" w:color="auto" w:sz="4" w:space="0"/>
            </w:tcBorders>
            <w:noWrap w:val="0"/>
            <w:vAlign w:val="top"/>
          </w:tcPr>
          <w:p w14:paraId="3C0373C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4EE4A7A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13BEE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638" w:type="dxa"/>
            <w:vMerge w:val="restart"/>
            <w:tcBorders>
              <w:left w:val="single" w:color="auto" w:sz="4" w:space="0"/>
              <w:right w:val="single" w:color="auto" w:sz="4" w:space="0"/>
            </w:tcBorders>
            <w:noWrap w:val="0"/>
            <w:vAlign w:val="center"/>
          </w:tcPr>
          <w:p w14:paraId="1EFEB8B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6</w:t>
            </w:r>
          </w:p>
        </w:tc>
        <w:tc>
          <w:tcPr>
            <w:tcW w:w="2958" w:type="dxa"/>
            <w:vMerge w:val="restart"/>
            <w:tcBorders>
              <w:left w:val="nil"/>
              <w:right w:val="single" w:color="auto" w:sz="4" w:space="0"/>
            </w:tcBorders>
            <w:noWrap w:val="0"/>
            <w:vAlign w:val="center"/>
          </w:tcPr>
          <w:p w14:paraId="46FF1BD9">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cs="宋体"/>
                <w:color w:val="auto"/>
                <w:sz w:val="20"/>
                <w:szCs w:val="20"/>
                <w:highlight w:val="none"/>
                <w:lang w:eastAsia="zh-CN"/>
              </w:rPr>
              <w:t>服务商</w:t>
            </w:r>
            <w:r>
              <w:rPr>
                <w:rFonts w:hint="eastAsia" w:ascii="宋体" w:hAnsi="宋体" w:eastAsia="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布置的工作要求、任务有落实，有反馈。</w:t>
            </w:r>
          </w:p>
        </w:tc>
        <w:tc>
          <w:tcPr>
            <w:tcW w:w="849" w:type="dxa"/>
            <w:vMerge w:val="restart"/>
            <w:tcBorders>
              <w:left w:val="nil"/>
              <w:right w:val="single" w:color="auto" w:sz="4" w:space="0"/>
            </w:tcBorders>
            <w:noWrap w:val="0"/>
            <w:vAlign w:val="center"/>
          </w:tcPr>
          <w:p w14:paraId="0E56F6F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20</w:t>
            </w:r>
          </w:p>
        </w:tc>
        <w:tc>
          <w:tcPr>
            <w:tcW w:w="2905" w:type="dxa"/>
            <w:tcBorders>
              <w:top w:val="single" w:color="auto" w:sz="4" w:space="0"/>
              <w:left w:val="nil"/>
              <w:bottom w:val="single" w:color="auto" w:sz="4" w:space="0"/>
              <w:right w:val="single" w:color="auto" w:sz="4" w:space="0"/>
            </w:tcBorders>
            <w:shd w:val="clear" w:color="auto" w:fill="auto"/>
            <w:noWrap w:val="0"/>
            <w:vAlign w:val="center"/>
          </w:tcPr>
          <w:p w14:paraId="6E6FFF3A">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不按时完成布置的工作</w:t>
            </w:r>
            <w:r>
              <w:rPr>
                <w:rFonts w:hint="eastAsia" w:ascii="宋体" w:hAnsi="宋体" w:eastAsia="宋体" w:cs="宋体"/>
                <w:color w:val="auto"/>
                <w:sz w:val="20"/>
                <w:szCs w:val="20"/>
                <w:highlight w:val="none"/>
                <w:lang w:eastAsia="zh-CN"/>
              </w:rPr>
              <w:t>。</w:t>
            </w: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29C4991A">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分/次</w:t>
            </w:r>
          </w:p>
        </w:tc>
        <w:tc>
          <w:tcPr>
            <w:tcW w:w="757" w:type="dxa"/>
            <w:tcBorders>
              <w:top w:val="single" w:color="auto" w:sz="4" w:space="0"/>
              <w:left w:val="nil"/>
              <w:bottom w:val="single" w:color="auto" w:sz="4" w:space="0"/>
              <w:right w:val="single" w:color="auto" w:sz="4" w:space="0"/>
            </w:tcBorders>
            <w:noWrap w:val="0"/>
            <w:vAlign w:val="top"/>
          </w:tcPr>
          <w:p w14:paraId="1AFB586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5583A67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09BB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1" w:hRule="atLeast"/>
          <w:jc w:val="center"/>
        </w:trPr>
        <w:tc>
          <w:tcPr>
            <w:tcW w:w="638" w:type="dxa"/>
            <w:vMerge w:val="continue"/>
            <w:tcBorders>
              <w:left w:val="single" w:color="auto" w:sz="4" w:space="0"/>
              <w:right w:val="single" w:color="auto" w:sz="4" w:space="0"/>
            </w:tcBorders>
            <w:noWrap w:val="0"/>
            <w:vAlign w:val="center"/>
          </w:tcPr>
          <w:p w14:paraId="782D604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58" w:type="dxa"/>
            <w:vMerge w:val="continue"/>
            <w:tcBorders>
              <w:left w:val="nil"/>
              <w:right w:val="single" w:color="auto" w:sz="4" w:space="0"/>
            </w:tcBorders>
            <w:noWrap w:val="0"/>
            <w:vAlign w:val="center"/>
          </w:tcPr>
          <w:p w14:paraId="7668391E">
            <w:pPr>
              <w:rPr>
                <w:rFonts w:hint="eastAsia" w:ascii="宋体" w:hAnsi="宋体" w:eastAsia="宋体" w:cs="宋体"/>
                <w:b w:val="0"/>
                <w:bCs w:val="0"/>
                <w:color w:val="auto"/>
                <w:sz w:val="20"/>
                <w:szCs w:val="20"/>
                <w:highlight w:val="none"/>
                <w:lang w:eastAsia="zh-CN"/>
              </w:rPr>
            </w:pPr>
          </w:p>
        </w:tc>
        <w:tc>
          <w:tcPr>
            <w:tcW w:w="849" w:type="dxa"/>
            <w:vMerge w:val="continue"/>
            <w:tcBorders>
              <w:left w:val="nil"/>
              <w:right w:val="single" w:color="auto" w:sz="4" w:space="0"/>
            </w:tcBorders>
            <w:noWrap w:val="0"/>
            <w:vAlign w:val="center"/>
          </w:tcPr>
          <w:p w14:paraId="344919F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05" w:type="dxa"/>
            <w:tcBorders>
              <w:top w:val="single" w:color="auto" w:sz="4" w:space="0"/>
              <w:left w:val="nil"/>
              <w:bottom w:val="single" w:color="auto" w:sz="4" w:space="0"/>
              <w:right w:val="single" w:color="auto" w:sz="4" w:space="0"/>
            </w:tcBorders>
            <w:shd w:val="clear" w:color="auto" w:fill="auto"/>
            <w:noWrap w:val="0"/>
            <w:vAlign w:val="center"/>
          </w:tcPr>
          <w:p w14:paraId="14341821">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因工作管理不到位，接收到</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发出的整改批示的文件（包括整改通知书、函件等），每发出一份</w:t>
            </w:r>
            <w:r>
              <w:rPr>
                <w:rFonts w:hint="eastAsia" w:ascii="宋体" w:hAnsi="宋体" w:eastAsia="宋体" w:cs="宋体"/>
                <w:color w:val="auto"/>
                <w:sz w:val="20"/>
                <w:szCs w:val="20"/>
                <w:highlight w:val="none"/>
                <w:lang w:eastAsia="zh-CN"/>
              </w:rPr>
              <w:t>。</w:t>
            </w: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2135B87D">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份</w:t>
            </w:r>
          </w:p>
        </w:tc>
        <w:tc>
          <w:tcPr>
            <w:tcW w:w="757" w:type="dxa"/>
            <w:tcBorders>
              <w:top w:val="single" w:color="auto" w:sz="4" w:space="0"/>
              <w:left w:val="nil"/>
              <w:bottom w:val="single" w:color="auto" w:sz="4" w:space="0"/>
              <w:right w:val="single" w:color="auto" w:sz="4" w:space="0"/>
            </w:tcBorders>
            <w:noWrap w:val="0"/>
            <w:vAlign w:val="top"/>
          </w:tcPr>
          <w:p w14:paraId="0DD6DCE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238C348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78D9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638" w:type="dxa"/>
            <w:vMerge w:val="continue"/>
            <w:tcBorders>
              <w:left w:val="single" w:color="auto" w:sz="4" w:space="0"/>
              <w:right w:val="single" w:color="auto" w:sz="4" w:space="0"/>
            </w:tcBorders>
            <w:noWrap w:val="0"/>
            <w:vAlign w:val="center"/>
          </w:tcPr>
          <w:p w14:paraId="6781C2C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58" w:type="dxa"/>
            <w:vMerge w:val="continue"/>
            <w:tcBorders>
              <w:left w:val="nil"/>
              <w:right w:val="single" w:color="auto" w:sz="4" w:space="0"/>
            </w:tcBorders>
            <w:noWrap w:val="0"/>
            <w:vAlign w:val="center"/>
          </w:tcPr>
          <w:p w14:paraId="23A5800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b w:val="0"/>
                <w:bCs w:val="0"/>
                <w:color w:val="auto"/>
                <w:sz w:val="20"/>
                <w:szCs w:val="20"/>
                <w:highlight w:val="none"/>
                <w:vertAlign w:val="baseline"/>
                <w:lang w:val="en-US" w:eastAsia="zh-CN"/>
              </w:rPr>
            </w:pPr>
          </w:p>
        </w:tc>
        <w:tc>
          <w:tcPr>
            <w:tcW w:w="849" w:type="dxa"/>
            <w:vMerge w:val="continue"/>
            <w:tcBorders>
              <w:left w:val="nil"/>
              <w:right w:val="single" w:color="auto" w:sz="4" w:space="0"/>
            </w:tcBorders>
            <w:noWrap w:val="0"/>
            <w:vAlign w:val="center"/>
          </w:tcPr>
          <w:p w14:paraId="0202D73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05" w:type="dxa"/>
            <w:tcBorders>
              <w:top w:val="single" w:color="auto" w:sz="4" w:space="0"/>
              <w:left w:val="nil"/>
              <w:bottom w:val="single" w:color="auto" w:sz="4" w:space="0"/>
              <w:right w:val="single" w:color="auto" w:sz="4" w:space="0"/>
            </w:tcBorders>
            <w:shd w:val="clear" w:color="auto" w:fill="auto"/>
            <w:noWrap w:val="0"/>
            <w:vAlign w:val="center"/>
          </w:tcPr>
          <w:p w14:paraId="7845D3A2">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因工作执行不到位，对</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照成重大不良影响，每出现一项。</w:t>
            </w:r>
          </w:p>
        </w:tc>
        <w:tc>
          <w:tcPr>
            <w:tcW w:w="1105" w:type="dxa"/>
            <w:tcBorders>
              <w:top w:val="single" w:color="auto" w:sz="4" w:space="0"/>
              <w:left w:val="nil"/>
              <w:bottom w:val="single" w:color="auto" w:sz="4" w:space="0"/>
              <w:right w:val="single" w:color="auto" w:sz="4" w:space="0"/>
            </w:tcBorders>
            <w:shd w:val="clear" w:color="auto" w:fill="auto"/>
            <w:noWrap w:val="0"/>
            <w:vAlign w:val="center"/>
          </w:tcPr>
          <w:p w14:paraId="560F0F4C">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-5至-10分/项</w:t>
            </w:r>
          </w:p>
        </w:tc>
        <w:tc>
          <w:tcPr>
            <w:tcW w:w="757" w:type="dxa"/>
            <w:tcBorders>
              <w:top w:val="single" w:color="auto" w:sz="4" w:space="0"/>
              <w:left w:val="nil"/>
              <w:bottom w:val="single" w:color="auto" w:sz="4" w:space="0"/>
              <w:right w:val="single" w:color="auto" w:sz="4" w:space="0"/>
            </w:tcBorders>
            <w:noWrap w:val="0"/>
            <w:vAlign w:val="top"/>
          </w:tcPr>
          <w:p w14:paraId="0CFE747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566" w:type="dxa"/>
            <w:tcBorders>
              <w:top w:val="single" w:color="auto" w:sz="4" w:space="0"/>
              <w:left w:val="nil"/>
              <w:bottom w:val="single" w:color="auto" w:sz="4" w:space="0"/>
              <w:right w:val="single" w:color="auto" w:sz="4" w:space="0"/>
            </w:tcBorders>
            <w:noWrap w:val="0"/>
            <w:vAlign w:val="center"/>
          </w:tcPr>
          <w:p w14:paraId="738E6CB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1AE7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4" w:hRule="atLeast"/>
          <w:jc w:val="center"/>
        </w:trPr>
        <w:tc>
          <w:tcPr>
            <w:tcW w:w="9778" w:type="dxa"/>
            <w:gridSpan w:val="7"/>
            <w:tcBorders>
              <w:left w:val="single" w:color="auto" w:sz="4" w:space="0"/>
              <w:right w:val="single" w:color="auto" w:sz="4" w:space="0"/>
            </w:tcBorders>
            <w:noWrap w:val="0"/>
            <w:vAlign w:val="center"/>
          </w:tcPr>
          <w:p w14:paraId="707961B6">
            <w:pPr>
              <w:adjustRightInd w:val="0"/>
              <w:snapToGrid w:val="0"/>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考核得分：</w:t>
            </w:r>
          </w:p>
        </w:tc>
      </w:tr>
      <w:tr w14:paraId="5E21B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9" w:hRule="atLeast"/>
          <w:jc w:val="center"/>
        </w:trPr>
        <w:tc>
          <w:tcPr>
            <w:tcW w:w="9778" w:type="dxa"/>
            <w:gridSpan w:val="7"/>
            <w:tcBorders>
              <w:left w:val="single" w:color="auto" w:sz="4" w:space="0"/>
              <w:right w:val="single" w:color="auto" w:sz="4" w:space="0"/>
            </w:tcBorders>
            <w:noWrap w:val="0"/>
            <w:vAlign w:val="center"/>
          </w:tcPr>
          <w:p w14:paraId="74211C73">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18E5E5A6">
            <w:pPr>
              <w:pStyle w:val="18"/>
              <w:rPr>
                <w:rFonts w:hint="eastAsia" w:ascii="宋体" w:hAnsi="宋体" w:eastAsia="宋体" w:cs="宋体"/>
                <w:color w:val="auto"/>
                <w:sz w:val="20"/>
                <w:szCs w:val="20"/>
                <w:highlight w:val="none"/>
                <w:lang w:val="en-US" w:eastAsia="zh-CN"/>
              </w:rPr>
            </w:pPr>
          </w:p>
          <w:p w14:paraId="56675405">
            <w:pPr>
              <w:adjustRightInd w:val="0"/>
              <w:snapToGrid w:val="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69B3731C">
            <w:pPr>
              <w:adjustRightInd w:val="0"/>
              <w:snapToGrid w:val="0"/>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日期：</w:t>
            </w:r>
          </w:p>
        </w:tc>
      </w:tr>
      <w:bookmarkEnd w:id="165"/>
    </w:tbl>
    <w:p w14:paraId="0B86F42A">
      <w:pPr>
        <w:rPr>
          <w:rFonts w:hint="eastAsia" w:ascii="宋体" w:hAnsi="宋体" w:eastAsia="宋体" w:cs="宋体"/>
          <w:b/>
          <w:bCs w:val="0"/>
          <w:color w:val="auto"/>
          <w:sz w:val="20"/>
          <w:szCs w:val="20"/>
          <w:highlight w:val="none"/>
          <w:lang w:val="en-US" w:eastAsia="zh-CN"/>
        </w:rPr>
      </w:pPr>
    </w:p>
    <w:bookmarkEnd w:id="84"/>
    <w:bookmarkEnd w:id="100"/>
    <w:p w14:paraId="7B5CCFC5">
      <w:pPr>
        <w:rPr>
          <w:rFonts w:hint="eastAsia" w:ascii="宋体" w:hAnsi="宋体" w:eastAsia="宋体" w:cs="宋体"/>
          <w:b/>
          <w:bCs w:val="0"/>
          <w:color w:val="auto"/>
          <w:sz w:val="20"/>
          <w:szCs w:val="20"/>
          <w:highlight w:val="none"/>
          <w:lang w:val="en-US" w:eastAsia="zh-CN"/>
        </w:rPr>
      </w:pPr>
      <w:bookmarkStart w:id="166" w:name="_Toc18145"/>
      <w:r>
        <w:rPr>
          <w:rFonts w:hint="eastAsia" w:ascii="宋体" w:hAnsi="宋体" w:eastAsia="宋体" w:cs="宋体"/>
          <w:b/>
          <w:bCs w:val="0"/>
          <w:color w:val="auto"/>
          <w:sz w:val="20"/>
          <w:szCs w:val="20"/>
          <w:highlight w:val="none"/>
          <w:lang w:val="en-US" w:eastAsia="zh-CN"/>
        </w:rPr>
        <w:br w:type="page"/>
      </w:r>
    </w:p>
    <w:p w14:paraId="055D7B83">
      <w:pPr>
        <w:pStyle w:val="4"/>
        <w:keepNext/>
        <w:keepLines/>
        <w:pageBreakBefore w:val="0"/>
        <w:widowControl w:val="0"/>
        <w:numPr>
          <w:ilvl w:val="0"/>
          <w:numId w:val="0"/>
        </w:numPr>
        <w:kinsoku/>
        <w:wordWrap/>
        <w:overflowPunct/>
        <w:topLinePunct w:val="0"/>
        <w:autoSpaceDE/>
        <w:autoSpaceDN/>
        <w:bidi w:val="0"/>
        <w:adjustRightInd/>
        <w:snapToGrid/>
        <w:spacing w:before="0" w:after="0" w:line="580" w:lineRule="exact"/>
        <w:jc w:val="center"/>
        <w:textAlignment w:val="auto"/>
        <w:rPr>
          <w:rFonts w:hint="eastAsia" w:ascii="宋体" w:hAnsi="宋体" w:eastAsia="宋体" w:cs="宋体"/>
          <w:b/>
          <w:bCs w:val="0"/>
          <w:color w:val="auto"/>
          <w:sz w:val="20"/>
          <w:szCs w:val="20"/>
          <w:highlight w:val="none"/>
          <w:lang w:val="en-US" w:eastAsia="zh-CN"/>
        </w:rPr>
      </w:pPr>
      <w:bookmarkStart w:id="167" w:name="_Toc4403"/>
      <w:bookmarkStart w:id="168" w:name="_Toc21252"/>
      <w:r>
        <w:rPr>
          <w:rFonts w:hint="eastAsia" w:ascii="宋体" w:hAnsi="宋体" w:eastAsia="宋体" w:cs="宋体"/>
          <w:b/>
          <w:bCs w:val="0"/>
          <w:color w:val="auto"/>
          <w:sz w:val="20"/>
          <w:szCs w:val="20"/>
          <w:highlight w:val="none"/>
          <w:lang w:val="en-US" w:eastAsia="zh-CN"/>
        </w:rPr>
        <w:t>（</w:t>
      </w:r>
      <w:r>
        <w:rPr>
          <w:rFonts w:hint="eastAsia" w:ascii="宋体" w:hAnsi="宋体" w:cs="宋体"/>
          <w:b/>
          <w:bCs w:val="0"/>
          <w:color w:val="auto"/>
          <w:sz w:val="20"/>
          <w:szCs w:val="20"/>
          <w:highlight w:val="none"/>
          <w:lang w:val="en-US" w:eastAsia="zh-CN"/>
        </w:rPr>
        <w:t>四</w:t>
      </w:r>
      <w:r>
        <w:rPr>
          <w:rFonts w:hint="eastAsia" w:ascii="宋体" w:hAnsi="宋体" w:eastAsia="宋体" w:cs="宋体"/>
          <w:b/>
          <w:bCs w:val="0"/>
          <w:color w:val="auto"/>
          <w:sz w:val="20"/>
          <w:szCs w:val="20"/>
          <w:highlight w:val="none"/>
          <w:lang w:val="en-US" w:eastAsia="zh-CN"/>
        </w:rPr>
        <w:t>）搬运服务项目</w:t>
      </w:r>
      <w:bookmarkEnd w:id="85"/>
      <w:bookmarkEnd w:id="166"/>
      <w:bookmarkEnd w:id="167"/>
      <w:bookmarkEnd w:id="168"/>
    </w:p>
    <w:p w14:paraId="403F2F04">
      <w:pPr>
        <w:bidi w:val="0"/>
        <w:ind w:firstLine="201" w:firstLineChars="100"/>
        <w:rPr>
          <w:rFonts w:hint="eastAsia" w:ascii="宋体" w:hAnsi="宋体" w:eastAsia="宋体" w:cs="宋体"/>
          <w:b/>
          <w:bCs/>
          <w:highlight w:val="none"/>
          <w:lang w:val="en-US" w:eastAsia="zh-CN"/>
        </w:rPr>
      </w:pPr>
      <w:bookmarkStart w:id="169" w:name="_Toc19100"/>
      <w:bookmarkStart w:id="170" w:name="_Toc21969"/>
    </w:p>
    <w:p w14:paraId="1210F803">
      <w:pPr>
        <w:bidi w:val="0"/>
        <w:ind w:firstLine="201" w:firstLineChars="100"/>
        <w:rPr>
          <w:rFonts w:hint="eastAsia" w:ascii="宋体" w:hAnsi="宋体" w:eastAsia="宋体" w:cs="宋体"/>
          <w:b/>
          <w:bCs/>
          <w:highlight w:val="none"/>
        </w:rPr>
      </w:pPr>
      <w:r>
        <w:rPr>
          <w:rFonts w:hint="eastAsia" w:ascii="宋体" w:hAnsi="宋体" w:eastAsia="宋体" w:cs="宋体"/>
          <w:b/>
          <w:bCs/>
          <w:highlight w:val="none"/>
          <w:lang w:val="en-US" w:eastAsia="zh-CN"/>
        </w:rPr>
        <w:t>1.</w:t>
      </w:r>
      <w:bookmarkEnd w:id="169"/>
      <w:bookmarkEnd w:id="170"/>
      <w:bookmarkStart w:id="171" w:name="_Toc30115"/>
      <w:bookmarkStart w:id="172" w:name="_Toc4770"/>
      <w:r>
        <w:rPr>
          <w:rFonts w:hint="eastAsia" w:ascii="宋体" w:hAnsi="宋体" w:eastAsia="宋体" w:cs="宋体"/>
          <w:b/>
          <w:bCs/>
          <w:highlight w:val="none"/>
        </w:rPr>
        <w:t>项目服务标准及要求</w:t>
      </w:r>
      <w:bookmarkEnd w:id="171"/>
      <w:bookmarkEnd w:id="172"/>
    </w:p>
    <w:p w14:paraId="173DB918">
      <w:pPr>
        <w:bidi w:val="0"/>
        <w:ind w:firstLine="201" w:firstLineChars="100"/>
        <w:rPr>
          <w:rFonts w:hint="eastAsia" w:ascii="宋体" w:hAnsi="宋体" w:eastAsia="宋体" w:cs="宋体"/>
          <w:b/>
          <w:bCs/>
          <w:highlight w:val="none"/>
        </w:rPr>
      </w:pPr>
      <w:bookmarkStart w:id="173" w:name="_Toc15282"/>
      <w:bookmarkStart w:id="174" w:name="_Toc16578"/>
      <w:bookmarkStart w:id="175" w:name="_Toc23019"/>
      <w:bookmarkStart w:id="176" w:name="_Toc4126"/>
      <w:bookmarkStart w:id="177" w:name="_Toc718"/>
      <w:bookmarkStart w:id="178" w:name="_Toc28069"/>
      <w:bookmarkStart w:id="179" w:name="_Toc26283"/>
      <w:bookmarkStart w:id="180" w:name="_Toc19795"/>
      <w:bookmarkStart w:id="181" w:name="_Toc25806"/>
      <w:bookmarkStart w:id="182" w:name="_Toc22112"/>
      <w:bookmarkStart w:id="183" w:name="_Toc6619"/>
      <w:bookmarkStart w:id="184" w:name="_Toc5467"/>
      <w:r>
        <w:rPr>
          <w:rFonts w:hint="eastAsia" w:ascii="宋体" w:hAnsi="宋体" w:eastAsia="宋体" w:cs="宋体"/>
          <w:b/>
          <w:bCs/>
          <w:highlight w:val="none"/>
          <w:lang w:val="en-US" w:eastAsia="zh-CN"/>
        </w:rPr>
        <w:t>1.1</w:t>
      </w:r>
      <w:r>
        <w:rPr>
          <w:rFonts w:hint="eastAsia" w:ascii="宋体" w:hAnsi="宋体" w:eastAsia="宋体" w:cs="宋体"/>
          <w:b/>
          <w:bCs/>
          <w:highlight w:val="none"/>
        </w:rPr>
        <w:t>项目服务标准</w:t>
      </w:r>
      <w:bookmarkEnd w:id="173"/>
      <w:bookmarkEnd w:id="174"/>
      <w:bookmarkEnd w:id="175"/>
      <w:bookmarkEnd w:id="176"/>
      <w:bookmarkEnd w:id="177"/>
      <w:bookmarkEnd w:id="178"/>
      <w:bookmarkEnd w:id="179"/>
      <w:bookmarkEnd w:id="180"/>
      <w:bookmarkEnd w:id="181"/>
      <w:bookmarkEnd w:id="182"/>
      <w:bookmarkEnd w:id="183"/>
      <w:bookmarkEnd w:id="184"/>
    </w:p>
    <w:p w14:paraId="6AD3E37F">
      <w:pPr>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服务商在提供</w:t>
      </w:r>
      <w:r>
        <w:rPr>
          <w:rFonts w:hint="eastAsia" w:ascii="宋体" w:hAnsi="宋体" w:eastAsia="宋体" w:cs="宋体"/>
          <w:color w:val="auto"/>
          <w:sz w:val="20"/>
          <w:szCs w:val="20"/>
          <w:highlight w:val="none"/>
          <w:lang w:eastAsia="zh-CN"/>
        </w:rPr>
        <w:t>搬运</w:t>
      </w:r>
      <w:r>
        <w:rPr>
          <w:rFonts w:hint="eastAsia" w:ascii="宋体" w:hAnsi="宋体" w:eastAsia="宋体" w:cs="宋体"/>
          <w:color w:val="auto"/>
          <w:sz w:val="20"/>
          <w:szCs w:val="20"/>
          <w:highlight w:val="none"/>
        </w:rPr>
        <w:t>服务时，需按照如下标准执行，如果在合同执行期间国家颁布新的标准时，应按最新的条款执行。</w:t>
      </w:r>
    </w:p>
    <w:tbl>
      <w:tblPr>
        <w:tblStyle w:val="16"/>
        <w:tblW w:w="82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7128"/>
      </w:tblGrid>
      <w:tr w14:paraId="548B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1091" w:type="dxa"/>
            <w:vAlign w:val="center"/>
          </w:tcPr>
          <w:p w14:paraId="6C04D7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7128" w:type="dxa"/>
            <w:vAlign w:val="center"/>
          </w:tcPr>
          <w:p w14:paraId="363450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相关标准</w:t>
            </w:r>
          </w:p>
        </w:tc>
      </w:tr>
      <w:tr w14:paraId="5D7E9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1091" w:type="dxa"/>
            <w:vAlign w:val="center"/>
          </w:tcPr>
          <w:p w14:paraId="31D132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7128" w:type="dxa"/>
            <w:vAlign w:val="center"/>
          </w:tcPr>
          <w:p w14:paraId="1223121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《货物搬运工作规范》</w:t>
            </w:r>
          </w:p>
        </w:tc>
      </w:tr>
      <w:tr w14:paraId="7928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2B654E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7128" w:type="dxa"/>
            <w:vAlign w:val="center"/>
          </w:tcPr>
          <w:p w14:paraId="0E82D54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《搬运工序标准化操作规程》</w:t>
            </w:r>
          </w:p>
        </w:tc>
      </w:tr>
      <w:tr w14:paraId="41F87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1091" w:type="dxa"/>
            <w:vAlign w:val="center"/>
          </w:tcPr>
          <w:p w14:paraId="1F6632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7128" w:type="dxa"/>
            <w:vAlign w:val="center"/>
          </w:tcPr>
          <w:p w14:paraId="109A602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《物流服务操作规范》</w:t>
            </w:r>
          </w:p>
        </w:tc>
      </w:tr>
      <w:tr w14:paraId="39614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797F4F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7128" w:type="dxa"/>
            <w:vAlign w:val="center"/>
          </w:tcPr>
          <w:p w14:paraId="5FF0302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《物流服务标准》</w:t>
            </w:r>
          </w:p>
        </w:tc>
      </w:tr>
      <w:tr w14:paraId="5A47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6E93EA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7128" w:type="dxa"/>
            <w:vAlign w:val="center"/>
          </w:tcPr>
          <w:p w14:paraId="7102E4E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《物流服务规范</w:t>
            </w:r>
          </w:p>
        </w:tc>
      </w:tr>
      <w:tr w14:paraId="120B9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5327A4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7128" w:type="dxa"/>
            <w:vAlign w:val="center"/>
          </w:tcPr>
          <w:p w14:paraId="4FA7597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《物流服务质量评价指标》</w:t>
            </w:r>
          </w:p>
        </w:tc>
      </w:tr>
      <w:tr w14:paraId="7CD00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1091" w:type="dxa"/>
            <w:vAlign w:val="center"/>
          </w:tcPr>
          <w:p w14:paraId="1756C6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7128" w:type="dxa"/>
            <w:vAlign w:val="center"/>
          </w:tcPr>
          <w:p w14:paraId="7708E97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《搬运服务规范》</w:t>
            </w:r>
          </w:p>
        </w:tc>
      </w:tr>
      <w:tr w14:paraId="1A97A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20C0BE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7128" w:type="dxa"/>
            <w:vAlign w:val="center"/>
          </w:tcPr>
          <w:p w14:paraId="45937AB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《搬运服务质量评价指标》</w:t>
            </w:r>
          </w:p>
        </w:tc>
      </w:tr>
      <w:tr w14:paraId="57B72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5BFC22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7128" w:type="dxa"/>
            <w:vAlign w:val="center"/>
          </w:tcPr>
          <w:p w14:paraId="1C6633C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《连续搬运设备 安全规范 专用规则》（GB/T 23580-2009）</w:t>
            </w:r>
          </w:p>
        </w:tc>
      </w:tr>
      <w:tr w14:paraId="1A750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1E1BD6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1</w:t>
            </w:r>
            <w:r>
              <w:rPr>
                <w:rFonts w:hint="eastAsia" w:ascii="宋体" w:hAnsi="宋体" w:eastAsia="宋体" w:cs="宋体"/>
                <w:color w:val="auto"/>
                <w:sz w:val="20"/>
                <w:szCs w:val="20"/>
                <w:highlight w:val="none"/>
                <w:lang w:val="en-US" w:eastAsia="zh-CN"/>
              </w:rPr>
              <w:t>0</w:t>
            </w:r>
          </w:p>
        </w:tc>
        <w:tc>
          <w:tcPr>
            <w:tcW w:w="7128" w:type="dxa"/>
            <w:vAlign w:val="center"/>
          </w:tcPr>
          <w:p w14:paraId="53A2212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《蓄电池托盘搬运车》（GB/T 27542-2019）</w:t>
            </w:r>
          </w:p>
        </w:tc>
      </w:tr>
      <w:tr w14:paraId="27917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7347CD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7128" w:type="dxa"/>
            <w:vAlign w:val="center"/>
          </w:tcPr>
          <w:p w14:paraId="6784BCD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《中华人民共和国道路运输条例》（中华人民共和国国务院令第406号）</w:t>
            </w:r>
          </w:p>
        </w:tc>
      </w:tr>
      <w:tr w14:paraId="1A5A3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2504A8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7128" w:type="dxa"/>
            <w:vAlign w:val="center"/>
          </w:tcPr>
          <w:p w14:paraId="0D3913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《搬运贮存包装交付质量控制指南》（SJ/T 10466.12-1993）</w:t>
            </w:r>
          </w:p>
        </w:tc>
      </w:tr>
      <w:tr w14:paraId="47C83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305F91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7128" w:type="dxa"/>
            <w:vAlign w:val="center"/>
          </w:tcPr>
          <w:p w14:paraId="0F0478D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《物流装卸搬运服务规范》（DB51/T 1590-2013）</w:t>
            </w:r>
          </w:p>
        </w:tc>
      </w:tr>
      <w:tr w14:paraId="2B701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91" w:type="dxa"/>
            <w:vAlign w:val="center"/>
          </w:tcPr>
          <w:p w14:paraId="09C794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14</w:t>
            </w:r>
          </w:p>
        </w:tc>
        <w:tc>
          <w:tcPr>
            <w:tcW w:w="7128" w:type="dxa"/>
            <w:vAlign w:val="center"/>
          </w:tcPr>
          <w:p w14:paraId="4C3D8D9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《家政服务+搬家服务质量规范》（DB 63/T 1034-2011）</w:t>
            </w:r>
          </w:p>
        </w:tc>
      </w:tr>
    </w:tbl>
    <w:p w14:paraId="21A9211E">
      <w:pPr>
        <w:bidi w:val="0"/>
        <w:ind w:firstLine="402" w:firstLineChars="200"/>
        <w:rPr>
          <w:rFonts w:hint="eastAsia" w:ascii="宋体" w:hAnsi="宋体" w:eastAsia="宋体" w:cs="宋体"/>
          <w:b/>
          <w:bCs/>
          <w:highlight w:val="none"/>
          <w:lang w:val="en-US" w:eastAsia="zh-CN"/>
        </w:rPr>
      </w:pPr>
      <w:bookmarkStart w:id="185" w:name="_Toc30729"/>
      <w:bookmarkStart w:id="186" w:name="_Toc25265"/>
      <w:bookmarkStart w:id="187" w:name="_Toc14394"/>
      <w:bookmarkStart w:id="188" w:name="_Toc13835"/>
      <w:bookmarkStart w:id="189" w:name="_Toc17796"/>
      <w:bookmarkStart w:id="190" w:name="_Toc10129"/>
      <w:bookmarkStart w:id="191" w:name="_Toc16355"/>
      <w:bookmarkStart w:id="192" w:name="_Toc20651"/>
      <w:bookmarkStart w:id="193" w:name="_Toc22794"/>
      <w:bookmarkStart w:id="194" w:name="_Toc1640"/>
      <w:bookmarkStart w:id="195" w:name="_Toc16794"/>
      <w:bookmarkStart w:id="196" w:name="_Toc28181"/>
    </w:p>
    <w:p w14:paraId="21CBB9EA">
      <w:pPr>
        <w:bidi w:val="0"/>
        <w:ind w:firstLine="402" w:firstLineChars="200"/>
        <w:rPr>
          <w:rFonts w:hint="eastAsia" w:ascii="宋体" w:hAnsi="宋体" w:eastAsia="宋体" w:cs="宋体"/>
          <w:b/>
          <w:bCs/>
          <w:highlight w:val="none"/>
        </w:rPr>
      </w:pPr>
      <w:r>
        <w:rPr>
          <w:rFonts w:hint="eastAsia" w:ascii="宋体" w:hAnsi="宋体" w:eastAsia="宋体" w:cs="宋体"/>
          <w:b/>
          <w:bCs/>
          <w:highlight w:val="none"/>
          <w:lang w:val="en-US" w:eastAsia="zh-CN"/>
        </w:rPr>
        <w:t>1.2</w:t>
      </w:r>
      <w:r>
        <w:rPr>
          <w:rFonts w:hint="eastAsia" w:ascii="宋体" w:hAnsi="宋体" w:eastAsia="宋体" w:cs="宋体"/>
          <w:b/>
          <w:bCs/>
          <w:highlight w:val="none"/>
        </w:rPr>
        <w:t>项目服务要求</w:t>
      </w:r>
      <w:bookmarkEnd w:id="185"/>
      <w:bookmarkEnd w:id="186"/>
      <w:bookmarkEnd w:id="187"/>
      <w:bookmarkEnd w:id="188"/>
      <w:bookmarkEnd w:id="189"/>
      <w:bookmarkEnd w:id="190"/>
      <w:bookmarkEnd w:id="191"/>
      <w:bookmarkEnd w:id="192"/>
      <w:bookmarkEnd w:id="193"/>
      <w:bookmarkEnd w:id="194"/>
      <w:bookmarkEnd w:id="195"/>
      <w:bookmarkEnd w:id="196"/>
    </w:p>
    <w:p w14:paraId="04DC7803">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1.2.1合同实施前，服务商需指派专人进行对接，对采购方搬运的服务需求进行全面摸查和理解。</w:t>
      </w:r>
    </w:p>
    <w:p w14:paraId="7C55218F">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color w:val="auto"/>
          <w:sz w:val="20"/>
          <w:szCs w:val="20"/>
          <w:highlight w:val="none"/>
        </w:rPr>
        <w:t>搬运前服务商需对所装卸搬运的货物要准确了解其高、宽数、质量值，不符合人力搬运的物件，采取机械方式或其他方式作业。此外还应先检查物件的外表是否有损伤。放置货物时，服务商需按货物所标注的方法进行放置，并且将货物的物料标签向外，便于读数和识别。此外，协助</w:t>
      </w:r>
      <w:r>
        <w:rPr>
          <w:rFonts w:hint="eastAsia" w:ascii="宋体" w:hAnsi="宋体" w:eastAsia="宋体" w:cs="宋体"/>
          <w:color w:val="auto"/>
          <w:sz w:val="20"/>
          <w:szCs w:val="20"/>
          <w:highlight w:val="none"/>
          <w:lang w:val="en-US" w:eastAsia="zh-CN"/>
        </w:rPr>
        <w:t>采购方</w:t>
      </w:r>
      <w:r>
        <w:rPr>
          <w:rFonts w:hint="eastAsia" w:ascii="宋体" w:hAnsi="宋体" w:eastAsia="宋体" w:cs="宋体"/>
          <w:color w:val="auto"/>
          <w:sz w:val="20"/>
          <w:szCs w:val="20"/>
          <w:highlight w:val="none"/>
        </w:rPr>
        <w:t>人员将货物按不同的材质、规格、性能和形状等进行合理的摆放。如因服务商的原因导致搬运时货物损坏</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丢失等</w:t>
      </w:r>
      <w:r>
        <w:rPr>
          <w:rFonts w:hint="eastAsia" w:ascii="宋体" w:hAnsi="宋体" w:eastAsia="宋体" w:cs="宋体"/>
          <w:color w:val="auto"/>
          <w:sz w:val="20"/>
          <w:szCs w:val="20"/>
          <w:highlight w:val="none"/>
        </w:rPr>
        <w:t>，由服务商照价赔偿。</w:t>
      </w:r>
    </w:p>
    <w:p w14:paraId="7C2F0EAA">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eastAsia="zh-CN"/>
        </w:rPr>
        <w:t>1.2.3服务商应自行配备工作所需的各种专业工具及设备，并在进场之前由相关专业人员检查合格后可在现场使用。</w:t>
      </w:r>
    </w:p>
    <w:p w14:paraId="2D0E2D1E">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1.2.4服务商所派人员进入采购方的相关场所时，需要严格遵守和执行采购方的相关管理规定。</w:t>
      </w:r>
    </w:p>
    <w:p w14:paraId="34D1B368">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1.2.5服务商提供24小时服务热线（热线电话、微信、传真、电子邮件等）。服务商在接到采购方的需求后，必须在1小时内作出响应，并在采购方规定的时间内，到达现场，开展搬运满足。若服务商预期无法按规定时间完成需求，则需提前通知采购方，采购方同意后，方可执行。</w:t>
      </w:r>
    </w:p>
    <w:p w14:paraId="5CC9DCDF">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1.2.6在服务商提供搬运服务时，需填写搬运货物名称、数量、重量等信息，并经采购方值班人员或管理员核实签字认可，作为服务商提供搬运服务的重要依据。</w:t>
      </w:r>
    </w:p>
    <w:p w14:paraId="6A0E9E23">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1.2.7服务商加强人员管理，合理安排人员，保障项目工作进度。确因不可抗力影响项目实施，需与采购人协商修订项目实施计划，达成一致后执行。</w:t>
      </w:r>
    </w:p>
    <w:p w14:paraId="3D0B3392">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1.2.8服务商必须建立健全严格的安全管理制度，在开展搬运服务工作中严格执行安全管理规定，深刻认识和领会采购方对安全工作的态度和要求，并给予相应的支持和配合。如因非采购方原因导致的安全问题，由服务商承担责任，并按国家法律法规及相关要求进行赔偿。</w:t>
      </w:r>
    </w:p>
    <w:p w14:paraId="2BCB17C6">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1.2.9服务商的搬运人员应严格遵守有关法律法规和采购方内部规章制度，不得擅自翻阅、复制、传播所接触的资料或数据。并且，服务商须遵守采购方信息保密制度，禁止窥窃采购方任何信息。服务商应与采购方签署保密协议书，并负责约束有关员工的保密工作。如服务商泄露采购方的资料或数据，服务商应全额赔偿采购方的损失。</w:t>
      </w:r>
    </w:p>
    <w:p w14:paraId="707C3181">
      <w:pPr>
        <w:bidi w:val="0"/>
        <w:ind w:firstLine="402" w:firstLineChars="200"/>
        <w:rPr>
          <w:rFonts w:hint="eastAsia" w:ascii="宋体" w:hAnsi="宋体" w:eastAsia="宋体" w:cs="宋体"/>
          <w:b/>
          <w:bCs/>
          <w:highlight w:val="none"/>
          <w:lang w:val="en-US" w:eastAsia="zh-CN"/>
        </w:rPr>
      </w:pPr>
      <w:bookmarkStart w:id="197" w:name="_Toc18501"/>
      <w:bookmarkStart w:id="198" w:name="_Toc23525"/>
    </w:p>
    <w:p w14:paraId="3EB8FFBD">
      <w:pPr>
        <w:bidi w:val="0"/>
        <w:ind w:firstLine="402" w:firstLineChars="20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2.服务达标要求</w:t>
      </w:r>
    </w:p>
    <w:p w14:paraId="3D694D0C">
      <w:pPr>
        <w:bidi w:val="0"/>
        <w:ind w:firstLine="402" w:firstLineChars="200"/>
        <w:rPr>
          <w:rFonts w:hint="eastAsia" w:ascii="宋体" w:hAnsi="宋体" w:eastAsia="宋体" w:cs="宋体"/>
          <w:b/>
          <w:bCs/>
          <w:highlight w:val="none"/>
        </w:rPr>
      </w:pPr>
      <w:bookmarkStart w:id="199" w:name="_Toc30279"/>
      <w:bookmarkStart w:id="200" w:name="_Toc4388"/>
      <w:bookmarkStart w:id="201" w:name="_Toc1415"/>
      <w:r>
        <w:rPr>
          <w:rFonts w:hint="eastAsia" w:ascii="宋体" w:hAnsi="宋体" w:eastAsia="宋体" w:cs="宋体"/>
          <w:b/>
          <w:bCs/>
          <w:highlight w:val="none"/>
          <w:lang w:val="en-US" w:eastAsia="zh-CN"/>
        </w:rPr>
        <w:t>2.1搬运服务达标</w:t>
      </w:r>
      <w:r>
        <w:rPr>
          <w:rFonts w:hint="eastAsia" w:ascii="宋体" w:hAnsi="宋体" w:eastAsia="宋体" w:cs="宋体"/>
          <w:b/>
          <w:bCs/>
          <w:highlight w:val="none"/>
        </w:rPr>
        <w:t>要求</w:t>
      </w:r>
      <w:bookmarkEnd w:id="199"/>
      <w:bookmarkEnd w:id="200"/>
      <w:bookmarkEnd w:id="201"/>
    </w:p>
    <w:p w14:paraId="7E0CB4E6">
      <w:pPr>
        <w:pStyle w:val="2"/>
        <w:outlineLvl w:val="9"/>
        <w:rPr>
          <w:rFonts w:hint="eastAsia"/>
          <w:highlight w:val="none"/>
        </w:rPr>
      </w:pPr>
    </w:p>
    <w:p w14:paraId="0A943ED8">
      <w:pPr>
        <w:pStyle w:val="2"/>
        <w:outlineLvl w:val="9"/>
        <w:rPr>
          <w:rFonts w:hint="eastAsia"/>
          <w:highlight w:val="none"/>
          <w:lang w:val="en-US" w:eastAsia="zh-CN"/>
        </w:rPr>
      </w:pPr>
    </w:p>
    <w:tbl>
      <w:tblPr>
        <w:tblStyle w:val="16"/>
        <w:tblW w:w="8144"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321"/>
        <w:gridCol w:w="6000"/>
      </w:tblGrid>
      <w:tr w14:paraId="51B76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vAlign w:val="center"/>
          </w:tcPr>
          <w:p w14:paraId="658F2981">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1321" w:type="dxa"/>
            <w:vAlign w:val="center"/>
          </w:tcPr>
          <w:p w14:paraId="728B404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工作内容</w:t>
            </w:r>
          </w:p>
        </w:tc>
        <w:tc>
          <w:tcPr>
            <w:tcW w:w="6000" w:type="dxa"/>
            <w:vAlign w:val="center"/>
          </w:tcPr>
          <w:p w14:paraId="2938051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服务达标</w:t>
            </w:r>
            <w:r>
              <w:rPr>
                <w:rFonts w:hint="eastAsia" w:ascii="宋体" w:hAnsi="宋体" w:eastAsia="宋体" w:cs="宋体"/>
                <w:b/>
                <w:bCs/>
                <w:color w:val="auto"/>
                <w:sz w:val="20"/>
                <w:szCs w:val="20"/>
                <w:highlight w:val="none"/>
              </w:rPr>
              <w:t>要求</w:t>
            </w:r>
          </w:p>
        </w:tc>
      </w:tr>
      <w:tr w14:paraId="1AF09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vAlign w:val="center"/>
          </w:tcPr>
          <w:p w14:paraId="069405C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1321" w:type="dxa"/>
            <w:vAlign w:val="center"/>
          </w:tcPr>
          <w:p w14:paraId="2E453FC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准时</w:t>
            </w:r>
          </w:p>
        </w:tc>
        <w:tc>
          <w:tcPr>
            <w:tcW w:w="6000" w:type="dxa"/>
            <w:vAlign w:val="center"/>
          </w:tcPr>
          <w:p w14:paraId="529720D1">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服务人员应</w:t>
            </w:r>
            <w:r>
              <w:rPr>
                <w:rFonts w:hint="eastAsia" w:ascii="宋体" w:hAnsi="宋体" w:eastAsia="宋体" w:cs="宋体"/>
                <w:color w:val="auto"/>
                <w:sz w:val="20"/>
                <w:szCs w:val="20"/>
                <w:highlight w:val="none"/>
              </w:rPr>
              <w:t>按照指定的时间和地点完成搬运任务，不迟到、不早退，服从提运员、保管员的安排。</w:t>
            </w:r>
          </w:p>
        </w:tc>
      </w:tr>
      <w:tr w14:paraId="33905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vAlign w:val="center"/>
          </w:tcPr>
          <w:p w14:paraId="3CEE7D1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1321" w:type="dxa"/>
            <w:vAlign w:val="center"/>
          </w:tcPr>
          <w:p w14:paraId="66F8555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安全</w:t>
            </w:r>
          </w:p>
        </w:tc>
        <w:tc>
          <w:tcPr>
            <w:tcW w:w="6000" w:type="dxa"/>
            <w:vAlign w:val="center"/>
          </w:tcPr>
          <w:p w14:paraId="4D0FEC96">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服务人员应在</w:t>
            </w:r>
            <w:r>
              <w:rPr>
                <w:rFonts w:hint="eastAsia" w:ascii="宋体" w:hAnsi="宋体" w:eastAsia="宋体" w:cs="宋体"/>
                <w:color w:val="auto"/>
                <w:sz w:val="20"/>
                <w:szCs w:val="20"/>
                <w:highlight w:val="none"/>
              </w:rPr>
              <w:t>搬运过程中要轻拿轻放，按指定位置把货物堆放整齐，要左右成行、点面成线，一切物品禁止倒放。</w:t>
            </w:r>
            <w:r>
              <w:rPr>
                <w:rFonts w:hint="eastAsia" w:ascii="宋体" w:hAnsi="宋体" w:eastAsia="宋体" w:cs="宋体"/>
                <w:color w:val="auto"/>
                <w:sz w:val="20"/>
                <w:szCs w:val="20"/>
                <w:highlight w:val="none"/>
                <w:lang w:val="en-US" w:eastAsia="zh-CN"/>
              </w:rPr>
              <w:t>应</w:t>
            </w:r>
            <w:r>
              <w:rPr>
                <w:rFonts w:hint="eastAsia" w:ascii="宋体" w:hAnsi="宋体" w:eastAsia="宋体" w:cs="宋体"/>
                <w:color w:val="auto"/>
                <w:sz w:val="20"/>
                <w:szCs w:val="20"/>
                <w:highlight w:val="none"/>
              </w:rPr>
              <w:t>加强装卸自我保护意识，严防装卸事故的发生。</w:t>
            </w:r>
          </w:p>
        </w:tc>
      </w:tr>
      <w:tr w14:paraId="52AC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vAlign w:val="center"/>
          </w:tcPr>
          <w:p w14:paraId="67668C0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1321" w:type="dxa"/>
            <w:vAlign w:val="center"/>
          </w:tcPr>
          <w:p w14:paraId="6A72069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协作</w:t>
            </w:r>
          </w:p>
        </w:tc>
        <w:tc>
          <w:tcPr>
            <w:tcW w:w="6000" w:type="dxa"/>
            <w:vAlign w:val="center"/>
          </w:tcPr>
          <w:p w14:paraId="6FABBE5D">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服务人员应</w:t>
            </w:r>
            <w:r>
              <w:rPr>
                <w:rFonts w:hint="eastAsia" w:ascii="宋体" w:hAnsi="宋体" w:eastAsia="宋体" w:cs="宋体"/>
                <w:color w:val="auto"/>
                <w:sz w:val="20"/>
                <w:szCs w:val="20"/>
                <w:highlight w:val="none"/>
              </w:rPr>
              <w:t>与</w:t>
            </w:r>
            <w:r>
              <w:rPr>
                <w:rFonts w:hint="eastAsia" w:ascii="宋体" w:hAnsi="宋体" w:eastAsia="宋体" w:cs="宋体"/>
                <w:color w:val="auto"/>
                <w:sz w:val="20"/>
                <w:szCs w:val="20"/>
                <w:highlight w:val="none"/>
                <w:lang w:val="en-US" w:eastAsia="zh-CN"/>
              </w:rPr>
              <w:t>采购方管理人</w:t>
            </w:r>
            <w:r>
              <w:rPr>
                <w:rFonts w:hint="eastAsia" w:ascii="宋体" w:hAnsi="宋体" w:eastAsia="宋体" w:cs="宋体"/>
                <w:color w:val="auto"/>
                <w:sz w:val="20"/>
                <w:szCs w:val="20"/>
                <w:highlight w:val="none"/>
              </w:rPr>
              <w:t>员、保管员等相关人员密切配合，服从他们的安排和指挥。</w:t>
            </w:r>
          </w:p>
        </w:tc>
      </w:tr>
      <w:tr w14:paraId="13BBA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vAlign w:val="center"/>
          </w:tcPr>
          <w:p w14:paraId="0A22AE0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1321" w:type="dxa"/>
            <w:vAlign w:val="center"/>
          </w:tcPr>
          <w:p w14:paraId="1FC4891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规范</w:t>
            </w:r>
          </w:p>
        </w:tc>
        <w:tc>
          <w:tcPr>
            <w:tcW w:w="6000" w:type="dxa"/>
            <w:vAlign w:val="center"/>
          </w:tcPr>
          <w:p w14:paraId="6DC97A62">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服务人员应</w:t>
            </w:r>
            <w:r>
              <w:rPr>
                <w:rFonts w:hint="eastAsia" w:ascii="宋体" w:hAnsi="宋体" w:eastAsia="宋体" w:cs="宋体"/>
                <w:color w:val="auto"/>
                <w:sz w:val="20"/>
                <w:szCs w:val="20"/>
                <w:highlight w:val="none"/>
              </w:rPr>
              <w:t>遵守</w:t>
            </w:r>
            <w:r>
              <w:rPr>
                <w:rFonts w:hint="eastAsia" w:ascii="宋体" w:hAnsi="宋体" w:eastAsia="宋体" w:cs="宋体"/>
                <w:color w:val="auto"/>
                <w:sz w:val="20"/>
                <w:szCs w:val="20"/>
                <w:highlight w:val="none"/>
                <w:lang w:val="en-US" w:eastAsia="zh-CN"/>
              </w:rPr>
              <w:t>采购方</w:t>
            </w:r>
            <w:r>
              <w:rPr>
                <w:rFonts w:hint="eastAsia" w:ascii="宋体" w:hAnsi="宋体" w:eastAsia="宋体" w:cs="宋体"/>
                <w:color w:val="auto"/>
                <w:sz w:val="20"/>
                <w:szCs w:val="20"/>
                <w:highlight w:val="none"/>
              </w:rPr>
              <w:t>的各项规章制度和有关规定，确保装卸过程符合规范要求。</w:t>
            </w:r>
          </w:p>
        </w:tc>
      </w:tr>
      <w:tr w14:paraId="11D4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vAlign w:val="center"/>
          </w:tcPr>
          <w:p w14:paraId="27AE742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1321" w:type="dxa"/>
            <w:vAlign w:val="center"/>
          </w:tcPr>
          <w:p w14:paraId="1B0145DA">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责任</w:t>
            </w:r>
          </w:p>
        </w:tc>
        <w:tc>
          <w:tcPr>
            <w:tcW w:w="6000" w:type="dxa"/>
            <w:vAlign w:val="center"/>
          </w:tcPr>
          <w:p w14:paraId="75E7332D">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服务人员应</w:t>
            </w:r>
            <w:r>
              <w:rPr>
                <w:rFonts w:hint="eastAsia" w:ascii="宋体" w:hAnsi="宋体" w:eastAsia="宋体" w:cs="宋体"/>
                <w:color w:val="auto"/>
                <w:sz w:val="20"/>
                <w:szCs w:val="20"/>
                <w:highlight w:val="none"/>
              </w:rPr>
              <w:t>对在装卸过程中人为损坏的物资要负责或赔偿，对在搬运途中</w:t>
            </w:r>
            <w:r>
              <w:rPr>
                <w:rFonts w:hint="eastAsia" w:ascii="宋体" w:hAnsi="宋体" w:eastAsia="宋体" w:cs="宋体"/>
                <w:color w:val="auto"/>
                <w:sz w:val="20"/>
                <w:szCs w:val="20"/>
                <w:highlight w:val="none"/>
                <w:lang w:val="en-US" w:eastAsia="zh-CN"/>
              </w:rPr>
              <w:t>故意</w:t>
            </w:r>
            <w:r>
              <w:rPr>
                <w:rFonts w:hint="eastAsia" w:ascii="宋体" w:hAnsi="宋体" w:eastAsia="宋体" w:cs="宋体"/>
                <w:color w:val="auto"/>
                <w:sz w:val="20"/>
                <w:szCs w:val="20"/>
                <w:highlight w:val="none"/>
              </w:rPr>
              <w:t>损坏财产的行为要追究责任。</w:t>
            </w:r>
          </w:p>
        </w:tc>
      </w:tr>
      <w:tr w14:paraId="73F0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vAlign w:val="center"/>
          </w:tcPr>
          <w:p w14:paraId="53CB0BFC">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1321" w:type="dxa"/>
            <w:vAlign w:val="center"/>
          </w:tcPr>
          <w:p w14:paraId="0B94AAC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保密</w:t>
            </w:r>
          </w:p>
        </w:tc>
        <w:tc>
          <w:tcPr>
            <w:tcW w:w="6000" w:type="dxa"/>
            <w:vAlign w:val="center"/>
          </w:tcPr>
          <w:p w14:paraId="6A5268D6">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服务人员应</w:t>
            </w:r>
            <w:r>
              <w:rPr>
                <w:rFonts w:hint="eastAsia" w:ascii="宋体" w:hAnsi="宋体" w:eastAsia="宋体" w:cs="宋体"/>
                <w:color w:val="auto"/>
                <w:sz w:val="20"/>
                <w:szCs w:val="20"/>
                <w:highlight w:val="none"/>
              </w:rPr>
              <w:t>对</w:t>
            </w:r>
            <w:r>
              <w:rPr>
                <w:rFonts w:hint="eastAsia" w:ascii="宋体" w:hAnsi="宋体" w:eastAsia="宋体" w:cs="宋体"/>
                <w:color w:val="auto"/>
                <w:sz w:val="20"/>
                <w:szCs w:val="20"/>
                <w:highlight w:val="none"/>
                <w:lang w:val="en-US" w:eastAsia="zh-CN"/>
              </w:rPr>
              <w:t>采购方</w:t>
            </w:r>
            <w:r>
              <w:rPr>
                <w:rFonts w:hint="eastAsia" w:ascii="宋体" w:hAnsi="宋体" w:eastAsia="宋体" w:cs="宋体"/>
                <w:color w:val="auto"/>
                <w:sz w:val="20"/>
                <w:szCs w:val="20"/>
                <w:highlight w:val="none"/>
              </w:rPr>
              <w:t>的商业机密和信息保密，不得泄露。</w:t>
            </w:r>
          </w:p>
        </w:tc>
      </w:tr>
      <w:tr w14:paraId="38171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3" w:type="dxa"/>
            <w:vAlign w:val="center"/>
          </w:tcPr>
          <w:p w14:paraId="5D70341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1321" w:type="dxa"/>
            <w:vAlign w:val="center"/>
          </w:tcPr>
          <w:p w14:paraId="6136251C">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其他</w:t>
            </w:r>
          </w:p>
        </w:tc>
        <w:tc>
          <w:tcPr>
            <w:tcW w:w="6000" w:type="dxa"/>
            <w:vAlign w:val="center"/>
          </w:tcPr>
          <w:p w14:paraId="72FDC3A6">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服务人员应</w:t>
            </w:r>
            <w:r>
              <w:rPr>
                <w:rFonts w:hint="eastAsia" w:ascii="宋体" w:hAnsi="宋体" w:eastAsia="宋体" w:cs="宋体"/>
                <w:color w:val="auto"/>
                <w:sz w:val="20"/>
                <w:szCs w:val="20"/>
                <w:highlight w:val="none"/>
              </w:rPr>
              <w:t>有较强的工作责任感、能与同事合作并能服从安排等。</w:t>
            </w:r>
          </w:p>
        </w:tc>
      </w:tr>
    </w:tbl>
    <w:p w14:paraId="04D59AE4">
      <w:pPr>
        <w:bidi w:val="0"/>
        <w:rPr>
          <w:rFonts w:hint="eastAsia" w:ascii="宋体" w:hAnsi="宋体" w:eastAsia="宋体" w:cs="宋体"/>
          <w:b/>
          <w:bCs/>
          <w:highlight w:val="none"/>
          <w:lang w:val="en-US" w:eastAsia="zh-CN"/>
        </w:rPr>
      </w:pPr>
    </w:p>
    <w:p w14:paraId="5B1E3BC1">
      <w:pPr>
        <w:bidi w:val="0"/>
        <w:ind w:firstLine="201" w:firstLineChars="100"/>
        <w:rPr>
          <w:rFonts w:hint="eastAsia" w:ascii="宋体" w:hAnsi="宋体" w:eastAsia="宋体" w:cs="宋体"/>
          <w:b/>
          <w:bCs/>
          <w:highlight w:val="none"/>
        </w:rPr>
      </w:pPr>
      <w:r>
        <w:rPr>
          <w:rFonts w:hint="eastAsia" w:ascii="宋体" w:hAnsi="宋体" w:eastAsia="宋体" w:cs="宋体"/>
          <w:b/>
          <w:bCs/>
          <w:highlight w:val="none"/>
          <w:lang w:val="en-US" w:eastAsia="zh-CN"/>
        </w:rPr>
        <w:t>3.</w:t>
      </w:r>
      <w:r>
        <w:rPr>
          <w:rFonts w:hint="eastAsia" w:ascii="宋体" w:hAnsi="宋体" w:eastAsia="宋体" w:cs="宋体"/>
          <w:b/>
          <w:bCs/>
          <w:highlight w:val="none"/>
        </w:rPr>
        <w:t>服务履约考核</w:t>
      </w:r>
      <w:bookmarkEnd w:id="197"/>
      <w:bookmarkEnd w:id="198"/>
    </w:p>
    <w:p w14:paraId="4A092D06">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采购方</w:t>
      </w:r>
      <w:r>
        <w:rPr>
          <w:rFonts w:hint="eastAsia" w:ascii="宋体" w:hAnsi="宋体" w:eastAsia="宋体" w:cs="宋体"/>
          <w:color w:val="auto"/>
          <w:sz w:val="20"/>
          <w:szCs w:val="20"/>
          <w:highlight w:val="none"/>
          <w:lang w:val="en-US" w:eastAsia="zh-CN"/>
        </w:rPr>
        <w:t>每月</w:t>
      </w:r>
      <w:r>
        <w:rPr>
          <w:rFonts w:hint="eastAsia" w:ascii="宋体" w:hAnsi="宋体" w:eastAsia="宋体" w:cs="宋体"/>
          <w:color w:val="auto"/>
          <w:sz w:val="20"/>
          <w:szCs w:val="20"/>
          <w:highlight w:val="none"/>
        </w:rPr>
        <w:t>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r>
        <w:rPr>
          <w:rFonts w:hint="eastAsia" w:ascii="宋体" w:hAnsi="宋体" w:eastAsia="宋体" w:cs="宋体"/>
          <w:color w:val="auto"/>
          <w:sz w:val="20"/>
          <w:szCs w:val="20"/>
          <w:highlight w:val="none"/>
        </w:rPr>
        <w:t>。</w:t>
      </w:r>
    </w:p>
    <w:p w14:paraId="1C7CBF75">
      <w:pPr>
        <w:keepNext w:val="0"/>
        <w:keepLines w:val="0"/>
        <w:pageBreakBefore w:val="0"/>
        <w:widowControl w:val="0"/>
        <w:kinsoku/>
        <w:wordWrap/>
        <w:overflowPunct/>
        <w:topLinePunct w:val="0"/>
        <w:autoSpaceDE/>
        <w:autoSpaceDN/>
        <w:bidi w:val="0"/>
        <w:adjustRightInd/>
        <w:snapToGrid/>
        <w:spacing w:line="560" w:lineRule="exact"/>
        <w:ind w:firstLine="402" w:firstLineChars="200"/>
        <w:contextualSpacing/>
        <w:jc w:val="left"/>
        <w:textAlignment w:val="auto"/>
        <w:rPr>
          <w:rFonts w:hint="default" w:ascii="宋体" w:hAnsi="宋体" w:eastAsia="宋体" w:cs="宋体"/>
          <w:b/>
          <w:bCs w:val="0"/>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3.1</w:t>
      </w:r>
      <w:r>
        <w:rPr>
          <w:rFonts w:hint="eastAsia" w:ascii="宋体" w:hAnsi="宋体" w:eastAsia="宋体" w:cs="宋体"/>
          <w:b/>
          <w:bCs w:val="0"/>
          <w:color w:val="auto"/>
          <w:sz w:val="20"/>
          <w:szCs w:val="20"/>
          <w:highlight w:val="none"/>
          <w:lang w:val="en-US" w:eastAsia="zh-CN"/>
        </w:rPr>
        <w:t>服务履约考核表</w:t>
      </w:r>
    </w:p>
    <w:tbl>
      <w:tblPr>
        <w:tblStyle w:val="15"/>
        <w:tblW w:w="10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3313"/>
        <w:gridCol w:w="735"/>
        <w:gridCol w:w="2839"/>
        <w:gridCol w:w="1065"/>
        <w:gridCol w:w="750"/>
        <w:gridCol w:w="779"/>
      </w:tblGrid>
      <w:tr w14:paraId="5CC12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2" w:type="dxa"/>
            <w:tcBorders>
              <w:top w:val="single" w:color="auto" w:sz="4" w:space="0"/>
              <w:left w:val="single" w:color="auto" w:sz="4" w:space="0"/>
              <w:bottom w:val="single" w:color="auto" w:sz="4" w:space="0"/>
              <w:right w:val="single" w:color="auto" w:sz="4" w:space="0"/>
            </w:tcBorders>
            <w:noWrap w:val="0"/>
            <w:vAlign w:val="center"/>
          </w:tcPr>
          <w:p w14:paraId="71FEACB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3313" w:type="dxa"/>
            <w:tcBorders>
              <w:top w:val="single" w:color="auto" w:sz="4" w:space="0"/>
              <w:left w:val="nil"/>
              <w:bottom w:val="single" w:color="auto" w:sz="4" w:space="0"/>
              <w:right w:val="single" w:color="auto" w:sz="4" w:space="0"/>
            </w:tcBorders>
            <w:noWrap w:val="0"/>
            <w:vAlign w:val="center"/>
          </w:tcPr>
          <w:p w14:paraId="4986625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735" w:type="dxa"/>
            <w:tcBorders>
              <w:top w:val="single" w:color="auto" w:sz="4" w:space="0"/>
              <w:left w:val="nil"/>
              <w:bottom w:val="single" w:color="auto" w:sz="4" w:space="0"/>
              <w:right w:val="single" w:color="auto" w:sz="4" w:space="0"/>
            </w:tcBorders>
            <w:noWrap w:val="0"/>
            <w:vAlign w:val="center"/>
          </w:tcPr>
          <w:p w14:paraId="06DBF92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839" w:type="dxa"/>
            <w:tcBorders>
              <w:top w:val="single" w:color="auto" w:sz="4" w:space="0"/>
              <w:left w:val="nil"/>
              <w:bottom w:val="single" w:color="auto" w:sz="4" w:space="0"/>
              <w:right w:val="single" w:color="auto" w:sz="4" w:space="0"/>
            </w:tcBorders>
            <w:noWrap w:val="0"/>
            <w:vAlign w:val="center"/>
          </w:tcPr>
          <w:p w14:paraId="7EB8518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065" w:type="dxa"/>
            <w:tcBorders>
              <w:top w:val="single" w:color="auto" w:sz="4" w:space="0"/>
              <w:left w:val="nil"/>
              <w:bottom w:val="single" w:color="auto" w:sz="4" w:space="0"/>
              <w:right w:val="single" w:color="auto" w:sz="4" w:space="0"/>
            </w:tcBorders>
            <w:noWrap w:val="0"/>
            <w:vAlign w:val="center"/>
          </w:tcPr>
          <w:p w14:paraId="3D6C4653">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扣分标准</w:t>
            </w:r>
          </w:p>
        </w:tc>
        <w:tc>
          <w:tcPr>
            <w:tcW w:w="750" w:type="dxa"/>
            <w:tcBorders>
              <w:top w:val="single" w:color="auto" w:sz="4" w:space="0"/>
              <w:left w:val="nil"/>
              <w:bottom w:val="single" w:color="auto" w:sz="4" w:space="0"/>
              <w:right w:val="single" w:color="auto" w:sz="4" w:space="0"/>
            </w:tcBorders>
            <w:noWrap w:val="0"/>
            <w:vAlign w:val="center"/>
          </w:tcPr>
          <w:p w14:paraId="5B7DEC4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67A6F32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779" w:type="dxa"/>
            <w:tcBorders>
              <w:top w:val="single" w:color="auto" w:sz="4" w:space="0"/>
              <w:left w:val="nil"/>
              <w:bottom w:val="single" w:color="auto" w:sz="4" w:space="0"/>
              <w:right w:val="single" w:color="auto" w:sz="4" w:space="0"/>
            </w:tcBorders>
            <w:noWrap w:val="0"/>
            <w:vAlign w:val="center"/>
          </w:tcPr>
          <w:p w14:paraId="54CD0B8D">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695D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tcBorders>
              <w:top w:val="single" w:color="auto" w:sz="4" w:space="0"/>
              <w:left w:val="single" w:color="auto" w:sz="4" w:space="0"/>
              <w:right w:val="single" w:color="auto" w:sz="4" w:space="0"/>
            </w:tcBorders>
            <w:noWrap w:val="0"/>
            <w:vAlign w:val="center"/>
          </w:tcPr>
          <w:p w14:paraId="16F3491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3313" w:type="dxa"/>
            <w:tcBorders>
              <w:top w:val="single" w:color="auto" w:sz="4" w:space="0"/>
              <w:left w:val="nil"/>
              <w:right w:val="single" w:color="auto" w:sz="4" w:space="0"/>
            </w:tcBorders>
            <w:noWrap w:val="0"/>
            <w:vAlign w:val="center"/>
          </w:tcPr>
          <w:p w14:paraId="4156D986">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面带微笑，热情服务</w:t>
            </w:r>
            <w:r>
              <w:rPr>
                <w:rFonts w:hint="eastAsia" w:ascii="宋体" w:hAnsi="宋体" w:eastAsia="宋体" w:cs="宋体"/>
                <w:b w:val="0"/>
                <w:bCs w:val="0"/>
                <w:color w:val="auto"/>
                <w:sz w:val="20"/>
                <w:szCs w:val="20"/>
                <w:highlight w:val="none"/>
                <w:lang w:eastAsia="zh-CN"/>
              </w:rPr>
              <w:t>。</w:t>
            </w:r>
          </w:p>
        </w:tc>
        <w:tc>
          <w:tcPr>
            <w:tcW w:w="735" w:type="dxa"/>
            <w:tcBorders>
              <w:top w:val="single" w:color="auto" w:sz="4" w:space="0"/>
              <w:left w:val="nil"/>
              <w:right w:val="single" w:color="auto" w:sz="4" w:space="0"/>
            </w:tcBorders>
            <w:noWrap w:val="0"/>
            <w:vAlign w:val="center"/>
          </w:tcPr>
          <w:p w14:paraId="1B69B15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top w:val="single" w:color="auto" w:sz="4" w:space="0"/>
              <w:left w:val="nil"/>
              <w:bottom w:val="single" w:color="auto" w:sz="4" w:space="0"/>
              <w:right w:val="single" w:color="auto" w:sz="4" w:space="0"/>
            </w:tcBorders>
            <w:noWrap w:val="0"/>
            <w:vAlign w:val="center"/>
          </w:tcPr>
          <w:p w14:paraId="7E6DE36F">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lang w:val="en-US" w:eastAsia="zh-CN"/>
              </w:rPr>
              <w:t>搬运时，态度恶劣，服务不到位被投诉。</w:t>
            </w:r>
          </w:p>
        </w:tc>
        <w:tc>
          <w:tcPr>
            <w:tcW w:w="1065" w:type="dxa"/>
            <w:tcBorders>
              <w:top w:val="single" w:color="auto" w:sz="4" w:space="0"/>
              <w:left w:val="nil"/>
              <w:bottom w:val="single" w:color="auto" w:sz="4" w:space="0"/>
              <w:right w:val="single" w:color="auto" w:sz="4" w:space="0"/>
            </w:tcBorders>
            <w:noWrap w:val="0"/>
            <w:vAlign w:val="center"/>
          </w:tcPr>
          <w:p w14:paraId="753D06B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-1分/次</w:t>
            </w:r>
          </w:p>
        </w:tc>
        <w:tc>
          <w:tcPr>
            <w:tcW w:w="750" w:type="dxa"/>
            <w:tcBorders>
              <w:top w:val="single" w:color="auto" w:sz="4" w:space="0"/>
              <w:left w:val="nil"/>
              <w:bottom w:val="single" w:color="auto" w:sz="4" w:space="0"/>
              <w:right w:val="single" w:color="auto" w:sz="4" w:space="0"/>
            </w:tcBorders>
            <w:noWrap w:val="0"/>
            <w:vAlign w:val="top"/>
          </w:tcPr>
          <w:p w14:paraId="6C78694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37B619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2081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tcBorders>
              <w:left w:val="single" w:color="auto" w:sz="4" w:space="0"/>
              <w:right w:val="single" w:color="auto" w:sz="4" w:space="0"/>
            </w:tcBorders>
            <w:noWrap w:val="0"/>
            <w:vAlign w:val="center"/>
          </w:tcPr>
          <w:p w14:paraId="5BF8892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3313" w:type="dxa"/>
            <w:tcBorders>
              <w:left w:val="nil"/>
              <w:right w:val="single" w:color="auto" w:sz="4" w:space="0"/>
            </w:tcBorders>
            <w:noWrap w:val="0"/>
            <w:vAlign w:val="center"/>
          </w:tcPr>
          <w:p w14:paraId="23F5C8DB">
            <w:pP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在规定时间内将货物送达目的地。</w:t>
            </w:r>
          </w:p>
        </w:tc>
        <w:tc>
          <w:tcPr>
            <w:tcW w:w="735" w:type="dxa"/>
            <w:tcBorders>
              <w:left w:val="nil"/>
              <w:right w:val="single" w:color="auto" w:sz="4" w:space="0"/>
            </w:tcBorders>
            <w:noWrap w:val="0"/>
            <w:vAlign w:val="center"/>
          </w:tcPr>
          <w:p w14:paraId="1500592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top w:val="single" w:color="auto" w:sz="4" w:space="0"/>
              <w:left w:val="nil"/>
              <w:right w:val="single" w:color="auto" w:sz="4" w:space="0"/>
            </w:tcBorders>
            <w:noWrap w:val="0"/>
            <w:vAlign w:val="center"/>
          </w:tcPr>
          <w:p w14:paraId="389EF034">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无故超时送达。</w:t>
            </w:r>
          </w:p>
        </w:tc>
        <w:tc>
          <w:tcPr>
            <w:tcW w:w="1065" w:type="dxa"/>
            <w:tcBorders>
              <w:top w:val="single" w:color="auto" w:sz="4" w:space="0"/>
              <w:left w:val="nil"/>
              <w:bottom w:val="single" w:color="auto" w:sz="4" w:space="0"/>
              <w:right w:val="single" w:color="auto" w:sz="4" w:space="0"/>
            </w:tcBorders>
            <w:noWrap w:val="0"/>
            <w:vAlign w:val="center"/>
          </w:tcPr>
          <w:p w14:paraId="15E973C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en-US" w:eastAsia="zh-CN"/>
              </w:rPr>
              <w:t>-1分/次</w:t>
            </w:r>
          </w:p>
        </w:tc>
        <w:tc>
          <w:tcPr>
            <w:tcW w:w="750" w:type="dxa"/>
            <w:tcBorders>
              <w:top w:val="single" w:color="auto" w:sz="4" w:space="0"/>
              <w:left w:val="nil"/>
              <w:bottom w:val="single" w:color="auto" w:sz="4" w:space="0"/>
              <w:right w:val="single" w:color="auto" w:sz="4" w:space="0"/>
            </w:tcBorders>
            <w:noWrap w:val="0"/>
            <w:vAlign w:val="top"/>
          </w:tcPr>
          <w:p w14:paraId="7752EEE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7ECBCC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3AE7D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tcBorders>
              <w:left w:val="single" w:color="auto" w:sz="4" w:space="0"/>
              <w:right w:val="single" w:color="auto" w:sz="4" w:space="0"/>
            </w:tcBorders>
            <w:noWrap w:val="0"/>
            <w:vAlign w:val="center"/>
          </w:tcPr>
          <w:p w14:paraId="240BD60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3313" w:type="dxa"/>
            <w:tcBorders>
              <w:left w:val="nil"/>
              <w:right w:val="single" w:color="auto" w:sz="4" w:space="0"/>
            </w:tcBorders>
            <w:noWrap w:val="0"/>
            <w:vAlign w:val="center"/>
          </w:tcPr>
          <w:p w14:paraId="666E677D">
            <w:pP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en-US" w:eastAsia="zh-CN"/>
              </w:rPr>
              <w:t>送达货物数量无缺失、状态完好无破损。</w:t>
            </w:r>
          </w:p>
        </w:tc>
        <w:tc>
          <w:tcPr>
            <w:tcW w:w="735" w:type="dxa"/>
            <w:tcBorders>
              <w:left w:val="nil"/>
              <w:right w:val="single" w:color="auto" w:sz="4" w:space="0"/>
            </w:tcBorders>
            <w:noWrap w:val="0"/>
            <w:vAlign w:val="center"/>
          </w:tcPr>
          <w:p w14:paraId="3CB9C65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left w:val="nil"/>
              <w:right w:val="single" w:color="auto" w:sz="4" w:space="0"/>
            </w:tcBorders>
            <w:noWrap w:val="0"/>
            <w:vAlign w:val="center"/>
          </w:tcPr>
          <w:p w14:paraId="38DCFBCE">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送达的货物有缺失或无法修复的破损。</w:t>
            </w:r>
          </w:p>
        </w:tc>
        <w:tc>
          <w:tcPr>
            <w:tcW w:w="1065" w:type="dxa"/>
            <w:tcBorders>
              <w:top w:val="single" w:color="auto" w:sz="4" w:space="0"/>
              <w:left w:val="nil"/>
              <w:bottom w:val="single" w:color="auto" w:sz="4" w:space="0"/>
              <w:right w:val="single" w:color="auto" w:sz="4" w:space="0"/>
            </w:tcBorders>
            <w:noWrap w:val="0"/>
            <w:vAlign w:val="center"/>
          </w:tcPr>
          <w:p w14:paraId="18064D4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en-US" w:eastAsia="zh-CN"/>
              </w:rPr>
              <w:t>-3分/次</w:t>
            </w:r>
          </w:p>
        </w:tc>
        <w:tc>
          <w:tcPr>
            <w:tcW w:w="750" w:type="dxa"/>
            <w:tcBorders>
              <w:top w:val="single" w:color="auto" w:sz="4" w:space="0"/>
              <w:left w:val="nil"/>
              <w:bottom w:val="single" w:color="auto" w:sz="4" w:space="0"/>
              <w:right w:val="single" w:color="auto" w:sz="4" w:space="0"/>
            </w:tcBorders>
            <w:noWrap w:val="0"/>
            <w:vAlign w:val="top"/>
          </w:tcPr>
          <w:p w14:paraId="507477D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198A192C">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22A9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tcBorders>
              <w:left w:val="single" w:color="auto" w:sz="4" w:space="0"/>
              <w:right w:val="single" w:color="auto" w:sz="4" w:space="0"/>
            </w:tcBorders>
            <w:noWrap w:val="0"/>
            <w:vAlign w:val="center"/>
          </w:tcPr>
          <w:p w14:paraId="7B4FDD2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3313" w:type="dxa"/>
            <w:tcBorders>
              <w:left w:val="nil"/>
              <w:right w:val="single" w:color="auto" w:sz="4" w:space="0"/>
            </w:tcBorders>
            <w:noWrap w:val="0"/>
            <w:vAlign w:val="center"/>
          </w:tcPr>
          <w:p w14:paraId="79AA44FC">
            <w:pP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配合</w:t>
            </w:r>
            <w:r>
              <w:rPr>
                <w:rFonts w:hint="eastAsia" w:ascii="宋体" w:hAnsi="宋体" w:cs="宋体"/>
                <w:b w:val="0"/>
                <w:bCs w:val="0"/>
                <w:color w:val="auto"/>
                <w:sz w:val="20"/>
                <w:szCs w:val="20"/>
                <w:highlight w:val="none"/>
                <w:lang w:val="en-US" w:eastAsia="zh-CN"/>
              </w:rPr>
              <w:t>采购方</w:t>
            </w:r>
            <w:r>
              <w:rPr>
                <w:rFonts w:hint="eastAsia" w:ascii="宋体" w:hAnsi="宋体" w:eastAsia="宋体" w:cs="宋体"/>
                <w:b w:val="0"/>
                <w:bCs w:val="0"/>
                <w:color w:val="auto"/>
                <w:sz w:val="20"/>
                <w:szCs w:val="20"/>
                <w:highlight w:val="none"/>
                <w:lang w:val="en-US" w:eastAsia="zh-CN"/>
              </w:rPr>
              <w:t>做好搬运物资的拆装。</w:t>
            </w:r>
          </w:p>
        </w:tc>
        <w:tc>
          <w:tcPr>
            <w:tcW w:w="735" w:type="dxa"/>
            <w:tcBorders>
              <w:left w:val="nil"/>
              <w:right w:val="single" w:color="auto" w:sz="4" w:space="0"/>
            </w:tcBorders>
            <w:noWrap w:val="0"/>
            <w:vAlign w:val="center"/>
          </w:tcPr>
          <w:p w14:paraId="0BF1C88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left w:val="nil"/>
              <w:bottom w:val="single" w:color="auto" w:sz="4" w:space="0"/>
              <w:right w:val="single" w:color="auto" w:sz="4" w:space="0"/>
            </w:tcBorders>
            <w:noWrap w:val="0"/>
            <w:vAlign w:val="center"/>
          </w:tcPr>
          <w:p w14:paraId="311D8B8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不配合做好物资的拆装。</w:t>
            </w:r>
          </w:p>
        </w:tc>
        <w:tc>
          <w:tcPr>
            <w:tcW w:w="1065" w:type="dxa"/>
            <w:tcBorders>
              <w:top w:val="single" w:color="auto" w:sz="4" w:space="0"/>
              <w:left w:val="nil"/>
              <w:bottom w:val="single" w:color="auto" w:sz="4" w:space="0"/>
              <w:right w:val="single" w:color="auto" w:sz="4" w:space="0"/>
            </w:tcBorders>
            <w:noWrap w:val="0"/>
            <w:vAlign w:val="center"/>
          </w:tcPr>
          <w:p w14:paraId="60FCED1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en-US" w:eastAsia="zh-CN"/>
              </w:rPr>
              <w:t>-1分/次</w:t>
            </w:r>
          </w:p>
        </w:tc>
        <w:tc>
          <w:tcPr>
            <w:tcW w:w="750" w:type="dxa"/>
            <w:tcBorders>
              <w:top w:val="single" w:color="auto" w:sz="4" w:space="0"/>
              <w:left w:val="nil"/>
              <w:bottom w:val="single" w:color="auto" w:sz="4" w:space="0"/>
              <w:right w:val="single" w:color="auto" w:sz="4" w:space="0"/>
            </w:tcBorders>
            <w:noWrap w:val="0"/>
            <w:vAlign w:val="top"/>
          </w:tcPr>
          <w:p w14:paraId="7EC8130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6A3410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50F03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tcBorders>
              <w:left w:val="single" w:color="auto" w:sz="4" w:space="0"/>
              <w:right w:val="single" w:color="auto" w:sz="4" w:space="0"/>
            </w:tcBorders>
            <w:noWrap w:val="0"/>
            <w:vAlign w:val="center"/>
          </w:tcPr>
          <w:p w14:paraId="7B3AABD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5</w:t>
            </w:r>
          </w:p>
        </w:tc>
        <w:tc>
          <w:tcPr>
            <w:tcW w:w="3313" w:type="dxa"/>
            <w:tcBorders>
              <w:left w:val="nil"/>
              <w:right w:val="single" w:color="auto" w:sz="4" w:space="0"/>
            </w:tcBorders>
            <w:noWrap w:val="0"/>
            <w:vAlign w:val="center"/>
          </w:tcPr>
          <w:p w14:paraId="30A7C870">
            <w:pP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搬运结束后做好现场清理事宜。</w:t>
            </w:r>
          </w:p>
        </w:tc>
        <w:tc>
          <w:tcPr>
            <w:tcW w:w="735" w:type="dxa"/>
            <w:tcBorders>
              <w:left w:val="nil"/>
              <w:right w:val="single" w:color="auto" w:sz="4" w:space="0"/>
            </w:tcBorders>
            <w:noWrap w:val="0"/>
            <w:vAlign w:val="center"/>
          </w:tcPr>
          <w:p w14:paraId="5B0B307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top w:val="single" w:color="auto" w:sz="4" w:space="0"/>
              <w:left w:val="nil"/>
              <w:bottom w:val="single" w:color="auto" w:sz="4" w:space="0"/>
              <w:right w:val="single" w:color="auto" w:sz="4" w:space="0"/>
            </w:tcBorders>
            <w:noWrap w:val="0"/>
            <w:vAlign w:val="center"/>
          </w:tcPr>
          <w:p w14:paraId="3E26611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不做好现场清理。</w:t>
            </w:r>
          </w:p>
        </w:tc>
        <w:tc>
          <w:tcPr>
            <w:tcW w:w="1065" w:type="dxa"/>
            <w:tcBorders>
              <w:top w:val="single" w:color="auto" w:sz="4" w:space="0"/>
              <w:left w:val="nil"/>
              <w:bottom w:val="single" w:color="auto" w:sz="4" w:space="0"/>
              <w:right w:val="single" w:color="auto" w:sz="4" w:space="0"/>
            </w:tcBorders>
            <w:noWrap w:val="0"/>
            <w:vAlign w:val="center"/>
          </w:tcPr>
          <w:p w14:paraId="3992EE6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-1分/次</w:t>
            </w:r>
          </w:p>
        </w:tc>
        <w:tc>
          <w:tcPr>
            <w:tcW w:w="750" w:type="dxa"/>
            <w:tcBorders>
              <w:top w:val="single" w:color="auto" w:sz="4" w:space="0"/>
              <w:left w:val="nil"/>
              <w:bottom w:val="single" w:color="auto" w:sz="4" w:space="0"/>
              <w:right w:val="single" w:color="auto" w:sz="4" w:space="0"/>
            </w:tcBorders>
            <w:noWrap w:val="0"/>
            <w:vAlign w:val="top"/>
          </w:tcPr>
          <w:p w14:paraId="59802A9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B8695C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052F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tcBorders>
              <w:left w:val="single" w:color="auto" w:sz="4" w:space="0"/>
              <w:right w:val="single" w:color="auto" w:sz="4" w:space="0"/>
            </w:tcBorders>
            <w:noWrap w:val="0"/>
            <w:vAlign w:val="center"/>
          </w:tcPr>
          <w:p w14:paraId="09A7B11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6</w:t>
            </w:r>
          </w:p>
        </w:tc>
        <w:tc>
          <w:tcPr>
            <w:tcW w:w="3313" w:type="dxa"/>
            <w:tcBorders>
              <w:left w:val="nil"/>
              <w:right w:val="single" w:color="auto" w:sz="4" w:space="0"/>
            </w:tcBorders>
            <w:noWrap w:val="0"/>
            <w:vAlign w:val="center"/>
          </w:tcPr>
          <w:p w14:paraId="4E47C376">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按</w:t>
            </w:r>
            <w:r>
              <w:rPr>
                <w:rFonts w:hint="eastAsia" w:ascii="宋体" w:hAnsi="宋体" w:cs="宋体"/>
                <w:b w:val="0"/>
                <w:bCs w:val="0"/>
                <w:color w:val="auto"/>
                <w:kern w:val="2"/>
                <w:sz w:val="20"/>
                <w:szCs w:val="20"/>
                <w:highlight w:val="none"/>
                <w:lang w:val="en-US" w:eastAsia="zh-CN" w:bidi="ar-SA"/>
              </w:rPr>
              <w:t>采购方</w:t>
            </w:r>
            <w:r>
              <w:rPr>
                <w:rFonts w:hint="eastAsia" w:ascii="宋体" w:hAnsi="宋体" w:eastAsia="宋体" w:cs="宋体"/>
                <w:b w:val="0"/>
                <w:bCs w:val="0"/>
                <w:color w:val="auto"/>
                <w:kern w:val="2"/>
                <w:sz w:val="20"/>
                <w:szCs w:val="20"/>
                <w:highlight w:val="none"/>
                <w:lang w:val="en-US" w:eastAsia="zh-CN" w:bidi="ar-SA"/>
              </w:rPr>
              <w:t>要求做好搬运物资的摆放工作。</w:t>
            </w:r>
          </w:p>
        </w:tc>
        <w:tc>
          <w:tcPr>
            <w:tcW w:w="735" w:type="dxa"/>
            <w:tcBorders>
              <w:left w:val="nil"/>
              <w:right w:val="single" w:color="auto" w:sz="4" w:space="0"/>
            </w:tcBorders>
            <w:noWrap w:val="0"/>
            <w:vAlign w:val="center"/>
          </w:tcPr>
          <w:p w14:paraId="2B6F927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top w:val="single" w:color="auto" w:sz="4" w:space="0"/>
              <w:left w:val="nil"/>
              <w:bottom w:val="single" w:color="auto" w:sz="4" w:space="0"/>
              <w:right w:val="single" w:color="auto" w:sz="4" w:space="0"/>
            </w:tcBorders>
            <w:noWrap w:val="0"/>
            <w:vAlign w:val="center"/>
          </w:tcPr>
          <w:p w14:paraId="3031EB9C">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乱摆乱放搬运物资，经</w:t>
            </w:r>
            <w:r>
              <w:rPr>
                <w:rFonts w:hint="eastAsia" w:ascii="宋体" w:hAnsi="宋体" w:cs="宋体"/>
                <w:b w:val="0"/>
                <w:bCs w:val="0"/>
                <w:color w:val="auto"/>
                <w:sz w:val="20"/>
                <w:szCs w:val="20"/>
                <w:highlight w:val="none"/>
                <w:u w:val="none"/>
                <w:lang w:val="en-US" w:eastAsia="zh-CN"/>
              </w:rPr>
              <w:t>采购方</w:t>
            </w:r>
            <w:r>
              <w:rPr>
                <w:rFonts w:hint="eastAsia" w:ascii="宋体" w:hAnsi="宋体" w:eastAsia="宋体" w:cs="宋体"/>
                <w:b w:val="0"/>
                <w:bCs w:val="0"/>
                <w:color w:val="auto"/>
                <w:sz w:val="20"/>
                <w:szCs w:val="20"/>
                <w:highlight w:val="none"/>
                <w:u w:val="none"/>
                <w:lang w:val="en-US" w:eastAsia="zh-CN"/>
              </w:rPr>
              <w:t>当场催告整改后仍不履行。</w:t>
            </w:r>
          </w:p>
        </w:tc>
        <w:tc>
          <w:tcPr>
            <w:tcW w:w="1065" w:type="dxa"/>
            <w:tcBorders>
              <w:top w:val="single" w:color="auto" w:sz="4" w:space="0"/>
              <w:left w:val="nil"/>
              <w:bottom w:val="single" w:color="auto" w:sz="4" w:space="0"/>
              <w:right w:val="single" w:color="auto" w:sz="4" w:space="0"/>
            </w:tcBorders>
            <w:noWrap w:val="0"/>
            <w:vAlign w:val="center"/>
          </w:tcPr>
          <w:p w14:paraId="3ADC32E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-2分/次</w:t>
            </w:r>
          </w:p>
        </w:tc>
        <w:tc>
          <w:tcPr>
            <w:tcW w:w="750" w:type="dxa"/>
            <w:tcBorders>
              <w:top w:val="single" w:color="auto" w:sz="4" w:space="0"/>
              <w:left w:val="nil"/>
              <w:bottom w:val="single" w:color="auto" w:sz="4" w:space="0"/>
              <w:right w:val="single" w:color="auto" w:sz="4" w:space="0"/>
            </w:tcBorders>
            <w:noWrap w:val="0"/>
            <w:vAlign w:val="top"/>
          </w:tcPr>
          <w:p w14:paraId="2000585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8D59F76">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1FD08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tcBorders>
              <w:left w:val="single" w:color="auto" w:sz="4" w:space="0"/>
              <w:right w:val="single" w:color="auto" w:sz="4" w:space="0"/>
            </w:tcBorders>
            <w:noWrap w:val="0"/>
            <w:vAlign w:val="center"/>
          </w:tcPr>
          <w:p w14:paraId="4877EF3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7</w:t>
            </w:r>
          </w:p>
        </w:tc>
        <w:tc>
          <w:tcPr>
            <w:tcW w:w="3313" w:type="dxa"/>
            <w:tcBorders>
              <w:left w:val="nil"/>
              <w:right w:val="single" w:color="auto" w:sz="4" w:space="0"/>
            </w:tcBorders>
            <w:noWrap w:val="0"/>
            <w:vAlign w:val="center"/>
          </w:tcPr>
          <w:p w14:paraId="199F8C78">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搬运的物资送达准确的目的地。</w:t>
            </w:r>
          </w:p>
        </w:tc>
        <w:tc>
          <w:tcPr>
            <w:tcW w:w="735" w:type="dxa"/>
            <w:tcBorders>
              <w:left w:val="nil"/>
              <w:right w:val="single" w:color="auto" w:sz="4" w:space="0"/>
            </w:tcBorders>
            <w:noWrap w:val="0"/>
            <w:vAlign w:val="center"/>
          </w:tcPr>
          <w:p w14:paraId="03DAF3E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top w:val="single" w:color="auto" w:sz="4" w:space="0"/>
              <w:left w:val="nil"/>
              <w:bottom w:val="single" w:color="auto" w:sz="4" w:space="0"/>
              <w:right w:val="single" w:color="auto" w:sz="4" w:space="0"/>
            </w:tcBorders>
            <w:noWrap w:val="0"/>
            <w:vAlign w:val="center"/>
          </w:tcPr>
          <w:p w14:paraId="0AB91C6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kern w:val="2"/>
                <w:sz w:val="20"/>
                <w:szCs w:val="20"/>
                <w:highlight w:val="none"/>
                <w:lang w:val="en-US" w:eastAsia="zh-CN" w:bidi="ar-SA"/>
              </w:rPr>
              <w:t>因</w:t>
            </w:r>
            <w:r>
              <w:rPr>
                <w:rFonts w:hint="eastAsia" w:ascii="宋体" w:hAnsi="宋体" w:cs="宋体"/>
                <w:b w:val="0"/>
                <w:bCs w:val="0"/>
                <w:color w:val="auto"/>
                <w:kern w:val="2"/>
                <w:sz w:val="20"/>
                <w:szCs w:val="20"/>
                <w:highlight w:val="none"/>
                <w:lang w:val="en-US" w:eastAsia="zh-CN" w:bidi="ar-SA"/>
              </w:rPr>
              <w:t>服务商</w:t>
            </w:r>
            <w:r>
              <w:rPr>
                <w:rFonts w:hint="eastAsia" w:ascii="宋体" w:hAnsi="宋体" w:eastAsia="宋体" w:cs="宋体"/>
                <w:b w:val="0"/>
                <w:bCs w:val="0"/>
                <w:color w:val="auto"/>
                <w:kern w:val="2"/>
                <w:sz w:val="20"/>
                <w:szCs w:val="20"/>
                <w:highlight w:val="none"/>
                <w:lang w:val="en-US" w:eastAsia="zh-CN" w:bidi="ar-SA"/>
              </w:rPr>
              <w:t>自身原因导致搬运的物资送错地址，影响</w:t>
            </w:r>
            <w:r>
              <w:rPr>
                <w:rFonts w:hint="eastAsia" w:ascii="宋体" w:hAnsi="宋体" w:cs="宋体"/>
                <w:b w:val="0"/>
                <w:bCs w:val="0"/>
                <w:color w:val="auto"/>
                <w:kern w:val="2"/>
                <w:sz w:val="20"/>
                <w:szCs w:val="20"/>
                <w:highlight w:val="none"/>
                <w:lang w:val="en-US" w:eastAsia="zh-CN" w:bidi="ar-SA"/>
              </w:rPr>
              <w:t>采购方</w:t>
            </w:r>
            <w:r>
              <w:rPr>
                <w:rFonts w:hint="eastAsia" w:ascii="宋体" w:hAnsi="宋体" w:eastAsia="宋体" w:cs="宋体"/>
                <w:b w:val="0"/>
                <w:bCs w:val="0"/>
                <w:color w:val="auto"/>
                <w:kern w:val="2"/>
                <w:sz w:val="20"/>
                <w:szCs w:val="20"/>
                <w:highlight w:val="none"/>
                <w:lang w:val="en-US" w:eastAsia="zh-CN" w:bidi="ar-SA"/>
              </w:rPr>
              <w:t>正常工作开展。</w:t>
            </w:r>
          </w:p>
        </w:tc>
        <w:tc>
          <w:tcPr>
            <w:tcW w:w="1065" w:type="dxa"/>
            <w:tcBorders>
              <w:top w:val="single" w:color="auto" w:sz="4" w:space="0"/>
              <w:left w:val="nil"/>
              <w:bottom w:val="single" w:color="auto" w:sz="4" w:space="0"/>
              <w:right w:val="single" w:color="auto" w:sz="4" w:space="0"/>
            </w:tcBorders>
            <w:noWrap w:val="0"/>
            <w:vAlign w:val="center"/>
          </w:tcPr>
          <w:p w14:paraId="7A8B6D4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-1分/次</w:t>
            </w:r>
          </w:p>
        </w:tc>
        <w:tc>
          <w:tcPr>
            <w:tcW w:w="750" w:type="dxa"/>
            <w:tcBorders>
              <w:top w:val="single" w:color="auto" w:sz="4" w:space="0"/>
              <w:left w:val="nil"/>
              <w:bottom w:val="single" w:color="auto" w:sz="4" w:space="0"/>
              <w:right w:val="single" w:color="auto" w:sz="4" w:space="0"/>
            </w:tcBorders>
            <w:noWrap w:val="0"/>
            <w:vAlign w:val="top"/>
          </w:tcPr>
          <w:p w14:paraId="3F88A4FD">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A49882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53EEE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tcBorders>
              <w:left w:val="single" w:color="auto" w:sz="4" w:space="0"/>
              <w:right w:val="single" w:color="auto" w:sz="4" w:space="0"/>
            </w:tcBorders>
            <w:noWrap w:val="0"/>
            <w:vAlign w:val="center"/>
          </w:tcPr>
          <w:p w14:paraId="6386959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8</w:t>
            </w:r>
          </w:p>
        </w:tc>
        <w:tc>
          <w:tcPr>
            <w:tcW w:w="3313" w:type="dxa"/>
            <w:tcBorders>
              <w:left w:val="nil"/>
              <w:right w:val="single" w:color="auto" w:sz="4" w:space="0"/>
            </w:tcBorders>
            <w:noWrap w:val="0"/>
            <w:vAlign w:val="center"/>
          </w:tcPr>
          <w:p w14:paraId="1BB2FA96">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服从</w:t>
            </w:r>
            <w:r>
              <w:rPr>
                <w:rFonts w:hint="eastAsia" w:ascii="宋体" w:hAnsi="宋体" w:cs="宋体"/>
                <w:b w:val="0"/>
                <w:bCs w:val="0"/>
                <w:color w:val="auto"/>
                <w:kern w:val="2"/>
                <w:sz w:val="20"/>
                <w:szCs w:val="20"/>
                <w:highlight w:val="none"/>
                <w:lang w:val="en-US" w:eastAsia="zh-CN" w:bidi="ar-SA"/>
              </w:rPr>
              <w:t>采购方</w:t>
            </w:r>
            <w:r>
              <w:rPr>
                <w:rFonts w:hint="eastAsia" w:ascii="宋体" w:hAnsi="宋体" w:eastAsia="宋体" w:cs="宋体"/>
                <w:b w:val="0"/>
                <w:bCs w:val="0"/>
                <w:color w:val="auto"/>
                <w:kern w:val="2"/>
                <w:sz w:val="20"/>
                <w:szCs w:val="20"/>
                <w:highlight w:val="none"/>
                <w:lang w:val="en-US" w:eastAsia="zh-CN" w:bidi="ar-SA"/>
              </w:rPr>
              <w:t>的搬运作业时间调节，工作积极主动。</w:t>
            </w:r>
          </w:p>
        </w:tc>
        <w:tc>
          <w:tcPr>
            <w:tcW w:w="735" w:type="dxa"/>
            <w:tcBorders>
              <w:left w:val="nil"/>
              <w:right w:val="single" w:color="auto" w:sz="4" w:space="0"/>
            </w:tcBorders>
            <w:noWrap w:val="0"/>
            <w:vAlign w:val="center"/>
          </w:tcPr>
          <w:p w14:paraId="2F56A79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top w:val="single" w:color="auto" w:sz="4" w:space="0"/>
              <w:left w:val="nil"/>
              <w:bottom w:val="single" w:color="auto" w:sz="4" w:space="0"/>
              <w:right w:val="single" w:color="auto" w:sz="4" w:space="0"/>
            </w:tcBorders>
            <w:noWrap w:val="0"/>
            <w:vAlign w:val="center"/>
          </w:tcPr>
          <w:p w14:paraId="36A9D3D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不服从</w:t>
            </w:r>
            <w:r>
              <w:rPr>
                <w:rFonts w:hint="eastAsia" w:ascii="宋体" w:hAnsi="宋体" w:cs="宋体"/>
                <w:b w:val="0"/>
                <w:bCs w:val="0"/>
                <w:color w:val="auto"/>
                <w:sz w:val="20"/>
                <w:szCs w:val="20"/>
                <w:highlight w:val="none"/>
                <w:u w:val="none"/>
                <w:lang w:val="en-US" w:eastAsia="zh-CN"/>
              </w:rPr>
              <w:t>采购方</w:t>
            </w:r>
            <w:r>
              <w:rPr>
                <w:rFonts w:hint="eastAsia" w:ascii="宋体" w:hAnsi="宋体" w:eastAsia="宋体" w:cs="宋体"/>
                <w:b w:val="0"/>
                <w:bCs w:val="0"/>
                <w:color w:val="auto"/>
                <w:sz w:val="20"/>
                <w:szCs w:val="20"/>
                <w:highlight w:val="none"/>
                <w:u w:val="none"/>
                <w:lang w:val="en-US" w:eastAsia="zh-CN"/>
              </w:rPr>
              <w:t>的搬运作业时间调节，工作散漫拖沓。</w:t>
            </w:r>
          </w:p>
        </w:tc>
        <w:tc>
          <w:tcPr>
            <w:tcW w:w="1065" w:type="dxa"/>
            <w:tcBorders>
              <w:top w:val="single" w:color="auto" w:sz="4" w:space="0"/>
              <w:left w:val="nil"/>
              <w:bottom w:val="single" w:color="auto" w:sz="4" w:space="0"/>
              <w:right w:val="single" w:color="auto" w:sz="4" w:space="0"/>
            </w:tcBorders>
            <w:noWrap w:val="0"/>
            <w:vAlign w:val="center"/>
          </w:tcPr>
          <w:p w14:paraId="38CCDEE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-2分/次</w:t>
            </w:r>
          </w:p>
        </w:tc>
        <w:tc>
          <w:tcPr>
            <w:tcW w:w="750" w:type="dxa"/>
            <w:tcBorders>
              <w:top w:val="single" w:color="auto" w:sz="4" w:space="0"/>
              <w:left w:val="nil"/>
              <w:bottom w:val="single" w:color="auto" w:sz="4" w:space="0"/>
              <w:right w:val="single" w:color="auto" w:sz="4" w:space="0"/>
            </w:tcBorders>
            <w:noWrap w:val="0"/>
            <w:vAlign w:val="top"/>
          </w:tcPr>
          <w:p w14:paraId="740E9E4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F1D3C66">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02F9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vMerge w:val="restart"/>
            <w:tcBorders>
              <w:left w:val="single" w:color="auto" w:sz="4" w:space="0"/>
              <w:right w:val="single" w:color="auto" w:sz="4" w:space="0"/>
            </w:tcBorders>
            <w:noWrap w:val="0"/>
            <w:vAlign w:val="center"/>
          </w:tcPr>
          <w:p w14:paraId="47CDE7D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9</w:t>
            </w:r>
          </w:p>
        </w:tc>
        <w:tc>
          <w:tcPr>
            <w:tcW w:w="3313" w:type="dxa"/>
            <w:vMerge w:val="restart"/>
            <w:tcBorders>
              <w:left w:val="nil"/>
              <w:right w:val="single" w:color="auto" w:sz="4" w:space="0"/>
            </w:tcBorders>
            <w:noWrap w:val="0"/>
            <w:vAlign w:val="center"/>
          </w:tcPr>
          <w:p w14:paraId="792B7C2C">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自行做好安全措施、现场防护措施及其他相关的安全管理工作。</w:t>
            </w:r>
            <w:r>
              <w:rPr>
                <w:rFonts w:hint="eastAsia" w:ascii="宋体" w:hAnsi="宋体" w:cs="宋体"/>
                <w:b w:val="0"/>
                <w:bCs w:val="0"/>
                <w:color w:val="auto"/>
                <w:sz w:val="20"/>
                <w:szCs w:val="20"/>
                <w:highlight w:val="none"/>
                <w:lang w:val="en-US" w:eastAsia="zh-CN"/>
              </w:rPr>
              <w:t>服务期内</w:t>
            </w:r>
            <w:r>
              <w:rPr>
                <w:rFonts w:hint="eastAsia" w:ascii="宋体" w:hAnsi="宋体" w:eastAsia="宋体" w:cs="宋体"/>
                <w:b w:val="0"/>
                <w:bCs w:val="0"/>
                <w:color w:val="auto"/>
                <w:sz w:val="20"/>
                <w:szCs w:val="20"/>
                <w:highlight w:val="none"/>
                <w:lang w:val="en-US" w:eastAsia="zh-CN"/>
              </w:rPr>
              <w:t>对服务人员进行安全教育培训不少于1次。</w:t>
            </w:r>
          </w:p>
        </w:tc>
        <w:tc>
          <w:tcPr>
            <w:tcW w:w="735" w:type="dxa"/>
            <w:vMerge w:val="restart"/>
            <w:tcBorders>
              <w:left w:val="nil"/>
              <w:right w:val="single" w:color="auto" w:sz="4" w:space="0"/>
            </w:tcBorders>
            <w:noWrap w:val="0"/>
            <w:vAlign w:val="center"/>
          </w:tcPr>
          <w:p w14:paraId="760EE01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top w:val="single" w:color="auto" w:sz="4" w:space="0"/>
              <w:left w:val="nil"/>
              <w:bottom w:val="single" w:color="auto" w:sz="4" w:space="0"/>
              <w:right w:val="single" w:color="auto" w:sz="4" w:space="0"/>
            </w:tcBorders>
            <w:noWrap w:val="0"/>
            <w:vAlign w:val="center"/>
          </w:tcPr>
          <w:p w14:paraId="5FA35C73">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没有做好安全措施和现场防护措施。</w:t>
            </w:r>
          </w:p>
        </w:tc>
        <w:tc>
          <w:tcPr>
            <w:tcW w:w="1065" w:type="dxa"/>
            <w:tcBorders>
              <w:top w:val="single" w:color="auto" w:sz="4" w:space="0"/>
              <w:left w:val="nil"/>
              <w:bottom w:val="single" w:color="auto" w:sz="4" w:space="0"/>
              <w:right w:val="single" w:color="auto" w:sz="4" w:space="0"/>
            </w:tcBorders>
            <w:noWrap w:val="0"/>
            <w:vAlign w:val="center"/>
          </w:tcPr>
          <w:p w14:paraId="3A1194FA">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0" w:type="dxa"/>
            <w:tcBorders>
              <w:top w:val="single" w:color="auto" w:sz="4" w:space="0"/>
              <w:left w:val="nil"/>
              <w:bottom w:val="single" w:color="auto" w:sz="4" w:space="0"/>
              <w:right w:val="single" w:color="auto" w:sz="4" w:space="0"/>
            </w:tcBorders>
            <w:noWrap w:val="0"/>
            <w:vAlign w:val="top"/>
          </w:tcPr>
          <w:p w14:paraId="6C3FFC21">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2384079D">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B105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vMerge w:val="continue"/>
            <w:tcBorders>
              <w:left w:val="single" w:color="auto" w:sz="4" w:space="0"/>
              <w:right w:val="single" w:color="auto" w:sz="4" w:space="0"/>
            </w:tcBorders>
            <w:noWrap w:val="0"/>
            <w:vAlign w:val="center"/>
          </w:tcPr>
          <w:p w14:paraId="00DAC94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3313" w:type="dxa"/>
            <w:vMerge w:val="continue"/>
            <w:tcBorders>
              <w:left w:val="nil"/>
              <w:right w:val="single" w:color="auto" w:sz="4" w:space="0"/>
            </w:tcBorders>
            <w:noWrap w:val="0"/>
            <w:vAlign w:val="center"/>
          </w:tcPr>
          <w:p w14:paraId="5D0CBD25">
            <w:pPr>
              <w:rPr>
                <w:rFonts w:hint="eastAsia" w:ascii="宋体" w:hAnsi="宋体" w:eastAsia="宋体" w:cs="宋体"/>
                <w:b w:val="0"/>
                <w:bCs w:val="0"/>
                <w:color w:val="auto"/>
                <w:kern w:val="2"/>
                <w:sz w:val="20"/>
                <w:szCs w:val="20"/>
                <w:highlight w:val="none"/>
                <w:lang w:val="en-US" w:eastAsia="zh-CN" w:bidi="ar-SA"/>
              </w:rPr>
            </w:pPr>
          </w:p>
        </w:tc>
        <w:tc>
          <w:tcPr>
            <w:tcW w:w="735" w:type="dxa"/>
            <w:vMerge w:val="continue"/>
            <w:tcBorders>
              <w:left w:val="nil"/>
              <w:right w:val="single" w:color="auto" w:sz="4" w:space="0"/>
            </w:tcBorders>
            <w:noWrap w:val="0"/>
            <w:vAlign w:val="center"/>
          </w:tcPr>
          <w:p w14:paraId="399E4C7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839" w:type="dxa"/>
            <w:tcBorders>
              <w:top w:val="single" w:color="auto" w:sz="4" w:space="0"/>
              <w:left w:val="nil"/>
              <w:bottom w:val="single" w:color="auto" w:sz="4" w:space="0"/>
              <w:right w:val="single" w:color="auto" w:sz="4" w:space="0"/>
            </w:tcBorders>
            <w:noWrap w:val="0"/>
            <w:vAlign w:val="center"/>
          </w:tcPr>
          <w:p w14:paraId="3F9C4D82">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未按要求开展安全教育培训。</w:t>
            </w:r>
          </w:p>
        </w:tc>
        <w:tc>
          <w:tcPr>
            <w:tcW w:w="1065" w:type="dxa"/>
            <w:tcBorders>
              <w:top w:val="single" w:color="auto" w:sz="4" w:space="0"/>
              <w:left w:val="nil"/>
              <w:bottom w:val="single" w:color="auto" w:sz="4" w:space="0"/>
              <w:right w:val="single" w:color="auto" w:sz="4" w:space="0"/>
            </w:tcBorders>
            <w:noWrap w:val="0"/>
            <w:vAlign w:val="center"/>
          </w:tcPr>
          <w:p w14:paraId="38C3DC73">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0" w:type="dxa"/>
            <w:tcBorders>
              <w:top w:val="single" w:color="auto" w:sz="4" w:space="0"/>
              <w:left w:val="nil"/>
              <w:bottom w:val="single" w:color="auto" w:sz="4" w:space="0"/>
              <w:right w:val="single" w:color="auto" w:sz="4" w:space="0"/>
            </w:tcBorders>
            <w:noWrap w:val="0"/>
            <w:vAlign w:val="top"/>
          </w:tcPr>
          <w:p w14:paraId="6F9E417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AE07911">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5FD53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vMerge w:val="restart"/>
            <w:tcBorders>
              <w:left w:val="single" w:color="auto" w:sz="4" w:space="0"/>
              <w:right w:val="single" w:color="auto" w:sz="4" w:space="0"/>
            </w:tcBorders>
            <w:noWrap w:val="0"/>
            <w:vAlign w:val="center"/>
          </w:tcPr>
          <w:p w14:paraId="4F2D368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3313" w:type="dxa"/>
            <w:vMerge w:val="restart"/>
            <w:tcBorders>
              <w:left w:val="nil"/>
              <w:right w:val="single" w:color="auto" w:sz="4" w:space="0"/>
            </w:tcBorders>
            <w:noWrap w:val="0"/>
            <w:vAlign w:val="center"/>
          </w:tcPr>
          <w:p w14:paraId="0AC533F0">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cs="宋体"/>
                <w:color w:val="auto"/>
                <w:sz w:val="20"/>
                <w:szCs w:val="20"/>
                <w:highlight w:val="none"/>
                <w:lang w:eastAsia="zh-CN"/>
              </w:rPr>
              <w:t>服务商</w:t>
            </w:r>
            <w:r>
              <w:rPr>
                <w:rFonts w:hint="eastAsia" w:ascii="宋体" w:hAnsi="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布置的工作要求、任务有落实，有反馈。</w:t>
            </w:r>
          </w:p>
        </w:tc>
        <w:tc>
          <w:tcPr>
            <w:tcW w:w="735" w:type="dxa"/>
            <w:vMerge w:val="restart"/>
            <w:tcBorders>
              <w:left w:val="nil"/>
              <w:right w:val="single" w:color="auto" w:sz="4" w:space="0"/>
            </w:tcBorders>
            <w:noWrap w:val="0"/>
            <w:vAlign w:val="center"/>
          </w:tcPr>
          <w:p w14:paraId="6879723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839" w:type="dxa"/>
            <w:tcBorders>
              <w:top w:val="single" w:color="auto" w:sz="4" w:space="0"/>
              <w:left w:val="nil"/>
              <w:bottom w:val="single" w:color="auto" w:sz="4" w:space="0"/>
              <w:right w:val="single" w:color="auto" w:sz="4" w:space="0"/>
            </w:tcBorders>
            <w:shd w:val="clear" w:color="auto" w:fill="auto"/>
            <w:noWrap w:val="0"/>
            <w:vAlign w:val="center"/>
          </w:tcPr>
          <w:p w14:paraId="3158F0E5">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1EFB73D5">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1384CAE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8C5B72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1038A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vMerge w:val="continue"/>
            <w:tcBorders>
              <w:left w:val="single" w:color="auto" w:sz="4" w:space="0"/>
              <w:right w:val="single" w:color="auto" w:sz="4" w:space="0"/>
            </w:tcBorders>
            <w:noWrap w:val="0"/>
            <w:vAlign w:val="center"/>
          </w:tcPr>
          <w:p w14:paraId="13837B5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3313" w:type="dxa"/>
            <w:vMerge w:val="continue"/>
            <w:tcBorders>
              <w:left w:val="nil"/>
              <w:right w:val="single" w:color="auto" w:sz="4" w:space="0"/>
            </w:tcBorders>
            <w:noWrap w:val="0"/>
            <w:vAlign w:val="center"/>
          </w:tcPr>
          <w:p w14:paraId="627AC057">
            <w:pPr>
              <w:rPr>
                <w:rFonts w:hint="eastAsia" w:ascii="宋体" w:hAnsi="宋体" w:eastAsia="宋体" w:cs="宋体"/>
                <w:b w:val="0"/>
                <w:bCs w:val="0"/>
                <w:color w:val="auto"/>
                <w:sz w:val="20"/>
                <w:szCs w:val="20"/>
                <w:highlight w:val="none"/>
                <w:lang w:eastAsia="zh-CN"/>
              </w:rPr>
            </w:pPr>
          </w:p>
        </w:tc>
        <w:tc>
          <w:tcPr>
            <w:tcW w:w="735" w:type="dxa"/>
            <w:vMerge w:val="continue"/>
            <w:tcBorders>
              <w:left w:val="nil"/>
              <w:right w:val="single" w:color="auto" w:sz="4" w:space="0"/>
            </w:tcBorders>
            <w:noWrap w:val="0"/>
            <w:vAlign w:val="center"/>
          </w:tcPr>
          <w:p w14:paraId="48BB19C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839" w:type="dxa"/>
            <w:tcBorders>
              <w:top w:val="single" w:color="auto" w:sz="4" w:space="0"/>
              <w:left w:val="nil"/>
              <w:bottom w:val="single" w:color="auto" w:sz="4" w:space="0"/>
              <w:right w:val="single" w:color="auto" w:sz="4" w:space="0"/>
            </w:tcBorders>
            <w:shd w:val="clear" w:color="auto" w:fill="auto"/>
            <w:noWrap w:val="0"/>
            <w:vAlign w:val="center"/>
          </w:tcPr>
          <w:p w14:paraId="05BB473D">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24B853B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750" w:type="dxa"/>
            <w:tcBorders>
              <w:top w:val="single" w:color="auto" w:sz="4" w:space="0"/>
              <w:left w:val="nil"/>
              <w:bottom w:val="single" w:color="auto" w:sz="4" w:space="0"/>
              <w:right w:val="single" w:color="auto" w:sz="4" w:space="0"/>
            </w:tcBorders>
            <w:noWrap w:val="0"/>
            <w:vAlign w:val="top"/>
          </w:tcPr>
          <w:p w14:paraId="62AD51ED">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714E1B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0D15F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72" w:type="dxa"/>
            <w:vMerge w:val="continue"/>
            <w:tcBorders>
              <w:left w:val="single" w:color="auto" w:sz="4" w:space="0"/>
              <w:right w:val="single" w:color="auto" w:sz="4" w:space="0"/>
            </w:tcBorders>
            <w:noWrap w:val="0"/>
            <w:vAlign w:val="center"/>
          </w:tcPr>
          <w:p w14:paraId="723B7C7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3313" w:type="dxa"/>
            <w:vMerge w:val="continue"/>
            <w:tcBorders>
              <w:left w:val="nil"/>
              <w:right w:val="single" w:color="auto" w:sz="4" w:space="0"/>
            </w:tcBorders>
            <w:noWrap w:val="0"/>
            <w:vAlign w:val="center"/>
          </w:tcPr>
          <w:p w14:paraId="330AB1A7">
            <w:pPr>
              <w:rPr>
                <w:rFonts w:hint="eastAsia" w:ascii="宋体" w:hAnsi="宋体" w:eastAsia="宋体" w:cs="宋体"/>
                <w:b w:val="0"/>
                <w:bCs w:val="0"/>
                <w:color w:val="auto"/>
                <w:sz w:val="20"/>
                <w:szCs w:val="20"/>
                <w:highlight w:val="none"/>
                <w:lang w:eastAsia="zh-CN"/>
              </w:rPr>
            </w:pPr>
          </w:p>
        </w:tc>
        <w:tc>
          <w:tcPr>
            <w:tcW w:w="735" w:type="dxa"/>
            <w:vMerge w:val="continue"/>
            <w:tcBorders>
              <w:left w:val="nil"/>
              <w:right w:val="single" w:color="auto" w:sz="4" w:space="0"/>
            </w:tcBorders>
            <w:noWrap w:val="0"/>
            <w:vAlign w:val="center"/>
          </w:tcPr>
          <w:p w14:paraId="41A88D2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839" w:type="dxa"/>
            <w:tcBorders>
              <w:top w:val="single" w:color="auto" w:sz="4" w:space="0"/>
              <w:left w:val="nil"/>
              <w:bottom w:val="single" w:color="auto" w:sz="4" w:space="0"/>
              <w:right w:val="single" w:color="auto" w:sz="4" w:space="0"/>
            </w:tcBorders>
            <w:shd w:val="clear" w:color="auto" w:fill="auto"/>
            <w:noWrap w:val="0"/>
            <w:vAlign w:val="center"/>
          </w:tcPr>
          <w:p w14:paraId="609575DD">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5CE7E4F3">
            <w:pPr>
              <w:jc w:val="cente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10分/项</w:t>
            </w:r>
          </w:p>
        </w:tc>
        <w:tc>
          <w:tcPr>
            <w:tcW w:w="750" w:type="dxa"/>
            <w:tcBorders>
              <w:top w:val="single" w:color="auto" w:sz="4" w:space="0"/>
              <w:left w:val="nil"/>
              <w:bottom w:val="single" w:color="auto" w:sz="4" w:space="0"/>
              <w:right w:val="single" w:color="auto" w:sz="4" w:space="0"/>
            </w:tcBorders>
            <w:noWrap w:val="0"/>
            <w:vAlign w:val="top"/>
          </w:tcPr>
          <w:p w14:paraId="63E1AAA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6FF98FA">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22F3F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0053" w:type="dxa"/>
            <w:gridSpan w:val="7"/>
            <w:tcBorders>
              <w:left w:val="single" w:color="auto" w:sz="4" w:space="0"/>
              <w:right w:val="single" w:color="auto" w:sz="4" w:space="0"/>
            </w:tcBorders>
            <w:noWrap w:val="0"/>
            <w:vAlign w:val="center"/>
          </w:tcPr>
          <w:p w14:paraId="26826C36">
            <w:pPr>
              <w:adjustRightInd w:val="0"/>
              <w:snapToGrid w:val="0"/>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考核得分：</w:t>
            </w:r>
          </w:p>
        </w:tc>
      </w:tr>
      <w:tr w14:paraId="2196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0053" w:type="dxa"/>
            <w:gridSpan w:val="7"/>
            <w:tcBorders>
              <w:left w:val="single" w:color="auto" w:sz="4" w:space="0"/>
              <w:right w:val="single" w:color="auto" w:sz="4" w:space="0"/>
            </w:tcBorders>
            <w:noWrap w:val="0"/>
            <w:vAlign w:val="center"/>
          </w:tcPr>
          <w:p w14:paraId="73EFACF9">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72394D5A">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5597268C">
            <w:pPr>
              <w:adjustRightInd w:val="0"/>
              <w:snapToGrid w:val="0"/>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日期：</w:t>
            </w:r>
          </w:p>
        </w:tc>
      </w:tr>
    </w:tbl>
    <w:p w14:paraId="2DEF21DE">
      <w:pPr>
        <w:pStyle w:val="2"/>
        <w:outlineLvl w:val="9"/>
        <w:rPr>
          <w:rFonts w:hint="eastAsia"/>
          <w:sz w:val="20"/>
          <w:szCs w:val="20"/>
          <w:highlight w:val="none"/>
          <w:lang w:val="en-US" w:eastAsia="zh-CN"/>
        </w:rPr>
      </w:pPr>
    </w:p>
    <w:p w14:paraId="782921E6">
      <w:pPr>
        <w:rPr>
          <w:rFonts w:hint="eastAsia" w:ascii="宋体" w:hAnsi="宋体" w:eastAsia="宋体" w:cs="宋体"/>
          <w:b/>
          <w:bCs w:val="0"/>
          <w:color w:val="auto"/>
          <w:sz w:val="28"/>
          <w:szCs w:val="28"/>
          <w:highlight w:val="none"/>
          <w:lang w:val="en-US" w:eastAsia="zh-CN"/>
        </w:rPr>
      </w:pPr>
      <w:bookmarkStart w:id="202" w:name="_Toc31850"/>
      <w:bookmarkStart w:id="203" w:name="_Toc10264"/>
      <w:bookmarkStart w:id="204" w:name="_Toc24434"/>
      <w:bookmarkStart w:id="205" w:name="_Toc2873"/>
      <w:bookmarkStart w:id="206" w:name="_Toc6851"/>
      <w:bookmarkStart w:id="207" w:name="_Toc18006"/>
      <w:bookmarkStart w:id="208" w:name="_Toc6016"/>
      <w:bookmarkStart w:id="209" w:name="_Toc8488"/>
      <w:bookmarkStart w:id="210" w:name="_Toc29702"/>
      <w:r>
        <w:rPr>
          <w:rFonts w:hint="eastAsia" w:ascii="宋体" w:hAnsi="宋体" w:eastAsia="宋体" w:cs="宋体"/>
          <w:b/>
          <w:bCs w:val="0"/>
          <w:color w:val="auto"/>
          <w:sz w:val="28"/>
          <w:szCs w:val="28"/>
          <w:highlight w:val="none"/>
          <w:lang w:val="en-US" w:eastAsia="zh-CN"/>
        </w:rPr>
        <w:br w:type="page"/>
      </w:r>
    </w:p>
    <w:p w14:paraId="096A560E">
      <w:pPr>
        <w:pStyle w:val="4"/>
        <w:keepNext/>
        <w:keepLines/>
        <w:pageBreakBefore w:val="0"/>
        <w:widowControl w:val="0"/>
        <w:kinsoku/>
        <w:wordWrap/>
        <w:overflowPunct/>
        <w:topLinePunct w:val="0"/>
        <w:autoSpaceDE/>
        <w:autoSpaceDN/>
        <w:bidi w:val="0"/>
        <w:adjustRightInd/>
        <w:snapToGrid/>
        <w:spacing w:before="0" w:after="0" w:line="580" w:lineRule="exact"/>
        <w:ind w:firstLine="201" w:firstLineChars="100"/>
        <w:jc w:val="center"/>
        <w:textAlignment w:val="auto"/>
        <w:rPr>
          <w:rFonts w:hint="eastAsia" w:ascii="宋体" w:hAnsi="宋体" w:eastAsia="宋体" w:cs="宋体"/>
          <w:b/>
          <w:bCs w:val="0"/>
          <w:color w:val="auto"/>
          <w:sz w:val="20"/>
          <w:szCs w:val="20"/>
          <w:highlight w:val="none"/>
          <w:lang w:val="en-US" w:eastAsia="zh-CN"/>
        </w:rPr>
      </w:pPr>
      <w:bookmarkStart w:id="211" w:name="_Toc17189"/>
      <w:bookmarkStart w:id="212" w:name="_Toc7935"/>
      <w:r>
        <w:rPr>
          <w:rFonts w:hint="eastAsia" w:ascii="宋体" w:hAnsi="宋体" w:eastAsia="宋体" w:cs="宋体"/>
          <w:b/>
          <w:bCs w:val="0"/>
          <w:color w:val="auto"/>
          <w:sz w:val="20"/>
          <w:szCs w:val="20"/>
          <w:highlight w:val="none"/>
          <w:lang w:val="en-US" w:eastAsia="zh-CN"/>
        </w:rPr>
        <w:t>（五）车辆清洁服务项目</w:t>
      </w:r>
      <w:bookmarkEnd w:id="202"/>
      <w:bookmarkEnd w:id="211"/>
      <w:bookmarkEnd w:id="212"/>
    </w:p>
    <w:p w14:paraId="60BC9A5E">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213" w:name="_Toc2046"/>
      <w:bookmarkStart w:id="214" w:name="_Toc13035"/>
      <w:bookmarkStart w:id="215" w:name="_Toc16741"/>
      <w:r>
        <w:rPr>
          <w:rFonts w:hint="eastAsia" w:ascii="宋体" w:hAnsi="宋体" w:eastAsia="宋体" w:cs="宋体"/>
          <w:b/>
          <w:bCs/>
          <w:color w:val="auto"/>
          <w:sz w:val="20"/>
          <w:szCs w:val="20"/>
          <w:highlight w:val="none"/>
          <w:lang w:val="en-US" w:eastAsia="zh-CN"/>
        </w:rPr>
        <w:t>1.项目服务标准及要求</w:t>
      </w:r>
      <w:bookmarkEnd w:id="213"/>
      <w:bookmarkEnd w:id="214"/>
      <w:bookmarkEnd w:id="215"/>
    </w:p>
    <w:p w14:paraId="66EF841E">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216" w:name="_Toc21824"/>
      <w:bookmarkStart w:id="217" w:name="_Toc19545"/>
      <w:bookmarkStart w:id="218" w:name="_Toc28167"/>
      <w:bookmarkStart w:id="219" w:name="_Toc29585"/>
      <w:bookmarkStart w:id="220" w:name="_Toc20341"/>
      <w:bookmarkStart w:id="221" w:name="_Toc1831"/>
      <w:bookmarkStart w:id="222" w:name="_Toc12802"/>
      <w:bookmarkStart w:id="223" w:name="_Toc17260"/>
      <w:r>
        <w:rPr>
          <w:rFonts w:hint="eastAsia" w:ascii="宋体" w:hAnsi="宋体" w:eastAsia="宋体" w:cs="宋体"/>
          <w:b/>
          <w:bCs/>
          <w:color w:val="auto"/>
          <w:sz w:val="20"/>
          <w:szCs w:val="20"/>
          <w:highlight w:val="none"/>
          <w:lang w:val="en-US" w:eastAsia="zh-CN"/>
        </w:rPr>
        <w:t>1.1项目服务标准</w:t>
      </w:r>
      <w:bookmarkEnd w:id="216"/>
      <w:bookmarkEnd w:id="217"/>
      <w:bookmarkEnd w:id="218"/>
      <w:bookmarkEnd w:id="219"/>
      <w:bookmarkEnd w:id="220"/>
      <w:bookmarkEnd w:id="221"/>
      <w:bookmarkEnd w:id="222"/>
      <w:bookmarkEnd w:id="223"/>
    </w:p>
    <w:p w14:paraId="5D19A50B">
      <w:pPr>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服务商在提供</w:t>
      </w:r>
      <w:r>
        <w:rPr>
          <w:rFonts w:hint="eastAsia" w:ascii="宋体" w:hAnsi="宋体" w:eastAsia="宋体" w:cs="宋体"/>
          <w:color w:val="auto"/>
          <w:sz w:val="20"/>
          <w:szCs w:val="20"/>
          <w:highlight w:val="none"/>
          <w:lang w:eastAsia="zh-CN"/>
        </w:rPr>
        <w:t>车辆清洗</w:t>
      </w:r>
      <w:r>
        <w:rPr>
          <w:rFonts w:hint="eastAsia" w:ascii="宋体" w:hAnsi="宋体" w:eastAsia="宋体" w:cs="宋体"/>
          <w:color w:val="auto"/>
          <w:sz w:val="20"/>
          <w:szCs w:val="20"/>
          <w:highlight w:val="none"/>
        </w:rPr>
        <w:t>服务时，需按照如下标准执行，如果在合同执行期间国家颁布新的标准时，应按最新的条款执行。</w:t>
      </w:r>
    </w:p>
    <w:tbl>
      <w:tblPr>
        <w:tblStyle w:val="16"/>
        <w:tblW w:w="8120"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7340"/>
      </w:tblGrid>
      <w:tr w14:paraId="448C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780" w:type="dxa"/>
            <w:vAlign w:val="center"/>
          </w:tcPr>
          <w:p w14:paraId="61210B06">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7340" w:type="dxa"/>
            <w:vAlign w:val="center"/>
          </w:tcPr>
          <w:p w14:paraId="61EAACC5">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相关标准</w:t>
            </w:r>
          </w:p>
        </w:tc>
      </w:tr>
      <w:tr w14:paraId="79DB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80" w:type="dxa"/>
            <w:vAlign w:val="center"/>
          </w:tcPr>
          <w:p w14:paraId="178E8D2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7340" w:type="dxa"/>
            <w:vAlign w:val="center"/>
          </w:tcPr>
          <w:p w14:paraId="795D45E1">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《城市车辆清洗管理办法》(建设部令 第47号 )</w:t>
            </w:r>
          </w:p>
        </w:tc>
      </w:tr>
      <w:tr w14:paraId="60B8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4B786B6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340" w:type="dxa"/>
            <w:vAlign w:val="center"/>
          </w:tcPr>
          <w:p w14:paraId="2B9161A0">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《清洁生产评价指标体系编制通则》</w:t>
            </w:r>
          </w:p>
        </w:tc>
      </w:tr>
      <w:tr w14:paraId="0ACEE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80" w:type="dxa"/>
            <w:vAlign w:val="center"/>
          </w:tcPr>
          <w:p w14:paraId="29377279">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7340" w:type="dxa"/>
            <w:vAlign w:val="center"/>
          </w:tcPr>
          <w:p w14:paraId="0F425FF4">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《清洁行业经营服务规范》 （中国商业企业管理协会 ）</w:t>
            </w:r>
          </w:p>
        </w:tc>
      </w:tr>
      <w:tr w14:paraId="7726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281880C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7340" w:type="dxa"/>
            <w:vAlign w:val="center"/>
          </w:tcPr>
          <w:p w14:paraId="7A1CAFE4">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《车辆洗消中心生物安全技术》（NY/T 4136-2022 ）</w:t>
            </w:r>
          </w:p>
        </w:tc>
      </w:tr>
      <w:tr w14:paraId="6B71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80" w:type="dxa"/>
            <w:vAlign w:val="center"/>
          </w:tcPr>
          <w:p w14:paraId="4EAFE7B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7340" w:type="dxa"/>
            <w:vAlign w:val="center"/>
          </w:tcPr>
          <w:p w14:paraId="305B595B">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《广西电网有限责任公司车辆管理办法》（QCSG-GXPG221005-2014）</w:t>
            </w:r>
          </w:p>
        </w:tc>
      </w:tr>
    </w:tbl>
    <w:p w14:paraId="18ADC3DD">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224" w:name="_Toc19694"/>
      <w:bookmarkStart w:id="225" w:name="_Toc15408"/>
      <w:bookmarkStart w:id="226" w:name="_Toc11273"/>
      <w:bookmarkStart w:id="227" w:name="_Toc8361"/>
      <w:bookmarkStart w:id="228" w:name="_Toc3364"/>
      <w:bookmarkStart w:id="229" w:name="_Toc24989"/>
      <w:bookmarkStart w:id="230" w:name="_Toc5184"/>
      <w:bookmarkStart w:id="231" w:name="_Toc14622"/>
      <w:r>
        <w:rPr>
          <w:rFonts w:hint="eastAsia" w:ascii="宋体" w:hAnsi="宋体" w:eastAsia="宋体" w:cs="宋体"/>
          <w:b/>
          <w:bCs/>
          <w:color w:val="auto"/>
          <w:sz w:val="20"/>
          <w:szCs w:val="20"/>
          <w:highlight w:val="none"/>
          <w:lang w:val="en-US" w:eastAsia="zh-CN"/>
        </w:rPr>
        <w:t>1.2项目服务要求</w:t>
      </w:r>
      <w:bookmarkEnd w:id="224"/>
      <w:bookmarkEnd w:id="225"/>
      <w:bookmarkEnd w:id="226"/>
      <w:bookmarkEnd w:id="227"/>
      <w:bookmarkEnd w:id="228"/>
      <w:bookmarkEnd w:id="229"/>
      <w:bookmarkEnd w:id="230"/>
      <w:bookmarkEnd w:id="231"/>
    </w:p>
    <w:p w14:paraId="166148CB">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1.2.1合同实施前，服务商需对采购方整体车辆清洗状况进行全面摸查，根据摸查情况，针对车辆清洗服务项目，需指派专人进行对接，熟悉和了解采购方车辆情况。</w:t>
      </w:r>
    </w:p>
    <w:p w14:paraId="23B9C82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bCs/>
          <w:color w:val="auto"/>
          <w:sz w:val="20"/>
          <w:szCs w:val="20"/>
          <w:highlight w:val="none"/>
          <w:lang w:val="en-US" w:eastAsia="zh-CN"/>
        </w:rPr>
        <w:t>为保证工作正常有序开展，服务商必须按照采购方的要求执行，</w:t>
      </w:r>
      <w:r>
        <w:rPr>
          <w:rFonts w:hint="eastAsia" w:ascii="宋体" w:hAnsi="宋体" w:eastAsia="宋体" w:cs="宋体"/>
          <w:color w:val="auto"/>
          <w:sz w:val="20"/>
          <w:szCs w:val="20"/>
          <w:highlight w:val="none"/>
          <w:lang w:val="en-US" w:eastAsia="zh-CN"/>
        </w:rPr>
        <w:t>提供清洗、消毒等各项服务，且保证星期六、日及所有国家法定假日的期间也正常提供相关服务。如遇特殊情况，采购方可要求服务商调整工作时间。</w:t>
      </w:r>
    </w:p>
    <w:p w14:paraId="2A7CDB21">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1.2.3车辆清洁在采购方工作场所开展的，需严格按照采购方的安全管理规定及各项管理制度要求。此外，在采购方规定的工作时间范围外，相关人员撤离相关场所，不得逗留。</w:t>
      </w:r>
    </w:p>
    <w:p w14:paraId="2A31B04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1.2.4车辆清洁在采购方工作场所开展的，服务商安排的人员应保障项目服务地点环境的整洁，在使用相关设备后及时清理归位，并对场地进行清洁。</w:t>
      </w:r>
    </w:p>
    <w:p w14:paraId="566340E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1.2.5服务商安排的人员应及时按时的完成车辆的清洁工作，并按照约定时间将清洁完毕的车辆交付采购方。</w:t>
      </w:r>
    </w:p>
    <w:p w14:paraId="20DED0D8">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1.2.6服务商提供24小时服务热线（热线电话、微信、传真、电子邮件等）。服务商在接到采购方的需求后，必须在1小时内作出响应，并在采购方规定的时间内提供服务，满足采购方要求。若服务商预期无法按规定时间完成需求，则需提前通知采购方，采购方同意后，方可执行。</w:t>
      </w:r>
    </w:p>
    <w:p w14:paraId="29AE45EA">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1.2.7服务商加强人员管理，合理安排人员，保障项目工作进度。</w:t>
      </w:r>
    </w:p>
    <w:p w14:paraId="715703A8">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1.2.8服务商安排的人员应规范做好车辆清洁台账，按月提供车辆清洗数据，确保清洗车辆数据真实有效，双方确认后，作为结算凭证。</w:t>
      </w:r>
    </w:p>
    <w:p w14:paraId="09B30E3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1.2.9服务商必须建立健全严格的安全管理制度。如因非采购方原因导致的安全问题，由服务商承担责任，并按国家法律法规及相关要求进行赔偿。</w:t>
      </w:r>
    </w:p>
    <w:p w14:paraId="28DD4B42">
      <w:pPr>
        <w:keepNext/>
        <w:keepLines w:val="0"/>
        <w:pageBreakBefore w:val="0"/>
        <w:widowControl w:val="0"/>
        <w:kinsoku/>
        <w:wordWrap/>
        <w:overflowPunct/>
        <w:topLinePunct w:val="0"/>
        <w:autoSpaceDE/>
        <w:autoSpaceDN/>
        <w:bidi w:val="0"/>
        <w:adjustRightInd/>
        <w:snapToGrid/>
        <w:spacing w:line="560" w:lineRule="exact"/>
        <w:ind w:firstLine="402" w:firstLineChars="200"/>
        <w:outlineLvl w:val="0"/>
        <w:rPr>
          <w:rFonts w:hint="default" w:ascii="宋体" w:hAnsi="宋体" w:eastAsia="宋体" w:cs="宋体"/>
          <w:b/>
          <w:bCs/>
          <w:color w:val="auto"/>
          <w:sz w:val="20"/>
          <w:szCs w:val="20"/>
          <w:highlight w:val="none"/>
          <w:lang w:val="en-US" w:eastAsia="zh-CN"/>
        </w:rPr>
      </w:pPr>
      <w:bookmarkStart w:id="232" w:name="_Toc2314"/>
      <w:bookmarkStart w:id="233" w:name="_Toc25575"/>
      <w:bookmarkStart w:id="234" w:name="_Toc12246"/>
      <w:r>
        <w:rPr>
          <w:rFonts w:hint="eastAsia" w:ascii="宋体" w:hAnsi="宋体" w:eastAsia="宋体" w:cs="宋体"/>
          <w:b/>
          <w:bCs/>
          <w:color w:val="auto"/>
          <w:sz w:val="20"/>
          <w:szCs w:val="20"/>
          <w:highlight w:val="none"/>
          <w:lang w:val="en-US" w:eastAsia="zh-CN"/>
        </w:rPr>
        <w:t>2.服务达标要求</w:t>
      </w:r>
      <w:bookmarkEnd w:id="232"/>
      <w:bookmarkEnd w:id="233"/>
      <w:bookmarkEnd w:id="234"/>
    </w:p>
    <w:p w14:paraId="2769C3F0">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0"/>
        <w:rPr>
          <w:rFonts w:hint="eastAsia" w:ascii="宋体" w:hAnsi="宋体" w:eastAsia="宋体" w:cs="宋体"/>
          <w:b w:val="0"/>
          <w:bCs w:val="0"/>
          <w:color w:val="auto"/>
          <w:sz w:val="20"/>
          <w:szCs w:val="20"/>
          <w:highlight w:val="none"/>
          <w:lang w:val="en-US" w:eastAsia="zh-CN"/>
        </w:rPr>
      </w:pPr>
      <w:bookmarkStart w:id="235" w:name="_Toc20478"/>
      <w:bookmarkStart w:id="236" w:name="_Toc3699"/>
      <w:bookmarkStart w:id="237" w:name="_Toc15940"/>
      <w:bookmarkStart w:id="238" w:name="_Toc16998"/>
      <w:bookmarkStart w:id="239" w:name="_Toc21511"/>
      <w:bookmarkStart w:id="240" w:name="_Toc13231"/>
      <w:bookmarkStart w:id="241" w:name="_Toc30118"/>
      <w:bookmarkStart w:id="242" w:name="_Toc16502"/>
      <w:bookmarkStart w:id="243" w:name="_Toc14401"/>
      <w:r>
        <w:rPr>
          <w:rFonts w:hint="eastAsia" w:ascii="宋体" w:hAnsi="宋体" w:eastAsia="宋体" w:cs="宋体"/>
          <w:b w:val="0"/>
          <w:bCs w:val="0"/>
          <w:color w:val="auto"/>
          <w:sz w:val="20"/>
          <w:szCs w:val="20"/>
          <w:highlight w:val="none"/>
          <w:lang w:val="en-US" w:eastAsia="zh-CN"/>
        </w:rPr>
        <w:t>2.1车辆清洁服务达标要求</w:t>
      </w:r>
      <w:bookmarkEnd w:id="235"/>
      <w:bookmarkEnd w:id="236"/>
      <w:bookmarkEnd w:id="237"/>
      <w:bookmarkEnd w:id="238"/>
      <w:bookmarkEnd w:id="239"/>
      <w:bookmarkEnd w:id="240"/>
      <w:bookmarkEnd w:id="241"/>
      <w:bookmarkEnd w:id="242"/>
      <w:bookmarkEnd w:id="243"/>
    </w:p>
    <w:tbl>
      <w:tblPr>
        <w:tblStyle w:val="16"/>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410"/>
        <w:gridCol w:w="6399"/>
      </w:tblGrid>
      <w:tr w14:paraId="5E84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89" w:type="dxa"/>
            <w:vAlign w:val="center"/>
          </w:tcPr>
          <w:p w14:paraId="36C7C23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序号</w:t>
            </w:r>
          </w:p>
        </w:tc>
        <w:tc>
          <w:tcPr>
            <w:tcW w:w="1410" w:type="dxa"/>
            <w:vAlign w:val="center"/>
          </w:tcPr>
          <w:p w14:paraId="769B9B1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服务内容</w:t>
            </w:r>
          </w:p>
        </w:tc>
        <w:tc>
          <w:tcPr>
            <w:tcW w:w="6399" w:type="dxa"/>
            <w:vAlign w:val="center"/>
          </w:tcPr>
          <w:p w14:paraId="3764AEA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服务达标要求</w:t>
            </w:r>
          </w:p>
        </w:tc>
      </w:tr>
      <w:tr w14:paraId="7D24C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9" w:hRule="atLeast"/>
        </w:trPr>
        <w:tc>
          <w:tcPr>
            <w:tcW w:w="789" w:type="dxa"/>
            <w:vAlign w:val="center"/>
          </w:tcPr>
          <w:p w14:paraId="23FDD18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w:t>
            </w:r>
          </w:p>
        </w:tc>
        <w:tc>
          <w:tcPr>
            <w:tcW w:w="1410" w:type="dxa"/>
            <w:vAlign w:val="center"/>
          </w:tcPr>
          <w:p w14:paraId="542D39F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sz w:val="20"/>
                <w:szCs w:val="20"/>
                <w:highlight w:val="none"/>
                <w:vertAlign w:val="baseline"/>
              </w:rPr>
            </w:pPr>
            <w:r>
              <w:rPr>
                <w:rFonts w:hint="eastAsia" w:ascii="宋体" w:hAnsi="宋体" w:eastAsia="宋体" w:cs="宋体"/>
                <w:b w:val="0"/>
                <w:bCs w:val="0"/>
                <w:color w:val="auto"/>
                <w:sz w:val="20"/>
                <w:szCs w:val="20"/>
                <w:highlight w:val="none"/>
              </w:rPr>
              <w:t>清洗</w:t>
            </w:r>
          </w:p>
        </w:tc>
        <w:tc>
          <w:tcPr>
            <w:tcW w:w="6399" w:type="dxa"/>
            <w:vAlign w:val="center"/>
          </w:tcPr>
          <w:p w14:paraId="3C6486C6">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sz w:val="20"/>
                <w:szCs w:val="20"/>
                <w:highlight w:val="none"/>
                <w:vertAlign w:val="baseline"/>
                <w:lang w:eastAsia="zh-CN"/>
              </w:rPr>
            </w:pPr>
            <w:r>
              <w:rPr>
                <w:rFonts w:hint="eastAsia" w:ascii="宋体" w:hAnsi="宋体" w:eastAsia="宋体" w:cs="宋体"/>
                <w:b w:val="0"/>
                <w:bCs w:val="0"/>
                <w:color w:val="auto"/>
                <w:sz w:val="20"/>
                <w:szCs w:val="20"/>
                <w:highlight w:val="none"/>
                <w:vertAlign w:val="baseline"/>
                <w:lang w:eastAsia="zh-CN"/>
              </w:rPr>
              <w:t>（</w:t>
            </w:r>
            <w:r>
              <w:rPr>
                <w:rFonts w:hint="eastAsia" w:ascii="宋体" w:hAnsi="宋体" w:eastAsia="宋体" w:cs="宋体"/>
                <w:b w:val="0"/>
                <w:bCs w:val="0"/>
                <w:color w:val="auto"/>
                <w:sz w:val="20"/>
                <w:szCs w:val="20"/>
                <w:highlight w:val="none"/>
                <w:vertAlign w:val="baseline"/>
                <w:lang w:val="en-US" w:eastAsia="zh-CN"/>
              </w:rPr>
              <w:t>1</w:t>
            </w:r>
            <w:r>
              <w:rPr>
                <w:rFonts w:hint="eastAsia" w:ascii="宋体" w:hAnsi="宋体" w:eastAsia="宋体" w:cs="宋体"/>
                <w:b w:val="0"/>
                <w:bCs w:val="0"/>
                <w:color w:val="auto"/>
                <w:sz w:val="20"/>
                <w:szCs w:val="20"/>
                <w:highlight w:val="none"/>
                <w:vertAlign w:val="baseline"/>
                <w:lang w:eastAsia="zh-CN"/>
              </w:rPr>
              <w:t>）使用的清洁剂应该符合国家、行业的标准，清洁剂的环保要求应符合国家相关部门的规定，不得使用不符合环保要求、劣质、对车辆有伤害的清洁剂；</w:t>
            </w:r>
          </w:p>
          <w:p w14:paraId="06533C4B">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sz w:val="20"/>
                <w:szCs w:val="20"/>
                <w:highlight w:val="none"/>
                <w:vertAlign w:val="baseline"/>
                <w:lang w:eastAsia="zh-CN"/>
              </w:rPr>
            </w:pPr>
            <w:r>
              <w:rPr>
                <w:rFonts w:hint="eastAsia" w:ascii="宋体" w:hAnsi="宋体" w:eastAsia="宋体" w:cs="宋体"/>
                <w:b w:val="0"/>
                <w:bCs w:val="0"/>
                <w:color w:val="auto"/>
                <w:sz w:val="20"/>
                <w:szCs w:val="20"/>
                <w:highlight w:val="none"/>
                <w:vertAlign w:val="baseline"/>
                <w:lang w:eastAsia="zh-CN"/>
              </w:rPr>
              <w:t>（</w:t>
            </w:r>
            <w:r>
              <w:rPr>
                <w:rFonts w:hint="eastAsia" w:ascii="宋体" w:hAnsi="宋体" w:eastAsia="宋体" w:cs="宋体"/>
                <w:b w:val="0"/>
                <w:bCs w:val="0"/>
                <w:color w:val="auto"/>
                <w:sz w:val="20"/>
                <w:szCs w:val="20"/>
                <w:highlight w:val="none"/>
                <w:vertAlign w:val="baseline"/>
                <w:lang w:val="en-US" w:eastAsia="zh-CN"/>
              </w:rPr>
              <w:t>2</w:t>
            </w:r>
            <w:r>
              <w:rPr>
                <w:rFonts w:hint="eastAsia" w:ascii="宋体" w:hAnsi="宋体" w:eastAsia="宋体" w:cs="宋体"/>
                <w:b w:val="0"/>
                <w:bCs w:val="0"/>
                <w:color w:val="auto"/>
                <w:sz w:val="20"/>
                <w:szCs w:val="20"/>
                <w:highlight w:val="none"/>
                <w:vertAlign w:val="baseline"/>
                <w:lang w:eastAsia="zh-CN"/>
              </w:rPr>
              <w:t>）整车：玻璃明亮、整洁，没有灰尘和污垢；</w:t>
            </w:r>
          </w:p>
          <w:p w14:paraId="61BBE627">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sz w:val="20"/>
                <w:szCs w:val="20"/>
                <w:highlight w:val="none"/>
                <w:vertAlign w:val="baseline"/>
                <w:lang w:eastAsia="zh-CN"/>
              </w:rPr>
            </w:pPr>
            <w:r>
              <w:rPr>
                <w:rFonts w:hint="eastAsia" w:ascii="宋体" w:hAnsi="宋体" w:eastAsia="宋体" w:cs="宋体"/>
                <w:b w:val="0"/>
                <w:bCs w:val="0"/>
                <w:color w:val="auto"/>
                <w:sz w:val="20"/>
                <w:szCs w:val="20"/>
                <w:highlight w:val="none"/>
                <w:vertAlign w:val="baseline"/>
                <w:lang w:eastAsia="zh-CN"/>
              </w:rPr>
              <w:t>（</w:t>
            </w:r>
            <w:r>
              <w:rPr>
                <w:rFonts w:hint="eastAsia" w:ascii="宋体" w:hAnsi="宋体" w:eastAsia="宋体" w:cs="宋体"/>
                <w:b w:val="0"/>
                <w:bCs w:val="0"/>
                <w:color w:val="auto"/>
                <w:sz w:val="20"/>
                <w:szCs w:val="20"/>
                <w:highlight w:val="none"/>
                <w:vertAlign w:val="baseline"/>
                <w:lang w:val="en-US" w:eastAsia="zh-CN"/>
              </w:rPr>
              <w:t>3</w:t>
            </w:r>
            <w:r>
              <w:rPr>
                <w:rFonts w:hint="eastAsia" w:ascii="宋体" w:hAnsi="宋体" w:eastAsia="宋体" w:cs="宋体"/>
                <w:b w:val="0"/>
                <w:bCs w:val="0"/>
                <w:color w:val="auto"/>
                <w:sz w:val="20"/>
                <w:szCs w:val="20"/>
                <w:highlight w:val="none"/>
                <w:vertAlign w:val="baseline"/>
                <w:lang w:eastAsia="zh-CN"/>
              </w:rPr>
              <w:t>）车身：顶部、保险杠、轮胎、牌照清洁无灰尘；</w:t>
            </w:r>
          </w:p>
          <w:p w14:paraId="2695BE3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sz w:val="20"/>
                <w:szCs w:val="20"/>
                <w:highlight w:val="none"/>
                <w:vertAlign w:val="baseline"/>
                <w:lang w:eastAsia="zh-CN"/>
              </w:rPr>
            </w:pPr>
            <w:r>
              <w:rPr>
                <w:rFonts w:hint="eastAsia" w:ascii="宋体" w:hAnsi="宋体" w:eastAsia="宋体" w:cs="宋体"/>
                <w:b w:val="0"/>
                <w:bCs w:val="0"/>
                <w:color w:val="auto"/>
                <w:sz w:val="20"/>
                <w:szCs w:val="20"/>
                <w:highlight w:val="none"/>
                <w:vertAlign w:val="baseline"/>
                <w:lang w:eastAsia="zh-CN"/>
              </w:rPr>
              <w:t>（</w:t>
            </w:r>
            <w:r>
              <w:rPr>
                <w:rFonts w:hint="eastAsia" w:ascii="宋体" w:hAnsi="宋体" w:eastAsia="宋体" w:cs="宋体"/>
                <w:b w:val="0"/>
                <w:bCs w:val="0"/>
                <w:color w:val="auto"/>
                <w:sz w:val="20"/>
                <w:szCs w:val="20"/>
                <w:highlight w:val="none"/>
                <w:vertAlign w:val="baseline"/>
                <w:lang w:val="en-US" w:eastAsia="zh-CN"/>
              </w:rPr>
              <w:t>4</w:t>
            </w:r>
            <w:r>
              <w:rPr>
                <w:rFonts w:hint="eastAsia" w:ascii="宋体" w:hAnsi="宋体" w:eastAsia="宋体" w:cs="宋体"/>
                <w:b w:val="0"/>
                <w:bCs w:val="0"/>
                <w:color w:val="auto"/>
                <w:sz w:val="20"/>
                <w:szCs w:val="20"/>
                <w:highlight w:val="none"/>
                <w:vertAlign w:val="baseline"/>
                <w:lang w:eastAsia="zh-CN"/>
              </w:rPr>
              <w:t>）车内设施：物品摆放整齐，保持车内清洁无异味；</w:t>
            </w:r>
          </w:p>
          <w:p w14:paraId="33BAEE9A">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sz w:val="20"/>
                <w:szCs w:val="20"/>
                <w:highlight w:val="none"/>
                <w:vertAlign w:val="baseline"/>
                <w:lang w:eastAsia="zh-CN"/>
              </w:rPr>
            </w:pPr>
            <w:r>
              <w:rPr>
                <w:rFonts w:hint="eastAsia" w:ascii="宋体" w:hAnsi="宋体" w:eastAsia="宋体" w:cs="宋体"/>
                <w:b w:val="0"/>
                <w:bCs w:val="0"/>
                <w:color w:val="auto"/>
                <w:sz w:val="20"/>
                <w:szCs w:val="20"/>
                <w:highlight w:val="none"/>
                <w:vertAlign w:val="baseline"/>
                <w:lang w:eastAsia="zh-CN"/>
              </w:rPr>
              <w:t>（</w:t>
            </w:r>
            <w:r>
              <w:rPr>
                <w:rFonts w:hint="eastAsia" w:ascii="宋体" w:hAnsi="宋体" w:eastAsia="宋体" w:cs="宋体"/>
                <w:b w:val="0"/>
                <w:bCs w:val="0"/>
                <w:color w:val="auto"/>
                <w:sz w:val="20"/>
                <w:szCs w:val="20"/>
                <w:highlight w:val="none"/>
                <w:vertAlign w:val="baseline"/>
                <w:lang w:val="en-US" w:eastAsia="zh-CN"/>
              </w:rPr>
              <w:t>5</w:t>
            </w:r>
            <w:r>
              <w:rPr>
                <w:rFonts w:hint="eastAsia" w:ascii="宋体" w:hAnsi="宋体" w:eastAsia="宋体" w:cs="宋体"/>
                <w:b w:val="0"/>
                <w:bCs w:val="0"/>
                <w:color w:val="auto"/>
                <w:sz w:val="20"/>
                <w:szCs w:val="20"/>
                <w:highlight w:val="none"/>
                <w:vertAlign w:val="baseline"/>
                <w:lang w:eastAsia="zh-CN"/>
              </w:rPr>
              <w:t>）直拨：座套、脚垫干净整洁。</w:t>
            </w:r>
          </w:p>
        </w:tc>
      </w:tr>
      <w:tr w14:paraId="34923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9" w:type="dxa"/>
            <w:vAlign w:val="center"/>
          </w:tcPr>
          <w:p w14:paraId="243216E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2</w:t>
            </w:r>
          </w:p>
        </w:tc>
        <w:tc>
          <w:tcPr>
            <w:tcW w:w="1410" w:type="dxa"/>
            <w:vAlign w:val="center"/>
          </w:tcPr>
          <w:p w14:paraId="0A79114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sz w:val="20"/>
                <w:szCs w:val="20"/>
                <w:highlight w:val="none"/>
                <w:vertAlign w:val="baseline"/>
              </w:rPr>
            </w:pPr>
            <w:r>
              <w:rPr>
                <w:rFonts w:hint="eastAsia" w:ascii="宋体" w:hAnsi="宋体" w:eastAsia="宋体" w:cs="宋体"/>
                <w:b w:val="0"/>
                <w:bCs w:val="0"/>
                <w:color w:val="auto"/>
                <w:sz w:val="20"/>
                <w:szCs w:val="20"/>
                <w:highlight w:val="none"/>
              </w:rPr>
              <w:t>消毒</w:t>
            </w:r>
          </w:p>
        </w:tc>
        <w:tc>
          <w:tcPr>
            <w:tcW w:w="6399" w:type="dxa"/>
            <w:vAlign w:val="center"/>
          </w:tcPr>
          <w:p w14:paraId="4189370A">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sz w:val="20"/>
                <w:szCs w:val="20"/>
                <w:highlight w:val="none"/>
                <w:vertAlign w:val="baseline"/>
              </w:rPr>
            </w:pPr>
            <w:r>
              <w:rPr>
                <w:rFonts w:hint="eastAsia" w:ascii="宋体" w:hAnsi="宋体" w:eastAsia="宋体" w:cs="宋体"/>
                <w:color w:val="auto"/>
                <w:sz w:val="20"/>
                <w:szCs w:val="20"/>
                <w:highlight w:val="none"/>
                <w:lang w:eastAsia="zh-CN"/>
              </w:rPr>
              <w:t>用正规消毒产品，</w:t>
            </w:r>
            <w:r>
              <w:rPr>
                <w:rFonts w:hint="eastAsia" w:ascii="宋体" w:hAnsi="宋体" w:eastAsia="宋体" w:cs="宋体"/>
                <w:color w:val="auto"/>
                <w:sz w:val="20"/>
                <w:szCs w:val="20"/>
                <w:highlight w:val="none"/>
                <w:lang w:val="en-US" w:eastAsia="zh-CN"/>
              </w:rPr>
              <w:t>达到异味清除的效果</w:t>
            </w:r>
            <w:r>
              <w:rPr>
                <w:rFonts w:hint="eastAsia" w:ascii="宋体" w:hAnsi="宋体" w:eastAsia="宋体" w:cs="宋体"/>
                <w:color w:val="auto"/>
                <w:sz w:val="20"/>
                <w:szCs w:val="20"/>
                <w:highlight w:val="none"/>
                <w:lang w:eastAsia="zh-CN"/>
              </w:rPr>
              <w:t>。</w:t>
            </w:r>
          </w:p>
        </w:tc>
      </w:tr>
    </w:tbl>
    <w:p w14:paraId="75051F0C">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244" w:name="_Toc3388"/>
      <w:bookmarkStart w:id="245" w:name="_Toc6653"/>
      <w:bookmarkStart w:id="246" w:name="_Toc8250"/>
      <w:r>
        <w:rPr>
          <w:rFonts w:hint="eastAsia" w:ascii="宋体" w:hAnsi="宋体" w:eastAsia="宋体" w:cs="宋体"/>
          <w:b/>
          <w:bCs/>
          <w:color w:val="auto"/>
          <w:sz w:val="20"/>
          <w:szCs w:val="20"/>
          <w:highlight w:val="none"/>
          <w:lang w:val="en-US" w:eastAsia="zh-CN"/>
        </w:rPr>
        <w:t>3.服务履约考核</w:t>
      </w:r>
      <w:bookmarkEnd w:id="244"/>
      <w:bookmarkEnd w:id="245"/>
      <w:bookmarkEnd w:id="246"/>
    </w:p>
    <w:p w14:paraId="6429104A">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采购方</w:t>
      </w:r>
      <w:r>
        <w:rPr>
          <w:rFonts w:hint="eastAsia" w:ascii="宋体" w:hAnsi="宋体" w:eastAsia="宋体" w:cs="宋体"/>
          <w:color w:val="auto"/>
          <w:sz w:val="20"/>
          <w:szCs w:val="20"/>
          <w:highlight w:val="none"/>
          <w:lang w:val="en-US" w:eastAsia="zh-CN"/>
        </w:rPr>
        <w:t>每月</w:t>
      </w:r>
      <w:r>
        <w:rPr>
          <w:rFonts w:hint="eastAsia" w:ascii="宋体" w:hAnsi="宋体" w:eastAsia="宋体" w:cs="宋体"/>
          <w:color w:val="auto"/>
          <w:sz w:val="20"/>
          <w:szCs w:val="20"/>
          <w:highlight w:val="none"/>
        </w:rPr>
        <w:t>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r>
        <w:rPr>
          <w:rFonts w:hint="eastAsia" w:ascii="宋体" w:hAnsi="宋体" w:eastAsia="宋体" w:cs="宋体"/>
          <w:color w:val="auto"/>
          <w:sz w:val="20"/>
          <w:szCs w:val="20"/>
          <w:highlight w:val="none"/>
        </w:rPr>
        <w:t>。</w:t>
      </w:r>
    </w:p>
    <w:p w14:paraId="2E6ADD14">
      <w:pPr>
        <w:keepNext w:val="0"/>
        <w:keepLines w:val="0"/>
        <w:pageBreakBefore w:val="0"/>
        <w:widowControl w:val="0"/>
        <w:kinsoku/>
        <w:wordWrap/>
        <w:overflowPunct/>
        <w:topLinePunct w:val="0"/>
        <w:autoSpaceDE/>
        <w:autoSpaceDN/>
        <w:bidi w:val="0"/>
        <w:adjustRightInd/>
        <w:snapToGrid/>
        <w:spacing w:line="560" w:lineRule="exact"/>
        <w:ind w:firstLine="402" w:firstLineChars="200"/>
        <w:contextualSpacing/>
        <w:jc w:val="left"/>
        <w:textAlignment w:val="auto"/>
        <w:rPr>
          <w:rFonts w:hint="default" w:ascii="宋体" w:hAnsi="宋体" w:eastAsia="宋体" w:cs="宋体"/>
          <w:b/>
          <w:bCs w:val="0"/>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3.1</w:t>
      </w:r>
      <w:r>
        <w:rPr>
          <w:rFonts w:hint="eastAsia" w:ascii="宋体" w:hAnsi="宋体" w:eastAsia="宋体" w:cs="宋体"/>
          <w:b/>
          <w:bCs w:val="0"/>
          <w:color w:val="auto"/>
          <w:sz w:val="20"/>
          <w:szCs w:val="20"/>
          <w:highlight w:val="none"/>
          <w:lang w:val="en-US" w:eastAsia="zh-CN"/>
        </w:rPr>
        <w:t>服务履约考核表</w:t>
      </w:r>
    </w:p>
    <w:tbl>
      <w:tblPr>
        <w:tblStyle w:val="15"/>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981"/>
        <w:gridCol w:w="1005"/>
        <w:gridCol w:w="2782"/>
        <w:gridCol w:w="934"/>
        <w:gridCol w:w="750"/>
        <w:gridCol w:w="779"/>
      </w:tblGrid>
      <w:tr w14:paraId="510AF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6CB716A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2981" w:type="dxa"/>
            <w:tcBorders>
              <w:top w:val="single" w:color="auto" w:sz="4" w:space="0"/>
              <w:left w:val="nil"/>
              <w:bottom w:val="single" w:color="auto" w:sz="4" w:space="0"/>
              <w:right w:val="single" w:color="auto" w:sz="4" w:space="0"/>
            </w:tcBorders>
            <w:noWrap w:val="0"/>
            <w:vAlign w:val="center"/>
          </w:tcPr>
          <w:p w14:paraId="63730B5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1005" w:type="dxa"/>
            <w:tcBorders>
              <w:top w:val="single" w:color="auto" w:sz="4" w:space="0"/>
              <w:left w:val="nil"/>
              <w:bottom w:val="single" w:color="auto" w:sz="4" w:space="0"/>
              <w:right w:val="single" w:color="auto" w:sz="4" w:space="0"/>
            </w:tcBorders>
            <w:noWrap w:val="0"/>
            <w:vAlign w:val="center"/>
          </w:tcPr>
          <w:p w14:paraId="31F03A1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782" w:type="dxa"/>
            <w:tcBorders>
              <w:top w:val="single" w:color="auto" w:sz="4" w:space="0"/>
              <w:left w:val="nil"/>
              <w:bottom w:val="single" w:color="auto" w:sz="4" w:space="0"/>
              <w:right w:val="single" w:color="auto" w:sz="4" w:space="0"/>
            </w:tcBorders>
            <w:noWrap w:val="0"/>
            <w:vAlign w:val="center"/>
          </w:tcPr>
          <w:p w14:paraId="08EE288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934" w:type="dxa"/>
            <w:tcBorders>
              <w:top w:val="single" w:color="auto" w:sz="4" w:space="0"/>
              <w:left w:val="nil"/>
              <w:bottom w:val="single" w:color="auto" w:sz="4" w:space="0"/>
              <w:right w:val="single" w:color="auto" w:sz="4" w:space="0"/>
            </w:tcBorders>
            <w:noWrap w:val="0"/>
            <w:vAlign w:val="center"/>
          </w:tcPr>
          <w:p w14:paraId="0DEA335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100DD4B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750" w:type="dxa"/>
            <w:tcBorders>
              <w:top w:val="single" w:color="auto" w:sz="4" w:space="0"/>
              <w:left w:val="nil"/>
              <w:bottom w:val="single" w:color="auto" w:sz="4" w:space="0"/>
              <w:right w:val="single" w:color="auto" w:sz="4" w:space="0"/>
            </w:tcBorders>
            <w:noWrap w:val="0"/>
            <w:vAlign w:val="center"/>
          </w:tcPr>
          <w:p w14:paraId="11BDDD8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0301763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779" w:type="dxa"/>
            <w:tcBorders>
              <w:top w:val="single" w:color="auto" w:sz="4" w:space="0"/>
              <w:left w:val="nil"/>
              <w:bottom w:val="single" w:color="auto" w:sz="4" w:space="0"/>
              <w:right w:val="single" w:color="auto" w:sz="4" w:space="0"/>
            </w:tcBorders>
            <w:noWrap w:val="0"/>
            <w:vAlign w:val="center"/>
          </w:tcPr>
          <w:p w14:paraId="346881B2">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3E982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tcBorders>
              <w:top w:val="single" w:color="auto" w:sz="4" w:space="0"/>
              <w:left w:val="single" w:color="auto" w:sz="4" w:space="0"/>
              <w:right w:val="single" w:color="auto" w:sz="4" w:space="0"/>
            </w:tcBorders>
            <w:noWrap w:val="0"/>
            <w:vAlign w:val="center"/>
          </w:tcPr>
          <w:p w14:paraId="56F5FBD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2981" w:type="dxa"/>
            <w:tcBorders>
              <w:top w:val="single" w:color="auto" w:sz="4" w:space="0"/>
              <w:left w:val="nil"/>
              <w:right w:val="single" w:color="auto" w:sz="4" w:space="0"/>
            </w:tcBorders>
            <w:noWrap w:val="0"/>
            <w:vAlign w:val="center"/>
          </w:tcPr>
          <w:p w14:paraId="067F5FB9">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面带微笑，热情服务</w:t>
            </w:r>
            <w:r>
              <w:rPr>
                <w:rFonts w:hint="eastAsia" w:ascii="宋体" w:hAnsi="宋体" w:eastAsia="宋体" w:cs="宋体"/>
                <w:b w:val="0"/>
                <w:bCs w:val="0"/>
                <w:color w:val="auto"/>
                <w:sz w:val="20"/>
                <w:szCs w:val="20"/>
                <w:highlight w:val="none"/>
                <w:lang w:eastAsia="zh-CN"/>
              </w:rPr>
              <w:t>。</w:t>
            </w:r>
          </w:p>
        </w:tc>
        <w:tc>
          <w:tcPr>
            <w:tcW w:w="1005" w:type="dxa"/>
            <w:tcBorders>
              <w:top w:val="single" w:color="auto" w:sz="4" w:space="0"/>
              <w:left w:val="nil"/>
              <w:right w:val="single" w:color="auto" w:sz="4" w:space="0"/>
            </w:tcBorders>
            <w:noWrap w:val="0"/>
            <w:vAlign w:val="center"/>
          </w:tcPr>
          <w:p w14:paraId="58665B9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5</w:t>
            </w:r>
          </w:p>
        </w:tc>
        <w:tc>
          <w:tcPr>
            <w:tcW w:w="2782" w:type="dxa"/>
            <w:tcBorders>
              <w:top w:val="single" w:color="auto" w:sz="4" w:space="0"/>
              <w:left w:val="nil"/>
              <w:bottom w:val="single" w:color="auto" w:sz="4" w:space="0"/>
              <w:right w:val="single" w:color="auto" w:sz="4" w:space="0"/>
            </w:tcBorders>
            <w:noWrap w:val="0"/>
            <w:vAlign w:val="center"/>
          </w:tcPr>
          <w:p w14:paraId="6DC4C0BA">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lang w:val="en-US" w:eastAsia="zh-CN"/>
              </w:rPr>
              <w:t>清洁车辆时，态度恶劣，服务不到位被投诉。</w:t>
            </w:r>
          </w:p>
        </w:tc>
        <w:tc>
          <w:tcPr>
            <w:tcW w:w="934" w:type="dxa"/>
            <w:tcBorders>
              <w:top w:val="single" w:color="auto" w:sz="4" w:space="0"/>
              <w:left w:val="nil"/>
              <w:bottom w:val="single" w:color="auto" w:sz="4" w:space="0"/>
              <w:right w:val="single" w:color="auto" w:sz="4" w:space="0"/>
            </w:tcBorders>
            <w:noWrap w:val="0"/>
            <w:vAlign w:val="center"/>
          </w:tcPr>
          <w:p w14:paraId="43D60FA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-2分/次</w:t>
            </w:r>
          </w:p>
        </w:tc>
        <w:tc>
          <w:tcPr>
            <w:tcW w:w="750" w:type="dxa"/>
            <w:tcBorders>
              <w:top w:val="single" w:color="auto" w:sz="4" w:space="0"/>
              <w:left w:val="nil"/>
              <w:bottom w:val="single" w:color="auto" w:sz="4" w:space="0"/>
              <w:right w:val="single" w:color="auto" w:sz="4" w:space="0"/>
            </w:tcBorders>
            <w:noWrap w:val="0"/>
            <w:vAlign w:val="top"/>
          </w:tcPr>
          <w:p w14:paraId="2153FC3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81F766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05D44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tcBorders>
              <w:left w:val="single" w:color="auto" w:sz="4" w:space="0"/>
              <w:right w:val="single" w:color="auto" w:sz="4" w:space="0"/>
            </w:tcBorders>
            <w:noWrap w:val="0"/>
            <w:vAlign w:val="center"/>
          </w:tcPr>
          <w:p w14:paraId="4036B09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981" w:type="dxa"/>
            <w:tcBorders>
              <w:left w:val="nil"/>
              <w:right w:val="single" w:color="auto" w:sz="4" w:space="0"/>
            </w:tcBorders>
            <w:noWrap w:val="0"/>
            <w:vAlign w:val="center"/>
          </w:tcPr>
          <w:p w14:paraId="5C53F815">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车身表面无毛巾就可擦去的污渍</w:t>
            </w:r>
            <w:r>
              <w:rPr>
                <w:rFonts w:hint="eastAsia" w:ascii="宋体" w:hAnsi="宋体" w:eastAsia="宋体" w:cs="宋体"/>
                <w:b w:val="0"/>
                <w:bCs w:val="0"/>
                <w:color w:val="auto"/>
                <w:sz w:val="20"/>
                <w:szCs w:val="20"/>
                <w:highlight w:val="none"/>
                <w:lang w:eastAsia="zh-CN"/>
              </w:rPr>
              <w:t>。</w:t>
            </w:r>
          </w:p>
        </w:tc>
        <w:tc>
          <w:tcPr>
            <w:tcW w:w="1005" w:type="dxa"/>
            <w:tcBorders>
              <w:left w:val="nil"/>
              <w:right w:val="single" w:color="auto" w:sz="4" w:space="0"/>
            </w:tcBorders>
            <w:noWrap w:val="0"/>
            <w:vAlign w:val="center"/>
          </w:tcPr>
          <w:p w14:paraId="5570DFF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782" w:type="dxa"/>
            <w:vMerge w:val="restart"/>
            <w:tcBorders>
              <w:top w:val="single" w:color="auto" w:sz="4" w:space="0"/>
              <w:left w:val="nil"/>
              <w:right w:val="single" w:color="auto" w:sz="4" w:space="0"/>
            </w:tcBorders>
            <w:noWrap w:val="0"/>
            <w:vAlign w:val="center"/>
          </w:tcPr>
          <w:p w14:paraId="1C493FAC">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清洁完毕后的车辆仍有污渍未清洗，经</w:t>
            </w:r>
            <w:r>
              <w:rPr>
                <w:rFonts w:hint="eastAsia" w:ascii="宋体" w:hAnsi="宋体" w:cs="宋体"/>
                <w:b w:val="0"/>
                <w:bCs w:val="0"/>
                <w:color w:val="auto"/>
                <w:sz w:val="20"/>
                <w:szCs w:val="20"/>
                <w:highlight w:val="none"/>
                <w:u w:val="none"/>
                <w:lang w:val="en-US" w:eastAsia="zh-CN"/>
              </w:rPr>
              <w:t>采购方</w:t>
            </w:r>
            <w:r>
              <w:rPr>
                <w:rFonts w:hint="eastAsia" w:ascii="宋体" w:hAnsi="宋体" w:eastAsia="宋体" w:cs="宋体"/>
                <w:b w:val="0"/>
                <w:bCs w:val="0"/>
                <w:color w:val="auto"/>
                <w:sz w:val="20"/>
                <w:szCs w:val="20"/>
                <w:highlight w:val="none"/>
                <w:u w:val="none"/>
                <w:lang w:val="en-US" w:eastAsia="zh-CN"/>
              </w:rPr>
              <w:t>当场催告整改后仍不履行。</w:t>
            </w:r>
          </w:p>
        </w:tc>
        <w:tc>
          <w:tcPr>
            <w:tcW w:w="934" w:type="dxa"/>
            <w:tcBorders>
              <w:top w:val="single" w:color="auto" w:sz="4" w:space="0"/>
              <w:left w:val="nil"/>
              <w:bottom w:val="single" w:color="auto" w:sz="4" w:space="0"/>
              <w:right w:val="single" w:color="auto" w:sz="4" w:space="0"/>
            </w:tcBorders>
            <w:noWrap w:val="0"/>
            <w:vAlign w:val="center"/>
          </w:tcPr>
          <w:p w14:paraId="23A1E40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en-US" w:eastAsia="zh-CN"/>
              </w:rPr>
              <w:t>-2分/次</w:t>
            </w:r>
          </w:p>
        </w:tc>
        <w:tc>
          <w:tcPr>
            <w:tcW w:w="750" w:type="dxa"/>
            <w:tcBorders>
              <w:top w:val="single" w:color="auto" w:sz="4" w:space="0"/>
              <w:left w:val="nil"/>
              <w:bottom w:val="single" w:color="auto" w:sz="4" w:space="0"/>
              <w:right w:val="single" w:color="auto" w:sz="4" w:space="0"/>
            </w:tcBorders>
            <w:noWrap w:val="0"/>
            <w:vAlign w:val="top"/>
          </w:tcPr>
          <w:p w14:paraId="740CABD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0CDFF3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7EF0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645" w:type="dxa"/>
            <w:vMerge w:val="restart"/>
            <w:tcBorders>
              <w:left w:val="single" w:color="auto" w:sz="4" w:space="0"/>
              <w:right w:val="single" w:color="auto" w:sz="4" w:space="0"/>
            </w:tcBorders>
            <w:noWrap w:val="0"/>
            <w:vAlign w:val="center"/>
          </w:tcPr>
          <w:p w14:paraId="2A2C5CF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981" w:type="dxa"/>
            <w:tcBorders>
              <w:left w:val="nil"/>
              <w:right w:val="single" w:color="auto" w:sz="4" w:space="0"/>
            </w:tcBorders>
            <w:noWrap w:val="0"/>
            <w:vAlign w:val="center"/>
          </w:tcPr>
          <w:p w14:paraId="7F4D115B">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前、后挡玻璃洁净无污渍</w:t>
            </w:r>
            <w:r>
              <w:rPr>
                <w:rFonts w:hint="eastAsia" w:ascii="宋体" w:hAnsi="宋体" w:eastAsia="宋体" w:cs="宋体"/>
                <w:b w:val="0"/>
                <w:bCs w:val="0"/>
                <w:color w:val="auto"/>
                <w:sz w:val="20"/>
                <w:szCs w:val="20"/>
                <w:highlight w:val="none"/>
                <w:lang w:eastAsia="zh-CN"/>
              </w:rPr>
              <w:t>。</w:t>
            </w:r>
          </w:p>
        </w:tc>
        <w:tc>
          <w:tcPr>
            <w:tcW w:w="1005" w:type="dxa"/>
            <w:tcBorders>
              <w:left w:val="nil"/>
              <w:right w:val="single" w:color="auto" w:sz="4" w:space="0"/>
            </w:tcBorders>
            <w:noWrap w:val="0"/>
            <w:vAlign w:val="center"/>
          </w:tcPr>
          <w:p w14:paraId="7201CA8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782" w:type="dxa"/>
            <w:vMerge w:val="continue"/>
            <w:tcBorders>
              <w:left w:val="nil"/>
              <w:right w:val="single" w:color="auto" w:sz="4" w:space="0"/>
            </w:tcBorders>
            <w:noWrap w:val="0"/>
            <w:vAlign w:val="center"/>
          </w:tcPr>
          <w:p w14:paraId="5203392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p>
        </w:tc>
        <w:tc>
          <w:tcPr>
            <w:tcW w:w="934" w:type="dxa"/>
            <w:tcBorders>
              <w:top w:val="single" w:color="auto" w:sz="4" w:space="0"/>
              <w:left w:val="nil"/>
              <w:right w:val="single" w:color="auto" w:sz="4" w:space="0"/>
            </w:tcBorders>
            <w:noWrap w:val="0"/>
            <w:vAlign w:val="center"/>
          </w:tcPr>
          <w:p w14:paraId="6D0F882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en-US" w:eastAsia="zh-CN"/>
              </w:rPr>
              <w:t>-2分/次</w:t>
            </w:r>
          </w:p>
        </w:tc>
        <w:tc>
          <w:tcPr>
            <w:tcW w:w="750" w:type="dxa"/>
            <w:vMerge w:val="restart"/>
            <w:tcBorders>
              <w:top w:val="single" w:color="auto" w:sz="4" w:space="0"/>
              <w:left w:val="nil"/>
              <w:right w:val="single" w:color="auto" w:sz="4" w:space="0"/>
            </w:tcBorders>
            <w:noWrap w:val="0"/>
            <w:vAlign w:val="top"/>
          </w:tcPr>
          <w:p w14:paraId="7F65159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vMerge w:val="restart"/>
            <w:tcBorders>
              <w:top w:val="single" w:color="auto" w:sz="4" w:space="0"/>
              <w:left w:val="nil"/>
              <w:right w:val="single" w:color="auto" w:sz="4" w:space="0"/>
            </w:tcBorders>
            <w:noWrap w:val="0"/>
            <w:vAlign w:val="center"/>
          </w:tcPr>
          <w:p w14:paraId="2C94A6B6">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4D8C4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645" w:type="dxa"/>
            <w:vMerge w:val="continue"/>
            <w:tcBorders>
              <w:left w:val="single" w:color="auto" w:sz="4" w:space="0"/>
              <w:right w:val="single" w:color="auto" w:sz="4" w:space="0"/>
            </w:tcBorders>
            <w:noWrap w:val="0"/>
            <w:vAlign w:val="center"/>
          </w:tcPr>
          <w:p w14:paraId="15365115">
            <w:pPr>
              <w:rPr>
                <w:rFonts w:hint="eastAsia" w:ascii="宋体" w:hAnsi="宋体" w:eastAsia="宋体" w:cs="宋体"/>
                <w:color w:val="auto"/>
                <w:sz w:val="20"/>
                <w:szCs w:val="20"/>
                <w:highlight w:val="none"/>
              </w:rPr>
            </w:pPr>
          </w:p>
        </w:tc>
        <w:tc>
          <w:tcPr>
            <w:tcW w:w="2981" w:type="dxa"/>
            <w:tcBorders>
              <w:left w:val="nil"/>
              <w:right w:val="single" w:color="auto" w:sz="4" w:space="0"/>
            </w:tcBorders>
            <w:noWrap w:val="0"/>
            <w:vAlign w:val="center"/>
          </w:tcPr>
          <w:p w14:paraId="1AB6F78D">
            <w:pP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车辆门窗洁净无污渍</w:t>
            </w:r>
            <w:r>
              <w:rPr>
                <w:rFonts w:hint="eastAsia" w:ascii="宋体" w:hAnsi="宋体" w:eastAsia="宋体" w:cs="宋体"/>
                <w:b w:val="0"/>
                <w:bCs w:val="0"/>
                <w:color w:val="auto"/>
                <w:sz w:val="20"/>
                <w:szCs w:val="20"/>
                <w:highlight w:val="none"/>
                <w:lang w:eastAsia="zh-CN"/>
              </w:rPr>
              <w:t>。</w:t>
            </w:r>
          </w:p>
        </w:tc>
        <w:tc>
          <w:tcPr>
            <w:tcW w:w="1005" w:type="dxa"/>
            <w:tcBorders>
              <w:left w:val="nil"/>
              <w:right w:val="single" w:color="auto" w:sz="4" w:space="0"/>
            </w:tcBorders>
            <w:noWrap w:val="0"/>
            <w:vAlign w:val="center"/>
          </w:tcPr>
          <w:p w14:paraId="7CD16D7D">
            <w:pPr>
              <w:jc w:val="cente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782" w:type="dxa"/>
            <w:vMerge w:val="continue"/>
            <w:tcBorders>
              <w:left w:val="nil"/>
              <w:right w:val="single" w:color="auto" w:sz="4" w:space="0"/>
            </w:tcBorders>
            <w:noWrap w:val="0"/>
            <w:vAlign w:val="center"/>
          </w:tcPr>
          <w:p w14:paraId="69CEFBE9">
            <w:pPr>
              <w:rPr>
                <w:rFonts w:hint="eastAsia" w:ascii="宋体" w:hAnsi="宋体" w:eastAsia="宋体" w:cs="宋体"/>
                <w:b w:val="0"/>
                <w:bCs w:val="0"/>
                <w:color w:val="auto"/>
                <w:sz w:val="20"/>
                <w:szCs w:val="20"/>
                <w:highlight w:val="none"/>
              </w:rPr>
            </w:pPr>
          </w:p>
        </w:tc>
        <w:tc>
          <w:tcPr>
            <w:tcW w:w="934" w:type="dxa"/>
            <w:tcBorders>
              <w:left w:val="nil"/>
              <w:bottom w:val="single" w:color="auto" w:sz="4" w:space="0"/>
              <w:right w:val="single" w:color="auto" w:sz="4" w:space="0"/>
            </w:tcBorders>
            <w:noWrap w:val="0"/>
            <w:vAlign w:val="center"/>
          </w:tcPr>
          <w:p w14:paraId="47CBF51F">
            <w:pPr>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en-US" w:eastAsia="zh-CN"/>
              </w:rPr>
              <w:t>-2分/次</w:t>
            </w:r>
          </w:p>
        </w:tc>
        <w:tc>
          <w:tcPr>
            <w:tcW w:w="750" w:type="dxa"/>
            <w:vMerge w:val="continue"/>
            <w:tcBorders>
              <w:left w:val="nil"/>
              <w:bottom w:val="single" w:color="auto" w:sz="4" w:space="0"/>
              <w:right w:val="single" w:color="auto" w:sz="4" w:space="0"/>
            </w:tcBorders>
            <w:noWrap w:val="0"/>
            <w:vAlign w:val="top"/>
          </w:tcPr>
          <w:p w14:paraId="05E65FAA">
            <w:pPr>
              <w:rPr>
                <w:rFonts w:hint="eastAsia" w:ascii="宋体" w:hAnsi="宋体" w:eastAsia="宋体" w:cs="宋体"/>
                <w:b w:val="0"/>
                <w:bCs w:val="0"/>
                <w:color w:val="auto"/>
                <w:sz w:val="20"/>
                <w:szCs w:val="20"/>
                <w:highlight w:val="none"/>
              </w:rPr>
            </w:pPr>
          </w:p>
        </w:tc>
        <w:tc>
          <w:tcPr>
            <w:tcW w:w="779" w:type="dxa"/>
            <w:vMerge w:val="continue"/>
            <w:tcBorders>
              <w:left w:val="nil"/>
              <w:bottom w:val="single" w:color="auto" w:sz="4" w:space="0"/>
              <w:right w:val="single" w:color="auto" w:sz="4" w:space="0"/>
            </w:tcBorders>
            <w:noWrap w:val="0"/>
            <w:vAlign w:val="center"/>
          </w:tcPr>
          <w:p w14:paraId="75E2BEDD">
            <w:pPr>
              <w:rPr>
                <w:rFonts w:hint="eastAsia" w:ascii="宋体" w:hAnsi="宋体" w:eastAsia="宋体" w:cs="宋体"/>
                <w:b w:val="0"/>
                <w:bCs w:val="0"/>
                <w:color w:val="auto"/>
                <w:sz w:val="20"/>
                <w:szCs w:val="20"/>
                <w:highlight w:val="none"/>
              </w:rPr>
            </w:pPr>
          </w:p>
        </w:tc>
      </w:tr>
      <w:tr w14:paraId="48C0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jc w:val="center"/>
        </w:trPr>
        <w:tc>
          <w:tcPr>
            <w:tcW w:w="645" w:type="dxa"/>
            <w:tcBorders>
              <w:left w:val="single" w:color="auto" w:sz="4" w:space="0"/>
              <w:right w:val="single" w:color="auto" w:sz="4" w:space="0"/>
            </w:tcBorders>
            <w:noWrap w:val="0"/>
            <w:vAlign w:val="center"/>
          </w:tcPr>
          <w:p w14:paraId="14A65A3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981" w:type="dxa"/>
            <w:tcBorders>
              <w:left w:val="nil"/>
              <w:right w:val="single" w:color="auto" w:sz="4" w:space="0"/>
            </w:tcBorders>
            <w:noWrap w:val="0"/>
            <w:vAlign w:val="center"/>
          </w:tcPr>
          <w:p w14:paraId="012F246E">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车门、门框、迎宾挡泥板上无污渍</w:t>
            </w:r>
            <w:r>
              <w:rPr>
                <w:rFonts w:hint="eastAsia" w:ascii="宋体" w:hAnsi="宋体" w:eastAsia="宋体" w:cs="宋体"/>
                <w:b w:val="0"/>
                <w:bCs w:val="0"/>
                <w:color w:val="auto"/>
                <w:sz w:val="20"/>
                <w:szCs w:val="20"/>
                <w:highlight w:val="none"/>
                <w:lang w:eastAsia="zh-CN"/>
              </w:rPr>
              <w:t>。</w:t>
            </w:r>
          </w:p>
        </w:tc>
        <w:tc>
          <w:tcPr>
            <w:tcW w:w="1005" w:type="dxa"/>
            <w:tcBorders>
              <w:left w:val="nil"/>
              <w:right w:val="single" w:color="auto" w:sz="4" w:space="0"/>
            </w:tcBorders>
            <w:noWrap w:val="0"/>
            <w:vAlign w:val="center"/>
          </w:tcPr>
          <w:p w14:paraId="1EA469C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782" w:type="dxa"/>
            <w:vMerge w:val="continue"/>
            <w:tcBorders>
              <w:left w:val="nil"/>
              <w:bottom w:val="single" w:color="auto" w:sz="4" w:space="0"/>
              <w:right w:val="single" w:color="auto" w:sz="4" w:space="0"/>
            </w:tcBorders>
            <w:noWrap w:val="0"/>
            <w:vAlign w:val="center"/>
          </w:tcPr>
          <w:p w14:paraId="15C2347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p>
        </w:tc>
        <w:tc>
          <w:tcPr>
            <w:tcW w:w="934" w:type="dxa"/>
            <w:tcBorders>
              <w:top w:val="single" w:color="auto" w:sz="4" w:space="0"/>
              <w:left w:val="nil"/>
              <w:bottom w:val="single" w:color="auto" w:sz="4" w:space="0"/>
              <w:right w:val="single" w:color="auto" w:sz="4" w:space="0"/>
            </w:tcBorders>
            <w:noWrap w:val="0"/>
            <w:vAlign w:val="center"/>
          </w:tcPr>
          <w:p w14:paraId="009C08F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en-US" w:eastAsia="zh-CN"/>
              </w:rPr>
              <w:t>-2分/次</w:t>
            </w:r>
          </w:p>
        </w:tc>
        <w:tc>
          <w:tcPr>
            <w:tcW w:w="750" w:type="dxa"/>
            <w:tcBorders>
              <w:top w:val="single" w:color="auto" w:sz="4" w:space="0"/>
              <w:left w:val="nil"/>
              <w:bottom w:val="single" w:color="auto" w:sz="4" w:space="0"/>
              <w:right w:val="single" w:color="auto" w:sz="4" w:space="0"/>
            </w:tcBorders>
            <w:noWrap w:val="0"/>
            <w:vAlign w:val="top"/>
          </w:tcPr>
          <w:p w14:paraId="4641995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0F7E27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124F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645" w:type="dxa"/>
            <w:tcBorders>
              <w:left w:val="single" w:color="auto" w:sz="4" w:space="0"/>
              <w:right w:val="single" w:color="auto" w:sz="4" w:space="0"/>
            </w:tcBorders>
            <w:noWrap w:val="0"/>
            <w:vAlign w:val="center"/>
          </w:tcPr>
          <w:p w14:paraId="5DB72A5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5</w:t>
            </w:r>
          </w:p>
        </w:tc>
        <w:tc>
          <w:tcPr>
            <w:tcW w:w="2981" w:type="dxa"/>
            <w:tcBorders>
              <w:left w:val="nil"/>
              <w:right w:val="single" w:color="auto" w:sz="4" w:space="0"/>
            </w:tcBorders>
            <w:noWrap w:val="0"/>
            <w:vAlign w:val="center"/>
          </w:tcPr>
          <w:p w14:paraId="1606FE6D">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清洗地毯、烟缸</w:t>
            </w:r>
            <w:r>
              <w:rPr>
                <w:rFonts w:hint="eastAsia" w:ascii="宋体" w:hAnsi="宋体" w:eastAsia="宋体" w:cs="宋体"/>
                <w:b w:val="0"/>
                <w:bCs w:val="0"/>
                <w:color w:val="auto"/>
                <w:sz w:val="20"/>
                <w:szCs w:val="20"/>
                <w:highlight w:val="none"/>
                <w:lang w:eastAsia="zh-CN"/>
              </w:rPr>
              <w:t>。</w:t>
            </w:r>
          </w:p>
        </w:tc>
        <w:tc>
          <w:tcPr>
            <w:tcW w:w="1005" w:type="dxa"/>
            <w:tcBorders>
              <w:left w:val="nil"/>
              <w:right w:val="single" w:color="auto" w:sz="4" w:space="0"/>
            </w:tcBorders>
            <w:noWrap w:val="0"/>
            <w:vAlign w:val="center"/>
          </w:tcPr>
          <w:p w14:paraId="152D9EB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782" w:type="dxa"/>
            <w:tcBorders>
              <w:top w:val="single" w:color="auto" w:sz="4" w:space="0"/>
              <w:left w:val="nil"/>
              <w:bottom w:val="single" w:color="auto" w:sz="4" w:space="0"/>
              <w:right w:val="single" w:color="auto" w:sz="4" w:space="0"/>
            </w:tcBorders>
            <w:noWrap w:val="0"/>
            <w:vAlign w:val="center"/>
          </w:tcPr>
          <w:p w14:paraId="2B39995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清洁完毕后的车辆地毯仍有可清除的污渍，烟缸仍有烟灰、烟头未清理，经</w:t>
            </w:r>
            <w:r>
              <w:rPr>
                <w:rFonts w:hint="eastAsia" w:ascii="宋体" w:hAnsi="宋体" w:cs="宋体"/>
                <w:b w:val="0"/>
                <w:bCs w:val="0"/>
                <w:color w:val="auto"/>
                <w:sz w:val="20"/>
                <w:szCs w:val="20"/>
                <w:highlight w:val="none"/>
                <w:u w:val="none"/>
                <w:lang w:val="en-US" w:eastAsia="zh-CN"/>
              </w:rPr>
              <w:t>采购方</w:t>
            </w:r>
            <w:r>
              <w:rPr>
                <w:rFonts w:hint="eastAsia" w:ascii="宋体" w:hAnsi="宋体" w:eastAsia="宋体" w:cs="宋体"/>
                <w:b w:val="0"/>
                <w:bCs w:val="0"/>
                <w:color w:val="auto"/>
                <w:sz w:val="20"/>
                <w:szCs w:val="20"/>
                <w:highlight w:val="none"/>
                <w:u w:val="none"/>
                <w:lang w:val="en-US" w:eastAsia="zh-CN"/>
              </w:rPr>
              <w:t>当场催告整改后仍不履行。</w:t>
            </w:r>
          </w:p>
        </w:tc>
        <w:tc>
          <w:tcPr>
            <w:tcW w:w="934" w:type="dxa"/>
            <w:tcBorders>
              <w:top w:val="single" w:color="auto" w:sz="4" w:space="0"/>
              <w:left w:val="nil"/>
              <w:bottom w:val="single" w:color="auto" w:sz="4" w:space="0"/>
              <w:right w:val="single" w:color="auto" w:sz="4" w:space="0"/>
            </w:tcBorders>
            <w:noWrap w:val="0"/>
            <w:vAlign w:val="center"/>
          </w:tcPr>
          <w:p w14:paraId="0C45805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-2分/次</w:t>
            </w:r>
          </w:p>
        </w:tc>
        <w:tc>
          <w:tcPr>
            <w:tcW w:w="750" w:type="dxa"/>
            <w:tcBorders>
              <w:top w:val="single" w:color="auto" w:sz="4" w:space="0"/>
              <w:left w:val="nil"/>
              <w:bottom w:val="single" w:color="auto" w:sz="4" w:space="0"/>
              <w:right w:val="single" w:color="auto" w:sz="4" w:space="0"/>
            </w:tcBorders>
            <w:noWrap w:val="0"/>
            <w:vAlign w:val="top"/>
          </w:tcPr>
          <w:p w14:paraId="5CA6F3D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C737EC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308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645" w:type="dxa"/>
            <w:tcBorders>
              <w:left w:val="single" w:color="auto" w:sz="4" w:space="0"/>
              <w:right w:val="single" w:color="auto" w:sz="4" w:space="0"/>
            </w:tcBorders>
            <w:noWrap w:val="0"/>
            <w:vAlign w:val="center"/>
          </w:tcPr>
          <w:p w14:paraId="0B745F1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6</w:t>
            </w:r>
          </w:p>
        </w:tc>
        <w:tc>
          <w:tcPr>
            <w:tcW w:w="2981" w:type="dxa"/>
            <w:tcBorders>
              <w:left w:val="nil"/>
              <w:right w:val="single" w:color="auto" w:sz="4" w:space="0"/>
            </w:tcBorders>
            <w:noWrap w:val="0"/>
            <w:vAlign w:val="center"/>
          </w:tcPr>
          <w:p w14:paraId="4F8D5A7E">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反光镜</w:t>
            </w:r>
            <w:r>
              <w:rPr>
                <w:rFonts w:hint="eastAsia" w:ascii="宋体" w:hAnsi="宋体" w:eastAsia="宋体" w:cs="宋体"/>
                <w:b w:val="0"/>
                <w:bCs w:val="0"/>
                <w:color w:val="auto"/>
                <w:sz w:val="20"/>
                <w:szCs w:val="20"/>
                <w:highlight w:val="none"/>
                <w:lang w:val="en-US" w:eastAsia="zh-CN"/>
              </w:rPr>
              <w:t>干净</w:t>
            </w:r>
            <w:r>
              <w:rPr>
                <w:rFonts w:hint="eastAsia" w:ascii="宋体" w:hAnsi="宋体" w:eastAsia="宋体" w:cs="宋体"/>
                <w:b w:val="0"/>
                <w:bCs w:val="0"/>
                <w:color w:val="auto"/>
                <w:sz w:val="20"/>
                <w:szCs w:val="20"/>
                <w:highlight w:val="none"/>
              </w:rPr>
              <w:t>且不滴水</w:t>
            </w:r>
            <w:r>
              <w:rPr>
                <w:rFonts w:hint="eastAsia" w:ascii="宋体" w:hAnsi="宋体" w:eastAsia="宋体" w:cs="宋体"/>
                <w:b w:val="0"/>
                <w:bCs w:val="0"/>
                <w:color w:val="auto"/>
                <w:sz w:val="20"/>
                <w:szCs w:val="20"/>
                <w:highlight w:val="none"/>
                <w:lang w:eastAsia="zh-CN"/>
              </w:rPr>
              <w:t>。</w:t>
            </w:r>
          </w:p>
        </w:tc>
        <w:tc>
          <w:tcPr>
            <w:tcW w:w="1005" w:type="dxa"/>
            <w:tcBorders>
              <w:left w:val="nil"/>
              <w:right w:val="single" w:color="auto" w:sz="4" w:space="0"/>
            </w:tcBorders>
            <w:noWrap w:val="0"/>
            <w:vAlign w:val="center"/>
          </w:tcPr>
          <w:p w14:paraId="699576A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5</w:t>
            </w:r>
          </w:p>
        </w:tc>
        <w:tc>
          <w:tcPr>
            <w:tcW w:w="2782" w:type="dxa"/>
            <w:tcBorders>
              <w:top w:val="single" w:color="auto" w:sz="4" w:space="0"/>
              <w:left w:val="nil"/>
              <w:bottom w:val="single" w:color="auto" w:sz="4" w:space="0"/>
              <w:right w:val="single" w:color="auto" w:sz="4" w:space="0"/>
            </w:tcBorders>
            <w:noWrap w:val="0"/>
            <w:vAlign w:val="center"/>
          </w:tcPr>
          <w:p w14:paraId="2EE7F55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清洁完毕后的车辆反光镜有大量滴水，经</w:t>
            </w:r>
            <w:r>
              <w:rPr>
                <w:rFonts w:hint="eastAsia" w:ascii="宋体" w:hAnsi="宋体" w:cs="宋体"/>
                <w:b w:val="0"/>
                <w:bCs w:val="0"/>
                <w:color w:val="auto"/>
                <w:sz w:val="20"/>
                <w:szCs w:val="20"/>
                <w:highlight w:val="none"/>
                <w:u w:val="none"/>
                <w:lang w:val="en-US" w:eastAsia="zh-CN"/>
              </w:rPr>
              <w:t>采购方</w:t>
            </w:r>
            <w:r>
              <w:rPr>
                <w:rFonts w:hint="eastAsia" w:ascii="宋体" w:hAnsi="宋体" w:eastAsia="宋体" w:cs="宋体"/>
                <w:b w:val="0"/>
                <w:bCs w:val="0"/>
                <w:color w:val="auto"/>
                <w:sz w:val="20"/>
                <w:szCs w:val="20"/>
                <w:highlight w:val="none"/>
                <w:u w:val="none"/>
                <w:lang w:val="en-US" w:eastAsia="zh-CN"/>
              </w:rPr>
              <w:t>当场催告整改后仍不履行。</w:t>
            </w:r>
          </w:p>
        </w:tc>
        <w:tc>
          <w:tcPr>
            <w:tcW w:w="934" w:type="dxa"/>
            <w:tcBorders>
              <w:top w:val="single" w:color="auto" w:sz="4" w:space="0"/>
              <w:left w:val="nil"/>
              <w:bottom w:val="single" w:color="auto" w:sz="4" w:space="0"/>
              <w:right w:val="single" w:color="auto" w:sz="4" w:space="0"/>
            </w:tcBorders>
            <w:noWrap w:val="0"/>
            <w:vAlign w:val="center"/>
          </w:tcPr>
          <w:p w14:paraId="7F2A103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-2分/次</w:t>
            </w:r>
          </w:p>
        </w:tc>
        <w:tc>
          <w:tcPr>
            <w:tcW w:w="750" w:type="dxa"/>
            <w:tcBorders>
              <w:top w:val="single" w:color="auto" w:sz="4" w:space="0"/>
              <w:left w:val="nil"/>
              <w:bottom w:val="single" w:color="auto" w:sz="4" w:space="0"/>
              <w:right w:val="single" w:color="auto" w:sz="4" w:space="0"/>
            </w:tcBorders>
            <w:noWrap w:val="0"/>
            <w:vAlign w:val="top"/>
          </w:tcPr>
          <w:p w14:paraId="3C62AA3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4EC41F6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2F318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5" w:hRule="atLeast"/>
          <w:jc w:val="center"/>
        </w:trPr>
        <w:tc>
          <w:tcPr>
            <w:tcW w:w="645" w:type="dxa"/>
            <w:tcBorders>
              <w:left w:val="single" w:color="auto" w:sz="4" w:space="0"/>
              <w:right w:val="single" w:color="auto" w:sz="4" w:space="0"/>
            </w:tcBorders>
            <w:noWrap w:val="0"/>
            <w:vAlign w:val="center"/>
          </w:tcPr>
          <w:p w14:paraId="67F9975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7</w:t>
            </w:r>
          </w:p>
        </w:tc>
        <w:tc>
          <w:tcPr>
            <w:tcW w:w="2981" w:type="dxa"/>
            <w:tcBorders>
              <w:left w:val="nil"/>
              <w:right w:val="single" w:color="auto" w:sz="4" w:space="0"/>
            </w:tcBorders>
            <w:noWrap w:val="0"/>
            <w:vAlign w:val="center"/>
          </w:tcPr>
          <w:p w14:paraId="2B1A627C">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钢圈上无用毛巾就可擦去的污渍</w:t>
            </w:r>
            <w:r>
              <w:rPr>
                <w:rFonts w:hint="eastAsia" w:ascii="宋体" w:hAnsi="宋体" w:eastAsia="宋体" w:cs="宋体"/>
                <w:b w:val="0"/>
                <w:bCs w:val="0"/>
                <w:color w:val="auto"/>
                <w:sz w:val="20"/>
                <w:szCs w:val="20"/>
                <w:highlight w:val="none"/>
                <w:lang w:eastAsia="zh-CN"/>
              </w:rPr>
              <w:t>。</w:t>
            </w:r>
          </w:p>
        </w:tc>
        <w:tc>
          <w:tcPr>
            <w:tcW w:w="1005" w:type="dxa"/>
            <w:tcBorders>
              <w:left w:val="nil"/>
              <w:right w:val="single" w:color="auto" w:sz="4" w:space="0"/>
            </w:tcBorders>
            <w:noWrap w:val="0"/>
            <w:vAlign w:val="center"/>
          </w:tcPr>
          <w:p w14:paraId="7DBE675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782" w:type="dxa"/>
            <w:tcBorders>
              <w:top w:val="single" w:color="auto" w:sz="4" w:space="0"/>
              <w:left w:val="nil"/>
              <w:bottom w:val="single" w:color="auto" w:sz="4" w:space="0"/>
              <w:right w:val="single" w:color="auto" w:sz="4" w:space="0"/>
            </w:tcBorders>
            <w:noWrap w:val="0"/>
            <w:vAlign w:val="center"/>
          </w:tcPr>
          <w:p w14:paraId="755C665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清洁完毕后的车辆有大量泡沫未清理，经</w:t>
            </w:r>
            <w:r>
              <w:rPr>
                <w:rFonts w:hint="eastAsia" w:ascii="宋体" w:hAnsi="宋体" w:cs="宋体"/>
                <w:b w:val="0"/>
                <w:bCs w:val="0"/>
                <w:color w:val="auto"/>
                <w:sz w:val="20"/>
                <w:szCs w:val="20"/>
                <w:highlight w:val="none"/>
                <w:u w:val="none"/>
                <w:lang w:val="en-US" w:eastAsia="zh-CN"/>
              </w:rPr>
              <w:t>采购方</w:t>
            </w:r>
            <w:r>
              <w:rPr>
                <w:rFonts w:hint="eastAsia" w:ascii="宋体" w:hAnsi="宋体" w:eastAsia="宋体" w:cs="宋体"/>
                <w:b w:val="0"/>
                <w:bCs w:val="0"/>
                <w:color w:val="auto"/>
                <w:sz w:val="20"/>
                <w:szCs w:val="20"/>
                <w:highlight w:val="none"/>
                <w:u w:val="none"/>
                <w:lang w:val="en-US" w:eastAsia="zh-CN"/>
              </w:rPr>
              <w:t>当场催告整改后仍不履行。</w:t>
            </w:r>
          </w:p>
        </w:tc>
        <w:tc>
          <w:tcPr>
            <w:tcW w:w="934" w:type="dxa"/>
            <w:tcBorders>
              <w:top w:val="single" w:color="auto" w:sz="4" w:space="0"/>
              <w:left w:val="nil"/>
              <w:bottom w:val="single" w:color="auto" w:sz="4" w:space="0"/>
              <w:right w:val="single" w:color="auto" w:sz="4" w:space="0"/>
            </w:tcBorders>
            <w:noWrap w:val="0"/>
            <w:vAlign w:val="center"/>
          </w:tcPr>
          <w:p w14:paraId="72C930D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-2分/次</w:t>
            </w:r>
          </w:p>
        </w:tc>
        <w:tc>
          <w:tcPr>
            <w:tcW w:w="750" w:type="dxa"/>
            <w:tcBorders>
              <w:top w:val="single" w:color="auto" w:sz="4" w:space="0"/>
              <w:left w:val="nil"/>
              <w:bottom w:val="single" w:color="auto" w:sz="4" w:space="0"/>
              <w:right w:val="single" w:color="auto" w:sz="4" w:space="0"/>
            </w:tcBorders>
            <w:noWrap w:val="0"/>
            <w:vAlign w:val="top"/>
          </w:tcPr>
          <w:p w14:paraId="4AE5F75C">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5A6488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1665B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645" w:type="dxa"/>
            <w:tcBorders>
              <w:left w:val="single" w:color="auto" w:sz="4" w:space="0"/>
              <w:right w:val="single" w:color="auto" w:sz="4" w:space="0"/>
            </w:tcBorders>
            <w:noWrap w:val="0"/>
            <w:vAlign w:val="center"/>
          </w:tcPr>
          <w:p w14:paraId="7ED9017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8</w:t>
            </w:r>
          </w:p>
        </w:tc>
        <w:tc>
          <w:tcPr>
            <w:tcW w:w="2981" w:type="dxa"/>
            <w:tcBorders>
              <w:left w:val="nil"/>
              <w:right w:val="single" w:color="auto" w:sz="4" w:space="0"/>
            </w:tcBorders>
            <w:noWrap w:val="0"/>
            <w:vAlign w:val="center"/>
          </w:tcPr>
          <w:p w14:paraId="38B7B1C3">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清理车内杂物、垃圾</w:t>
            </w:r>
            <w:r>
              <w:rPr>
                <w:rFonts w:hint="eastAsia" w:ascii="宋体" w:hAnsi="宋体" w:eastAsia="宋体" w:cs="宋体"/>
                <w:b w:val="0"/>
                <w:bCs w:val="0"/>
                <w:color w:val="auto"/>
                <w:sz w:val="20"/>
                <w:szCs w:val="20"/>
                <w:highlight w:val="none"/>
                <w:lang w:eastAsia="zh-CN"/>
              </w:rPr>
              <w:t>。</w:t>
            </w:r>
          </w:p>
        </w:tc>
        <w:tc>
          <w:tcPr>
            <w:tcW w:w="1005" w:type="dxa"/>
            <w:tcBorders>
              <w:left w:val="nil"/>
              <w:right w:val="single" w:color="auto" w:sz="4" w:space="0"/>
            </w:tcBorders>
            <w:noWrap w:val="0"/>
            <w:vAlign w:val="center"/>
          </w:tcPr>
          <w:p w14:paraId="11E26B9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782" w:type="dxa"/>
            <w:tcBorders>
              <w:top w:val="single" w:color="auto" w:sz="4" w:space="0"/>
              <w:left w:val="nil"/>
              <w:bottom w:val="single" w:color="auto" w:sz="4" w:space="0"/>
              <w:right w:val="single" w:color="auto" w:sz="4" w:space="0"/>
            </w:tcBorders>
            <w:noWrap w:val="0"/>
            <w:vAlign w:val="center"/>
          </w:tcPr>
          <w:p w14:paraId="15A8809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清洁完毕后的车辆内有杂物、垃圾，经</w:t>
            </w:r>
            <w:r>
              <w:rPr>
                <w:rFonts w:hint="eastAsia" w:ascii="宋体" w:hAnsi="宋体" w:cs="宋体"/>
                <w:b w:val="0"/>
                <w:bCs w:val="0"/>
                <w:color w:val="auto"/>
                <w:sz w:val="20"/>
                <w:szCs w:val="20"/>
                <w:highlight w:val="none"/>
                <w:u w:val="none"/>
                <w:lang w:val="en-US" w:eastAsia="zh-CN"/>
              </w:rPr>
              <w:t>采购方</w:t>
            </w:r>
            <w:r>
              <w:rPr>
                <w:rFonts w:hint="eastAsia" w:ascii="宋体" w:hAnsi="宋体" w:eastAsia="宋体" w:cs="宋体"/>
                <w:b w:val="0"/>
                <w:bCs w:val="0"/>
                <w:color w:val="auto"/>
                <w:sz w:val="20"/>
                <w:szCs w:val="20"/>
                <w:highlight w:val="none"/>
                <w:u w:val="none"/>
                <w:lang w:val="en-US" w:eastAsia="zh-CN"/>
              </w:rPr>
              <w:t>当场催告整改后仍不履行。</w:t>
            </w:r>
          </w:p>
        </w:tc>
        <w:tc>
          <w:tcPr>
            <w:tcW w:w="934" w:type="dxa"/>
            <w:tcBorders>
              <w:top w:val="single" w:color="auto" w:sz="4" w:space="0"/>
              <w:left w:val="nil"/>
              <w:bottom w:val="single" w:color="auto" w:sz="4" w:space="0"/>
              <w:right w:val="single" w:color="auto" w:sz="4" w:space="0"/>
            </w:tcBorders>
            <w:noWrap w:val="0"/>
            <w:vAlign w:val="center"/>
          </w:tcPr>
          <w:p w14:paraId="6CF10AB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-2分/次</w:t>
            </w:r>
          </w:p>
        </w:tc>
        <w:tc>
          <w:tcPr>
            <w:tcW w:w="750" w:type="dxa"/>
            <w:tcBorders>
              <w:top w:val="single" w:color="auto" w:sz="4" w:space="0"/>
              <w:left w:val="nil"/>
              <w:bottom w:val="single" w:color="auto" w:sz="4" w:space="0"/>
              <w:right w:val="single" w:color="auto" w:sz="4" w:space="0"/>
            </w:tcBorders>
            <w:noWrap w:val="0"/>
            <w:vAlign w:val="top"/>
          </w:tcPr>
          <w:p w14:paraId="0A9C6EB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0805D0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3DED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645" w:type="dxa"/>
            <w:vMerge w:val="restart"/>
            <w:tcBorders>
              <w:left w:val="single" w:color="auto" w:sz="4" w:space="0"/>
              <w:right w:val="single" w:color="auto" w:sz="4" w:space="0"/>
            </w:tcBorders>
            <w:noWrap w:val="0"/>
            <w:vAlign w:val="center"/>
          </w:tcPr>
          <w:p w14:paraId="7D1CC0E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9</w:t>
            </w:r>
          </w:p>
        </w:tc>
        <w:tc>
          <w:tcPr>
            <w:tcW w:w="2981" w:type="dxa"/>
            <w:vMerge w:val="restart"/>
            <w:tcBorders>
              <w:left w:val="nil"/>
              <w:right w:val="single" w:color="auto" w:sz="4" w:space="0"/>
            </w:tcBorders>
            <w:noWrap w:val="0"/>
            <w:vAlign w:val="center"/>
          </w:tcPr>
          <w:p w14:paraId="38B88FC1">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自行做好安全措施、现场防护措施及其他相关的安全管理工作。对服务人员进行安全教育培训不少于1次。</w:t>
            </w:r>
          </w:p>
        </w:tc>
        <w:tc>
          <w:tcPr>
            <w:tcW w:w="1005" w:type="dxa"/>
            <w:vMerge w:val="restart"/>
            <w:tcBorders>
              <w:left w:val="nil"/>
              <w:right w:val="single" w:color="auto" w:sz="4" w:space="0"/>
            </w:tcBorders>
            <w:noWrap w:val="0"/>
            <w:vAlign w:val="center"/>
          </w:tcPr>
          <w:p w14:paraId="344CF48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10</w:t>
            </w:r>
          </w:p>
        </w:tc>
        <w:tc>
          <w:tcPr>
            <w:tcW w:w="2782" w:type="dxa"/>
            <w:tcBorders>
              <w:top w:val="single" w:color="auto" w:sz="4" w:space="0"/>
              <w:left w:val="nil"/>
              <w:bottom w:val="single" w:color="auto" w:sz="4" w:space="0"/>
              <w:right w:val="single" w:color="auto" w:sz="4" w:space="0"/>
            </w:tcBorders>
            <w:noWrap w:val="0"/>
            <w:vAlign w:val="center"/>
          </w:tcPr>
          <w:p w14:paraId="5C333840">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没有做好安全措施和现场防护措施。</w:t>
            </w:r>
          </w:p>
        </w:tc>
        <w:tc>
          <w:tcPr>
            <w:tcW w:w="934" w:type="dxa"/>
            <w:tcBorders>
              <w:top w:val="single" w:color="auto" w:sz="4" w:space="0"/>
              <w:left w:val="nil"/>
              <w:bottom w:val="single" w:color="auto" w:sz="4" w:space="0"/>
              <w:right w:val="single" w:color="auto" w:sz="4" w:space="0"/>
            </w:tcBorders>
            <w:noWrap w:val="0"/>
            <w:vAlign w:val="center"/>
          </w:tcPr>
          <w:p w14:paraId="2B7CD5C9">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0" w:type="dxa"/>
            <w:tcBorders>
              <w:top w:val="single" w:color="auto" w:sz="4" w:space="0"/>
              <w:left w:val="nil"/>
              <w:bottom w:val="single" w:color="auto" w:sz="4" w:space="0"/>
              <w:right w:val="single" w:color="auto" w:sz="4" w:space="0"/>
            </w:tcBorders>
            <w:noWrap w:val="0"/>
            <w:vAlign w:val="top"/>
          </w:tcPr>
          <w:p w14:paraId="516C5FB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F36BBF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5B6A9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645" w:type="dxa"/>
            <w:vMerge w:val="continue"/>
            <w:tcBorders>
              <w:left w:val="single" w:color="auto" w:sz="4" w:space="0"/>
              <w:right w:val="single" w:color="auto" w:sz="4" w:space="0"/>
            </w:tcBorders>
            <w:noWrap w:val="0"/>
            <w:vAlign w:val="center"/>
          </w:tcPr>
          <w:p w14:paraId="1DDE74F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81" w:type="dxa"/>
            <w:vMerge w:val="continue"/>
            <w:tcBorders>
              <w:left w:val="nil"/>
              <w:right w:val="single" w:color="auto" w:sz="4" w:space="0"/>
            </w:tcBorders>
            <w:noWrap w:val="0"/>
            <w:vAlign w:val="center"/>
          </w:tcPr>
          <w:p w14:paraId="1140B3F7">
            <w:pPr>
              <w:rPr>
                <w:rFonts w:hint="eastAsia" w:ascii="宋体" w:hAnsi="宋体" w:eastAsia="宋体" w:cs="宋体"/>
                <w:b w:val="0"/>
                <w:bCs w:val="0"/>
                <w:color w:val="auto"/>
                <w:sz w:val="20"/>
                <w:szCs w:val="20"/>
                <w:highlight w:val="none"/>
              </w:rPr>
            </w:pPr>
          </w:p>
        </w:tc>
        <w:tc>
          <w:tcPr>
            <w:tcW w:w="1005" w:type="dxa"/>
            <w:vMerge w:val="continue"/>
            <w:tcBorders>
              <w:left w:val="nil"/>
              <w:right w:val="single" w:color="auto" w:sz="4" w:space="0"/>
            </w:tcBorders>
            <w:noWrap w:val="0"/>
            <w:vAlign w:val="center"/>
          </w:tcPr>
          <w:p w14:paraId="384C9F6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782" w:type="dxa"/>
            <w:tcBorders>
              <w:top w:val="single" w:color="auto" w:sz="4" w:space="0"/>
              <w:left w:val="nil"/>
              <w:bottom w:val="single" w:color="auto" w:sz="4" w:space="0"/>
              <w:right w:val="single" w:color="auto" w:sz="4" w:space="0"/>
            </w:tcBorders>
            <w:noWrap w:val="0"/>
            <w:vAlign w:val="center"/>
          </w:tcPr>
          <w:p w14:paraId="4402D5D9">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未按要求开展安全教育培训。</w:t>
            </w:r>
          </w:p>
        </w:tc>
        <w:tc>
          <w:tcPr>
            <w:tcW w:w="934" w:type="dxa"/>
            <w:tcBorders>
              <w:top w:val="single" w:color="auto" w:sz="4" w:space="0"/>
              <w:left w:val="nil"/>
              <w:bottom w:val="single" w:color="auto" w:sz="4" w:space="0"/>
              <w:right w:val="single" w:color="auto" w:sz="4" w:space="0"/>
            </w:tcBorders>
            <w:noWrap w:val="0"/>
            <w:vAlign w:val="center"/>
          </w:tcPr>
          <w:p w14:paraId="34CFC66C">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0" w:type="dxa"/>
            <w:tcBorders>
              <w:top w:val="single" w:color="auto" w:sz="4" w:space="0"/>
              <w:left w:val="nil"/>
              <w:bottom w:val="single" w:color="auto" w:sz="4" w:space="0"/>
              <w:right w:val="single" w:color="auto" w:sz="4" w:space="0"/>
            </w:tcBorders>
            <w:noWrap w:val="0"/>
            <w:vAlign w:val="top"/>
          </w:tcPr>
          <w:p w14:paraId="0EF81CE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4AA4469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0350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645" w:type="dxa"/>
            <w:vMerge w:val="restart"/>
            <w:tcBorders>
              <w:left w:val="single" w:color="auto" w:sz="4" w:space="0"/>
              <w:right w:val="single" w:color="auto" w:sz="4" w:space="0"/>
            </w:tcBorders>
            <w:noWrap w:val="0"/>
            <w:vAlign w:val="center"/>
          </w:tcPr>
          <w:p w14:paraId="0873203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10</w:t>
            </w:r>
          </w:p>
        </w:tc>
        <w:tc>
          <w:tcPr>
            <w:tcW w:w="2981" w:type="dxa"/>
            <w:vMerge w:val="restart"/>
            <w:tcBorders>
              <w:left w:val="nil"/>
              <w:right w:val="single" w:color="auto" w:sz="4" w:space="0"/>
            </w:tcBorders>
            <w:noWrap w:val="0"/>
            <w:vAlign w:val="center"/>
          </w:tcPr>
          <w:p w14:paraId="4F015C91">
            <w:pPr>
              <w:rPr>
                <w:rFonts w:hint="eastAsia" w:ascii="宋体" w:hAnsi="宋体" w:eastAsia="宋体" w:cs="宋体"/>
                <w:b w:val="0"/>
                <w:bCs w:val="0"/>
                <w:color w:val="auto"/>
                <w:kern w:val="2"/>
                <w:sz w:val="20"/>
                <w:szCs w:val="20"/>
                <w:highlight w:val="none"/>
                <w:lang w:val="en-US" w:eastAsia="zh-CN" w:bidi="ar-SA"/>
              </w:rPr>
            </w:pPr>
            <w:r>
              <w:rPr>
                <w:rFonts w:hint="eastAsia" w:ascii="宋体" w:hAnsi="宋体" w:cs="宋体"/>
                <w:color w:val="auto"/>
                <w:sz w:val="20"/>
                <w:szCs w:val="20"/>
                <w:highlight w:val="none"/>
                <w:lang w:eastAsia="zh-CN"/>
              </w:rPr>
              <w:t>服务商</w:t>
            </w:r>
            <w:r>
              <w:rPr>
                <w:rFonts w:hint="eastAsia" w:ascii="宋体" w:hAnsi="宋体" w:eastAsia="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布置的工作要求、任务有落实，有反馈。</w:t>
            </w:r>
          </w:p>
        </w:tc>
        <w:tc>
          <w:tcPr>
            <w:tcW w:w="1005" w:type="dxa"/>
            <w:vMerge w:val="restart"/>
            <w:tcBorders>
              <w:left w:val="nil"/>
              <w:right w:val="single" w:color="auto" w:sz="4" w:space="0"/>
            </w:tcBorders>
            <w:noWrap w:val="0"/>
            <w:vAlign w:val="center"/>
          </w:tcPr>
          <w:p w14:paraId="6C853CE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10</w:t>
            </w:r>
          </w:p>
        </w:tc>
        <w:tc>
          <w:tcPr>
            <w:tcW w:w="2782" w:type="dxa"/>
            <w:tcBorders>
              <w:top w:val="single" w:color="auto" w:sz="4" w:space="0"/>
              <w:left w:val="nil"/>
              <w:bottom w:val="single" w:color="auto" w:sz="4" w:space="0"/>
              <w:right w:val="single" w:color="auto" w:sz="4" w:space="0"/>
            </w:tcBorders>
            <w:shd w:val="clear" w:color="auto" w:fill="auto"/>
            <w:noWrap w:val="0"/>
            <w:vAlign w:val="center"/>
          </w:tcPr>
          <w:p w14:paraId="5819C4D3">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不按时完成布置的工作</w:t>
            </w:r>
            <w:r>
              <w:rPr>
                <w:rFonts w:hint="eastAsia" w:ascii="宋体" w:hAnsi="宋体" w:eastAsia="宋体" w:cs="宋体"/>
                <w:color w:val="auto"/>
                <w:sz w:val="20"/>
                <w:szCs w:val="20"/>
                <w:highlight w:val="none"/>
                <w:lang w:eastAsia="zh-CN"/>
              </w:rPr>
              <w:t>。</w:t>
            </w:r>
          </w:p>
        </w:tc>
        <w:tc>
          <w:tcPr>
            <w:tcW w:w="934" w:type="dxa"/>
            <w:tcBorders>
              <w:top w:val="single" w:color="auto" w:sz="4" w:space="0"/>
              <w:left w:val="nil"/>
              <w:bottom w:val="single" w:color="auto" w:sz="4" w:space="0"/>
              <w:right w:val="single" w:color="auto" w:sz="4" w:space="0"/>
            </w:tcBorders>
            <w:shd w:val="clear" w:color="auto" w:fill="auto"/>
            <w:noWrap w:val="0"/>
            <w:vAlign w:val="center"/>
          </w:tcPr>
          <w:p w14:paraId="0AC90FDB">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7639C02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0A28303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50D7A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645" w:type="dxa"/>
            <w:vMerge w:val="continue"/>
            <w:tcBorders>
              <w:left w:val="single" w:color="auto" w:sz="4" w:space="0"/>
              <w:right w:val="single" w:color="auto" w:sz="4" w:space="0"/>
            </w:tcBorders>
            <w:noWrap w:val="0"/>
            <w:vAlign w:val="center"/>
          </w:tcPr>
          <w:p w14:paraId="345EA10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81" w:type="dxa"/>
            <w:vMerge w:val="continue"/>
            <w:tcBorders>
              <w:left w:val="nil"/>
              <w:right w:val="single" w:color="auto" w:sz="4" w:space="0"/>
            </w:tcBorders>
            <w:noWrap w:val="0"/>
            <w:vAlign w:val="center"/>
          </w:tcPr>
          <w:p w14:paraId="1A58635B">
            <w:pPr>
              <w:rPr>
                <w:rFonts w:hint="eastAsia" w:ascii="宋体" w:hAnsi="宋体" w:eastAsia="宋体" w:cs="宋体"/>
                <w:b w:val="0"/>
                <w:bCs w:val="0"/>
                <w:color w:val="auto"/>
                <w:sz w:val="20"/>
                <w:szCs w:val="20"/>
                <w:highlight w:val="none"/>
                <w:lang w:eastAsia="zh-CN"/>
              </w:rPr>
            </w:pPr>
          </w:p>
        </w:tc>
        <w:tc>
          <w:tcPr>
            <w:tcW w:w="1005" w:type="dxa"/>
            <w:vMerge w:val="continue"/>
            <w:tcBorders>
              <w:left w:val="nil"/>
              <w:right w:val="single" w:color="auto" w:sz="4" w:space="0"/>
            </w:tcBorders>
            <w:noWrap w:val="0"/>
            <w:vAlign w:val="center"/>
          </w:tcPr>
          <w:p w14:paraId="5D75ADC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782" w:type="dxa"/>
            <w:tcBorders>
              <w:top w:val="single" w:color="auto" w:sz="4" w:space="0"/>
              <w:left w:val="nil"/>
              <w:bottom w:val="single" w:color="auto" w:sz="4" w:space="0"/>
              <w:right w:val="single" w:color="auto" w:sz="4" w:space="0"/>
            </w:tcBorders>
            <w:shd w:val="clear" w:color="auto" w:fill="auto"/>
            <w:noWrap w:val="0"/>
            <w:vAlign w:val="center"/>
          </w:tcPr>
          <w:p w14:paraId="5F072D55">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因工作管理不到位，接收到</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发出的整改批示的文件（包括整改通知书、函件等），每发出一份</w:t>
            </w:r>
            <w:r>
              <w:rPr>
                <w:rFonts w:hint="eastAsia" w:ascii="宋体" w:hAnsi="宋体" w:eastAsia="宋体" w:cs="宋体"/>
                <w:color w:val="auto"/>
                <w:sz w:val="20"/>
                <w:szCs w:val="20"/>
                <w:highlight w:val="none"/>
                <w:lang w:eastAsia="zh-CN"/>
              </w:rPr>
              <w:t>。</w:t>
            </w:r>
          </w:p>
        </w:tc>
        <w:tc>
          <w:tcPr>
            <w:tcW w:w="934" w:type="dxa"/>
            <w:tcBorders>
              <w:top w:val="single" w:color="auto" w:sz="4" w:space="0"/>
              <w:left w:val="nil"/>
              <w:bottom w:val="single" w:color="auto" w:sz="4" w:space="0"/>
              <w:right w:val="single" w:color="auto" w:sz="4" w:space="0"/>
            </w:tcBorders>
            <w:shd w:val="clear" w:color="auto" w:fill="auto"/>
            <w:noWrap w:val="0"/>
            <w:vAlign w:val="center"/>
          </w:tcPr>
          <w:p w14:paraId="0FE71357">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份</w:t>
            </w:r>
          </w:p>
        </w:tc>
        <w:tc>
          <w:tcPr>
            <w:tcW w:w="750" w:type="dxa"/>
            <w:tcBorders>
              <w:top w:val="single" w:color="auto" w:sz="4" w:space="0"/>
              <w:left w:val="nil"/>
              <w:bottom w:val="single" w:color="auto" w:sz="4" w:space="0"/>
              <w:right w:val="single" w:color="auto" w:sz="4" w:space="0"/>
            </w:tcBorders>
            <w:noWrap w:val="0"/>
            <w:vAlign w:val="top"/>
          </w:tcPr>
          <w:p w14:paraId="1800C99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0A6AC67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0B7D0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645" w:type="dxa"/>
            <w:vMerge w:val="continue"/>
            <w:tcBorders>
              <w:left w:val="single" w:color="auto" w:sz="4" w:space="0"/>
              <w:right w:val="single" w:color="auto" w:sz="4" w:space="0"/>
            </w:tcBorders>
            <w:noWrap w:val="0"/>
            <w:vAlign w:val="center"/>
          </w:tcPr>
          <w:p w14:paraId="6B7714C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81" w:type="dxa"/>
            <w:vMerge w:val="continue"/>
            <w:tcBorders>
              <w:left w:val="nil"/>
              <w:right w:val="single" w:color="auto" w:sz="4" w:space="0"/>
            </w:tcBorders>
            <w:noWrap w:val="0"/>
            <w:vAlign w:val="center"/>
          </w:tcPr>
          <w:p w14:paraId="58A474DB">
            <w:pPr>
              <w:rPr>
                <w:rFonts w:hint="eastAsia" w:ascii="宋体" w:hAnsi="宋体" w:eastAsia="宋体" w:cs="宋体"/>
                <w:b w:val="0"/>
                <w:bCs w:val="0"/>
                <w:color w:val="auto"/>
                <w:sz w:val="20"/>
                <w:szCs w:val="20"/>
                <w:highlight w:val="none"/>
              </w:rPr>
            </w:pPr>
          </w:p>
        </w:tc>
        <w:tc>
          <w:tcPr>
            <w:tcW w:w="1005" w:type="dxa"/>
            <w:vMerge w:val="continue"/>
            <w:tcBorders>
              <w:left w:val="nil"/>
              <w:right w:val="single" w:color="auto" w:sz="4" w:space="0"/>
            </w:tcBorders>
            <w:noWrap w:val="0"/>
            <w:vAlign w:val="center"/>
          </w:tcPr>
          <w:p w14:paraId="6A2CB9D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782" w:type="dxa"/>
            <w:tcBorders>
              <w:top w:val="single" w:color="auto" w:sz="4" w:space="0"/>
              <w:left w:val="nil"/>
              <w:bottom w:val="single" w:color="auto" w:sz="4" w:space="0"/>
              <w:right w:val="single" w:color="auto" w:sz="4" w:space="0"/>
            </w:tcBorders>
            <w:shd w:val="clear" w:color="auto" w:fill="auto"/>
            <w:noWrap w:val="0"/>
            <w:vAlign w:val="center"/>
          </w:tcPr>
          <w:p w14:paraId="2CF3AF37">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因工作执行不到位，对</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照成重大不良影响，每出现一项。</w:t>
            </w:r>
          </w:p>
        </w:tc>
        <w:tc>
          <w:tcPr>
            <w:tcW w:w="934" w:type="dxa"/>
            <w:tcBorders>
              <w:top w:val="single" w:color="auto" w:sz="4" w:space="0"/>
              <w:left w:val="nil"/>
              <w:bottom w:val="single" w:color="auto" w:sz="4" w:space="0"/>
              <w:right w:val="single" w:color="auto" w:sz="4" w:space="0"/>
            </w:tcBorders>
            <w:shd w:val="clear" w:color="auto" w:fill="auto"/>
            <w:noWrap w:val="0"/>
            <w:vAlign w:val="center"/>
          </w:tcPr>
          <w:p w14:paraId="1A615672">
            <w:pPr>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-5至-10分/项</w:t>
            </w:r>
          </w:p>
        </w:tc>
        <w:tc>
          <w:tcPr>
            <w:tcW w:w="750" w:type="dxa"/>
            <w:tcBorders>
              <w:top w:val="single" w:color="auto" w:sz="4" w:space="0"/>
              <w:left w:val="nil"/>
              <w:bottom w:val="single" w:color="auto" w:sz="4" w:space="0"/>
              <w:right w:val="single" w:color="auto" w:sz="4" w:space="0"/>
            </w:tcBorders>
            <w:noWrap w:val="0"/>
            <w:vAlign w:val="top"/>
          </w:tcPr>
          <w:p w14:paraId="1CB3D03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0C4820C">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1C37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jc w:val="center"/>
        </w:trPr>
        <w:tc>
          <w:tcPr>
            <w:tcW w:w="9876" w:type="dxa"/>
            <w:gridSpan w:val="7"/>
            <w:tcBorders>
              <w:left w:val="single" w:color="auto" w:sz="4" w:space="0"/>
              <w:right w:val="single" w:color="auto" w:sz="4" w:space="0"/>
            </w:tcBorders>
            <w:noWrap w:val="0"/>
            <w:vAlign w:val="center"/>
          </w:tcPr>
          <w:p w14:paraId="7F9BDF0F">
            <w:pPr>
              <w:adjustRightInd w:val="0"/>
              <w:snapToGrid w:val="0"/>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考核得分：</w:t>
            </w:r>
          </w:p>
        </w:tc>
      </w:tr>
      <w:tr w14:paraId="500C9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4" w:hRule="atLeast"/>
          <w:jc w:val="center"/>
        </w:trPr>
        <w:tc>
          <w:tcPr>
            <w:tcW w:w="9876" w:type="dxa"/>
            <w:gridSpan w:val="7"/>
            <w:tcBorders>
              <w:left w:val="single" w:color="auto" w:sz="4" w:space="0"/>
              <w:right w:val="single" w:color="auto" w:sz="4" w:space="0"/>
            </w:tcBorders>
            <w:noWrap w:val="0"/>
            <w:vAlign w:val="center"/>
          </w:tcPr>
          <w:p w14:paraId="5B8E183D">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26FC44D9">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3AD8CC29">
            <w:pPr>
              <w:adjustRightInd w:val="0"/>
              <w:snapToGrid w:val="0"/>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日期：</w:t>
            </w:r>
          </w:p>
        </w:tc>
      </w:tr>
    </w:tbl>
    <w:p w14:paraId="506BC1F0">
      <w:pPr>
        <w:pStyle w:val="4"/>
        <w:keepNext/>
        <w:keepLines/>
        <w:pageBreakBefore w:val="0"/>
        <w:widowControl w:val="0"/>
        <w:kinsoku/>
        <w:wordWrap/>
        <w:overflowPunct/>
        <w:topLinePunct w:val="0"/>
        <w:autoSpaceDE/>
        <w:autoSpaceDN/>
        <w:bidi w:val="0"/>
        <w:adjustRightInd/>
        <w:snapToGrid/>
        <w:spacing w:before="0" w:after="0" w:line="580" w:lineRule="exact"/>
        <w:jc w:val="both"/>
        <w:textAlignment w:val="auto"/>
        <w:outlineLvl w:val="9"/>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w:t>
      </w:r>
    </w:p>
    <w:p w14:paraId="42AEE90D">
      <w:pPr>
        <w:pStyle w:val="4"/>
        <w:keepNext/>
        <w:keepLines/>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bCs w:val="0"/>
          <w:color w:val="auto"/>
          <w:sz w:val="20"/>
          <w:szCs w:val="20"/>
          <w:highlight w:val="none"/>
          <w:lang w:val="en-US" w:eastAsia="zh-CN"/>
        </w:rPr>
      </w:pPr>
      <w:bookmarkStart w:id="247" w:name="_Toc8550"/>
      <w:bookmarkStart w:id="248" w:name="_Toc1499"/>
      <w:bookmarkStart w:id="249" w:name="_Toc18819"/>
      <w:r>
        <w:rPr>
          <w:rFonts w:hint="eastAsia" w:ascii="宋体" w:hAnsi="宋体" w:eastAsia="宋体" w:cs="宋体"/>
          <w:b/>
          <w:bCs w:val="0"/>
          <w:color w:val="auto"/>
          <w:sz w:val="20"/>
          <w:szCs w:val="20"/>
          <w:highlight w:val="none"/>
          <w:lang w:val="en-US" w:eastAsia="zh-CN"/>
        </w:rPr>
        <w:t>（六）</w:t>
      </w:r>
      <w:r>
        <w:rPr>
          <w:rFonts w:hint="eastAsia" w:ascii="宋体" w:hAnsi="宋体" w:cs="宋体"/>
          <w:color w:val="auto"/>
          <w:kern w:val="0"/>
          <w:sz w:val="20"/>
          <w:szCs w:val="20"/>
          <w:highlight w:val="none"/>
          <w:lang w:val="en-US" w:eastAsia="zh-CN"/>
        </w:rPr>
        <w:t>窗帘布艺清洗服务</w:t>
      </w:r>
      <w:r>
        <w:rPr>
          <w:rFonts w:hint="eastAsia" w:ascii="宋体" w:hAnsi="宋体" w:eastAsia="宋体" w:cs="宋体"/>
          <w:b/>
          <w:bCs w:val="0"/>
          <w:color w:val="auto"/>
          <w:sz w:val="20"/>
          <w:szCs w:val="20"/>
          <w:highlight w:val="none"/>
          <w:lang w:val="en-US" w:eastAsia="zh-CN"/>
        </w:rPr>
        <w:t>项目</w:t>
      </w:r>
      <w:bookmarkEnd w:id="247"/>
      <w:bookmarkEnd w:id="248"/>
      <w:bookmarkEnd w:id="249"/>
    </w:p>
    <w:p w14:paraId="0E398617">
      <w:pPr>
        <w:keepNext w:val="0"/>
        <w:keepLines w:val="0"/>
        <w:pageBreakBefore w:val="0"/>
        <w:widowControl w:val="0"/>
        <w:kinsoku/>
        <w:wordWrap/>
        <w:overflowPunct/>
        <w:topLinePunct w:val="0"/>
        <w:autoSpaceDE/>
        <w:autoSpaceDN/>
        <w:bidi w:val="0"/>
        <w:adjustRightInd/>
        <w:snapToGrid/>
        <w:spacing w:line="240" w:lineRule="auto"/>
        <w:ind w:firstLine="402" w:firstLineChars="200"/>
        <w:outlineLvl w:val="0"/>
        <w:rPr>
          <w:rFonts w:hint="eastAsia" w:ascii="宋体" w:hAnsi="宋体" w:eastAsia="宋体" w:cs="宋体"/>
          <w:b/>
          <w:bCs/>
          <w:color w:val="auto"/>
          <w:sz w:val="20"/>
          <w:szCs w:val="20"/>
          <w:highlight w:val="none"/>
        </w:rPr>
      </w:pPr>
      <w:bookmarkStart w:id="250" w:name="_Toc25805"/>
      <w:bookmarkStart w:id="251" w:name="_Toc8056"/>
      <w:bookmarkStart w:id="252" w:name="_Toc14487"/>
      <w:r>
        <w:rPr>
          <w:rFonts w:hint="eastAsia" w:ascii="宋体" w:hAnsi="宋体" w:eastAsia="宋体" w:cs="宋体"/>
          <w:b/>
          <w:bCs/>
          <w:color w:val="auto"/>
          <w:sz w:val="20"/>
          <w:szCs w:val="20"/>
          <w:highlight w:val="none"/>
          <w:lang w:val="en-US" w:eastAsia="zh-CN"/>
        </w:rPr>
        <w:t>1.</w:t>
      </w:r>
      <w:r>
        <w:rPr>
          <w:rFonts w:hint="eastAsia" w:ascii="宋体" w:hAnsi="宋体" w:eastAsia="宋体" w:cs="宋体"/>
          <w:b/>
          <w:bCs/>
          <w:color w:val="auto"/>
          <w:sz w:val="20"/>
          <w:szCs w:val="20"/>
          <w:highlight w:val="none"/>
        </w:rPr>
        <w:t>项目服务标准及要求</w:t>
      </w:r>
      <w:bookmarkEnd w:id="250"/>
      <w:bookmarkEnd w:id="251"/>
      <w:bookmarkEnd w:id="252"/>
    </w:p>
    <w:p w14:paraId="33129317">
      <w:pPr>
        <w:keepNext w:val="0"/>
        <w:keepLines w:val="0"/>
        <w:pageBreakBefore w:val="0"/>
        <w:widowControl w:val="0"/>
        <w:kinsoku/>
        <w:wordWrap/>
        <w:overflowPunct/>
        <w:topLinePunct w:val="0"/>
        <w:autoSpaceDE/>
        <w:autoSpaceDN/>
        <w:bidi w:val="0"/>
        <w:adjustRightInd/>
        <w:snapToGrid/>
        <w:spacing w:line="240" w:lineRule="auto"/>
        <w:ind w:firstLine="402" w:firstLineChars="200"/>
        <w:outlineLvl w:val="1"/>
        <w:rPr>
          <w:rFonts w:hint="eastAsia" w:ascii="宋体" w:hAnsi="宋体" w:eastAsia="宋体" w:cs="宋体"/>
          <w:b/>
          <w:bCs/>
          <w:color w:val="auto"/>
          <w:sz w:val="20"/>
          <w:szCs w:val="20"/>
          <w:highlight w:val="none"/>
        </w:rPr>
      </w:pPr>
      <w:bookmarkStart w:id="253" w:name="_Toc20142"/>
      <w:bookmarkStart w:id="254" w:name="_Toc13683"/>
      <w:bookmarkStart w:id="255" w:name="_Toc5096"/>
      <w:bookmarkStart w:id="256" w:name="_Toc26009"/>
      <w:bookmarkStart w:id="257" w:name="_Toc25093"/>
      <w:bookmarkStart w:id="258" w:name="_Toc15079"/>
      <w:bookmarkStart w:id="259" w:name="_Toc27611"/>
      <w:r>
        <w:rPr>
          <w:rFonts w:hint="eastAsia" w:ascii="宋体" w:hAnsi="宋体" w:eastAsia="宋体" w:cs="宋体"/>
          <w:b/>
          <w:bCs/>
          <w:color w:val="auto"/>
          <w:sz w:val="20"/>
          <w:szCs w:val="20"/>
          <w:highlight w:val="none"/>
          <w:lang w:val="en-US" w:eastAsia="zh-CN"/>
        </w:rPr>
        <w:t>1.1</w:t>
      </w:r>
      <w:r>
        <w:rPr>
          <w:rFonts w:hint="eastAsia" w:ascii="宋体" w:hAnsi="宋体" w:eastAsia="宋体" w:cs="宋体"/>
          <w:b/>
          <w:bCs/>
          <w:color w:val="auto"/>
          <w:sz w:val="20"/>
          <w:szCs w:val="20"/>
          <w:highlight w:val="none"/>
        </w:rPr>
        <w:t>项目服务标准</w:t>
      </w:r>
      <w:bookmarkEnd w:id="253"/>
      <w:bookmarkEnd w:id="254"/>
      <w:bookmarkEnd w:id="255"/>
      <w:bookmarkEnd w:id="256"/>
      <w:bookmarkEnd w:id="257"/>
      <w:bookmarkEnd w:id="258"/>
      <w:bookmarkEnd w:id="259"/>
    </w:p>
    <w:p w14:paraId="1F058964">
      <w:pPr>
        <w:keepNext w:val="0"/>
        <w:keepLines w:val="0"/>
        <w:pageBreakBefore w:val="0"/>
        <w:widowControl w:val="0"/>
        <w:kinsoku/>
        <w:wordWrap/>
        <w:overflowPunct/>
        <w:topLinePunct w:val="0"/>
        <w:autoSpaceDE/>
        <w:autoSpaceDN/>
        <w:bidi w:val="0"/>
        <w:adjustRightInd/>
        <w:snapToGrid/>
        <w:spacing w:line="240" w:lineRule="auto"/>
        <w:ind w:firstLine="400" w:firstLineChars="200"/>
        <w:rPr>
          <w:rFonts w:hint="eastAsia" w:ascii="宋体" w:hAnsi="宋体" w:eastAsia="宋体" w:cs="宋体"/>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rPr>
        <w:t>服务商在提供</w:t>
      </w:r>
      <w:r>
        <w:rPr>
          <w:rFonts w:hint="eastAsia" w:ascii="华光书宋一_CNKI" w:hAnsi="华光书宋一_CNKI" w:eastAsia="华光书宋一_CNKI" w:cs="华光书宋一_CNKI"/>
          <w:color w:val="auto"/>
          <w:sz w:val="20"/>
          <w:szCs w:val="20"/>
          <w:highlight w:val="none"/>
          <w:lang w:val="en-US" w:eastAsia="zh-CN"/>
        </w:rPr>
        <w:t>布艺窗帘清洗维护服务</w:t>
      </w:r>
      <w:r>
        <w:rPr>
          <w:rFonts w:hint="eastAsia" w:ascii="华光书宋一_CNKI" w:hAnsi="华光书宋一_CNKI" w:eastAsia="华光书宋一_CNKI" w:cs="华光书宋一_CNKI"/>
          <w:color w:val="auto"/>
          <w:sz w:val="20"/>
          <w:szCs w:val="20"/>
          <w:highlight w:val="none"/>
        </w:rPr>
        <w:t>时，需按照如下标准执行，要求所用标准必须为最新版本，如果这些标准有矛盾时，应按最高标准的条款执行或按双方商定的标准执行。此外，如果在合同执行期间国家颁布新的标准时，应按最新的条款执行</w:t>
      </w:r>
      <w:r>
        <w:rPr>
          <w:rFonts w:hint="eastAsia" w:ascii="宋体" w:hAnsi="宋体" w:eastAsia="宋体" w:cs="宋体"/>
          <w:color w:val="auto"/>
          <w:sz w:val="20"/>
          <w:szCs w:val="20"/>
          <w:highlight w:val="none"/>
        </w:rPr>
        <w:t>。</w:t>
      </w:r>
    </w:p>
    <w:tbl>
      <w:tblPr>
        <w:tblStyle w:val="16"/>
        <w:tblW w:w="8120"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7340"/>
      </w:tblGrid>
      <w:tr w14:paraId="7EC0C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780" w:type="dxa"/>
            <w:vAlign w:val="center"/>
          </w:tcPr>
          <w:p w14:paraId="6AF49A4F">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7340" w:type="dxa"/>
            <w:vAlign w:val="center"/>
          </w:tcPr>
          <w:p w14:paraId="4FF979CB">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相关标准</w:t>
            </w:r>
          </w:p>
        </w:tc>
      </w:tr>
      <w:tr w14:paraId="7763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0787B9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1</w:t>
            </w:r>
          </w:p>
        </w:tc>
        <w:tc>
          <w:tcPr>
            <w:tcW w:w="7340" w:type="dxa"/>
            <w:shd w:val="clear" w:color="auto" w:fill="auto"/>
            <w:vAlign w:val="center"/>
          </w:tcPr>
          <w:p w14:paraId="409F8F5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《干洗行业洗涤服务规范》（GB/T 22879-2008）</w:t>
            </w:r>
          </w:p>
        </w:tc>
      </w:tr>
      <w:tr w14:paraId="51C3C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29D923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2</w:t>
            </w:r>
          </w:p>
        </w:tc>
        <w:tc>
          <w:tcPr>
            <w:tcW w:w="7340" w:type="dxa"/>
            <w:shd w:val="clear" w:color="auto" w:fill="auto"/>
            <w:vAlign w:val="center"/>
          </w:tcPr>
          <w:p w14:paraId="49D7A50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《家庭纺织品洗涤服务规范》（GB/T 20031-2005）</w:t>
            </w:r>
          </w:p>
        </w:tc>
      </w:tr>
      <w:tr w14:paraId="12E5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6CEA23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3</w:t>
            </w:r>
          </w:p>
        </w:tc>
        <w:tc>
          <w:tcPr>
            <w:tcW w:w="7340" w:type="dxa"/>
            <w:shd w:val="clear" w:color="auto" w:fill="auto"/>
            <w:vAlign w:val="center"/>
          </w:tcPr>
          <w:p w14:paraId="6D43D2F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《布艺清洗服务行业规范》（QB/T 4615-2013）</w:t>
            </w:r>
          </w:p>
        </w:tc>
      </w:tr>
      <w:tr w14:paraId="0C80E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512C18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4</w:t>
            </w:r>
          </w:p>
        </w:tc>
        <w:tc>
          <w:tcPr>
            <w:tcW w:w="7340" w:type="dxa"/>
            <w:shd w:val="clear" w:color="auto" w:fill="auto"/>
            <w:vAlign w:val="center"/>
          </w:tcPr>
          <w:p w14:paraId="6788B32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《家政服务行业规范》（GB/T 29100-2012）</w:t>
            </w:r>
          </w:p>
        </w:tc>
      </w:tr>
      <w:tr w14:paraId="6AFF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7A0482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w:t>
            </w:r>
          </w:p>
        </w:tc>
        <w:tc>
          <w:tcPr>
            <w:tcW w:w="7340" w:type="dxa"/>
            <w:shd w:val="clear" w:color="auto" w:fill="auto"/>
            <w:vAlign w:val="center"/>
          </w:tcPr>
          <w:p w14:paraId="296DA1A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《清洁服务标准规范》（GB/T 20813-2006）</w:t>
            </w:r>
          </w:p>
        </w:tc>
      </w:tr>
      <w:tr w14:paraId="48AC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5725A5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6</w:t>
            </w:r>
          </w:p>
        </w:tc>
        <w:tc>
          <w:tcPr>
            <w:tcW w:w="7340" w:type="dxa"/>
            <w:shd w:val="clear" w:color="auto" w:fill="auto"/>
            <w:vAlign w:val="center"/>
          </w:tcPr>
          <w:p w14:paraId="28CFE2A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纺织品洗涤通用技术要求及试验方法</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GB/T 8685</w:t>
            </w:r>
          </w:p>
        </w:tc>
      </w:tr>
      <w:tr w14:paraId="1DEE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415B39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7</w:t>
            </w:r>
          </w:p>
        </w:tc>
        <w:tc>
          <w:tcPr>
            <w:tcW w:w="7340" w:type="dxa"/>
            <w:shd w:val="clear" w:color="auto" w:fill="auto"/>
            <w:vAlign w:val="center"/>
          </w:tcPr>
          <w:p w14:paraId="06C944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《公用纺织品清洗质量要求》（GB/T 35744-2017）</w:t>
            </w:r>
          </w:p>
        </w:tc>
      </w:tr>
      <w:tr w14:paraId="41FB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6677AF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8</w:t>
            </w:r>
          </w:p>
        </w:tc>
        <w:tc>
          <w:tcPr>
            <w:tcW w:w="7340" w:type="dxa"/>
            <w:shd w:val="clear" w:color="auto" w:fill="auto"/>
            <w:vAlign w:val="center"/>
          </w:tcPr>
          <w:p w14:paraId="36CBBF31">
            <w:pPr>
              <w:keepNext w:val="0"/>
              <w:keepLines w:val="0"/>
              <w:pageBreakBefore w:val="0"/>
              <w:widowControl w:val="0"/>
              <w:tabs>
                <w:tab w:val="left" w:pos="6105"/>
              </w:tabs>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《国家纺织产品基本安全技术规范  》（GB 18401-2010）</w:t>
            </w:r>
          </w:p>
        </w:tc>
      </w:tr>
      <w:tr w14:paraId="1455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0136F1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9</w:t>
            </w:r>
          </w:p>
        </w:tc>
        <w:tc>
          <w:tcPr>
            <w:tcW w:w="7340" w:type="dxa"/>
            <w:shd w:val="clear" w:color="auto" w:fill="auto"/>
            <w:vAlign w:val="center"/>
          </w:tcPr>
          <w:p w14:paraId="48A7BF0D">
            <w:pPr>
              <w:keepNext w:val="0"/>
              <w:keepLines w:val="0"/>
              <w:pageBreakBefore w:val="0"/>
              <w:widowControl w:val="0"/>
              <w:tabs>
                <w:tab w:val="left" w:pos="6105"/>
              </w:tabs>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《公用纺织品清洗服务规范》（SB∕T 11205-2017）</w:t>
            </w:r>
          </w:p>
        </w:tc>
      </w:tr>
      <w:tr w14:paraId="73706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51A424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7340" w:type="dxa"/>
            <w:shd w:val="clear" w:color="auto" w:fill="auto"/>
            <w:vAlign w:val="center"/>
          </w:tcPr>
          <w:p w14:paraId="61C2C5AD">
            <w:pPr>
              <w:keepNext w:val="0"/>
              <w:keepLines w:val="0"/>
              <w:pageBreakBefore w:val="0"/>
              <w:widowControl w:val="0"/>
              <w:tabs>
                <w:tab w:val="left" w:pos="6105"/>
              </w:tabs>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《公用纺织品清洗质量要求》(SB∕T 10786-2012)</w:t>
            </w:r>
          </w:p>
        </w:tc>
      </w:tr>
      <w:tr w14:paraId="44D48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55386A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11</w:t>
            </w:r>
          </w:p>
        </w:tc>
        <w:tc>
          <w:tcPr>
            <w:tcW w:w="7340" w:type="dxa"/>
            <w:shd w:val="clear" w:color="auto" w:fill="auto"/>
            <w:vAlign w:val="center"/>
          </w:tcPr>
          <w:p w14:paraId="759F32E1">
            <w:pPr>
              <w:keepNext w:val="0"/>
              <w:keepLines w:val="0"/>
              <w:pageBreakBefore w:val="0"/>
              <w:widowControl w:val="0"/>
              <w:tabs>
                <w:tab w:val="left" w:pos="6105"/>
              </w:tabs>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《家庭纺织品清洗操作规范》</w:t>
            </w:r>
          </w:p>
        </w:tc>
      </w:tr>
    </w:tbl>
    <w:p w14:paraId="50F18DC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260" w:name="_Toc3202"/>
      <w:bookmarkStart w:id="261" w:name="_Toc21439"/>
      <w:bookmarkStart w:id="262" w:name="_Toc32718"/>
      <w:bookmarkStart w:id="263" w:name="_Toc25720"/>
      <w:bookmarkStart w:id="264" w:name="_Toc12101"/>
      <w:bookmarkStart w:id="265" w:name="_Toc8160"/>
      <w:bookmarkStart w:id="266" w:name="_Toc9876"/>
      <w:bookmarkStart w:id="267" w:name="_Toc27640"/>
      <w:r>
        <w:rPr>
          <w:rFonts w:hint="eastAsia" w:ascii="宋体" w:hAnsi="宋体" w:eastAsia="宋体" w:cs="宋体"/>
          <w:b/>
          <w:bCs/>
          <w:color w:val="auto"/>
          <w:sz w:val="20"/>
          <w:szCs w:val="20"/>
          <w:highlight w:val="none"/>
          <w:lang w:val="en-US" w:eastAsia="zh-CN"/>
        </w:rPr>
        <w:t>1.2</w:t>
      </w:r>
      <w:r>
        <w:rPr>
          <w:rFonts w:hint="eastAsia" w:ascii="宋体" w:hAnsi="宋体" w:eastAsia="宋体" w:cs="宋体"/>
          <w:b/>
          <w:bCs/>
          <w:color w:val="auto"/>
          <w:sz w:val="20"/>
          <w:szCs w:val="20"/>
          <w:highlight w:val="none"/>
        </w:rPr>
        <w:t>项目服务要求</w:t>
      </w:r>
      <w:bookmarkEnd w:id="260"/>
      <w:bookmarkEnd w:id="261"/>
      <w:bookmarkEnd w:id="262"/>
      <w:bookmarkEnd w:id="263"/>
      <w:bookmarkEnd w:id="264"/>
      <w:bookmarkEnd w:id="265"/>
      <w:bookmarkEnd w:id="266"/>
      <w:bookmarkEnd w:id="267"/>
    </w:p>
    <w:p w14:paraId="58382BE6">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1.2.1合同实施前，服务商需指派专人进行对接，对采购方布艺窗帘清洗的需求进行全面摸查和理解。</w:t>
      </w:r>
    </w:p>
    <w:p w14:paraId="10B9829C">
      <w:pPr>
        <w:keepNext w:val="0"/>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bCs/>
          <w:color w:val="auto"/>
          <w:sz w:val="20"/>
          <w:szCs w:val="20"/>
          <w:highlight w:val="none"/>
          <w:lang w:val="en-US" w:eastAsia="zh-CN"/>
        </w:rPr>
        <w:t>为保证工作正常有序开展，服务商必须按照采购方的要求执行，按时按质地提供相关服务。</w:t>
      </w:r>
      <w:r>
        <w:rPr>
          <w:rFonts w:hint="eastAsia" w:ascii="宋体" w:hAnsi="宋体" w:eastAsia="宋体" w:cs="宋体"/>
          <w:color w:val="auto"/>
          <w:sz w:val="20"/>
          <w:szCs w:val="20"/>
          <w:highlight w:val="none"/>
        </w:rPr>
        <w:t>因</w:t>
      </w:r>
      <w:r>
        <w:rPr>
          <w:rFonts w:hint="eastAsia" w:ascii="宋体" w:hAnsi="宋体" w:eastAsia="宋体" w:cs="宋体"/>
          <w:color w:val="auto"/>
          <w:sz w:val="20"/>
          <w:szCs w:val="20"/>
          <w:highlight w:val="none"/>
          <w:lang w:eastAsia="zh-CN"/>
        </w:rPr>
        <w:t>服务商</w:t>
      </w:r>
      <w:r>
        <w:rPr>
          <w:rFonts w:hint="eastAsia" w:ascii="宋体" w:hAnsi="宋体" w:eastAsia="宋体" w:cs="宋体"/>
          <w:color w:val="auto"/>
          <w:sz w:val="20"/>
          <w:szCs w:val="20"/>
          <w:highlight w:val="none"/>
        </w:rPr>
        <w:t>失误造成质量不合要求的，</w:t>
      </w:r>
      <w:r>
        <w:rPr>
          <w:rFonts w:hint="eastAsia" w:ascii="宋体" w:hAnsi="宋体" w:eastAsia="宋体" w:cs="宋体"/>
          <w:color w:val="auto"/>
          <w:sz w:val="20"/>
          <w:szCs w:val="20"/>
          <w:highlight w:val="none"/>
          <w:lang w:eastAsia="zh-CN"/>
        </w:rPr>
        <w:t>服务商</w:t>
      </w:r>
      <w:r>
        <w:rPr>
          <w:rFonts w:hint="eastAsia" w:ascii="宋体" w:hAnsi="宋体" w:eastAsia="宋体" w:cs="宋体"/>
          <w:color w:val="auto"/>
          <w:sz w:val="20"/>
          <w:szCs w:val="20"/>
          <w:highlight w:val="none"/>
        </w:rPr>
        <w:t>负责重新洗涤</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如因</w:t>
      </w:r>
      <w:r>
        <w:rPr>
          <w:rFonts w:hint="eastAsia" w:ascii="宋体" w:hAnsi="宋体" w:eastAsia="宋体" w:cs="宋体"/>
          <w:color w:val="auto"/>
          <w:sz w:val="20"/>
          <w:szCs w:val="20"/>
          <w:highlight w:val="none"/>
          <w:lang w:eastAsia="zh-CN"/>
        </w:rPr>
        <w:t>服务商</w:t>
      </w:r>
      <w:r>
        <w:rPr>
          <w:rFonts w:hint="eastAsia" w:ascii="宋体" w:hAnsi="宋体" w:eastAsia="宋体" w:cs="宋体"/>
          <w:color w:val="auto"/>
          <w:sz w:val="20"/>
          <w:szCs w:val="20"/>
          <w:highlight w:val="none"/>
        </w:rPr>
        <w:t>保管不善致使布艺</w:t>
      </w:r>
      <w:r>
        <w:rPr>
          <w:rFonts w:hint="eastAsia" w:ascii="宋体" w:hAnsi="宋体" w:eastAsia="宋体" w:cs="宋体"/>
          <w:color w:val="auto"/>
          <w:sz w:val="20"/>
          <w:szCs w:val="20"/>
          <w:highlight w:val="none"/>
          <w:lang w:val="en-US" w:eastAsia="zh-CN"/>
        </w:rPr>
        <w:t>窗帘</w:t>
      </w:r>
      <w:r>
        <w:rPr>
          <w:rFonts w:hint="eastAsia" w:ascii="宋体" w:hAnsi="宋体" w:eastAsia="宋体" w:cs="宋体"/>
          <w:color w:val="auto"/>
          <w:sz w:val="20"/>
          <w:szCs w:val="20"/>
          <w:highlight w:val="none"/>
        </w:rPr>
        <w:t>遗失、损坏或在洗涤过程中布艺</w:t>
      </w:r>
      <w:r>
        <w:rPr>
          <w:rFonts w:hint="eastAsia" w:ascii="宋体" w:hAnsi="宋体" w:eastAsia="宋体" w:cs="宋体"/>
          <w:color w:val="auto"/>
          <w:sz w:val="20"/>
          <w:szCs w:val="20"/>
          <w:highlight w:val="none"/>
          <w:lang w:val="en-US" w:eastAsia="zh-CN"/>
        </w:rPr>
        <w:t>窗帘</w:t>
      </w:r>
      <w:r>
        <w:rPr>
          <w:rFonts w:hint="eastAsia" w:ascii="宋体" w:hAnsi="宋体" w:eastAsia="宋体" w:cs="宋体"/>
          <w:color w:val="auto"/>
          <w:sz w:val="20"/>
          <w:szCs w:val="20"/>
          <w:highlight w:val="none"/>
        </w:rPr>
        <w:t>被污染并不可去除，</w:t>
      </w:r>
      <w:r>
        <w:rPr>
          <w:rFonts w:hint="eastAsia" w:ascii="宋体" w:hAnsi="宋体" w:eastAsia="宋体" w:cs="宋体"/>
          <w:color w:val="auto"/>
          <w:sz w:val="20"/>
          <w:szCs w:val="20"/>
          <w:highlight w:val="none"/>
          <w:lang w:eastAsia="zh-CN"/>
        </w:rPr>
        <w:t>服务商</w:t>
      </w:r>
      <w:r>
        <w:rPr>
          <w:rFonts w:hint="eastAsia" w:ascii="宋体" w:hAnsi="宋体" w:eastAsia="宋体" w:cs="宋体"/>
          <w:color w:val="auto"/>
          <w:sz w:val="20"/>
          <w:szCs w:val="20"/>
          <w:highlight w:val="none"/>
        </w:rPr>
        <w:t>须给予同等价值赔偿。</w:t>
      </w:r>
    </w:p>
    <w:p w14:paraId="2E74BBF0">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1.2.3服务商提供24小时服务热线（热线电话、微信、传真、电子邮件等）。服务商在接到采购方的需求后，必须在1小时内作出响应，并在采购方规定的时间提供清洗服务。</w:t>
      </w:r>
    </w:p>
    <w:p w14:paraId="2595016A">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1.2.4服务商在每次完成布艺窗帘清洗后，需记录清洗的数量、品类等信息，并经采购方值班人员或管理员合适签字认可后，作为服务商进行布艺窗帘清洗的重要依据。</w:t>
      </w:r>
    </w:p>
    <w:p w14:paraId="45E4CEB2">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1.2.5</w:t>
      </w:r>
      <w:r>
        <w:rPr>
          <w:rFonts w:hint="eastAsia" w:ascii="宋体" w:hAnsi="宋体" w:eastAsia="宋体" w:cs="宋体"/>
          <w:i w:val="0"/>
          <w:color w:val="auto"/>
          <w:kern w:val="0"/>
          <w:sz w:val="20"/>
          <w:szCs w:val="20"/>
          <w:highlight w:val="none"/>
          <w:u w:val="none"/>
          <w:lang w:val="en-US" w:eastAsia="zh-CN" w:bidi="ar"/>
        </w:rPr>
        <w:t>服务商需对清洗过程的破损的布艺窗帘、窗帘头进行修补，检查窗帘导轨的零配件是否使用正常，如有损坏需进行更换。</w:t>
      </w:r>
    </w:p>
    <w:p w14:paraId="1EBC8978">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1.2.6服务商加强人员管理，合理安排人员，保障项目工作进度。</w:t>
      </w:r>
    </w:p>
    <w:p w14:paraId="63F5C4BA">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1.2.7服务商使用的洗涤用品需符合国家、行业的相关标准要求，如因非采购方的原因导致员工皮肤过敏等问题，由服务商承担责任，</w:t>
      </w:r>
      <w:r>
        <w:rPr>
          <w:rFonts w:hint="eastAsia" w:ascii="宋体" w:hAnsi="宋体" w:eastAsia="宋体" w:cs="宋体"/>
          <w:color w:val="auto"/>
          <w:sz w:val="20"/>
          <w:szCs w:val="20"/>
          <w:highlight w:val="none"/>
        </w:rPr>
        <w:t>并按国家法律法规及相关要求进行赔偿。</w:t>
      </w:r>
    </w:p>
    <w:p w14:paraId="694645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268" w:name="_Toc5509"/>
      <w:bookmarkStart w:id="269" w:name="_Toc5654"/>
      <w:bookmarkStart w:id="270" w:name="_Toc23202"/>
      <w:r>
        <w:rPr>
          <w:rFonts w:hint="eastAsia" w:ascii="宋体" w:hAnsi="宋体" w:eastAsia="宋体" w:cs="宋体"/>
          <w:b/>
          <w:bCs/>
          <w:color w:val="auto"/>
          <w:sz w:val="20"/>
          <w:szCs w:val="20"/>
          <w:highlight w:val="none"/>
          <w:lang w:val="en-US" w:eastAsia="zh-CN"/>
        </w:rPr>
        <w:t>2.服务达标要求</w:t>
      </w:r>
      <w:bookmarkEnd w:id="268"/>
      <w:bookmarkEnd w:id="269"/>
      <w:bookmarkEnd w:id="270"/>
    </w:p>
    <w:tbl>
      <w:tblPr>
        <w:tblStyle w:val="16"/>
        <w:tblW w:w="8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961"/>
        <w:gridCol w:w="5704"/>
      </w:tblGrid>
      <w:tr w14:paraId="6901F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blHeader/>
        </w:trPr>
        <w:tc>
          <w:tcPr>
            <w:tcW w:w="733" w:type="dxa"/>
            <w:vAlign w:val="center"/>
          </w:tcPr>
          <w:p w14:paraId="50BBAD4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1961" w:type="dxa"/>
            <w:vAlign w:val="center"/>
          </w:tcPr>
          <w:p w14:paraId="549CA6A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5704" w:type="dxa"/>
            <w:vAlign w:val="center"/>
          </w:tcPr>
          <w:p w14:paraId="1FC0178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0BEA3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733" w:type="dxa"/>
            <w:vAlign w:val="center"/>
          </w:tcPr>
          <w:p w14:paraId="058E3DD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w:t>
            </w:r>
          </w:p>
        </w:tc>
        <w:tc>
          <w:tcPr>
            <w:tcW w:w="1961" w:type="dxa"/>
            <w:vAlign w:val="center"/>
          </w:tcPr>
          <w:p w14:paraId="629B381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检查和识别</w:t>
            </w:r>
          </w:p>
        </w:tc>
        <w:tc>
          <w:tcPr>
            <w:tcW w:w="5704" w:type="dxa"/>
            <w:vAlign w:val="center"/>
          </w:tcPr>
          <w:p w14:paraId="126EA6F5">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在清洗之前，服务商应对收到的布艺进行检查和做好标识和标签，以确保它们能够在清洗全过程中被正确的识别和标识。</w:t>
            </w:r>
          </w:p>
        </w:tc>
      </w:tr>
      <w:tr w14:paraId="3033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33" w:type="dxa"/>
            <w:vAlign w:val="center"/>
          </w:tcPr>
          <w:p w14:paraId="32F8CB5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w:t>
            </w:r>
          </w:p>
        </w:tc>
        <w:tc>
          <w:tcPr>
            <w:tcW w:w="1961" w:type="dxa"/>
            <w:vAlign w:val="center"/>
          </w:tcPr>
          <w:p w14:paraId="74D97E8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布艺材质区分</w:t>
            </w:r>
          </w:p>
        </w:tc>
        <w:tc>
          <w:tcPr>
            <w:tcW w:w="5704" w:type="dxa"/>
            <w:vAlign w:val="center"/>
          </w:tcPr>
          <w:p w14:paraId="09F9653C">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服务商应根据不同的布料材质选择对应的清洗方案。</w:t>
            </w:r>
          </w:p>
        </w:tc>
      </w:tr>
      <w:tr w14:paraId="3F13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33" w:type="dxa"/>
            <w:vAlign w:val="center"/>
          </w:tcPr>
          <w:p w14:paraId="03228BF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w:t>
            </w:r>
          </w:p>
        </w:tc>
        <w:tc>
          <w:tcPr>
            <w:tcW w:w="1961" w:type="dxa"/>
            <w:vAlign w:val="center"/>
          </w:tcPr>
          <w:p w14:paraId="3E5453D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污渍种类鉴别</w:t>
            </w:r>
          </w:p>
        </w:tc>
        <w:tc>
          <w:tcPr>
            <w:tcW w:w="5704" w:type="dxa"/>
            <w:vAlign w:val="center"/>
          </w:tcPr>
          <w:p w14:paraId="3CDA280D">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服务商应对不同种类污渍进行鉴别，制定合适的清洗方案。</w:t>
            </w:r>
          </w:p>
        </w:tc>
      </w:tr>
      <w:tr w14:paraId="3127A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33" w:type="dxa"/>
            <w:vAlign w:val="center"/>
          </w:tcPr>
          <w:p w14:paraId="590F5DE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w:t>
            </w:r>
          </w:p>
        </w:tc>
        <w:tc>
          <w:tcPr>
            <w:tcW w:w="1961" w:type="dxa"/>
            <w:vAlign w:val="center"/>
          </w:tcPr>
          <w:p w14:paraId="7EAC7AA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清洗方式选择</w:t>
            </w:r>
          </w:p>
        </w:tc>
        <w:tc>
          <w:tcPr>
            <w:tcW w:w="5704" w:type="dxa"/>
            <w:vAlign w:val="center"/>
          </w:tcPr>
          <w:p w14:paraId="4C52D846">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服务商应根据布料种类、污垢性质选择合适的清洗方式，比如水洗、干洗或者其他特殊处理。</w:t>
            </w:r>
          </w:p>
        </w:tc>
      </w:tr>
      <w:tr w14:paraId="5ED70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33" w:type="dxa"/>
            <w:vAlign w:val="center"/>
          </w:tcPr>
          <w:p w14:paraId="0044925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w:t>
            </w:r>
          </w:p>
        </w:tc>
        <w:tc>
          <w:tcPr>
            <w:tcW w:w="1961" w:type="dxa"/>
            <w:vAlign w:val="center"/>
          </w:tcPr>
          <w:p w14:paraId="5CE61F2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选择合适的清洗剂</w:t>
            </w:r>
          </w:p>
        </w:tc>
        <w:tc>
          <w:tcPr>
            <w:tcW w:w="5704" w:type="dxa"/>
            <w:vAlign w:val="center"/>
          </w:tcPr>
          <w:p w14:paraId="55B721CB">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服务商应根据布艺材质和污渍的种类，选择合适的清洗剂，避免对布艺造成损伤。</w:t>
            </w:r>
          </w:p>
        </w:tc>
      </w:tr>
      <w:tr w14:paraId="6349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9" w:hRule="atLeast"/>
        </w:trPr>
        <w:tc>
          <w:tcPr>
            <w:tcW w:w="733" w:type="dxa"/>
            <w:vAlign w:val="center"/>
          </w:tcPr>
          <w:p w14:paraId="7204992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6</w:t>
            </w:r>
          </w:p>
        </w:tc>
        <w:tc>
          <w:tcPr>
            <w:tcW w:w="1961" w:type="dxa"/>
            <w:vAlign w:val="center"/>
          </w:tcPr>
          <w:p w14:paraId="43DE98A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分类清洗</w:t>
            </w:r>
          </w:p>
        </w:tc>
        <w:tc>
          <w:tcPr>
            <w:tcW w:w="5704" w:type="dxa"/>
            <w:vAlign w:val="center"/>
          </w:tcPr>
          <w:p w14:paraId="1CE40D3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服务商应对不同材质、不同颜色的布料分类清洗，避免染色或损坏。</w:t>
            </w:r>
          </w:p>
        </w:tc>
      </w:tr>
      <w:tr w14:paraId="7A33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6" w:hRule="atLeast"/>
        </w:trPr>
        <w:tc>
          <w:tcPr>
            <w:tcW w:w="733" w:type="dxa"/>
            <w:vAlign w:val="center"/>
          </w:tcPr>
          <w:p w14:paraId="2D55467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7</w:t>
            </w:r>
          </w:p>
        </w:tc>
        <w:tc>
          <w:tcPr>
            <w:tcW w:w="1961" w:type="dxa"/>
            <w:vAlign w:val="center"/>
          </w:tcPr>
          <w:p w14:paraId="3862C02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清洗质量控制</w:t>
            </w:r>
          </w:p>
        </w:tc>
        <w:tc>
          <w:tcPr>
            <w:tcW w:w="5704" w:type="dxa"/>
            <w:vAlign w:val="center"/>
          </w:tcPr>
          <w:p w14:paraId="3F62380A">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服务商应根据清洗质量标准，对布艺的清洗效果进行检测和监控，确保清洗效果符合采购方要求。</w:t>
            </w:r>
          </w:p>
        </w:tc>
      </w:tr>
      <w:tr w14:paraId="22804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733" w:type="dxa"/>
            <w:vAlign w:val="center"/>
          </w:tcPr>
          <w:p w14:paraId="24CF973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8</w:t>
            </w:r>
          </w:p>
        </w:tc>
        <w:tc>
          <w:tcPr>
            <w:tcW w:w="1961" w:type="dxa"/>
            <w:vAlign w:val="center"/>
          </w:tcPr>
          <w:p w14:paraId="5AA953D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保证布艺的完整性</w:t>
            </w:r>
          </w:p>
        </w:tc>
        <w:tc>
          <w:tcPr>
            <w:tcW w:w="5704" w:type="dxa"/>
            <w:vAlign w:val="center"/>
          </w:tcPr>
          <w:p w14:paraId="4F7104F6">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在清洗过程中，服务商应确保布料的完整性，以防止工装任何配件丢失或损坏。</w:t>
            </w:r>
          </w:p>
        </w:tc>
      </w:tr>
      <w:tr w14:paraId="3AA9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33" w:type="dxa"/>
            <w:vAlign w:val="center"/>
          </w:tcPr>
          <w:p w14:paraId="4210B9C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9</w:t>
            </w:r>
          </w:p>
        </w:tc>
        <w:tc>
          <w:tcPr>
            <w:tcW w:w="1961" w:type="dxa"/>
            <w:vAlign w:val="center"/>
          </w:tcPr>
          <w:p w14:paraId="3449306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使用合适的设备</w:t>
            </w:r>
          </w:p>
        </w:tc>
        <w:tc>
          <w:tcPr>
            <w:tcW w:w="5704" w:type="dxa"/>
            <w:vAlign w:val="center"/>
          </w:tcPr>
          <w:p w14:paraId="29240A3C">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服务商应使用合适的设备进行清洗，避免对布艺造成损伤或不彻底清洗。</w:t>
            </w:r>
          </w:p>
        </w:tc>
      </w:tr>
      <w:tr w14:paraId="26BF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733" w:type="dxa"/>
            <w:vAlign w:val="center"/>
          </w:tcPr>
          <w:p w14:paraId="2D04693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10</w:t>
            </w:r>
          </w:p>
        </w:tc>
        <w:tc>
          <w:tcPr>
            <w:tcW w:w="1961" w:type="dxa"/>
            <w:vAlign w:val="center"/>
          </w:tcPr>
          <w:p w14:paraId="5C242D4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清洗温度和时间控制</w:t>
            </w:r>
          </w:p>
        </w:tc>
        <w:tc>
          <w:tcPr>
            <w:tcW w:w="5704" w:type="dxa"/>
            <w:vAlign w:val="center"/>
          </w:tcPr>
          <w:p w14:paraId="27E7492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服务商应根据清洗剂的要求，控制清洗温度和时间，避免过度清洗或不彻底清洗。</w:t>
            </w:r>
          </w:p>
        </w:tc>
      </w:tr>
      <w:tr w14:paraId="4DE0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733" w:type="dxa"/>
            <w:vAlign w:val="center"/>
          </w:tcPr>
          <w:p w14:paraId="5183983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11</w:t>
            </w:r>
          </w:p>
        </w:tc>
        <w:tc>
          <w:tcPr>
            <w:tcW w:w="1961" w:type="dxa"/>
            <w:shd w:val="clear" w:color="auto" w:fill="auto"/>
            <w:vAlign w:val="center"/>
          </w:tcPr>
          <w:p w14:paraId="3018D3B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烘干和熨烫</w:t>
            </w:r>
          </w:p>
        </w:tc>
        <w:tc>
          <w:tcPr>
            <w:tcW w:w="5704" w:type="dxa"/>
            <w:shd w:val="clear" w:color="auto" w:fill="auto"/>
            <w:vAlign w:val="center"/>
          </w:tcPr>
          <w:p w14:paraId="1C33B47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在清洗完成后，服务商应对布艺进行烘干和熨烫，确保干燥和整洁。</w:t>
            </w:r>
          </w:p>
        </w:tc>
      </w:tr>
      <w:tr w14:paraId="5FFB2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33" w:type="dxa"/>
            <w:vAlign w:val="center"/>
          </w:tcPr>
          <w:p w14:paraId="7E854E2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12</w:t>
            </w:r>
          </w:p>
        </w:tc>
        <w:tc>
          <w:tcPr>
            <w:tcW w:w="1961" w:type="dxa"/>
            <w:shd w:val="clear" w:color="auto" w:fill="auto"/>
            <w:vAlign w:val="center"/>
          </w:tcPr>
          <w:p w14:paraId="25BD024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包装和储存</w:t>
            </w:r>
          </w:p>
        </w:tc>
        <w:tc>
          <w:tcPr>
            <w:tcW w:w="5704" w:type="dxa"/>
            <w:shd w:val="clear" w:color="auto" w:fill="auto"/>
            <w:vAlign w:val="center"/>
          </w:tcPr>
          <w:p w14:paraId="616E360C">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清洗完成后，服务商应将布艺包装好并储存，确保下次使用前干净、整洁。</w:t>
            </w:r>
          </w:p>
        </w:tc>
      </w:tr>
      <w:tr w14:paraId="0B0E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33" w:type="dxa"/>
            <w:vAlign w:val="center"/>
          </w:tcPr>
          <w:p w14:paraId="2494246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13</w:t>
            </w:r>
          </w:p>
        </w:tc>
        <w:tc>
          <w:tcPr>
            <w:tcW w:w="1961" w:type="dxa"/>
            <w:shd w:val="clear" w:color="auto" w:fill="auto"/>
            <w:vAlign w:val="center"/>
          </w:tcPr>
          <w:p w14:paraId="01F9217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保证交付及时性</w:t>
            </w:r>
          </w:p>
        </w:tc>
        <w:tc>
          <w:tcPr>
            <w:tcW w:w="5704" w:type="dxa"/>
            <w:shd w:val="clear" w:color="auto" w:fill="auto"/>
            <w:vAlign w:val="center"/>
          </w:tcPr>
          <w:p w14:paraId="49E924CF">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服务商应确保能够及时交付清洗好的布艺，并保证清洗和交付的准确性。</w:t>
            </w:r>
          </w:p>
        </w:tc>
      </w:tr>
      <w:tr w14:paraId="46EE6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33" w:type="dxa"/>
            <w:vAlign w:val="center"/>
          </w:tcPr>
          <w:p w14:paraId="6AA013D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14</w:t>
            </w:r>
          </w:p>
        </w:tc>
        <w:tc>
          <w:tcPr>
            <w:tcW w:w="1961" w:type="dxa"/>
            <w:shd w:val="clear" w:color="auto" w:fill="auto"/>
            <w:vAlign w:val="center"/>
          </w:tcPr>
          <w:p w14:paraId="05E0EE9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记录和反馈</w:t>
            </w:r>
          </w:p>
        </w:tc>
        <w:tc>
          <w:tcPr>
            <w:tcW w:w="5704" w:type="dxa"/>
            <w:shd w:val="clear" w:color="auto" w:fill="auto"/>
            <w:vAlign w:val="center"/>
          </w:tcPr>
          <w:p w14:paraId="452E6B75">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服务商应记录清洗的时间、清洗剂和方法，并及时反馈清洗效果和发现的问题，以便不断改进和提高清洗质量。</w:t>
            </w:r>
          </w:p>
        </w:tc>
      </w:tr>
    </w:tbl>
    <w:p w14:paraId="359CABF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271" w:name="_Toc462"/>
      <w:bookmarkStart w:id="272" w:name="_Toc18106"/>
      <w:bookmarkStart w:id="273" w:name="_Toc20601"/>
      <w:r>
        <w:rPr>
          <w:rFonts w:hint="eastAsia" w:ascii="宋体" w:hAnsi="宋体" w:eastAsia="宋体" w:cs="宋体"/>
          <w:b/>
          <w:bCs/>
          <w:color w:val="auto"/>
          <w:sz w:val="20"/>
          <w:szCs w:val="20"/>
          <w:highlight w:val="none"/>
          <w:lang w:val="en-US" w:eastAsia="zh-CN"/>
        </w:rPr>
        <w:t>3.服务履约考核</w:t>
      </w:r>
      <w:bookmarkEnd w:id="271"/>
      <w:bookmarkEnd w:id="272"/>
      <w:bookmarkEnd w:id="273"/>
    </w:p>
    <w:p w14:paraId="2414EB18">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819"/>
        <w:gridCol w:w="878"/>
        <w:gridCol w:w="2940"/>
        <w:gridCol w:w="1215"/>
        <w:gridCol w:w="600"/>
        <w:gridCol w:w="779"/>
      </w:tblGrid>
      <w:tr w14:paraId="06C43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2E99626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2819" w:type="dxa"/>
            <w:tcBorders>
              <w:top w:val="single" w:color="auto" w:sz="4" w:space="0"/>
              <w:left w:val="nil"/>
              <w:bottom w:val="single" w:color="auto" w:sz="4" w:space="0"/>
              <w:right w:val="single" w:color="auto" w:sz="4" w:space="0"/>
            </w:tcBorders>
            <w:noWrap w:val="0"/>
            <w:vAlign w:val="center"/>
          </w:tcPr>
          <w:p w14:paraId="0F94547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878" w:type="dxa"/>
            <w:tcBorders>
              <w:top w:val="single" w:color="auto" w:sz="4" w:space="0"/>
              <w:left w:val="nil"/>
              <w:bottom w:val="single" w:color="auto" w:sz="4" w:space="0"/>
              <w:right w:val="single" w:color="auto" w:sz="4" w:space="0"/>
            </w:tcBorders>
            <w:noWrap w:val="0"/>
            <w:vAlign w:val="center"/>
          </w:tcPr>
          <w:p w14:paraId="0608B4E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940" w:type="dxa"/>
            <w:tcBorders>
              <w:top w:val="single" w:color="auto" w:sz="4" w:space="0"/>
              <w:left w:val="nil"/>
              <w:bottom w:val="single" w:color="auto" w:sz="4" w:space="0"/>
              <w:right w:val="single" w:color="auto" w:sz="4" w:space="0"/>
            </w:tcBorders>
            <w:noWrap w:val="0"/>
            <w:vAlign w:val="center"/>
          </w:tcPr>
          <w:p w14:paraId="3D8F1E3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215" w:type="dxa"/>
            <w:tcBorders>
              <w:top w:val="single" w:color="auto" w:sz="4" w:space="0"/>
              <w:left w:val="nil"/>
              <w:bottom w:val="single" w:color="auto" w:sz="4" w:space="0"/>
              <w:right w:val="single" w:color="auto" w:sz="4" w:space="0"/>
            </w:tcBorders>
            <w:noWrap w:val="0"/>
            <w:vAlign w:val="center"/>
          </w:tcPr>
          <w:p w14:paraId="29B0B1E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48FB427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600" w:type="dxa"/>
            <w:tcBorders>
              <w:top w:val="single" w:color="auto" w:sz="4" w:space="0"/>
              <w:left w:val="nil"/>
              <w:bottom w:val="single" w:color="auto" w:sz="4" w:space="0"/>
              <w:right w:val="single" w:color="auto" w:sz="4" w:space="0"/>
            </w:tcBorders>
            <w:noWrap w:val="0"/>
            <w:vAlign w:val="center"/>
          </w:tcPr>
          <w:p w14:paraId="3F5A55E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014587B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779" w:type="dxa"/>
            <w:tcBorders>
              <w:top w:val="single" w:color="auto" w:sz="4" w:space="0"/>
              <w:left w:val="nil"/>
              <w:bottom w:val="single" w:color="auto" w:sz="4" w:space="0"/>
              <w:right w:val="single" w:color="auto" w:sz="4" w:space="0"/>
            </w:tcBorders>
            <w:noWrap w:val="0"/>
            <w:vAlign w:val="center"/>
          </w:tcPr>
          <w:p w14:paraId="06CDE161">
            <w:pPr>
              <w:keepNext w:val="0"/>
              <w:keepLines w:val="0"/>
              <w:pageBreakBefore w:val="0"/>
              <w:widowControl w:val="0"/>
              <w:kinsoku/>
              <w:wordWrap/>
              <w:overflowPunct/>
              <w:topLinePunct w:val="0"/>
              <w:autoSpaceDE/>
              <w:autoSpaceDN/>
              <w:bidi w:val="0"/>
              <w:spacing w:line="400" w:lineRule="exact"/>
              <w:ind w:firstLine="201" w:firstLineChars="10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44D95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7F0A011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2819" w:type="dxa"/>
            <w:vMerge w:val="restart"/>
            <w:tcBorders>
              <w:top w:val="single" w:color="auto" w:sz="4" w:space="0"/>
              <w:left w:val="nil"/>
              <w:right w:val="single" w:color="auto" w:sz="4" w:space="0"/>
            </w:tcBorders>
            <w:noWrap w:val="0"/>
            <w:vAlign w:val="center"/>
          </w:tcPr>
          <w:p w14:paraId="3F81D7F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lang w:val="en-US"/>
              </w:rPr>
            </w:pPr>
            <w:r>
              <w:rPr>
                <w:rFonts w:hint="eastAsia" w:ascii="宋体" w:hAnsi="宋体" w:eastAsia="宋体" w:cs="宋体"/>
                <w:b w:val="0"/>
                <w:bCs w:val="0"/>
                <w:color w:val="auto"/>
                <w:sz w:val="20"/>
                <w:szCs w:val="20"/>
                <w:highlight w:val="none"/>
                <w:vertAlign w:val="baseline"/>
                <w:lang w:val="en-US" w:eastAsia="zh-CN"/>
              </w:rPr>
              <w:t>按时按质按量完成采购方的布艺窗帘清洗服务工作任务，及时响应采购方的需求（含临时或紧急需求），积极与采购方沟通，使用的洗涤用品符合相关标准，清洗服务记录齐全，制定有应急预案。</w:t>
            </w:r>
          </w:p>
        </w:tc>
        <w:tc>
          <w:tcPr>
            <w:tcW w:w="878" w:type="dxa"/>
            <w:vMerge w:val="restart"/>
            <w:tcBorders>
              <w:top w:val="single" w:color="auto" w:sz="4" w:space="0"/>
              <w:left w:val="nil"/>
              <w:right w:val="single" w:color="auto" w:sz="4" w:space="0"/>
            </w:tcBorders>
            <w:noWrap w:val="0"/>
            <w:vAlign w:val="center"/>
          </w:tcPr>
          <w:p w14:paraId="6E5CB93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40</w:t>
            </w:r>
          </w:p>
        </w:tc>
        <w:tc>
          <w:tcPr>
            <w:tcW w:w="2940" w:type="dxa"/>
            <w:tcBorders>
              <w:top w:val="single" w:color="auto" w:sz="4" w:space="0"/>
              <w:left w:val="nil"/>
              <w:bottom w:val="single" w:color="auto" w:sz="4" w:space="0"/>
              <w:right w:val="single" w:color="auto" w:sz="4" w:space="0"/>
            </w:tcBorders>
            <w:noWrap w:val="0"/>
            <w:vAlign w:val="center"/>
          </w:tcPr>
          <w:p w14:paraId="5CE6A645">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u w:val="single"/>
              </w:rPr>
            </w:pPr>
            <w:r>
              <w:rPr>
                <w:rFonts w:hint="eastAsia" w:ascii="宋体" w:hAnsi="宋体" w:eastAsia="宋体" w:cs="宋体"/>
                <w:b w:val="0"/>
                <w:bCs/>
                <w:color w:val="auto"/>
                <w:sz w:val="20"/>
                <w:szCs w:val="20"/>
                <w:highlight w:val="none"/>
                <w:lang w:val="en-US" w:eastAsia="zh-CN"/>
              </w:rPr>
              <w:t>未按采购方要求，按时按质提供服务，存在怠于响应、迟到、敷衍开展工作等现象。</w:t>
            </w:r>
          </w:p>
        </w:tc>
        <w:tc>
          <w:tcPr>
            <w:tcW w:w="1215" w:type="dxa"/>
            <w:tcBorders>
              <w:top w:val="single" w:color="auto" w:sz="4" w:space="0"/>
              <w:left w:val="nil"/>
              <w:bottom w:val="single" w:color="auto" w:sz="4" w:space="0"/>
              <w:right w:val="single" w:color="auto" w:sz="4" w:space="0"/>
            </w:tcBorders>
            <w:noWrap w:val="0"/>
            <w:vAlign w:val="center"/>
          </w:tcPr>
          <w:p w14:paraId="2DFF2FA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3D70AD9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8685EB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70BE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281EFFD0">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5565172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78EE8C0B">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59FCD9B9">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color w:val="auto"/>
                <w:sz w:val="20"/>
                <w:szCs w:val="20"/>
                <w:highlight w:val="none"/>
                <w:lang w:val="en-US" w:eastAsia="zh-CN"/>
              </w:rPr>
              <w:t>未按采购方要求服务，响应速度慢，影响采购方布艺窗帘清洗需求开展</w:t>
            </w:r>
            <w:r>
              <w:rPr>
                <w:rFonts w:hint="eastAsia" w:ascii="宋体" w:hAnsi="宋体" w:eastAsia="宋体" w:cs="宋体"/>
                <w:b w:val="0"/>
                <w:bCs w:val="0"/>
                <w:color w:val="auto"/>
                <w:sz w:val="20"/>
                <w:szCs w:val="20"/>
                <w:highlight w:val="none"/>
                <w:lang w:eastAsia="zh-CN"/>
              </w:rPr>
              <w:t>。</w:t>
            </w:r>
          </w:p>
        </w:tc>
        <w:tc>
          <w:tcPr>
            <w:tcW w:w="1215" w:type="dxa"/>
            <w:tcBorders>
              <w:top w:val="single" w:color="auto" w:sz="4" w:space="0"/>
              <w:left w:val="nil"/>
              <w:bottom w:val="single" w:color="auto" w:sz="4" w:space="0"/>
              <w:right w:val="single" w:color="auto" w:sz="4" w:space="0"/>
            </w:tcBorders>
            <w:noWrap w:val="0"/>
            <w:vAlign w:val="center"/>
          </w:tcPr>
          <w:p w14:paraId="3917182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3E29F35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846214D">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EC64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45C8F8DB">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09776A3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43775D2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600A5241">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无正当理由及未与采购方沟通的，未按规定时间提供服务。</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38D22BB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5A0EE3D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0BCC4566">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47742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44559AEA">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555AF3A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799495B0">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0C10E2B6">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在布艺窗帘清洗服务的过程中，使用劣质的洗涤用品，如因为使用劣质洗涤用品造成了</w:t>
            </w:r>
            <w:r>
              <w:rPr>
                <w:rFonts w:hint="eastAsia" w:ascii="宋体" w:hAnsi="宋体" w:cs="宋体"/>
                <w:b w:val="0"/>
                <w:bCs/>
                <w:color w:val="auto"/>
                <w:sz w:val="20"/>
                <w:szCs w:val="20"/>
                <w:highlight w:val="none"/>
                <w:lang w:val="en-US" w:eastAsia="zh-CN"/>
              </w:rPr>
              <w:t>采购方</w:t>
            </w:r>
            <w:r>
              <w:rPr>
                <w:rFonts w:hint="eastAsia" w:ascii="宋体" w:hAnsi="宋体" w:eastAsia="宋体" w:cs="宋体"/>
                <w:b w:val="0"/>
                <w:bCs/>
                <w:color w:val="auto"/>
                <w:sz w:val="20"/>
                <w:szCs w:val="20"/>
                <w:highlight w:val="none"/>
                <w:lang w:val="en-US" w:eastAsia="zh-CN"/>
              </w:rPr>
              <w:t>布艺窗帘被污染问题。</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53FE22F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2-4</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6642F9E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00BF9A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7D9B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45D0DAA5">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296595B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45C47A61">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4D74E00D">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未按采购方要求做好工装清洗记录和档案管理工作。</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1E30C47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21322B8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4DF940C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469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585156FD">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4E9F644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70FF328D">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6BFA1C9B">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未配合采购方临时或紧急需求。</w:t>
            </w:r>
          </w:p>
        </w:tc>
        <w:tc>
          <w:tcPr>
            <w:tcW w:w="1215" w:type="dxa"/>
            <w:tcBorders>
              <w:top w:val="single" w:color="auto" w:sz="4" w:space="0"/>
              <w:left w:val="nil"/>
              <w:bottom w:val="single" w:color="auto" w:sz="4" w:space="0"/>
              <w:right w:val="single" w:color="auto" w:sz="4" w:space="0"/>
            </w:tcBorders>
            <w:noWrap w:val="0"/>
            <w:vAlign w:val="center"/>
          </w:tcPr>
          <w:p w14:paraId="443D9FF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6ECDED4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28E86E3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13C5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2E8F19BE">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0047E41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5B5E0A9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05FA2E6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未制定应急方案，且在紧急事件发生时，不能及时处理，给采购方带来损失。</w:t>
            </w:r>
          </w:p>
        </w:tc>
        <w:tc>
          <w:tcPr>
            <w:tcW w:w="1215" w:type="dxa"/>
            <w:tcBorders>
              <w:top w:val="single" w:color="auto" w:sz="4" w:space="0"/>
              <w:left w:val="nil"/>
              <w:bottom w:val="single" w:color="auto" w:sz="4" w:space="0"/>
              <w:right w:val="single" w:color="auto" w:sz="4" w:space="0"/>
            </w:tcBorders>
            <w:noWrap w:val="0"/>
            <w:vAlign w:val="center"/>
          </w:tcPr>
          <w:p w14:paraId="0969FB8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01B5720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691A67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7BA0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jc w:val="center"/>
        </w:trPr>
        <w:tc>
          <w:tcPr>
            <w:tcW w:w="645" w:type="dxa"/>
            <w:vMerge w:val="restart"/>
            <w:tcBorders>
              <w:left w:val="single" w:color="auto" w:sz="4" w:space="0"/>
              <w:right w:val="single" w:color="auto" w:sz="4" w:space="0"/>
            </w:tcBorders>
            <w:noWrap w:val="0"/>
            <w:vAlign w:val="center"/>
          </w:tcPr>
          <w:p w14:paraId="444490F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819" w:type="dxa"/>
            <w:vMerge w:val="restart"/>
            <w:tcBorders>
              <w:left w:val="nil"/>
              <w:right w:val="single" w:color="auto" w:sz="4" w:space="0"/>
            </w:tcBorders>
            <w:noWrap w:val="0"/>
            <w:vAlign w:val="center"/>
          </w:tcPr>
          <w:p w14:paraId="4659D92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人员工作经验丰富，服务态度良好，处理问题及反馈及时。</w:t>
            </w:r>
          </w:p>
        </w:tc>
        <w:tc>
          <w:tcPr>
            <w:tcW w:w="878" w:type="dxa"/>
            <w:vMerge w:val="restart"/>
            <w:tcBorders>
              <w:left w:val="nil"/>
              <w:right w:val="single" w:color="auto" w:sz="4" w:space="0"/>
            </w:tcBorders>
            <w:noWrap w:val="0"/>
            <w:vAlign w:val="center"/>
          </w:tcPr>
          <w:p w14:paraId="272882B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20</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66F2E8E8">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服务人员应具备丰富的相关经验和专业判断能力。服务商派出的人员如无法对布艺窗帘清洗服务过程需处理的问题能够作出专业判断、诊断和处理方案。</w:t>
            </w:r>
          </w:p>
        </w:tc>
        <w:tc>
          <w:tcPr>
            <w:tcW w:w="1215" w:type="dxa"/>
            <w:tcBorders>
              <w:top w:val="single" w:color="auto" w:sz="4" w:space="0"/>
              <w:left w:val="nil"/>
              <w:bottom w:val="single" w:color="auto" w:sz="4" w:space="0"/>
              <w:right w:val="single" w:color="auto" w:sz="4" w:space="0"/>
            </w:tcBorders>
            <w:noWrap w:val="0"/>
            <w:vAlign w:val="center"/>
          </w:tcPr>
          <w:p w14:paraId="402DF24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4</w:t>
            </w:r>
            <w:r>
              <w:rPr>
                <w:rFonts w:hint="eastAsia" w:ascii="宋体" w:hAnsi="宋体" w:eastAsia="宋体" w:cs="宋体"/>
                <w:b w:val="0"/>
                <w:bCs w:val="0"/>
                <w:color w:val="auto"/>
                <w:sz w:val="20"/>
                <w:szCs w:val="20"/>
                <w:highlight w:val="none"/>
              </w:rPr>
              <w:t>分/</w:t>
            </w:r>
            <w:r>
              <w:rPr>
                <w:rFonts w:hint="eastAsia" w:ascii="宋体" w:hAnsi="宋体" w:eastAsia="宋体" w:cs="宋体"/>
                <w:b w:val="0"/>
                <w:bCs w:val="0"/>
                <w:color w:val="auto"/>
                <w:sz w:val="20"/>
                <w:szCs w:val="20"/>
                <w:highlight w:val="none"/>
                <w:lang w:val="en-US" w:eastAsia="zh-CN"/>
              </w:rPr>
              <w:t>次</w:t>
            </w:r>
          </w:p>
        </w:tc>
        <w:tc>
          <w:tcPr>
            <w:tcW w:w="600" w:type="dxa"/>
            <w:tcBorders>
              <w:top w:val="single" w:color="auto" w:sz="4" w:space="0"/>
              <w:left w:val="nil"/>
              <w:bottom w:val="single" w:color="auto" w:sz="4" w:space="0"/>
              <w:right w:val="single" w:color="auto" w:sz="4" w:space="0"/>
            </w:tcBorders>
            <w:noWrap w:val="0"/>
            <w:vAlign w:val="top"/>
          </w:tcPr>
          <w:p w14:paraId="6E37BE16">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562402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7348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645" w:type="dxa"/>
            <w:vMerge w:val="continue"/>
            <w:tcBorders>
              <w:left w:val="single" w:color="auto" w:sz="4" w:space="0"/>
              <w:right w:val="single" w:color="auto" w:sz="4" w:space="0"/>
            </w:tcBorders>
            <w:noWrap w:val="0"/>
            <w:vAlign w:val="center"/>
          </w:tcPr>
          <w:p w14:paraId="7D5CA0F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72ECAB7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5D777AD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66E9C23B">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服务人员服务态度良好，应对采购方或员工提出的问题耐心解答，对反馈的问题及时跟进。如服务人员态度恶劣，消极怠工。</w:t>
            </w:r>
          </w:p>
        </w:tc>
        <w:tc>
          <w:tcPr>
            <w:tcW w:w="1215" w:type="dxa"/>
            <w:tcBorders>
              <w:top w:val="single" w:color="auto" w:sz="4" w:space="0"/>
              <w:left w:val="nil"/>
              <w:bottom w:val="single" w:color="auto" w:sz="4" w:space="0"/>
              <w:right w:val="single" w:color="auto" w:sz="4" w:space="0"/>
            </w:tcBorders>
            <w:noWrap w:val="0"/>
            <w:vAlign w:val="center"/>
          </w:tcPr>
          <w:p w14:paraId="1FBAAEC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1AFAEC8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54A1F1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4BCB8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restart"/>
            <w:tcBorders>
              <w:left w:val="single" w:color="auto" w:sz="4" w:space="0"/>
              <w:right w:val="single" w:color="auto" w:sz="4" w:space="0"/>
            </w:tcBorders>
            <w:noWrap w:val="0"/>
            <w:vAlign w:val="center"/>
          </w:tcPr>
          <w:p w14:paraId="3A9103A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819" w:type="dxa"/>
            <w:vMerge w:val="restart"/>
            <w:tcBorders>
              <w:left w:val="nil"/>
              <w:right w:val="single" w:color="auto" w:sz="4" w:space="0"/>
            </w:tcBorders>
            <w:noWrap w:val="0"/>
            <w:vAlign w:val="center"/>
          </w:tcPr>
          <w:p w14:paraId="398D4A5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val="0"/>
                <w:color w:val="auto"/>
                <w:sz w:val="20"/>
                <w:szCs w:val="20"/>
                <w:highlight w:val="none"/>
              </w:rPr>
            </w:pPr>
            <w:r>
              <w:rPr>
                <w:rFonts w:hint="eastAsia" w:ascii="宋体" w:hAnsi="宋体" w:eastAsia="宋体" w:cs="宋体"/>
                <w:b w:val="0"/>
                <w:bCs/>
                <w:color w:val="auto"/>
                <w:sz w:val="20"/>
                <w:szCs w:val="20"/>
                <w:highlight w:val="none"/>
                <w:lang w:val="en-US" w:eastAsia="zh-CN"/>
              </w:rPr>
              <w:t>安全管理</w:t>
            </w:r>
          </w:p>
        </w:tc>
        <w:tc>
          <w:tcPr>
            <w:tcW w:w="878" w:type="dxa"/>
            <w:vMerge w:val="restart"/>
            <w:tcBorders>
              <w:left w:val="nil"/>
              <w:right w:val="single" w:color="auto" w:sz="4" w:space="0"/>
            </w:tcBorders>
            <w:noWrap w:val="0"/>
            <w:vAlign w:val="center"/>
          </w:tcPr>
          <w:p w14:paraId="0D6E0BF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5C12C9B4">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服务商必须严格执行采购方的安全规定。每出现一次安全事故。</w:t>
            </w:r>
          </w:p>
        </w:tc>
        <w:tc>
          <w:tcPr>
            <w:tcW w:w="1215" w:type="dxa"/>
            <w:tcBorders>
              <w:top w:val="single" w:color="auto" w:sz="4" w:space="0"/>
              <w:left w:val="nil"/>
              <w:bottom w:val="single" w:color="auto" w:sz="4" w:space="0"/>
              <w:right w:val="single" w:color="auto" w:sz="4" w:space="0"/>
            </w:tcBorders>
            <w:noWrap w:val="0"/>
            <w:vAlign w:val="center"/>
          </w:tcPr>
          <w:p w14:paraId="23056AC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3243FEDA">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2AE7AA6C">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1906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continue"/>
            <w:tcBorders>
              <w:left w:val="single" w:color="auto" w:sz="4" w:space="0"/>
              <w:right w:val="single" w:color="auto" w:sz="4" w:space="0"/>
            </w:tcBorders>
            <w:noWrap w:val="0"/>
            <w:vAlign w:val="center"/>
          </w:tcPr>
          <w:p w14:paraId="0988C19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2A0D8A0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663B087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1B3CBD83">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服务商必须严格执行采购方的安全规定。每出现一次重大安全事故。</w:t>
            </w:r>
          </w:p>
        </w:tc>
        <w:tc>
          <w:tcPr>
            <w:tcW w:w="1215" w:type="dxa"/>
            <w:tcBorders>
              <w:top w:val="single" w:color="auto" w:sz="4" w:space="0"/>
              <w:left w:val="nil"/>
              <w:bottom w:val="single" w:color="auto" w:sz="4" w:space="0"/>
              <w:right w:val="single" w:color="auto" w:sz="4" w:space="0"/>
            </w:tcBorders>
            <w:noWrap w:val="0"/>
            <w:vAlign w:val="center"/>
          </w:tcPr>
          <w:p w14:paraId="60AD543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133F094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84144E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76113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restart"/>
            <w:tcBorders>
              <w:left w:val="single" w:color="auto" w:sz="4" w:space="0"/>
              <w:right w:val="single" w:color="auto" w:sz="4" w:space="0"/>
            </w:tcBorders>
            <w:noWrap w:val="0"/>
            <w:vAlign w:val="center"/>
          </w:tcPr>
          <w:p w14:paraId="07A9176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819" w:type="dxa"/>
            <w:vMerge w:val="restart"/>
            <w:tcBorders>
              <w:left w:val="nil"/>
              <w:right w:val="single" w:color="auto" w:sz="4" w:space="0"/>
            </w:tcBorders>
            <w:noWrap w:val="0"/>
            <w:vAlign w:val="center"/>
          </w:tcPr>
          <w:p w14:paraId="25CB4A5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操作安全得当，妥善保管。</w:t>
            </w:r>
          </w:p>
        </w:tc>
        <w:tc>
          <w:tcPr>
            <w:tcW w:w="878" w:type="dxa"/>
            <w:vMerge w:val="restart"/>
            <w:tcBorders>
              <w:left w:val="nil"/>
              <w:right w:val="single" w:color="auto" w:sz="4" w:space="0"/>
            </w:tcBorders>
            <w:noWrap w:val="0"/>
            <w:vAlign w:val="center"/>
          </w:tcPr>
          <w:p w14:paraId="5B26120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797BECF8">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服务人员操作失误或不当造成采购方员工送洗的布艺窗帘损坏。</w:t>
            </w:r>
          </w:p>
        </w:tc>
        <w:tc>
          <w:tcPr>
            <w:tcW w:w="1215" w:type="dxa"/>
            <w:tcBorders>
              <w:top w:val="single" w:color="auto" w:sz="4" w:space="0"/>
              <w:left w:val="nil"/>
              <w:bottom w:val="single" w:color="auto" w:sz="4" w:space="0"/>
              <w:right w:val="single" w:color="auto" w:sz="4" w:space="0"/>
            </w:tcBorders>
            <w:noWrap w:val="0"/>
            <w:vAlign w:val="center"/>
          </w:tcPr>
          <w:p w14:paraId="196BB46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r>
              <w:rPr>
                <w:rFonts w:hint="eastAsia" w:ascii="宋体" w:hAnsi="宋体" w:eastAsia="宋体" w:cs="宋体"/>
                <w:b w:val="0"/>
                <w:bCs w:val="0"/>
                <w:color w:val="auto"/>
                <w:sz w:val="20"/>
                <w:szCs w:val="20"/>
                <w:highlight w:val="none"/>
                <w:lang w:eastAsia="zh-CN"/>
              </w:rPr>
              <w:t>，</w:t>
            </w:r>
            <w:r>
              <w:rPr>
                <w:rFonts w:hint="eastAsia" w:ascii="宋体" w:hAnsi="宋体" w:eastAsia="宋体" w:cs="宋体"/>
                <w:b w:val="0"/>
                <w:bCs w:val="0"/>
                <w:color w:val="auto"/>
                <w:sz w:val="20"/>
                <w:szCs w:val="20"/>
                <w:highlight w:val="none"/>
                <w:lang w:val="en-US" w:eastAsia="zh-CN"/>
              </w:rPr>
              <w:t>并按等价进行赔偿。</w:t>
            </w:r>
          </w:p>
        </w:tc>
        <w:tc>
          <w:tcPr>
            <w:tcW w:w="600" w:type="dxa"/>
            <w:tcBorders>
              <w:top w:val="single" w:color="auto" w:sz="4" w:space="0"/>
              <w:left w:val="nil"/>
              <w:bottom w:val="single" w:color="auto" w:sz="4" w:space="0"/>
              <w:right w:val="single" w:color="auto" w:sz="4" w:space="0"/>
            </w:tcBorders>
            <w:noWrap w:val="0"/>
            <w:vAlign w:val="top"/>
          </w:tcPr>
          <w:p w14:paraId="4DEDB50D">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475E6A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45234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continue"/>
            <w:tcBorders>
              <w:left w:val="single" w:color="auto" w:sz="4" w:space="0"/>
              <w:right w:val="single" w:color="auto" w:sz="4" w:space="0"/>
            </w:tcBorders>
            <w:noWrap w:val="0"/>
            <w:vAlign w:val="center"/>
          </w:tcPr>
          <w:p w14:paraId="1C62FF2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5CD101C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659C42A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142A8E49">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送洗的布艺窗帘保管不善遗失。</w:t>
            </w:r>
          </w:p>
        </w:tc>
        <w:tc>
          <w:tcPr>
            <w:tcW w:w="1215" w:type="dxa"/>
            <w:tcBorders>
              <w:top w:val="single" w:color="auto" w:sz="4" w:space="0"/>
              <w:left w:val="nil"/>
              <w:bottom w:val="single" w:color="auto" w:sz="4" w:space="0"/>
              <w:right w:val="single" w:color="auto" w:sz="4" w:space="0"/>
            </w:tcBorders>
            <w:noWrap w:val="0"/>
            <w:vAlign w:val="center"/>
          </w:tcPr>
          <w:p w14:paraId="2928C5B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r>
              <w:rPr>
                <w:rFonts w:hint="eastAsia" w:ascii="宋体" w:hAnsi="宋体" w:eastAsia="宋体" w:cs="宋体"/>
                <w:b w:val="0"/>
                <w:bCs w:val="0"/>
                <w:color w:val="auto"/>
                <w:sz w:val="20"/>
                <w:szCs w:val="20"/>
                <w:highlight w:val="none"/>
                <w:lang w:eastAsia="zh-CN"/>
              </w:rPr>
              <w:t>，</w:t>
            </w:r>
            <w:r>
              <w:rPr>
                <w:rFonts w:hint="eastAsia" w:ascii="宋体" w:hAnsi="宋体" w:eastAsia="宋体" w:cs="宋体"/>
                <w:b w:val="0"/>
                <w:bCs w:val="0"/>
                <w:color w:val="auto"/>
                <w:sz w:val="20"/>
                <w:szCs w:val="20"/>
                <w:highlight w:val="none"/>
                <w:lang w:val="en-US" w:eastAsia="zh-CN"/>
              </w:rPr>
              <w:t>并按等价进行赔偿。</w:t>
            </w:r>
          </w:p>
        </w:tc>
        <w:tc>
          <w:tcPr>
            <w:tcW w:w="600" w:type="dxa"/>
            <w:tcBorders>
              <w:top w:val="single" w:color="auto" w:sz="4" w:space="0"/>
              <w:left w:val="nil"/>
              <w:bottom w:val="single" w:color="auto" w:sz="4" w:space="0"/>
              <w:right w:val="single" w:color="auto" w:sz="4" w:space="0"/>
            </w:tcBorders>
            <w:noWrap w:val="0"/>
            <w:vAlign w:val="top"/>
          </w:tcPr>
          <w:p w14:paraId="0A76D636">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11E2298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bl>
    <w:tbl>
      <w:tblPr>
        <w:tblStyle w:val="16"/>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2"/>
      </w:tblGrid>
      <w:tr w14:paraId="0299B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852" w:type="dxa"/>
            <w:vAlign w:val="center"/>
          </w:tcPr>
          <w:p w14:paraId="55E044DB">
            <w:pPr>
              <w:pStyle w:val="18"/>
              <w:rPr>
                <w:rFonts w:hint="eastAsia" w:ascii="宋体" w:hAnsi="宋体" w:eastAsia="宋体" w:cs="宋体"/>
                <w:color w:val="auto"/>
                <w:sz w:val="20"/>
                <w:szCs w:val="20"/>
                <w:highlight w:val="none"/>
                <w:vertAlign w:val="baseline"/>
                <w:lang w:val="en-US" w:eastAsia="zh-CN"/>
              </w:rPr>
            </w:pPr>
            <w:bookmarkStart w:id="274" w:name="_Toc25863"/>
            <w:bookmarkStart w:id="275" w:name="_Toc4659"/>
            <w:r>
              <w:rPr>
                <w:rFonts w:hint="eastAsia" w:ascii="宋体" w:hAnsi="宋体" w:eastAsia="宋体" w:cs="宋体"/>
                <w:color w:val="auto"/>
                <w:sz w:val="20"/>
                <w:szCs w:val="20"/>
                <w:highlight w:val="none"/>
                <w:lang w:val="en-US" w:eastAsia="zh-CN"/>
              </w:rPr>
              <w:t xml:space="preserve">                                            考核得分：</w:t>
            </w:r>
          </w:p>
        </w:tc>
      </w:tr>
      <w:tr w14:paraId="4E233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2" w:type="dxa"/>
            <w:vAlign w:val="center"/>
          </w:tcPr>
          <w:p w14:paraId="1783EC05">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08AF4199">
            <w:pPr>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w:t>
            </w:r>
            <w:r>
              <w:rPr>
                <w:rFonts w:hint="eastAsia" w:ascii="宋体" w:hAnsi="宋体" w:cs="宋体"/>
                <w:color w:val="auto"/>
                <w:sz w:val="20"/>
                <w:szCs w:val="20"/>
                <w:highlight w:val="none"/>
                <w:lang w:val="en-US" w:eastAsia="zh-CN"/>
              </w:rPr>
              <w:t>签名：</w:t>
            </w:r>
          </w:p>
          <w:p w14:paraId="5B7F0B88">
            <w:pPr>
              <w:rPr>
                <w:rFonts w:hint="eastAsia" w:ascii="宋体" w:hAnsi="宋体" w:eastAsia="宋体" w:cs="宋体"/>
                <w:color w:val="auto"/>
                <w:sz w:val="20"/>
                <w:szCs w:val="20"/>
                <w:highlight w:val="none"/>
                <w:vertAlign w:val="baseline"/>
                <w:lang w:val="en-US" w:eastAsia="zh-CN"/>
              </w:rPr>
            </w:pPr>
            <w:r>
              <w:rPr>
                <w:rFonts w:hint="eastAsia" w:ascii="宋体" w:hAnsi="宋体" w:cs="宋体"/>
                <w:color w:val="auto"/>
                <w:sz w:val="20"/>
                <w:szCs w:val="20"/>
                <w:highlight w:val="none"/>
                <w:lang w:val="en-US" w:eastAsia="zh-CN"/>
              </w:rPr>
              <w:t xml:space="preserve">                                                   日期：</w:t>
            </w:r>
          </w:p>
        </w:tc>
      </w:tr>
    </w:tbl>
    <w:p w14:paraId="59E3840C">
      <w:pPr>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br w:type="page"/>
      </w:r>
    </w:p>
    <w:p w14:paraId="12B3F128">
      <w:pPr>
        <w:pStyle w:val="4"/>
        <w:keepNext/>
        <w:keepLines/>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bCs w:val="0"/>
          <w:color w:val="auto"/>
          <w:kern w:val="0"/>
          <w:sz w:val="20"/>
          <w:szCs w:val="20"/>
          <w:highlight w:val="none"/>
          <w:lang w:val="en-US" w:eastAsia="zh-CN"/>
        </w:rPr>
      </w:pPr>
      <w:bookmarkStart w:id="276" w:name="_Toc30037"/>
      <w:bookmarkStart w:id="277" w:name="_Toc10344"/>
      <w:r>
        <w:rPr>
          <w:rFonts w:hint="eastAsia" w:ascii="宋体" w:hAnsi="宋体" w:eastAsia="宋体" w:cs="宋体"/>
          <w:b/>
          <w:bCs w:val="0"/>
          <w:color w:val="auto"/>
          <w:sz w:val="20"/>
          <w:szCs w:val="20"/>
          <w:highlight w:val="none"/>
          <w:lang w:val="en-US" w:eastAsia="zh-CN"/>
        </w:rPr>
        <w:t>（七）</w:t>
      </w:r>
      <w:r>
        <w:rPr>
          <w:rFonts w:hint="eastAsia" w:ascii="宋体" w:hAnsi="宋体" w:cs="宋体"/>
          <w:color w:val="auto"/>
          <w:kern w:val="0"/>
          <w:sz w:val="20"/>
          <w:szCs w:val="20"/>
          <w:highlight w:val="none"/>
          <w:lang w:val="en-US" w:eastAsia="zh-CN"/>
        </w:rPr>
        <w:t>工装清洗服务项目</w:t>
      </w:r>
      <w:bookmarkEnd w:id="274"/>
      <w:bookmarkEnd w:id="275"/>
      <w:bookmarkEnd w:id="276"/>
      <w:bookmarkEnd w:id="277"/>
    </w:p>
    <w:p w14:paraId="64DDE5A6">
      <w:pPr>
        <w:keepNext w:val="0"/>
        <w:keepLines w:val="0"/>
        <w:pageBreakBefore w:val="0"/>
        <w:widowControl w:val="0"/>
        <w:kinsoku/>
        <w:wordWrap/>
        <w:overflowPunct/>
        <w:topLinePunct w:val="0"/>
        <w:autoSpaceDE/>
        <w:autoSpaceDN/>
        <w:bidi w:val="0"/>
        <w:adjustRightInd/>
        <w:snapToGrid/>
        <w:spacing w:line="240" w:lineRule="auto"/>
        <w:ind w:firstLine="402" w:firstLineChars="200"/>
        <w:outlineLvl w:val="0"/>
        <w:rPr>
          <w:rFonts w:hint="eastAsia" w:ascii="宋体" w:hAnsi="宋体" w:eastAsia="宋体" w:cs="宋体"/>
          <w:b/>
          <w:bCs/>
          <w:color w:val="auto"/>
          <w:sz w:val="20"/>
          <w:szCs w:val="20"/>
          <w:highlight w:val="none"/>
        </w:rPr>
      </w:pPr>
      <w:bookmarkStart w:id="278" w:name="_Toc18056"/>
      <w:bookmarkStart w:id="279" w:name="_Toc18646"/>
      <w:bookmarkStart w:id="280" w:name="_Toc2025"/>
      <w:bookmarkStart w:id="281" w:name="_Toc32745"/>
      <w:r>
        <w:rPr>
          <w:rFonts w:hint="eastAsia" w:ascii="宋体" w:hAnsi="宋体" w:eastAsia="宋体" w:cs="宋体"/>
          <w:b/>
          <w:bCs/>
          <w:color w:val="auto"/>
          <w:sz w:val="20"/>
          <w:szCs w:val="20"/>
          <w:highlight w:val="none"/>
          <w:lang w:val="en-US" w:eastAsia="zh-CN"/>
        </w:rPr>
        <w:t>1.</w:t>
      </w:r>
      <w:r>
        <w:rPr>
          <w:rFonts w:hint="eastAsia" w:ascii="宋体" w:hAnsi="宋体" w:eastAsia="宋体" w:cs="宋体"/>
          <w:b/>
          <w:bCs/>
          <w:color w:val="auto"/>
          <w:sz w:val="20"/>
          <w:szCs w:val="20"/>
          <w:highlight w:val="none"/>
        </w:rPr>
        <w:t>项目服务标准及要求</w:t>
      </w:r>
      <w:bookmarkEnd w:id="278"/>
      <w:bookmarkEnd w:id="279"/>
      <w:bookmarkEnd w:id="280"/>
      <w:bookmarkEnd w:id="281"/>
    </w:p>
    <w:p w14:paraId="1B5784E8">
      <w:pPr>
        <w:keepNext w:val="0"/>
        <w:keepLines w:val="0"/>
        <w:pageBreakBefore w:val="0"/>
        <w:widowControl w:val="0"/>
        <w:kinsoku/>
        <w:wordWrap/>
        <w:overflowPunct/>
        <w:topLinePunct w:val="0"/>
        <w:autoSpaceDE/>
        <w:autoSpaceDN/>
        <w:bidi w:val="0"/>
        <w:adjustRightInd/>
        <w:snapToGrid/>
        <w:spacing w:line="240" w:lineRule="auto"/>
        <w:ind w:firstLine="402" w:firstLineChars="200"/>
        <w:outlineLvl w:val="1"/>
        <w:rPr>
          <w:rFonts w:hint="eastAsia" w:ascii="宋体" w:hAnsi="宋体" w:eastAsia="宋体" w:cs="宋体"/>
          <w:b/>
          <w:bCs/>
          <w:color w:val="auto"/>
          <w:sz w:val="20"/>
          <w:szCs w:val="20"/>
          <w:highlight w:val="none"/>
        </w:rPr>
      </w:pPr>
      <w:bookmarkStart w:id="282" w:name="_Toc23237"/>
      <w:bookmarkStart w:id="283" w:name="_Toc17074"/>
      <w:bookmarkStart w:id="284" w:name="_Toc28217"/>
      <w:bookmarkStart w:id="285" w:name="_Toc3531"/>
      <w:bookmarkStart w:id="286" w:name="_Toc14994"/>
      <w:r>
        <w:rPr>
          <w:rFonts w:hint="eastAsia" w:ascii="宋体" w:hAnsi="宋体" w:eastAsia="宋体" w:cs="宋体"/>
          <w:b/>
          <w:bCs/>
          <w:color w:val="auto"/>
          <w:sz w:val="20"/>
          <w:szCs w:val="20"/>
          <w:highlight w:val="none"/>
          <w:lang w:val="en-US" w:eastAsia="zh-CN"/>
        </w:rPr>
        <w:t>1.1</w:t>
      </w:r>
      <w:r>
        <w:rPr>
          <w:rFonts w:hint="eastAsia" w:ascii="宋体" w:hAnsi="宋体" w:eastAsia="宋体" w:cs="宋体"/>
          <w:b/>
          <w:bCs/>
          <w:color w:val="auto"/>
          <w:sz w:val="20"/>
          <w:szCs w:val="20"/>
          <w:highlight w:val="none"/>
        </w:rPr>
        <w:t>项目服务标准</w:t>
      </w:r>
      <w:bookmarkEnd w:id="282"/>
      <w:bookmarkEnd w:id="283"/>
      <w:bookmarkEnd w:id="284"/>
      <w:bookmarkEnd w:id="285"/>
      <w:bookmarkEnd w:id="286"/>
    </w:p>
    <w:p w14:paraId="075092B2">
      <w:pPr>
        <w:keepNext w:val="0"/>
        <w:keepLines w:val="0"/>
        <w:pageBreakBefore w:val="0"/>
        <w:widowControl w:val="0"/>
        <w:kinsoku/>
        <w:wordWrap/>
        <w:overflowPunct/>
        <w:topLinePunct w:val="0"/>
        <w:autoSpaceDE/>
        <w:autoSpaceDN/>
        <w:bidi w:val="0"/>
        <w:adjustRightInd/>
        <w:snapToGrid/>
        <w:spacing w:line="240" w:lineRule="auto"/>
        <w:ind w:firstLine="400" w:firstLineChars="200"/>
        <w:rPr>
          <w:rFonts w:hint="eastAsia" w:ascii="宋体" w:hAnsi="宋体" w:eastAsia="宋体" w:cs="宋体"/>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rPr>
        <w:t>服务商在提供</w:t>
      </w:r>
      <w:r>
        <w:rPr>
          <w:rFonts w:hint="eastAsia" w:ascii="华光书宋一_CNKI" w:hAnsi="华光书宋一_CNKI" w:eastAsia="华光书宋一_CNKI" w:cs="华光书宋一_CNKI"/>
          <w:color w:val="auto"/>
          <w:sz w:val="20"/>
          <w:szCs w:val="20"/>
          <w:highlight w:val="none"/>
          <w:lang w:val="en-US" w:eastAsia="zh-CN"/>
        </w:rPr>
        <w:t>员工工装清洗</w:t>
      </w:r>
      <w:r>
        <w:rPr>
          <w:rFonts w:hint="eastAsia" w:ascii="华光书宋一_CNKI" w:hAnsi="华光书宋一_CNKI" w:eastAsia="华光书宋一_CNKI" w:cs="华光书宋一_CNKI"/>
          <w:color w:val="auto"/>
          <w:sz w:val="20"/>
          <w:szCs w:val="20"/>
          <w:highlight w:val="none"/>
        </w:rPr>
        <w:t>服务时，需按照如下标准执行，要求所用标准必须为最新版本，如果这些标准有矛盾时，应按最高标准的条款执行或按双方商定的标准执行。此外，如果在合同执行期间国家颁布新的标准时，应按最新的条款执行</w:t>
      </w:r>
      <w:r>
        <w:rPr>
          <w:rFonts w:hint="eastAsia" w:ascii="宋体" w:hAnsi="宋体" w:eastAsia="宋体" w:cs="宋体"/>
          <w:color w:val="auto"/>
          <w:sz w:val="20"/>
          <w:szCs w:val="20"/>
          <w:highlight w:val="none"/>
        </w:rPr>
        <w:t>。</w:t>
      </w:r>
    </w:p>
    <w:tbl>
      <w:tblPr>
        <w:tblStyle w:val="16"/>
        <w:tblW w:w="8120"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7340"/>
      </w:tblGrid>
      <w:tr w14:paraId="3C60B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780" w:type="dxa"/>
            <w:vAlign w:val="center"/>
          </w:tcPr>
          <w:p w14:paraId="75052C9F">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7340" w:type="dxa"/>
            <w:vAlign w:val="center"/>
          </w:tcPr>
          <w:p w14:paraId="10DB402C">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相关标准</w:t>
            </w:r>
          </w:p>
        </w:tc>
      </w:tr>
      <w:tr w14:paraId="3466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30BEB621">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7340" w:type="dxa"/>
            <w:shd w:val="clear" w:color="auto" w:fill="auto"/>
            <w:vAlign w:val="center"/>
          </w:tcPr>
          <w:p w14:paraId="4CCCB061">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《服装干洗业职业卫生管理规范》（GBZ/T 199-2007）</w:t>
            </w:r>
          </w:p>
        </w:tc>
      </w:tr>
      <w:tr w14:paraId="49F41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5201F18C">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340" w:type="dxa"/>
            <w:shd w:val="clear" w:color="auto" w:fill="auto"/>
            <w:vAlign w:val="center"/>
          </w:tcPr>
          <w:p w14:paraId="5AC0E83F">
            <w:pPr>
              <w:keepNext w:val="0"/>
              <w:keepLines w:val="0"/>
              <w:pageBreakBefore w:val="0"/>
              <w:widowControl w:val="0"/>
              <w:tabs>
                <w:tab w:val="left" w:pos="6105"/>
              </w:tabs>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《洗染业管理办法》（中华人民共和国商务部）</w:t>
            </w:r>
          </w:p>
        </w:tc>
      </w:tr>
      <w:tr w14:paraId="7E6DF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696DD11E">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7340" w:type="dxa"/>
            <w:shd w:val="clear" w:color="auto" w:fill="auto"/>
            <w:vAlign w:val="center"/>
          </w:tcPr>
          <w:p w14:paraId="178A0678">
            <w:pPr>
              <w:keepNext w:val="0"/>
              <w:keepLines w:val="0"/>
              <w:pageBreakBefore w:val="0"/>
              <w:widowControl w:val="0"/>
              <w:tabs>
                <w:tab w:val="left" w:pos="6105"/>
              </w:tabs>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《洗染业服务质量要求》（SB/T 10625-20）</w:t>
            </w:r>
          </w:p>
        </w:tc>
      </w:tr>
      <w:tr w14:paraId="5889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03CF5249">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7340" w:type="dxa"/>
            <w:shd w:val="clear" w:color="auto" w:fill="auto"/>
            <w:vAlign w:val="center"/>
          </w:tcPr>
          <w:p w14:paraId="6A753B05">
            <w:pPr>
              <w:keepNext w:val="0"/>
              <w:keepLines w:val="0"/>
              <w:pageBreakBefore w:val="0"/>
              <w:widowControl w:val="0"/>
              <w:tabs>
                <w:tab w:val="left" w:pos="6105"/>
              </w:tabs>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《衣物清洗服务规范》(SB/T 11204-2017)</w:t>
            </w:r>
          </w:p>
        </w:tc>
      </w:tr>
      <w:tr w14:paraId="7D7B8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75AF4E83">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7340" w:type="dxa"/>
            <w:shd w:val="clear" w:color="auto" w:fill="auto"/>
            <w:vAlign w:val="center"/>
          </w:tcPr>
          <w:p w14:paraId="214E25D8">
            <w:pPr>
              <w:keepNext w:val="0"/>
              <w:keepLines w:val="0"/>
              <w:pageBreakBefore w:val="0"/>
              <w:widowControl w:val="0"/>
              <w:tabs>
                <w:tab w:val="left" w:pos="6105"/>
              </w:tabs>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《洗染业服务经营规范》（SB∕T 10624-2011）</w:t>
            </w:r>
          </w:p>
        </w:tc>
      </w:tr>
    </w:tbl>
    <w:p w14:paraId="5945815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287" w:name="_Toc9473"/>
      <w:bookmarkStart w:id="288" w:name="_Toc22998"/>
      <w:bookmarkStart w:id="289" w:name="_Toc8426"/>
      <w:bookmarkStart w:id="290" w:name="_Toc11893"/>
      <w:bookmarkStart w:id="291" w:name="_Toc27739"/>
      <w:bookmarkStart w:id="292" w:name="_Toc12977"/>
      <w:r>
        <w:rPr>
          <w:rFonts w:hint="eastAsia" w:ascii="宋体" w:hAnsi="宋体" w:eastAsia="宋体" w:cs="宋体"/>
          <w:b/>
          <w:bCs/>
          <w:color w:val="auto"/>
          <w:sz w:val="20"/>
          <w:szCs w:val="20"/>
          <w:highlight w:val="none"/>
          <w:lang w:val="en-US" w:eastAsia="zh-CN"/>
        </w:rPr>
        <w:t>1.2</w:t>
      </w:r>
      <w:r>
        <w:rPr>
          <w:rFonts w:hint="eastAsia" w:ascii="宋体" w:hAnsi="宋体" w:eastAsia="宋体" w:cs="宋体"/>
          <w:b/>
          <w:bCs/>
          <w:color w:val="auto"/>
          <w:sz w:val="20"/>
          <w:szCs w:val="20"/>
          <w:highlight w:val="none"/>
        </w:rPr>
        <w:t>项目服务要求</w:t>
      </w:r>
      <w:bookmarkEnd w:id="287"/>
      <w:bookmarkEnd w:id="288"/>
      <w:bookmarkEnd w:id="289"/>
      <w:bookmarkEnd w:id="290"/>
      <w:bookmarkEnd w:id="291"/>
      <w:bookmarkEnd w:id="292"/>
    </w:p>
    <w:p w14:paraId="7B77FCB4">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1.2.1合同实施前，服务商需指派专人进行对接，对采购方员工工装清洗的需求进行全面摸查和理解。</w:t>
      </w:r>
    </w:p>
    <w:p w14:paraId="2837D90B">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bCs/>
          <w:color w:val="auto"/>
          <w:sz w:val="20"/>
          <w:szCs w:val="20"/>
          <w:highlight w:val="none"/>
          <w:lang w:val="en-US" w:eastAsia="zh-CN"/>
        </w:rPr>
        <w:t>为保证工作正常有序开展，服务商必须按照采购方的要求执行（详见</w:t>
      </w:r>
      <w:r>
        <w:rPr>
          <w:rFonts w:hint="eastAsia" w:ascii="宋体" w:hAnsi="宋体" w:eastAsia="宋体" w:cs="宋体"/>
          <w:b w:val="0"/>
          <w:bCs w:val="0"/>
          <w:color w:val="auto"/>
          <w:sz w:val="20"/>
          <w:szCs w:val="20"/>
          <w:highlight w:val="none"/>
          <w:lang w:val="en-US" w:eastAsia="zh-CN"/>
        </w:rPr>
        <w:t>2.1</w:t>
      </w:r>
      <w:r>
        <w:rPr>
          <w:rFonts w:hint="eastAsia" w:ascii="宋体" w:hAnsi="宋体" w:eastAsia="宋体" w:cs="宋体"/>
          <w:color w:val="auto"/>
          <w:sz w:val="20"/>
          <w:szCs w:val="20"/>
          <w:highlight w:val="none"/>
          <w:lang w:val="en-US" w:eastAsia="zh-CN"/>
        </w:rPr>
        <w:t>工装清洗服务达标要求</w:t>
      </w:r>
      <w:r>
        <w:rPr>
          <w:rFonts w:hint="eastAsia" w:ascii="宋体" w:hAnsi="宋体" w:eastAsia="宋体" w:cs="宋体"/>
          <w:bCs/>
          <w:color w:val="auto"/>
          <w:sz w:val="20"/>
          <w:szCs w:val="20"/>
          <w:highlight w:val="none"/>
          <w:lang w:val="en-US" w:eastAsia="zh-CN"/>
        </w:rPr>
        <w:t>）</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且需在采购方规定的时间内完成相应的工作。</w:t>
      </w:r>
    </w:p>
    <w:p w14:paraId="5BF1FBDC">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1.2.3服务商提供24小时服务热线（热线电话、微信、传真、电子邮件等），服务商在接到采购方的需求后，必须在1小时内作出响应，并在采购方规定的时间内满足要求。</w:t>
      </w:r>
    </w:p>
    <w:p w14:paraId="09F32020">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1.2.4</w:t>
      </w:r>
      <w:r>
        <w:rPr>
          <w:rFonts w:hint="eastAsia" w:ascii="宋体" w:hAnsi="宋体" w:eastAsia="宋体" w:cs="宋体"/>
          <w:color w:val="auto"/>
          <w:sz w:val="20"/>
          <w:szCs w:val="20"/>
          <w:highlight w:val="none"/>
        </w:rPr>
        <w:t>服务商在收到采购方员工送洗物品时应进行登记收取，同时对收取的物品进行认真检查，如发现衣物有损坏的地方应当场向采购方员工说明并做好记录，否则视为物品无损坏。</w:t>
      </w:r>
    </w:p>
    <w:p w14:paraId="1238AE45">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bCs/>
          <w:color w:val="auto"/>
          <w:sz w:val="20"/>
          <w:szCs w:val="20"/>
          <w:highlight w:val="none"/>
          <w:lang w:val="en-US"/>
        </w:rPr>
      </w:pPr>
      <w:r>
        <w:rPr>
          <w:rFonts w:hint="eastAsia" w:ascii="宋体" w:hAnsi="宋体" w:eastAsia="宋体" w:cs="宋体"/>
          <w:color w:val="auto"/>
          <w:sz w:val="20"/>
          <w:szCs w:val="20"/>
          <w:highlight w:val="none"/>
          <w:lang w:val="en-US" w:eastAsia="zh-CN"/>
        </w:rPr>
        <w:t>1.2.5如</w:t>
      </w:r>
      <w:r>
        <w:rPr>
          <w:rFonts w:hint="eastAsia" w:ascii="宋体" w:hAnsi="宋体" w:eastAsia="宋体" w:cs="宋体"/>
          <w:bCs/>
          <w:color w:val="auto"/>
          <w:sz w:val="20"/>
          <w:szCs w:val="20"/>
          <w:highlight w:val="none"/>
        </w:rPr>
        <w:t>因服务商失误造成质量不合要求的，服务商负责重新洗涤，费用由服务商承担，如因服务商保管不善致使衣物遗失、损坏或在洗涤过程中衣物被污染并不可去除，服务商须给予同等价值赔偿。</w:t>
      </w:r>
    </w:p>
    <w:p w14:paraId="706A45C5">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1.2.6服务商在每次完成员工工装清洗后，需记录清洗的衣服数量、品类等信息，并经采购方值班人员或管理员合适签字认可后，作为服务商进行员工工装清洗的重要依据。</w:t>
      </w:r>
    </w:p>
    <w:p w14:paraId="6C482FBE">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1.2.7服务商使用的洗涤用品需符合国家、行业的相关标准要求，如因非采购方的原因导致员工皮肤过敏等问题，由服务商承担责任，</w:t>
      </w:r>
      <w:r>
        <w:rPr>
          <w:rFonts w:hint="eastAsia" w:ascii="宋体" w:hAnsi="宋体" w:eastAsia="宋体" w:cs="宋体"/>
          <w:color w:val="auto"/>
          <w:sz w:val="20"/>
          <w:szCs w:val="20"/>
          <w:highlight w:val="none"/>
        </w:rPr>
        <w:t>并按国家法律法规及相关要求进行赔偿。</w:t>
      </w:r>
    </w:p>
    <w:p w14:paraId="7457B0D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293" w:name="_Toc25873"/>
      <w:bookmarkStart w:id="294" w:name="_Toc31422"/>
      <w:bookmarkStart w:id="295" w:name="_Toc17300"/>
      <w:bookmarkStart w:id="296" w:name="_Toc2183"/>
      <w:r>
        <w:rPr>
          <w:rFonts w:hint="eastAsia" w:ascii="宋体" w:hAnsi="宋体" w:eastAsia="宋体" w:cs="宋体"/>
          <w:b/>
          <w:bCs/>
          <w:color w:val="auto"/>
          <w:sz w:val="20"/>
          <w:szCs w:val="20"/>
          <w:highlight w:val="none"/>
          <w:lang w:val="en-US" w:eastAsia="zh-CN"/>
        </w:rPr>
        <w:t>2.服务达标要求</w:t>
      </w:r>
      <w:bookmarkEnd w:id="293"/>
      <w:bookmarkEnd w:id="294"/>
      <w:bookmarkEnd w:id="295"/>
      <w:bookmarkEnd w:id="296"/>
    </w:p>
    <w:p w14:paraId="36256257">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2.1</w:t>
      </w:r>
      <w:r>
        <w:rPr>
          <w:rFonts w:hint="eastAsia" w:ascii="宋体" w:hAnsi="宋体" w:eastAsia="宋体" w:cs="宋体"/>
          <w:color w:val="auto"/>
          <w:sz w:val="20"/>
          <w:szCs w:val="20"/>
          <w:highlight w:val="none"/>
          <w:lang w:val="en-US" w:eastAsia="zh-CN"/>
        </w:rPr>
        <w:t>工装清洗服务达标要求：</w:t>
      </w:r>
    </w:p>
    <w:p w14:paraId="0EA665C5">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（1）衣物清洗洁净、无任何可去除污渍残留（确实无法保证完全去除的污渍或可能造成衣物受损的污渍处理需在洗涤前与采购方员工确认是否处理）；</w:t>
      </w:r>
    </w:p>
    <w:p w14:paraId="27E3D86B">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（2）衣物外观无因洗涤造成的变形、变色、串色、脱色；</w:t>
      </w:r>
    </w:p>
    <w:p w14:paraId="2BB5F3A1">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（3）按衣物类别要求熨烫平整、挺括；</w:t>
      </w:r>
    </w:p>
    <w:p w14:paraId="249F54CC">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（4）无残留异味；</w:t>
      </w:r>
    </w:p>
    <w:p w14:paraId="31A63622">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（5）无因洗涤造成的织物发硬、起毛、划伤、破损、缩水；</w:t>
      </w:r>
    </w:p>
    <w:p w14:paraId="556207E8">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（6）纽扣饰物保持原状完整无缺失；</w:t>
      </w:r>
    </w:p>
    <w:p w14:paraId="15E73B69">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（7）因服务商失误造成质量不合要求的，服务商负责重新洗涤，费用由服务商承担，如因服务商保管不善致使衣物遗失、损坏或在洗涤过程中衣物被污染并不可去除，服务商须给予同等价值赔偿。</w:t>
      </w:r>
    </w:p>
    <w:p w14:paraId="08B6952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297" w:name="_Toc8737"/>
      <w:bookmarkStart w:id="298" w:name="_Toc28312"/>
      <w:bookmarkStart w:id="299" w:name="_Toc3065"/>
      <w:bookmarkStart w:id="300" w:name="_Toc7022"/>
      <w:r>
        <w:rPr>
          <w:rFonts w:hint="eastAsia" w:ascii="宋体" w:hAnsi="宋体" w:eastAsia="宋体" w:cs="宋体"/>
          <w:b/>
          <w:bCs/>
          <w:color w:val="auto"/>
          <w:sz w:val="20"/>
          <w:szCs w:val="20"/>
          <w:highlight w:val="none"/>
          <w:lang w:val="en-US" w:eastAsia="zh-CN"/>
        </w:rPr>
        <w:t>3.服务履约考核</w:t>
      </w:r>
      <w:bookmarkEnd w:id="297"/>
      <w:bookmarkEnd w:id="298"/>
      <w:bookmarkEnd w:id="299"/>
      <w:bookmarkEnd w:id="300"/>
    </w:p>
    <w:p w14:paraId="7028D70B">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819"/>
        <w:gridCol w:w="878"/>
        <w:gridCol w:w="2940"/>
        <w:gridCol w:w="1215"/>
        <w:gridCol w:w="600"/>
        <w:gridCol w:w="779"/>
      </w:tblGrid>
      <w:tr w14:paraId="53DA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610839B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2819" w:type="dxa"/>
            <w:tcBorders>
              <w:top w:val="single" w:color="auto" w:sz="4" w:space="0"/>
              <w:left w:val="nil"/>
              <w:bottom w:val="single" w:color="auto" w:sz="4" w:space="0"/>
              <w:right w:val="single" w:color="auto" w:sz="4" w:space="0"/>
            </w:tcBorders>
            <w:noWrap w:val="0"/>
            <w:vAlign w:val="center"/>
          </w:tcPr>
          <w:p w14:paraId="3A8BEE3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878" w:type="dxa"/>
            <w:tcBorders>
              <w:top w:val="single" w:color="auto" w:sz="4" w:space="0"/>
              <w:left w:val="nil"/>
              <w:bottom w:val="single" w:color="auto" w:sz="4" w:space="0"/>
              <w:right w:val="single" w:color="auto" w:sz="4" w:space="0"/>
            </w:tcBorders>
            <w:noWrap w:val="0"/>
            <w:vAlign w:val="center"/>
          </w:tcPr>
          <w:p w14:paraId="06F1944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940" w:type="dxa"/>
            <w:tcBorders>
              <w:top w:val="single" w:color="auto" w:sz="4" w:space="0"/>
              <w:left w:val="nil"/>
              <w:bottom w:val="single" w:color="auto" w:sz="4" w:space="0"/>
              <w:right w:val="single" w:color="auto" w:sz="4" w:space="0"/>
            </w:tcBorders>
            <w:noWrap w:val="0"/>
            <w:vAlign w:val="center"/>
          </w:tcPr>
          <w:p w14:paraId="3405753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215" w:type="dxa"/>
            <w:tcBorders>
              <w:top w:val="single" w:color="auto" w:sz="4" w:space="0"/>
              <w:left w:val="nil"/>
              <w:bottom w:val="single" w:color="auto" w:sz="4" w:space="0"/>
              <w:right w:val="single" w:color="auto" w:sz="4" w:space="0"/>
            </w:tcBorders>
            <w:noWrap w:val="0"/>
            <w:vAlign w:val="center"/>
          </w:tcPr>
          <w:p w14:paraId="6622F33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097BB36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600" w:type="dxa"/>
            <w:tcBorders>
              <w:top w:val="single" w:color="auto" w:sz="4" w:space="0"/>
              <w:left w:val="nil"/>
              <w:bottom w:val="single" w:color="auto" w:sz="4" w:space="0"/>
              <w:right w:val="single" w:color="auto" w:sz="4" w:space="0"/>
            </w:tcBorders>
            <w:noWrap w:val="0"/>
            <w:vAlign w:val="center"/>
          </w:tcPr>
          <w:p w14:paraId="6EDFB58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1FDBDB3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779" w:type="dxa"/>
            <w:tcBorders>
              <w:top w:val="single" w:color="auto" w:sz="4" w:space="0"/>
              <w:left w:val="nil"/>
              <w:bottom w:val="single" w:color="auto" w:sz="4" w:space="0"/>
              <w:right w:val="single" w:color="auto" w:sz="4" w:space="0"/>
            </w:tcBorders>
            <w:noWrap w:val="0"/>
            <w:vAlign w:val="center"/>
          </w:tcPr>
          <w:p w14:paraId="0EA01E20">
            <w:pPr>
              <w:keepNext w:val="0"/>
              <w:keepLines w:val="0"/>
              <w:pageBreakBefore w:val="0"/>
              <w:widowControl w:val="0"/>
              <w:kinsoku/>
              <w:wordWrap/>
              <w:overflowPunct/>
              <w:topLinePunct w:val="0"/>
              <w:autoSpaceDE/>
              <w:autoSpaceDN/>
              <w:bidi w:val="0"/>
              <w:spacing w:line="400" w:lineRule="exact"/>
              <w:ind w:firstLine="201" w:firstLineChars="10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693A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3879E45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2819" w:type="dxa"/>
            <w:vMerge w:val="restart"/>
            <w:tcBorders>
              <w:top w:val="single" w:color="auto" w:sz="4" w:space="0"/>
              <w:left w:val="nil"/>
              <w:right w:val="single" w:color="auto" w:sz="4" w:space="0"/>
            </w:tcBorders>
            <w:noWrap w:val="0"/>
            <w:vAlign w:val="center"/>
          </w:tcPr>
          <w:p w14:paraId="12F8CBB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lang w:val="en-US"/>
              </w:rPr>
            </w:pPr>
            <w:r>
              <w:rPr>
                <w:rFonts w:hint="eastAsia" w:ascii="宋体" w:hAnsi="宋体" w:eastAsia="宋体" w:cs="宋体"/>
                <w:b w:val="0"/>
                <w:bCs w:val="0"/>
                <w:color w:val="auto"/>
                <w:sz w:val="20"/>
                <w:szCs w:val="20"/>
                <w:highlight w:val="none"/>
                <w:vertAlign w:val="baseline"/>
                <w:lang w:val="en-US" w:eastAsia="zh-CN"/>
              </w:rPr>
              <w:t>按时按质按量完成采购方的工装清洗服务工作任务，及时响应采购方的需求（含临时或紧急需求），积极与采购方沟通，使用的洗涤用品符合相关标准，清洗服务记录齐全，制定有应急预案。</w:t>
            </w:r>
          </w:p>
        </w:tc>
        <w:tc>
          <w:tcPr>
            <w:tcW w:w="878" w:type="dxa"/>
            <w:vMerge w:val="restart"/>
            <w:tcBorders>
              <w:top w:val="single" w:color="auto" w:sz="4" w:space="0"/>
              <w:left w:val="nil"/>
              <w:right w:val="single" w:color="auto" w:sz="4" w:space="0"/>
            </w:tcBorders>
            <w:noWrap w:val="0"/>
            <w:vAlign w:val="center"/>
          </w:tcPr>
          <w:p w14:paraId="3CAB58B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40</w:t>
            </w:r>
          </w:p>
        </w:tc>
        <w:tc>
          <w:tcPr>
            <w:tcW w:w="2940" w:type="dxa"/>
            <w:tcBorders>
              <w:top w:val="single" w:color="auto" w:sz="4" w:space="0"/>
              <w:left w:val="nil"/>
              <w:bottom w:val="single" w:color="auto" w:sz="4" w:space="0"/>
              <w:right w:val="single" w:color="auto" w:sz="4" w:space="0"/>
            </w:tcBorders>
            <w:noWrap w:val="0"/>
            <w:vAlign w:val="center"/>
          </w:tcPr>
          <w:p w14:paraId="1702B8F7">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u w:val="single"/>
              </w:rPr>
            </w:pPr>
            <w:r>
              <w:rPr>
                <w:rFonts w:hint="eastAsia" w:ascii="宋体" w:hAnsi="宋体" w:eastAsia="宋体" w:cs="宋体"/>
                <w:b w:val="0"/>
                <w:bCs/>
                <w:color w:val="auto"/>
                <w:sz w:val="20"/>
                <w:szCs w:val="20"/>
                <w:highlight w:val="none"/>
                <w:lang w:val="en-US" w:eastAsia="zh-CN"/>
              </w:rPr>
              <w:t>未按采购方要求，按时按质提供服务，存在怠于响应、迟到、敷衍开展工作等现象。</w:t>
            </w:r>
          </w:p>
        </w:tc>
        <w:tc>
          <w:tcPr>
            <w:tcW w:w="1215" w:type="dxa"/>
            <w:tcBorders>
              <w:top w:val="single" w:color="auto" w:sz="4" w:space="0"/>
              <w:left w:val="nil"/>
              <w:bottom w:val="single" w:color="auto" w:sz="4" w:space="0"/>
              <w:right w:val="single" w:color="auto" w:sz="4" w:space="0"/>
            </w:tcBorders>
            <w:noWrap w:val="0"/>
            <w:vAlign w:val="center"/>
          </w:tcPr>
          <w:p w14:paraId="75096C7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1115869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262218E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4F62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7AD9BE07">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2DDAF24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50E78074">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3F51086D">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color w:val="auto"/>
                <w:sz w:val="20"/>
                <w:szCs w:val="20"/>
                <w:highlight w:val="none"/>
                <w:lang w:val="en-US" w:eastAsia="zh-CN"/>
              </w:rPr>
              <w:t>未按采购方要求服务，响应速度慢，影响采购方工装清洗需求开展</w:t>
            </w:r>
            <w:r>
              <w:rPr>
                <w:rFonts w:hint="eastAsia" w:ascii="宋体" w:hAnsi="宋体" w:eastAsia="宋体" w:cs="宋体"/>
                <w:b w:val="0"/>
                <w:bCs w:val="0"/>
                <w:color w:val="auto"/>
                <w:sz w:val="20"/>
                <w:szCs w:val="20"/>
                <w:highlight w:val="none"/>
                <w:lang w:eastAsia="zh-CN"/>
              </w:rPr>
              <w:t>。</w:t>
            </w:r>
          </w:p>
        </w:tc>
        <w:tc>
          <w:tcPr>
            <w:tcW w:w="1215" w:type="dxa"/>
            <w:tcBorders>
              <w:top w:val="single" w:color="auto" w:sz="4" w:space="0"/>
              <w:left w:val="nil"/>
              <w:bottom w:val="single" w:color="auto" w:sz="4" w:space="0"/>
              <w:right w:val="single" w:color="auto" w:sz="4" w:space="0"/>
            </w:tcBorders>
            <w:noWrap w:val="0"/>
            <w:vAlign w:val="center"/>
          </w:tcPr>
          <w:p w14:paraId="4405473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483AB4F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19A72A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2DFC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7A33476D">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470A06CD">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261FBE3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54EB960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无正当理由及未与采购方沟通的，未按规定时间提供服务。</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2B3E8C5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3F5166B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28DA814C">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0D88A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1F33D376">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1227149C">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58FDFDF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6E746E00">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在工装清洗服务的过程中，使用劣质的洗涤用品，如因为使用劣质洗涤用品造成了采购方员工工装被污染问题。</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68234B6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2-4</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4D6E72A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19E3437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4D4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6534AB6A">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4B14D60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2A44846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65D8F1F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未按采购方要求做好工装清洗记录和档案管理工作。</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3C8AA3B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7C9A3D5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F83062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4402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1DDA9133">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32A83BD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6033AA3A">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431CC617">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未配合采购方临时或紧急需求。</w:t>
            </w:r>
          </w:p>
        </w:tc>
        <w:tc>
          <w:tcPr>
            <w:tcW w:w="1215" w:type="dxa"/>
            <w:tcBorders>
              <w:top w:val="single" w:color="auto" w:sz="4" w:space="0"/>
              <w:left w:val="nil"/>
              <w:bottom w:val="single" w:color="auto" w:sz="4" w:space="0"/>
              <w:right w:val="single" w:color="auto" w:sz="4" w:space="0"/>
            </w:tcBorders>
            <w:noWrap w:val="0"/>
            <w:vAlign w:val="center"/>
          </w:tcPr>
          <w:p w14:paraId="0362708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360EE9E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95FC73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4E12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7E4BF1CE">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2C4A933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338EA62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08530C5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未制定应急方案，且在紧急事件发生时，不能及时处理，给采购方带来损失。</w:t>
            </w:r>
          </w:p>
        </w:tc>
        <w:tc>
          <w:tcPr>
            <w:tcW w:w="1215" w:type="dxa"/>
            <w:tcBorders>
              <w:top w:val="single" w:color="auto" w:sz="4" w:space="0"/>
              <w:left w:val="nil"/>
              <w:bottom w:val="single" w:color="auto" w:sz="4" w:space="0"/>
              <w:right w:val="single" w:color="auto" w:sz="4" w:space="0"/>
            </w:tcBorders>
            <w:noWrap w:val="0"/>
            <w:vAlign w:val="center"/>
          </w:tcPr>
          <w:p w14:paraId="7F53CBC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004C84A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197B2F4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5AA7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jc w:val="center"/>
        </w:trPr>
        <w:tc>
          <w:tcPr>
            <w:tcW w:w="645" w:type="dxa"/>
            <w:vMerge w:val="restart"/>
            <w:tcBorders>
              <w:left w:val="single" w:color="auto" w:sz="4" w:space="0"/>
              <w:right w:val="single" w:color="auto" w:sz="4" w:space="0"/>
            </w:tcBorders>
            <w:noWrap w:val="0"/>
            <w:vAlign w:val="center"/>
          </w:tcPr>
          <w:p w14:paraId="26B5D76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819" w:type="dxa"/>
            <w:vMerge w:val="restart"/>
            <w:tcBorders>
              <w:left w:val="nil"/>
              <w:right w:val="single" w:color="auto" w:sz="4" w:space="0"/>
            </w:tcBorders>
            <w:noWrap w:val="0"/>
            <w:vAlign w:val="center"/>
          </w:tcPr>
          <w:p w14:paraId="3195B5A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人员工作经验丰富，服务态度良好，处理问题及反馈及时。</w:t>
            </w:r>
          </w:p>
        </w:tc>
        <w:tc>
          <w:tcPr>
            <w:tcW w:w="878" w:type="dxa"/>
            <w:vMerge w:val="restart"/>
            <w:tcBorders>
              <w:left w:val="nil"/>
              <w:right w:val="single" w:color="auto" w:sz="4" w:space="0"/>
            </w:tcBorders>
            <w:noWrap w:val="0"/>
            <w:vAlign w:val="center"/>
          </w:tcPr>
          <w:p w14:paraId="37EA074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20</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312FCBB2">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服务人员应具备丰富的相关经验和专业判断能力。服务商派出的人员如无法对工装清洗服务过程需处理的问题能够作出专业判断、诊断和处理方案。</w:t>
            </w:r>
          </w:p>
        </w:tc>
        <w:tc>
          <w:tcPr>
            <w:tcW w:w="1215" w:type="dxa"/>
            <w:tcBorders>
              <w:top w:val="single" w:color="auto" w:sz="4" w:space="0"/>
              <w:left w:val="nil"/>
              <w:bottom w:val="single" w:color="auto" w:sz="4" w:space="0"/>
              <w:right w:val="single" w:color="auto" w:sz="4" w:space="0"/>
            </w:tcBorders>
            <w:noWrap w:val="0"/>
            <w:vAlign w:val="center"/>
          </w:tcPr>
          <w:p w14:paraId="79CC944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4</w:t>
            </w:r>
            <w:r>
              <w:rPr>
                <w:rFonts w:hint="eastAsia" w:ascii="宋体" w:hAnsi="宋体" w:eastAsia="宋体" w:cs="宋体"/>
                <w:b w:val="0"/>
                <w:bCs w:val="0"/>
                <w:color w:val="auto"/>
                <w:sz w:val="20"/>
                <w:szCs w:val="20"/>
                <w:highlight w:val="none"/>
              </w:rPr>
              <w:t>分/</w:t>
            </w:r>
            <w:r>
              <w:rPr>
                <w:rFonts w:hint="eastAsia" w:ascii="宋体" w:hAnsi="宋体" w:eastAsia="宋体" w:cs="宋体"/>
                <w:b w:val="0"/>
                <w:bCs w:val="0"/>
                <w:color w:val="auto"/>
                <w:sz w:val="20"/>
                <w:szCs w:val="20"/>
                <w:highlight w:val="none"/>
                <w:lang w:val="en-US" w:eastAsia="zh-CN"/>
              </w:rPr>
              <w:t>次</w:t>
            </w:r>
          </w:p>
        </w:tc>
        <w:tc>
          <w:tcPr>
            <w:tcW w:w="600" w:type="dxa"/>
            <w:tcBorders>
              <w:top w:val="single" w:color="auto" w:sz="4" w:space="0"/>
              <w:left w:val="nil"/>
              <w:bottom w:val="single" w:color="auto" w:sz="4" w:space="0"/>
              <w:right w:val="single" w:color="auto" w:sz="4" w:space="0"/>
            </w:tcBorders>
            <w:noWrap w:val="0"/>
            <w:vAlign w:val="top"/>
          </w:tcPr>
          <w:p w14:paraId="3F1C072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D3A38F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582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1" w:hRule="atLeast"/>
          <w:jc w:val="center"/>
        </w:trPr>
        <w:tc>
          <w:tcPr>
            <w:tcW w:w="645" w:type="dxa"/>
            <w:vMerge w:val="continue"/>
            <w:tcBorders>
              <w:left w:val="single" w:color="auto" w:sz="4" w:space="0"/>
              <w:right w:val="single" w:color="auto" w:sz="4" w:space="0"/>
            </w:tcBorders>
            <w:noWrap w:val="0"/>
            <w:vAlign w:val="center"/>
          </w:tcPr>
          <w:p w14:paraId="539A3F7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043E0DC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20B5300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12C8FCBF">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服务人员服务态度良好，应对采购方或员工提出的问题耐心解答，对反馈的问题及时跟进。如服务人员态度恶劣，消极怠工。</w:t>
            </w:r>
          </w:p>
        </w:tc>
        <w:tc>
          <w:tcPr>
            <w:tcW w:w="1215" w:type="dxa"/>
            <w:tcBorders>
              <w:top w:val="single" w:color="auto" w:sz="4" w:space="0"/>
              <w:left w:val="nil"/>
              <w:bottom w:val="single" w:color="auto" w:sz="4" w:space="0"/>
              <w:right w:val="single" w:color="auto" w:sz="4" w:space="0"/>
            </w:tcBorders>
            <w:noWrap w:val="0"/>
            <w:vAlign w:val="center"/>
          </w:tcPr>
          <w:p w14:paraId="7ABB979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3BA9E446">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FEB8EDC">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3855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restart"/>
            <w:tcBorders>
              <w:left w:val="single" w:color="auto" w:sz="4" w:space="0"/>
              <w:right w:val="single" w:color="auto" w:sz="4" w:space="0"/>
            </w:tcBorders>
            <w:noWrap w:val="0"/>
            <w:vAlign w:val="center"/>
          </w:tcPr>
          <w:p w14:paraId="4BA8ACB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819" w:type="dxa"/>
            <w:vMerge w:val="restart"/>
            <w:tcBorders>
              <w:left w:val="nil"/>
              <w:right w:val="single" w:color="auto" w:sz="4" w:space="0"/>
            </w:tcBorders>
            <w:noWrap w:val="0"/>
            <w:vAlign w:val="center"/>
          </w:tcPr>
          <w:p w14:paraId="62F927F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val="0"/>
                <w:color w:val="auto"/>
                <w:sz w:val="20"/>
                <w:szCs w:val="20"/>
                <w:highlight w:val="none"/>
              </w:rPr>
            </w:pPr>
            <w:r>
              <w:rPr>
                <w:rFonts w:hint="eastAsia" w:ascii="宋体" w:hAnsi="宋体" w:eastAsia="宋体" w:cs="宋体"/>
                <w:b w:val="0"/>
                <w:bCs/>
                <w:color w:val="auto"/>
                <w:sz w:val="20"/>
                <w:szCs w:val="20"/>
                <w:highlight w:val="none"/>
                <w:lang w:val="en-US" w:eastAsia="zh-CN"/>
              </w:rPr>
              <w:t>安全管理</w:t>
            </w:r>
          </w:p>
        </w:tc>
        <w:tc>
          <w:tcPr>
            <w:tcW w:w="878" w:type="dxa"/>
            <w:vMerge w:val="restart"/>
            <w:tcBorders>
              <w:left w:val="nil"/>
              <w:right w:val="single" w:color="auto" w:sz="4" w:space="0"/>
            </w:tcBorders>
            <w:noWrap w:val="0"/>
            <w:vAlign w:val="center"/>
          </w:tcPr>
          <w:p w14:paraId="74F23B2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24C51432">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服务商必须严格执行采购方的安全规定。每出现一次安全事故。</w:t>
            </w:r>
          </w:p>
        </w:tc>
        <w:tc>
          <w:tcPr>
            <w:tcW w:w="1215" w:type="dxa"/>
            <w:tcBorders>
              <w:top w:val="single" w:color="auto" w:sz="4" w:space="0"/>
              <w:left w:val="nil"/>
              <w:bottom w:val="single" w:color="auto" w:sz="4" w:space="0"/>
              <w:right w:val="single" w:color="auto" w:sz="4" w:space="0"/>
            </w:tcBorders>
            <w:noWrap w:val="0"/>
            <w:vAlign w:val="center"/>
          </w:tcPr>
          <w:p w14:paraId="65DE769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6692046A">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565A37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B900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continue"/>
            <w:tcBorders>
              <w:left w:val="single" w:color="auto" w:sz="4" w:space="0"/>
              <w:right w:val="single" w:color="auto" w:sz="4" w:space="0"/>
            </w:tcBorders>
            <w:noWrap w:val="0"/>
            <w:vAlign w:val="center"/>
          </w:tcPr>
          <w:p w14:paraId="66AC1B5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25A0DA5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120DEFD7">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59C2795E">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服务商必须严格执行采购方的安全规定。每出现一次重大安全事故。</w:t>
            </w:r>
          </w:p>
        </w:tc>
        <w:tc>
          <w:tcPr>
            <w:tcW w:w="1215" w:type="dxa"/>
            <w:tcBorders>
              <w:top w:val="single" w:color="auto" w:sz="4" w:space="0"/>
              <w:left w:val="nil"/>
              <w:bottom w:val="single" w:color="auto" w:sz="4" w:space="0"/>
              <w:right w:val="single" w:color="auto" w:sz="4" w:space="0"/>
            </w:tcBorders>
            <w:noWrap w:val="0"/>
            <w:vAlign w:val="center"/>
          </w:tcPr>
          <w:p w14:paraId="1541E9B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600" w:type="dxa"/>
            <w:tcBorders>
              <w:top w:val="single" w:color="auto" w:sz="4" w:space="0"/>
              <w:left w:val="nil"/>
              <w:bottom w:val="single" w:color="auto" w:sz="4" w:space="0"/>
              <w:right w:val="single" w:color="auto" w:sz="4" w:space="0"/>
            </w:tcBorders>
            <w:noWrap w:val="0"/>
            <w:vAlign w:val="top"/>
          </w:tcPr>
          <w:p w14:paraId="7D5B7D0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1EC7042B">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6C2D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restart"/>
            <w:tcBorders>
              <w:left w:val="single" w:color="auto" w:sz="4" w:space="0"/>
              <w:right w:val="single" w:color="auto" w:sz="4" w:space="0"/>
            </w:tcBorders>
            <w:noWrap w:val="0"/>
            <w:vAlign w:val="center"/>
          </w:tcPr>
          <w:p w14:paraId="7FBC1B2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819" w:type="dxa"/>
            <w:vMerge w:val="restart"/>
            <w:tcBorders>
              <w:left w:val="nil"/>
              <w:right w:val="single" w:color="auto" w:sz="4" w:space="0"/>
            </w:tcBorders>
            <w:noWrap w:val="0"/>
            <w:vAlign w:val="center"/>
          </w:tcPr>
          <w:p w14:paraId="3A0EA91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操作安全得当，妥善保管。</w:t>
            </w:r>
          </w:p>
        </w:tc>
        <w:tc>
          <w:tcPr>
            <w:tcW w:w="878" w:type="dxa"/>
            <w:vMerge w:val="restart"/>
            <w:tcBorders>
              <w:left w:val="nil"/>
              <w:right w:val="single" w:color="auto" w:sz="4" w:space="0"/>
            </w:tcBorders>
            <w:noWrap w:val="0"/>
            <w:vAlign w:val="center"/>
          </w:tcPr>
          <w:p w14:paraId="630C71C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3C0EAB35">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服务人员操作失误或不当造成采购方员工送洗的工装损坏。</w:t>
            </w:r>
          </w:p>
        </w:tc>
        <w:tc>
          <w:tcPr>
            <w:tcW w:w="1215" w:type="dxa"/>
            <w:tcBorders>
              <w:top w:val="single" w:color="auto" w:sz="4" w:space="0"/>
              <w:left w:val="nil"/>
              <w:bottom w:val="single" w:color="auto" w:sz="4" w:space="0"/>
              <w:right w:val="single" w:color="auto" w:sz="4" w:space="0"/>
            </w:tcBorders>
            <w:noWrap w:val="0"/>
            <w:vAlign w:val="center"/>
          </w:tcPr>
          <w:p w14:paraId="442BC81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r>
              <w:rPr>
                <w:rFonts w:hint="eastAsia" w:ascii="宋体" w:hAnsi="宋体" w:eastAsia="宋体" w:cs="宋体"/>
                <w:b w:val="0"/>
                <w:bCs w:val="0"/>
                <w:color w:val="auto"/>
                <w:sz w:val="20"/>
                <w:szCs w:val="20"/>
                <w:highlight w:val="none"/>
                <w:lang w:eastAsia="zh-CN"/>
              </w:rPr>
              <w:t>，</w:t>
            </w:r>
            <w:r>
              <w:rPr>
                <w:rFonts w:hint="eastAsia" w:ascii="宋体" w:hAnsi="宋体" w:eastAsia="宋体" w:cs="宋体"/>
                <w:b w:val="0"/>
                <w:bCs w:val="0"/>
                <w:color w:val="auto"/>
                <w:sz w:val="20"/>
                <w:szCs w:val="20"/>
                <w:highlight w:val="none"/>
                <w:lang w:val="en-US" w:eastAsia="zh-CN"/>
              </w:rPr>
              <w:t>并按等价进行赔偿。</w:t>
            </w:r>
          </w:p>
        </w:tc>
        <w:tc>
          <w:tcPr>
            <w:tcW w:w="600" w:type="dxa"/>
            <w:tcBorders>
              <w:top w:val="single" w:color="auto" w:sz="4" w:space="0"/>
              <w:left w:val="nil"/>
              <w:bottom w:val="single" w:color="auto" w:sz="4" w:space="0"/>
              <w:right w:val="single" w:color="auto" w:sz="4" w:space="0"/>
            </w:tcBorders>
            <w:noWrap w:val="0"/>
            <w:vAlign w:val="top"/>
          </w:tcPr>
          <w:p w14:paraId="4E6CE5A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27F740A1">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3E85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74" w:hRule="atLeast"/>
          <w:jc w:val="center"/>
        </w:trPr>
        <w:tc>
          <w:tcPr>
            <w:tcW w:w="645" w:type="dxa"/>
            <w:vMerge w:val="continue"/>
            <w:tcBorders>
              <w:left w:val="single" w:color="auto" w:sz="4" w:space="0"/>
              <w:right w:val="single" w:color="auto" w:sz="4" w:space="0"/>
            </w:tcBorders>
            <w:noWrap w:val="0"/>
            <w:vAlign w:val="center"/>
          </w:tcPr>
          <w:p w14:paraId="04B883B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779F2B6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419E787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46186B5B">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送洗的工装保管不善遗失。</w:t>
            </w:r>
          </w:p>
        </w:tc>
        <w:tc>
          <w:tcPr>
            <w:tcW w:w="1215" w:type="dxa"/>
            <w:tcBorders>
              <w:top w:val="single" w:color="auto" w:sz="4" w:space="0"/>
              <w:left w:val="nil"/>
              <w:bottom w:val="single" w:color="auto" w:sz="4" w:space="0"/>
              <w:right w:val="single" w:color="auto" w:sz="4" w:space="0"/>
            </w:tcBorders>
            <w:noWrap w:val="0"/>
            <w:vAlign w:val="center"/>
          </w:tcPr>
          <w:p w14:paraId="23C3A8C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r>
              <w:rPr>
                <w:rFonts w:hint="eastAsia" w:ascii="宋体" w:hAnsi="宋体" w:eastAsia="宋体" w:cs="宋体"/>
                <w:b w:val="0"/>
                <w:bCs w:val="0"/>
                <w:color w:val="auto"/>
                <w:sz w:val="20"/>
                <w:szCs w:val="20"/>
                <w:highlight w:val="none"/>
                <w:lang w:eastAsia="zh-CN"/>
              </w:rPr>
              <w:t>，</w:t>
            </w:r>
            <w:r>
              <w:rPr>
                <w:rFonts w:hint="eastAsia" w:ascii="宋体" w:hAnsi="宋体" w:eastAsia="宋体" w:cs="宋体"/>
                <w:b w:val="0"/>
                <w:bCs w:val="0"/>
                <w:color w:val="auto"/>
                <w:sz w:val="20"/>
                <w:szCs w:val="20"/>
                <w:highlight w:val="none"/>
                <w:lang w:val="en-US" w:eastAsia="zh-CN"/>
              </w:rPr>
              <w:t>并按等价进行赔偿。</w:t>
            </w:r>
          </w:p>
        </w:tc>
        <w:tc>
          <w:tcPr>
            <w:tcW w:w="600" w:type="dxa"/>
            <w:tcBorders>
              <w:top w:val="single" w:color="auto" w:sz="4" w:space="0"/>
              <w:left w:val="nil"/>
              <w:bottom w:val="single" w:color="auto" w:sz="4" w:space="0"/>
              <w:right w:val="single" w:color="auto" w:sz="4" w:space="0"/>
            </w:tcBorders>
            <w:noWrap w:val="0"/>
            <w:vAlign w:val="top"/>
          </w:tcPr>
          <w:p w14:paraId="0EF7797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ABDC8AA">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bl>
    <w:tbl>
      <w:tblPr>
        <w:tblStyle w:val="16"/>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8"/>
      </w:tblGrid>
      <w:tr w14:paraId="62AAC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858" w:type="dxa"/>
            <w:vAlign w:val="center"/>
          </w:tcPr>
          <w:p w14:paraId="393556A3">
            <w:pPr>
              <w:pStyle w:val="18"/>
              <w:rPr>
                <w:rFonts w:hint="eastAsia" w:ascii="宋体" w:hAnsi="宋体" w:eastAsia="宋体" w:cs="宋体"/>
                <w:color w:val="auto"/>
                <w:sz w:val="20"/>
                <w:szCs w:val="20"/>
                <w:highlight w:val="none"/>
                <w:vertAlign w:val="baseline"/>
                <w:lang w:val="en-US" w:eastAsia="zh-CN"/>
              </w:rPr>
            </w:pPr>
            <w:bookmarkStart w:id="301" w:name="_Toc22342"/>
            <w:bookmarkStart w:id="302" w:name="_Toc26288"/>
            <w:r>
              <w:rPr>
                <w:rFonts w:hint="eastAsia" w:ascii="宋体" w:hAnsi="宋体" w:eastAsia="宋体" w:cs="宋体"/>
                <w:color w:val="auto"/>
                <w:sz w:val="20"/>
                <w:szCs w:val="20"/>
                <w:highlight w:val="none"/>
                <w:lang w:val="en-US" w:eastAsia="zh-CN"/>
              </w:rPr>
              <w:t xml:space="preserve">                                            考核得分：</w:t>
            </w:r>
          </w:p>
        </w:tc>
      </w:tr>
      <w:tr w14:paraId="1EC4E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8" w:type="dxa"/>
            <w:vAlign w:val="center"/>
          </w:tcPr>
          <w:p w14:paraId="2C3F76AE">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5CC00889">
            <w:pPr>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w:t>
            </w:r>
            <w:r>
              <w:rPr>
                <w:rFonts w:hint="eastAsia" w:ascii="宋体" w:hAnsi="宋体" w:cs="宋体"/>
                <w:color w:val="auto"/>
                <w:sz w:val="20"/>
                <w:szCs w:val="20"/>
                <w:highlight w:val="none"/>
                <w:lang w:val="en-US" w:eastAsia="zh-CN"/>
              </w:rPr>
              <w:t>签名：</w:t>
            </w:r>
          </w:p>
          <w:p w14:paraId="36A6BAAF">
            <w:pPr>
              <w:rPr>
                <w:rFonts w:hint="eastAsia" w:ascii="宋体" w:hAnsi="宋体" w:eastAsia="宋体" w:cs="宋体"/>
                <w:color w:val="auto"/>
                <w:sz w:val="20"/>
                <w:szCs w:val="20"/>
                <w:highlight w:val="none"/>
                <w:vertAlign w:val="baseline"/>
                <w:lang w:val="en-US" w:eastAsia="zh-CN"/>
              </w:rPr>
            </w:pPr>
            <w:r>
              <w:rPr>
                <w:rFonts w:hint="eastAsia" w:ascii="宋体" w:hAnsi="宋体" w:cs="宋体"/>
                <w:color w:val="auto"/>
                <w:sz w:val="20"/>
                <w:szCs w:val="20"/>
                <w:highlight w:val="none"/>
                <w:lang w:val="en-US" w:eastAsia="zh-CN"/>
              </w:rPr>
              <w:t xml:space="preserve">                                                   日期：</w:t>
            </w:r>
          </w:p>
        </w:tc>
      </w:tr>
    </w:tbl>
    <w:p w14:paraId="41C31D8C">
      <w:pPr>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br w:type="page"/>
      </w:r>
    </w:p>
    <w:p w14:paraId="1CC11A52">
      <w:pPr>
        <w:pStyle w:val="4"/>
        <w:keepNext/>
        <w:keepLines/>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bCs w:val="0"/>
          <w:color w:val="auto"/>
          <w:sz w:val="20"/>
          <w:szCs w:val="20"/>
          <w:highlight w:val="none"/>
          <w:lang w:val="en-US" w:eastAsia="zh-CN"/>
        </w:rPr>
      </w:pPr>
      <w:bookmarkStart w:id="303" w:name="_Toc27695"/>
      <w:bookmarkStart w:id="304" w:name="_Toc12409"/>
      <w:r>
        <w:rPr>
          <w:rFonts w:hint="eastAsia" w:ascii="宋体" w:hAnsi="宋体" w:eastAsia="宋体" w:cs="宋体"/>
          <w:b/>
          <w:bCs w:val="0"/>
          <w:color w:val="auto"/>
          <w:sz w:val="20"/>
          <w:szCs w:val="20"/>
          <w:highlight w:val="none"/>
          <w:lang w:val="en-US" w:eastAsia="zh-CN"/>
        </w:rPr>
        <w:t>（八）员工</w:t>
      </w:r>
      <w:r>
        <w:rPr>
          <w:rFonts w:hint="eastAsia" w:ascii="宋体" w:hAnsi="宋体" w:cs="宋体"/>
          <w:color w:val="auto"/>
          <w:kern w:val="0"/>
          <w:sz w:val="20"/>
          <w:szCs w:val="20"/>
          <w:highlight w:val="none"/>
          <w:lang w:val="en-US" w:eastAsia="zh-CN"/>
        </w:rPr>
        <w:t>理发服务</w:t>
      </w:r>
      <w:r>
        <w:rPr>
          <w:rFonts w:hint="eastAsia" w:ascii="宋体" w:hAnsi="宋体" w:eastAsia="宋体" w:cs="宋体"/>
          <w:b/>
          <w:bCs w:val="0"/>
          <w:color w:val="auto"/>
          <w:sz w:val="20"/>
          <w:szCs w:val="20"/>
          <w:highlight w:val="none"/>
          <w:lang w:val="en-US" w:eastAsia="zh-CN"/>
        </w:rPr>
        <w:t>项目</w:t>
      </w:r>
      <w:bookmarkEnd w:id="301"/>
      <w:bookmarkEnd w:id="302"/>
      <w:bookmarkEnd w:id="303"/>
      <w:bookmarkEnd w:id="304"/>
    </w:p>
    <w:p w14:paraId="27D91502">
      <w:pPr>
        <w:keepNext w:val="0"/>
        <w:keepLines w:val="0"/>
        <w:pageBreakBefore w:val="0"/>
        <w:widowControl w:val="0"/>
        <w:kinsoku/>
        <w:wordWrap/>
        <w:overflowPunct/>
        <w:topLinePunct w:val="0"/>
        <w:autoSpaceDE/>
        <w:autoSpaceDN/>
        <w:bidi w:val="0"/>
        <w:adjustRightInd/>
        <w:snapToGrid/>
        <w:spacing w:line="240" w:lineRule="auto"/>
        <w:ind w:firstLine="402" w:firstLineChars="200"/>
        <w:outlineLvl w:val="0"/>
        <w:rPr>
          <w:rFonts w:hint="eastAsia" w:ascii="宋体" w:hAnsi="宋体" w:eastAsia="宋体" w:cs="宋体"/>
          <w:b/>
          <w:bCs/>
          <w:color w:val="auto"/>
          <w:sz w:val="20"/>
          <w:szCs w:val="20"/>
          <w:highlight w:val="none"/>
        </w:rPr>
      </w:pPr>
      <w:bookmarkStart w:id="305" w:name="_Toc8342"/>
      <w:bookmarkStart w:id="306" w:name="_Toc9375"/>
      <w:bookmarkStart w:id="307" w:name="_Toc24213"/>
      <w:bookmarkStart w:id="308" w:name="_Toc14522"/>
      <w:r>
        <w:rPr>
          <w:rFonts w:hint="eastAsia" w:ascii="宋体" w:hAnsi="宋体" w:eastAsia="宋体" w:cs="宋体"/>
          <w:b/>
          <w:bCs/>
          <w:color w:val="auto"/>
          <w:sz w:val="20"/>
          <w:szCs w:val="20"/>
          <w:highlight w:val="none"/>
          <w:lang w:val="en-US" w:eastAsia="zh-CN"/>
        </w:rPr>
        <w:t>1.</w:t>
      </w:r>
      <w:r>
        <w:rPr>
          <w:rFonts w:hint="eastAsia" w:ascii="宋体" w:hAnsi="宋体" w:eastAsia="宋体" w:cs="宋体"/>
          <w:b/>
          <w:bCs/>
          <w:color w:val="auto"/>
          <w:sz w:val="20"/>
          <w:szCs w:val="20"/>
          <w:highlight w:val="none"/>
        </w:rPr>
        <w:t>项目服务标准及要求</w:t>
      </w:r>
      <w:bookmarkEnd w:id="305"/>
      <w:bookmarkEnd w:id="306"/>
      <w:bookmarkEnd w:id="307"/>
      <w:bookmarkEnd w:id="308"/>
    </w:p>
    <w:p w14:paraId="26A16BC0">
      <w:pPr>
        <w:keepNext w:val="0"/>
        <w:keepLines w:val="0"/>
        <w:pageBreakBefore w:val="0"/>
        <w:widowControl w:val="0"/>
        <w:kinsoku/>
        <w:wordWrap/>
        <w:overflowPunct/>
        <w:topLinePunct w:val="0"/>
        <w:autoSpaceDE/>
        <w:autoSpaceDN/>
        <w:bidi w:val="0"/>
        <w:adjustRightInd/>
        <w:snapToGrid/>
        <w:spacing w:line="240" w:lineRule="auto"/>
        <w:ind w:firstLine="402" w:firstLineChars="200"/>
        <w:outlineLvl w:val="1"/>
        <w:rPr>
          <w:rFonts w:hint="eastAsia" w:ascii="宋体" w:hAnsi="宋体" w:eastAsia="宋体" w:cs="宋体"/>
          <w:b/>
          <w:bCs/>
          <w:color w:val="auto"/>
          <w:sz w:val="20"/>
          <w:szCs w:val="20"/>
          <w:highlight w:val="none"/>
        </w:rPr>
      </w:pPr>
      <w:bookmarkStart w:id="309" w:name="_Toc23369"/>
      <w:bookmarkStart w:id="310" w:name="_Toc26934"/>
      <w:bookmarkStart w:id="311" w:name="_Toc1936"/>
      <w:bookmarkStart w:id="312" w:name="_Toc14776"/>
      <w:bookmarkStart w:id="313" w:name="_Toc18780"/>
      <w:r>
        <w:rPr>
          <w:rFonts w:hint="eastAsia" w:ascii="宋体" w:hAnsi="宋体" w:eastAsia="宋体" w:cs="宋体"/>
          <w:b/>
          <w:bCs/>
          <w:color w:val="auto"/>
          <w:sz w:val="20"/>
          <w:szCs w:val="20"/>
          <w:highlight w:val="none"/>
          <w:lang w:val="en-US" w:eastAsia="zh-CN"/>
        </w:rPr>
        <w:t>1.1</w:t>
      </w:r>
      <w:r>
        <w:rPr>
          <w:rFonts w:hint="eastAsia" w:ascii="宋体" w:hAnsi="宋体" w:eastAsia="宋体" w:cs="宋体"/>
          <w:b/>
          <w:bCs/>
          <w:color w:val="auto"/>
          <w:sz w:val="20"/>
          <w:szCs w:val="20"/>
          <w:highlight w:val="none"/>
        </w:rPr>
        <w:t>项目服务标准</w:t>
      </w:r>
      <w:bookmarkEnd w:id="309"/>
      <w:bookmarkEnd w:id="310"/>
      <w:bookmarkEnd w:id="311"/>
      <w:bookmarkEnd w:id="312"/>
      <w:bookmarkEnd w:id="313"/>
    </w:p>
    <w:p w14:paraId="0A5AE1AA">
      <w:pPr>
        <w:keepNext w:val="0"/>
        <w:keepLines w:val="0"/>
        <w:pageBreakBefore w:val="0"/>
        <w:widowControl w:val="0"/>
        <w:kinsoku/>
        <w:wordWrap/>
        <w:overflowPunct/>
        <w:topLinePunct w:val="0"/>
        <w:autoSpaceDE/>
        <w:autoSpaceDN/>
        <w:bidi w:val="0"/>
        <w:adjustRightInd/>
        <w:snapToGrid/>
        <w:spacing w:line="240" w:lineRule="auto"/>
        <w:ind w:firstLine="400" w:firstLineChars="200"/>
        <w:rPr>
          <w:rFonts w:hint="eastAsia" w:ascii="宋体" w:hAnsi="宋体" w:eastAsia="宋体" w:cs="宋体"/>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rPr>
        <w:t>服务商在提供</w:t>
      </w:r>
      <w:r>
        <w:rPr>
          <w:rFonts w:hint="eastAsia" w:ascii="华光书宋一_CNKI" w:hAnsi="华光书宋一_CNKI" w:eastAsia="华光书宋一_CNKI" w:cs="华光书宋一_CNKI"/>
          <w:color w:val="auto"/>
          <w:sz w:val="20"/>
          <w:szCs w:val="20"/>
          <w:highlight w:val="none"/>
          <w:lang w:val="en-US" w:eastAsia="zh-CN"/>
        </w:rPr>
        <w:t>理发</w:t>
      </w:r>
      <w:r>
        <w:rPr>
          <w:rFonts w:hint="eastAsia" w:ascii="华光书宋一_CNKI" w:hAnsi="华光书宋一_CNKI" w:eastAsia="华光书宋一_CNKI" w:cs="华光书宋一_CNKI"/>
          <w:color w:val="auto"/>
          <w:sz w:val="20"/>
          <w:szCs w:val="20"/>
          <w:highlight w:val="none"/>
        </w:rPr>
        <w:t>服务时，需按照如下标准执行，要求所用标准必须为最新版本，如果这些标准有矛盾时，应按最高标准的条款执行或按双方商定的标准执行。此外，如果在合同执行期间国家颁布新的标准时，应按最新的条款执行</w:t>
      </w:r>
      <w:r>
        <w:rPr>
          <w:rFonts w:hint="eastAsia" w:ascii="宋体" w:hAnsi="宋体" w:eastAsia="宋体" w:cs="宋体"/>
          <w:color w:val="auto"/>
          <w:sz w:val="20"/>
          <w:szCs w:val="20"/>
          <w:highlight w:val="none"/>
        </w:rPr>
        <w:t>。</w:t>
      </w:r>
    </w:p>
    <w:tbl>
      <w:tblPr>
        <w:tblStyle w:val="16"/>
        <w:tblW w:w="8120"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7340"/>
      </w:tblGrid>
      <w:tr w14:paraId="4CEB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780" w:type="dxa"/>
            <w:vAlign w:val="center"/>
          </w:tcPr>
          <w:p w14:paraId="49C74DF7">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b/>
                <w:bCs/>
                <w:color w:val="auto"/>
                <w:sz w:val="20"/>
                <w:szCs w:val="20"/>
                <w:highlight w:val="none"/>
              </w:rPr>
            </w:pPr>
            <w:bookmarkStart w:id="314" w:name="_Toc18632"/>
            <w:r>
              <w:rPr>
                <w:rFonts w:hint="eastAsia" w:ascii="宋体" w:hAnsi="宋体" w:eastAsia="宋体" w:cs="宋体"/>
                <w:b/>
                <w:bCs/>
                <w:color w:val="auto"/>
                <w:sz w:val="20"/>
                <w:szCs w:val="20"/>
                <w:highlight w:val="none"/>
              </w:rPr>
              <w:t>序号</w:t>
            </w:r>
          </w:p>
        </w:tc>
        <w:tc>
          <w:tcPr>
            <w:tcW w:w="7340" w:type="dxa"/>
            <w:vAlign w:val="center"/>
          </w:tcPr>
          <w:p w14:paraId="14A45AD7">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相关标准</w:t>
            </w:r>
          </w:p>
        </w:tc>
      </w:tr>
      <w:tr w14:paraId="0041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6757A65F">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7340" w:type="dxa"/>
            <w:shd w:val="clear" w:color="auto" w:fill="auto"/>
            <w:vAlign w:val="center"/>
          </w:tcPr>
          <w:p w14:paraId="277473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《美容美发业卫生标准》</w:t>
            </w:r>
          </w:p>
        </w:tc>
      </w:tr>
      <w:tr w14:paraId="5CB6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6B3FD5BD">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340" w:type="dxa"/>
            <w:shd w:val="clear" w:color="auto" w:fill="auto"/>
            <w:vAlign w:val="center"/>
          </w:tcPr>
          <w:p w14:paraId="7CA80C1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《美容美发行业安全操作规程》</w:t>
            </w:r>
          </w:p>
        </w:tc>
      </w:tr>
      <w:tr w14:paraId="0B1F9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5340614A">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7340" w:type="dxa"/>
            <w:shd w:val="clear" w:color="auto" w:fill="auto"/>
            <w:vAlign w:val="center"/>
          </w:tcPr>
          <w:p w14:paraId="7863B4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《理发店卫生管理办法》</w:t>
            </w:r>
          </w:p>
        </w:tc>
      </w:tr>
      <w:tr w14:paraId="0105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449BDC1A">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7340" w:type="dxa"/>
            <w:shd w:val="clear" w:color="auto" w:fill="auto"/>
            <w:vAlign w:val="center"/>
          </w:tcPr>
          <w:p w14:paraId="6A7860C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《理发店操作规范》</w:t>
            </w:r>
          </w:p>
        </w:tc>
      </w:tr>
      <w:tr w14:paraId="1AECD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5C2E4430">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7340" w:type="dxa"/>
            <w:shd w:val="clear" w:color="auto" w:fill="auto"/>
            <w:vAlign w:val="center"/>
          </w:tcPr>
          <w:p w14:paraId="7687DC1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《理发师职业技能标准》</w:t>
            </w:r>
          </w:p>
        </w:tc>
      </w:tr>
      <w:tr w14:paraId="3D11D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2348EF9C">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7340" w:type="dxa"/>
            <w:shd w:val="clear" w:color="auto" w:fill="auto"/>
            <w:vAlign w:val="center"/>
          </w:tcPr>
          <w:p w14:paraId="39C549C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《美容美发用品 电动剃须刀、修面器和电吹风的安全要求》GB/T 19078-2017</w:t>
            </w:r>
          </w:p>
        </w:tc>
      </w:tr>
      <w:tr w14:paraId="23E2F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vAlign w:val="center"/>
          </w:tcPr>
          <w:p w14:paraId="7C74DA6A">
            <w:pPr>
              <w:keepNext w:val="0"/>
              <w:keepLines w:val="0"/>
              <w:pageBreakBefore w:val="0"/>
              <w:widowControl w:val="0"/>
              <w:kinsoku/>
              <w:wordWrap/>
              <w:overflowPunct/>
              <w:topLinePunct w:val="0"/>
              <w:autoSpaceDE/>
              <w:autoSpaceDN/>
              <w:bidi w:val="0"/>
              <w:adjustRightInd/>
              <w:snapToGrid/>
              <w:spacing w:line="240" w:lineRule="auto"/>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7340" w:type="dxa"/>
            <w:shd w:val="clear" w:color="auto" w:fill="auto"/>
            <w:vAlign w:val="center"/>
          </w:tcPr>
          <w:p w14:paraId="54B631E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《美容美发行业经营管理技术规范》（SB/T 10437）</w:t>
            </w:r>
          </w:p>
        </w:tc>
      </w:tr>
      <w:bookmarkEnd w:id="314"/>
    </w:tbl>
    <w:p w14:paraId="775A2EB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315" w:name="_Toc15544"/>
      <w:bookmarkStart w:id="316" w:name="_Toc14117"/>
      <w:bookmarkStart w:id="317" w:name="_Toc20637"/>
      <w:bookmarkStart w:id="318" w:name="_Toc25198"/>
      <w:bookmarkStart w:id="319" w:name="_Toc8744"/>
      <w:bookmarkStart w:id="320" w:name="_Toc28435"/>
      <w:r>
        <w:rPr>
          <w:rFonts w:hint="eastAsia" w:ascii="宋体" w:hAnsi="宋体" w:eastAsia="宋体" w:cs="宋体"/>
          <w:b/>
          <w:bCs/>
          <w:color w:val="auto"/>
          <w:sz w:val="20"/>
          <w:szCs w:val="20"/>
          <w:highlight w:val="none"/>
          <w:lang w:val="en-US" w:eastAsia="zh-CN"/>
        </w:rPr>
        <w:t>1.2</w:t>
      </w:r>
      <w:r>
        <w:rPr>
          <w:rFonts w:hint="eastAsia" w:ascii="宋体" w:hAnsi="宋体" w:eastAsia="宋体" w:cs="宋体"/>
          <w:b/>
          <w:bCs/>
          <w:color w:val="auto"/>
          <w:sz w:val="20"/>
          <w:szCs w:val="20"/>
          <w:highlight w:val="none"/>
        </w:rPr>
        <w:t>项目服务要求</w:t>
      </w:r>
      <w:bookmarkEnd w:id="315"/>
      <w:bookmarkEnd w:id="316"/>
      <w:bookmarkEnd w:id="317"/>
      <w:bookmarkEnd w:id="318"/>
      <w:bookmarkEnd w:id="319"/>
      <w:bookmarkEnd w:id="320"/>
    </w:p>
    <w:p w14:paraId="094A3488">
      <w:pPr>
        <w:keepNext w:val="0"/>
        <w:keepLines w:val="0"/>
        <w:pageBreakBefore w:val="0"/>
        <w:widowControl w:val="0"/>
        <w:kinsoku/>
        <w:wordWrap/>
        <w:overflowPunct/>
        <w:topLinePunct w:val="0"/>
        <w:autoSpaceDE/>
        <w:autoSpaceDN/>
        <w:bidi w:val="0"/>
        <w:spacing w:line="240" w:lineRule="auto"/>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1.2.1合同实施前，服务商需指派专人进行对接，对采购方理发服务的需求进行全面摸查和理解。</w:t>
      </w:r>
    </w:p>
    <w:p w14:paraId="2D231DA8">
      <w:pPr>
        <w:keepNext w:val="0"/>
        <w:keepLines w:val="0"/>
        <w:pageBreakBefore w:val="0"/>
        <w:widowControl w:val="0"/>
        <w:kinsoku/>
        <w:wordWrap/>
        <w:overflowPunct/>
        <w:topLinePunct w:val="0"/>
        <w:autoSpaceDE/>
        <w:autoSpaceDN/>
        <w:bidi w:val="0"/>
        <w:spacing w:line="240" w:lineRule="auto"/>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bCs/>
          <w:color w:val="auto"/>
          <w:sz w:val="20"/>
          <w:szCs w:val="20"/>
          <w:highlight w:val="none"/>
          <w:lang w:val="en-US" w:eastAsia="zh-CN"/>
        </w:rPr>
        <w:t>为保证工作正常有序开展，服务商必须按照采购方的要求执行（详见2.2.1、2.2.2、2.2.3），按时按质地提供相关服务。</w:t>
      </w:r>
    </w:p>
    <w:p w14:paraId="6A21D7DC">
      <w:pPr>
        <w:keepNext w:val="0"/>
        <w:keepLines w:val="0"/>
        <w:pageBreakBefore w:val="0"/>
        <w:widowControl w:val="0"/>
        <w:kinsoku/>
        <w:wordWrap/>
        <w:overflowPunct/>
        <w:topLinePunct w:val="0"/>
        <w:autoSpaceDE/>
        <w:autoSpaceDN/>
        <w:bidi w:val="0"/>
        <w:spacing w:line="240" w:lineRule="auto"/>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1.2.3服务商提供24小时服务热线（热线电话、微信、传真、电子邮件等）。服务商在接到采购方的需求后，必须在1小时内作出响应。且需明确理发预约方式，并按采购方的时间要求提供理发服务。</w:t>
      </w:r>
    </w:p>
    <w:p w14:paraId="59F3F2B3">
      <w:pPr>
        <w:keepNext w:val="0"/>
        <w:keepLines w:val="0"/>
        <w:pageBreakBefore w:val="0"/>
        <w:widowControl w:val="0"/>
        <w:kinsoku/>
        <w:wordWrap/>
        <w:overflowPunct/>
        <w:topLinePunct w:val="0"/>
        <w:autoSpaceDE/>
        <w:autoSpaceDN/>
        <w:bidi w:val="0"/>
        <w:spacing w:line="240" w:lineRule="auto"/>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1.2.4服务商在每次完成理发服务后，需记录理发方式、金额等信息，并经采购方相关人员或管理员合适签字认可后，作为服务商进行理发服务的重要依据。</w:t>
      </w:r>
    </w:p>
    <w:p w14:paraId="0DA78140">
      <w:pPr>
        <w:keepNext w:val="0"/>
        <w:keepLines w:val="0"/>
        <w:pageBreakBefore w:val="0"/>
        <w:widowControl w:val="0"/>
        <w:kinsoku/>
        <w:wordWrap/>
        <w:overflowPunct/>
        <w:topLinePunct w:val="0"/>
        <w:autoSpaceDE/>
        <w:autoSpaceDN/>
        <w:bidi w:val="0"/>
        <w:spacing w:line="240" w:lineRule="auto"/>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1.2.5服务商派出的人员需要有丰富的经验和专业能力，能够满足采购方人员的要求。如由于服务商人员操作失误造成采购方人员身体伤害的，由服务商承担责任，</w:t>
      </w:r>
      <w:r>
        <w:rPr>
          <w:rFonts w:hint="eastAsia" w:ascii="宋体" w:hAnsi="宋体" w:eastAsia="宋体" w:cs="宋体"/>
          <w:color w:val="auto"/>
          <w:sz w:val="20"/>
          <w:szCs w:val="20"/>
          <w:highlight w:val="none"/>
        </w:rPr>
        <w:t>并按国家法律法规及相关要求进行赔偿。</w:t>
      </w:r>
    </w:p>
    <w:p w14:paraId="01AEFB80">
      <w:pPr>
        <w:keepNext w:val="0"/>
        <w:keepLines w:val="0"/>
        <w:pageBreakBefore w:val="0"/>
        <w:widowControl w:val="0"/>
        <w:kinsoku/>
        <w:wordWrap/>
        <w:overflowPunct/>
        <w:topLinePunct w:val="0"/>
        <w:autoSpaceDE/>
        <w:autoSpaceDN/>
        <w:bidi w:val="0"/>
        <w:spacing w:line="240" w:lineRule="auto"/>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1.2.6服务商加强人员管理，合理安排人员，保障项目工作进度。确因不可抗力影响项目实施，需与采购方协商修订项目实施计划，达成一致后执行。</w:t>
      </w:r>
    </w:p>
    <w:p w14:paraId="65C8F85C">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1.2.7服务商使用的洗涤用品需符合国家、行业的相关标准要求，如因非采购方的原因导致员工皮肤过敏等问题，由服务商承担责任，</w:t>
      </w:r>
      <w:r>
        <w:rPr>
          <w:rFonts w:hint="eastAsia" w:ascii="宋体" w:hAnsi="宋体" w:eastAsia="宋体" w:cs="宋体"/>
          <w:color w:val="auto"/>
          <w:sz w:val="20"/>
          <w:szCs w:val="20"/>
          <w:highlight w:val="none"/>
        </w:rPr>
        <w:t>并按国家法律法规及相关要求进行赔偿</w:t>
      </w:r>
      <w:r>
        <w:rPr>
          <w:rFonts w:hint="eastAsia" w:ascii="宋体" w:hAnsi="宋体" w:eastAsia="宋体" w:cs="宋体"/>
          <w:bCs/>
          <w:color w:val="auto"/>
          <w:sz w:val="20"/>
          <w:szCs w:val="20"/>
          <w:highlight w:val="none"/>
          <w:lang w:val="en-US" w:eastAsia="zh-CN"/>
        </w:rPr>
        <w:t>。</w:t>
      </w:r>
    </w:p>
    <w:p w14:paraId="7336ED6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321" w:name="_Toc11783"/>
      <w:bookmarkStart w:id="322" w:name="_Toc14450"/>
      <w:bookmarkStart w:id="323" w:name="_Toc13875"/>
      <w:bookmarkStart w:id="324" w:name="_Toc15001"/>
      <w:bookmarkStart w:id="325" w:name="_Toc15508"/>
      <w:r>
        <w:rPr>
          <w:rFonts w:hint="eastAsia" w:ascii="宋体" w:hAnsi="宋体" w:eastAsia="宋体" w:cs="宋体"/>
          <w:b/>
          <w:bCs/>
          <w:color w:val="auto"/>
          <w:sz w:val="20"/>
          <w:szCs w:val="20"/>
          <w:highlight w:val="none"/>
          <w:lang w:val="en-US" w:eastAsia="zh-CN"/>
        </w:rPr>
        <w:t>2.服务达标要求</w:t>
      </w:r>
      <w:bookmarkEnd w:id="321"/>
      <w:bookmarkEnd w:id="322"/>
      <w:bookmarkEnd w:id="323"/>
      <w:bookmarkEnd w:id="324"/>
    </w:p>
    <w:p w14:paraId="4C083ED8">
      <w:pPr>
        <w:bidi w:val="0"/>
        <w:spacing w:line="240" w:lineRule="auto"/>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2.2.1：</w:t>
      </w:r>
      <w:r>
        <w:rPr>
          <w:rFonts w:hint="eastAsia" w:ascii="宋体" w:hAnsi="宋体" w:eastAsia="宋体" w:cs="宋体"/>
          <w:b/>
          <w:bCs/>
          <w:color w:val="auto"/>
          <w:sz w:val="20"/>
          <w:szCs w:val="20"/>
          <w:highlight w:val="none"/>
        </w:rPr>
        <w:t>理发服务</w:t>
      </w:r>
      <w:r>
        <w:rPr>
          <w:rFonts w:hint="eastAsia" w:ascii="宋体" w:hAnsi="宋体" w:eastAsia="宋体" w:cs="宋体"/>
          <w:b/>
          <w:bCs/>
          <w:color w:val="auto"/>
          <w:sz w:val="20"/>
          <w:szCs w:val="20"/>
          <w:highlight w:val="none"/>
          <w:lang w:val="en-US" w:eastAsia="zh-CN"/>
        </w:rPr>
        <w:t>具体工作要求</w:t>
      </w:r>
    </w:p>
    <w:tbl>
      <w:tblPr>
        <w:tblStyle w:val="16"/>
        <w:tblW w:w="8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961"/>
        <w:gridCol w:w="5704"/>
      </w:tblGrid>
      <w:tr w14:paraId="5D9F1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blHeader/>
        </w:trPr>
        <w:tc>
          <w:tcPr>
            <w:tcW w:w="733" w:type="dxa"/>
            <w:vAlign w:val="center"/>
          </w:tcPr>
          <w:p w14:paraId="0AB391E8">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1961" w:type="dxa"/>
            <w:vAlign w:val="center"/>
          </w:tcPr>
          <w:p w14:paraId="40E198D7">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5704" w:type="dxa"/>
            <w:vAlign w:val="center"/>
          </w:tcPr>
          <w:p w14:paraId="134C7561">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2EC58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33" w:type="dxa"/>
            <w:vAlign w:val="center"/>
          </w:tcPr>
          <w:p w14:paraId="7F083092">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w:t>
            </w:r>
          </w:p>
        </w:tc>
        <w:tc>
          <w:tcPr>
            <w:tcW w:w="1961" w:type="dxa"/>
            <w:vAlign w:val="center"/>
          </w:tcPr>
          <w:p w14:paraId="4B537549">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客户沟通</w:t>
            </w:r>
          </w:p>
        </w:tc>
        <w:tc>
          <w:tcPr>
            <w:tcW w:w="5704" w:type="dxa"/>
            <w:vAlign w:val="center"/>
          </w:tcPr>
          <w:p w14:paraId="255DF1EC">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服务人员应具备良好的服务态度，了解客户的理发需求和美发要求，与客户交流时应耐心、细心，并提供专业的美发建议。</w:t>
            </w:r>
          </w:p>
        </w:tc>
      </w:tr>
      <w:tr w14:paraId="34BA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33" w:type="dxa"/>
            <w:vAlign w:val="center"/>
          </w:tcPr>
          <w:p w14:paraId="60197217">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w:t>
            </w:r>
          </w:p>
        </w:tc>
        <w:tc>
          <w:tcPr>
            <w:tcW w:w="1961" w:type="dxa"/>
            <w:vAlign w:val="center"/>
          </w:tcPr>
          <w:p w14:paraId="4FB4CEEB">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技术要求</w:t>
            </w:r>
          </w:p>
        </w:tc>
        <w:tc>
          <w:tcPr>
            <w:tcW w:w="5704" w:type="dxa"/>
            <w:vAlign w:val="center"/>
          </w:tcPr>
          <w:p w14:paraId="08CC889F">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服务人员应掌握各种发型、烫发和染发技术，对发型、脸型、发质和头皮状态进行准确评估和分析，进行专业的发型设计和操作。</w:t>
            </w:r>
          </w:p>
        </w:tc>
      </w:tr>
      <w:tr w14:paraId="005DD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3" w:type="dxa"/>
            <w:vAlign w:val="center"/>
          </w:tcPr>
          <w:p w14:paraId="0849664F">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w:t>
            </w:r>
          </w:p>
        </w:tc>
        <w:tc>
          <w:tcPr>
            <w:tcW w:w="1961" w:type="dxa"/>
            <w:vAlign w:val="center"/>
          </w:tcPr>
          <w:p w14:paraId="44796A51">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环境要求</w:t>
            </w:r>
          </w:p>
        </w:tc>
        <w:tc>
          <w:tcPr>
            <w:tcW w:w="5704" w:type="dxa"/>
            <w:vAlign w:val="center"/>
          </w:tcPr>
          <w:p w14:paraId="5BC59ED9">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理发店环境应保持清洁、通风良好，具备必要的消毒设施和器材，以确保理发师和客户的健康安全。</w:t>
            </w:r>
          </w:p>
        </w:tc>
      </w:tr>
      <w:tr w14:paraId="6E30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3" w:type="dxa"/>
            <w:vAlign w:val="center"/>
          </w:tcPr>
          <w:p w14:paraId="547E744A">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w:t>
            </w:r>
          </w:p>
        </w:tc>
        <w:tc>
          <w:tcPr>
            <w:tcW w:w="1961" w:type="dxa"/>
            <w:vAlign w:val="center"/>
          </w:tcPr>
          <w:p w14:paraId="0D20271C">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个人卫生要求</w:t>
            </w:r>
          </w:p>
        </w:tc>
        <w:tc>
          <w:tcPr>
            <w:tcW w:w="5704" w:type="dxa"/>
            <w:vAlign w:val="center"/>
          </w:tcPr>
          <w:p w14:paraId="6818E80E">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服务人员应应穿着整洁、干净的工作服，头发应整齐、干净，并经常洗手、消毒。</w:t>
            </w:r>
          </w:p>
        </w:tc>
      </w:tr>
      <w:tr w14:paraId="1E91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3" w:type="dxa"/>
            <w:vAlign w:val="center"/>
          </w:tcPr>
          <w:p w14:paraId="736C74A1">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w:t>
            </w:r>
          </w:p>
        </w:tc>
        <w:tc>
          <w:tcPr>
            <w:tcW w:w="1961" w:type="dxa"/>
            <w:vAlign w:val="center"/>
          </w:tcPr>
          <w:p w14:paraId="59E5A015">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健康管理</w:t>
            </w:r>
          </w:p>
        </w:tc>
        <w:tc>
          <w:tcPr>
            <w:tcW w:w="5704" w:type="dxa"/>
            <w:vAlign w:val="center"/>
          </w:tcPr>
          <w:p w14:paraId="56F52AE6">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服务人员理发前应检查个人手部是否存在伤口和皮肤病等疾病。</w:t>
            </w:r>
          </w:p>
        </w:tc>
      </w:tr>
      <w:tr w14:paraId="62D7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3" w:type="dxa"/>
            <w:vAlign w:val="center"/>
          </w:tcPr>
          <w:p w14:paraId="62D302B2">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6</w:t>
            </w:r>
          </w:p>
        </w:tc>
        <w:tc>
          <w:tcPr>
            <w:tcW w:w="1961" w:type="dxa"/>
            <w:vAlign w:val="center"/>
          </w:tcPr>
          <w:p w14:paraId="49657DC5">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设备消毒管理</w:t>
            </w:r>
          </w:p>
        </w:tc>
        <w:tc>
          <w:tcPr>
            <w:tcW w:w="5704" w:type="dxa"/>
            <w:vAlign w:val="center"/>
          </w:tcPr>
          <w:p w14:paraId="27DCC986">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服务人员应做好理发用具和设备的清洁、消毒、保养工作，确保美发设备的使用安全卫生。</w:t>
            </w:r>
          </w:p>
        </w:tc>
      </w:tr>
      <w:tr w14:paraId="04169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33" w:type="dxa"/>
            <w:vAlign w:val="center"/>
          </w:tcPr>
          <w:p w14:paraId="7C0D0F80">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7</w:t>
            </w:r>
          </w:p>
        </w:tc>
        <w:tc>
          <w:tcPr>
            <w:tcW w:w="1961" w:type="dxa"/>
            <w:vAlign w:val="center"/>
          </w:tcPr>
          <w:p w14:paraId="69A1759A">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安全要求</w:t>
            </w:r>
          </w:p>
        </w:tc>
        <w:tc>
          <w:tcPr>
            <w:tcW w:w="5704" w:type="dxa"/>
            <w:vAlign w:val="center"/>
          </w:tcPr>
          <w:p w14:paraId="0B66FCD2">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服务人员应注意使用和存放工具时的安全问题，避免误伤客户或造成意外事故，同时也需要注意遵循相关的安全操作规程和规定。</w:t>
            </w:r>
          </w:p>
        </w:tc>
      </w:tr>
      <w:tr w14:paraId="5209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33" w:type="dxa"/>
            <w:vAlign w:val="center"/>
          </w:tcPr>
          <w:p w14:paraId="00E70A7E">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8</w:t>
            </w:r>
          </w:p>
        </w:tc>
        <w:tc>
          <w:tcPr>
            <w:tcW w:w="1961" w:type="dxa"/>
            <w:vAlign w:val="center"/>
          </w:tcPr>
          <w:p w14:paraId="079D40B6">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服务质量监管</w:t>
            </w:r>
          </w:p>
        </w:tc>
        <w:tc>
          <w:tcPr>
            <w:tcW w:w="5704" w:type="dxa"/>
            <w:vAlign w:val="center"/>
          </w:tcPr>
          <w:p w14:paraId="22CC28A9">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服务商应对理发服务质量进行监管，确保服务质量和客户满意度。</w:t>
            </w:r>
          </w:p>
        </w:tc>
      </w:tr>
      <w:tr w14:paraId="08F4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33" w:type="dxa"/>
            <w:vAlign w:val="center"/>
          </w:tcPr>
          <w:p w14:paraId="3A983F27">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9</w:t>
            </w:r>
          </w:p>
        </w:tc>
        <w:tc>
          <w:tcPr>
            <w:tcW w:w="1961" w:type="dxa"/>
            <w:vAlign w:val="center"/>
          </w:tcPr>
          <w:p w14:paraId="3F7090A7">
            <w:pPr>
              <w:keepNext w:val="0"/>
              <w:keepLines w:val="0"/>
              <w:pageBreakBefore w:val="0"/>
              <w:widowControl w:val="0"/>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回访和反馈</w:t>
            </w:r>
          </w:p>
        </w:tc>
        <w:tc>
          <w:tcPr>
            <w:tcW w:w="5704" w:type="dxa"/>
            <w:vAlign w:val="center"/>
          </w:tcPr>
          <w:p w14:paraId="5BCB591D">
            <w:pPr>
              <w:keepNext w:val="0"/>
              <w:keepLines w:val="0"/>
              <w:pageBreakBefore w:val="0"/>
              <w:widowControl w:val="0"/>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理发后，服务人员应对客户进行回访和反馈，深入了解客户需求和评价服务质量，不断改进和提高服务水平。</w:t>
            </w:r>
          </w:p>
        </w:tc>
      </w:tr>
    </w:tbl>
    <w:p w14:paraId="23CF949A">
      <w:pPr>
        <w:bidi w:val="0"/>
        <w:spacing w:line="240" w:lineRule="auto"/>
        <w:jc w:val="center"/>
        <w:rPr>
          <w:rFonts w:hint="eastAsia" w:ascii="宋体" w:hAnsi="宋体" w:eastAsia="宋体" w:cs="宋体"/>
          <w:b/>
          <w:bCs/>
          <w:color w:val="auto"/>
          <w:sz w:val="20"/>
          <w:szCs w:val="20"/>
          <w:highlight w:val="none"/>
        </w:rPr>
      </w:pPr>
      <w:bookmarkStart w:id="326" w:name="_Toc16196"/>
      <w:r>
        <w:rPr>
          <w:rFonts w:hint="eastAsia" w:ascii="宋体" w:hAnsi="宋体" w:eastAsia="宋体" w:cs="宋体"/>
          <w:b/>
          <w:bCs/>
          <w:color w:val="auto"/>
          <w:sz w:val="20"/>
          <w:szCs w:val="20"/>
          <w:highlight w:val="none"/>
          <w:lang w:val="en-US" w:eastAsia="zh-CN"/>
        </w:rPr>
        <w:t>2.2.2：理发工序具体</w:t>
      </w:r>
      <w:r>
        <w:rPr>
          <w:rFonts w:hint="eastAsia" w:ascii="宋体" w:hAnsi="宋体" w:eastAsia="宋体" w:cs="宋体"/>
          <w:b/>
          <w:bCs/>
          <w:color w:val="auto"/>
          <w:sz w:val="20"/>
          <w:szCs w:val="20"/>
          <w:highlight w:val="none"/>
        </w:rPr>
        <w:t>要求</w:t>
      </w:r>
      <w:bookmarkEnd w:id="326"/>
    </w:p>
    <w:tbl>
      <w:tblPr>
        <w:tblStyle w:val="16"/>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1252"/>
        <w:gridCol w:w="6269"/>
      </w:tblGrid>
      <w:tr w14:paraId="6FCD2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blHeader/>
        </w:trPr>
        <w:tc>
          <w:tcPr>
            <w:tcW w:w="898" w:type="dxa"/>
            <w:vAlign w:val="center"/>
          </w:tcPr>
          <w:p w14:paraId="6E00B237">
            <w:pPr>
              <w:spacing w:line="240" w:lineRule="auto"/>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1252" w:type="dxa"/>
            <w:vAlign w:val="center"/>
          </w:tcPr>
          <w:p w14:paraId="062A0350">
            <w:pPr>
              <w:spacing w:line="240" w:lineRule="auto"/>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方式</w:t>
            </w:r>
          </w:p>
        </w:tc>
        <w:tc>
          <w:tcPr>
            <w:tcW w:w="6269" w:type="dxa"/>
            <w:vAlign w:val="center"/>
          </w:tcPr>
          <w:p w14:paraId="04F94721">
            <w:pPr>
              <w:spacing w:line="240" w:lineRule="auto"/>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具体要求</w:t>
            </w:r>
          </w:p>
        </w:tc>
      </w:tr>
      <w:tr w14:paraId="41A8C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98" w:type="dxa"/>
            <w:vAlign w:val="center"/>
          </w:tcPr>
          <w:p w14:paraId="645BA60A">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1</w:t>
            </w:r>
          </w:p>
        </w:tc>
        <w:tc>
          <w:tcPr>
            <w:tcW w:w="1252" w:type="dxa"/>
            <w:vMerge w:val="restart"/>
            <w:vAlign w:val="center"/>
          </w:tcPr>
          <w:p w14:paraId="2083927B">
            <w:pPr>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修剪</w:t>
            </w:r>
          </w:p>
        </w:tc>
        <w:tc>
          <w:tcPr>
            <w:tcW w:w="6269" w:type="dxa"/>
            <w:vAlign w:val="center"/>
          </w:tcPr>
          <w:p w14:paraId="30ED0231">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highlight w:val="none"/>
                <w:u w:val="none"/>
                <w:lang w:val="en-US" w:eastAsia="zh-CN" w:bidi="ar"/>
              </w:rPr>
              <w:t>服务人员</w:t>
            </w:r>
            <w:r>
              <w:rPr>
                <w:rFonts w:hint="eastAsia" w:ascii="宋体" w:hAnsi="宋体" w:eastAsia="宋体" w:cs="宋体"/>
                <w:color w:val="auto"/>
                <w:sz w:val="20"/>
                <w:szCs w:val="20"/>
                <w:highlight w:val="none"/>
              </w:rPr>
              <w:t>询问服务项目后</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将顾客带到洗头区洗发。</w:t>
            </w:r>
          </w:p>
        </w:tc>
      </w:tr>
      <w:tr w14:paraId="3085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98" w:type="dxa"/>
            <w:vAlign w:val="center"/>
          </w:tcPr>
          <w:p w14:paraId="10DE46D3">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2</w:t>
            </w:r>
          </w:p>
        </w:tc>
        <w:tc>
          <w:tcPr>
            <w:tcW w:w="1252" w:type="dxa"/>
            <w:vMerge w:val="continue"/>
            <w:vAlign w:val="center"/>
          </w:tcPr>
          <w:p w14:paraId="705B9169">
            <w:pPr>
              <w:spacing w:line="240" w:lineRule="auto"/>
              <w:jc w:val="center"/>
              <w:rPr>
                <w:rFonts w:hint="eastAsia" w:ascii="宋体" w:hAnsi="宋体" w:eastAsia="宋体" w:cs="宋体"/>
                <w:color w:val="auto"/>
                <w:sz w:val="20"/>
                <w:szCs w:val="20"/>
                <w:highlight w:val="none"/>
              </w:rPr>
            </w:pPr>
          </w:p>
        </w:tc>
        <w:tc>
          <w:tcPr>
            <w:tcW w:w="6269" w:type="dxa"/>
            <w:vAlign w:val="center"/>
          </w:tcPr>
          <w:p w14:paraId="29062533">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安排发型师</w:t>
            </w:r>
            <w:r>
              <w:rPr>
                <w:rFonts w:hint="eastAsia" w:ascii="宋体" w:hAnsi="宋体" w:eastAsia="宋体" w:cs="宋体"/>
                <w:color w:val="auto"/>
                <w:sz w:val="20"/>
                <w:szCs w:val="20"/>
                <w:highlight w:val="none"/>
                <w:lang w:val="en-US" w:eastAsia="zh-CN"/>
              </w:rPr>
              <w:t>后应</w:t>
            </w:r>
            <w:r>
              <w:rPr>
                <w:rFonts w:hint="eastAsia" w:ascii="宋体" w:hAnsi="宋体" w:eastAsia="宋体" w:cs="宋体"/>
                <w:color w:val="auto"/>
                <w:sz w:val="20"/>
                <w:szCs w:val="20"/>
                <w:highlight w:val="none"/>
              </w:rPr>
              <w:t>跟客人沟通需要什么样的发型、产品，或者提一些建议，然后根据客人需要进行修剪。</w:t>
            </w:r>
          </w:p>
        </w:tc>
      </w:tr>
      <w:tr w14:paraId="1A273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98" w:type="dxa"/>
            <w:vAlign w:val="center"/>
          </w:tcPr>
          <w:p w14:paraId="585533B9">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3</w:t>
            </w:r>
          </w:p>
        </w:tc>
        <w:tc>
          <w:tcPr>
            <w:tcW w:w="1252" w:type="dxa"/>
            <w:vMerge w:val="restart"/>
            <w:vAlign w:val="center"/>
          </w:tcPr>
          <w:p w14:paraId="451AE625">
            <w:pPr>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烫发</w:t>
            </w:r>
          </w:p>
        </w:tc>
        <w:tc>
          <w:tcPr>
            <w:tcW w:w="6269" w:type="dxa"/>
            <w:vAlign w:val="center"/>
          </w:tcPr>
          <w:p w14:paraId="138E2467">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发型师根据客人的头发长短设计发型，跟客人进行沟通，然后安排洗头，洗好后带到烫发区。</w:t>
            </w:r>
          </w:p>
        </w:tc>
      </w:tr>
      <w:tr w14:paraId="6E666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98" w:type="dxa"/>
            <w:vAlign w:val="center"/>
          </w:tcPr>
          <w:p w14:paraId="229149ED">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4</w:t>
            </w:r>
          </w:p>
        </w:tc>
        <w:tc>
          <w:tcPr>
            <w:tcW w:w="1252" w:type="dxa"/>
            <w:vMerge w:val="continue"/>
            <w:vAlign w:val="center"/>
          </w:tcPr>
          <w:p w14:paraId="46325D02">
            <w:pPr>
              <w:spacing w:line="240" w:lineRule="auto"/>
              <w:jc w:val="center"/>
              <w:rPr>
                <w:rFonts w:hint="eastAsia" w:ascii="宋体" w:hAnsi="宋体" w:eastAsia="宋体" w:cs="宋体"/>
                <w:color w:val="auto"/>
                <w:sz w:val="20"/>
                <w:szCs w:val="20"/>
                <w:highlight w:val="none"/>
              </w:rPr>
            </w:pPr>
          </w:p>
        </w:tc>
        <w:tc>
          <w:tcPr>
            <w:tcW w:w="6269" w:type="dxa"/>
            <w:vAlign w:val="center"/>
          </w:tcPr>
          <w:p w14:paraId="78DBA017">
            <w:pPr>
              <w:adjustRightInd w:val="0"/>
              <w:snapToGrid w:val="0"/>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发型师烫发前先修剪头发，根据跟客人沟通好的发型进行修剪。</w:t>
            </w:r>
          </w:p>
        </w:tc>
      </w:tr>
      <w:tr w14:paraId="02542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98" w:type="dxa"/>
            <w:vAlign w:val="center"/>
          </w:tcPr>
          <w:p w14:paraId="1A8079F8">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1252" w:type="dxa"/>
            <w:vMerge w:val="continue"/>
            <w:vAlign w:val="center"/>
          </w:tcPr>
          <w:p w14:paraId="5DF423B6">
            <w:pPr>
              <w:spacing w:line="240" w:lineRule="auto"/>
              <w:jc w:val="center"/>
              <w:rPr>
                <w:rFonts w:hint="eastAsia" w:ascii="宋体" w:hAnsi="宋体" w:eastAsia="宋体" w:cs="宋体"/>
                <w:color w:val="auto"/>
                <w:sz w:val="20"/>
                <w:szCs w:val="20"/>
                <w:highlight w:val="none"/>
              </w:rPr>
            </w:pPr>
          </w:p>
        </w:tc>
        <w:tc>
          <w:tcPr>
            <w:tcW w:w="6269" w:type="dxa"/>
            <w:vAlign w:val="center"/>
          </w:tcPr>
          <w:p w14:paraId="709989C3">
            <w:pPr>
              <w:adjustRightInd w:val="0"/>
              <w:snapToGrid w:val="0"/>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安排上烫发膏，上完后根据发质的情况进行冲洗。</w:t>
            </w:r>
          </w:p>
        </w:tc>
      </w:tr>
      <w:tr w14:paraId="70AAC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98" w:type="dxa"/>
            <w:vAlign w:val="center"/>
          </w:tcPr>
          <w:p w14:paraId="3088046D">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6</w:t>
            </w:r>
          </w:p>
        </w:tc>
        <w:tc>
          <w:tcPr>
            <w:tcW w:w="1252" w:type="dxa"/>
            <w:vMerge w:val="continue"/>
            <w:vAlign w:val="center"/>
          </w:tcPr>
          <w:p w14:paraId="3AB3BD6E">
            <w:pPr>
              <w:spacing w:line="240" w:lineRule="auto"/>
              <w:jc w:val="center"/>
              <w:rPr>
                <w:rFonts w:hint="eastAsia" w:ascii="宋体" w:hAnsi="宋体" w:eastAsia="宋体" w:cs="宋体"/>
                <w:color w:val="auto"/>
                <w:sz w:val="20"/>
                <w:szCs w:val="20"/>
                <w:highlight w:val="none"/>
              </w:rPr>
            </w:pPr>
          </w:p>
        </w:tc>
        <w:tc>
          <w:tcPr>
            <w:tcW w:w="6269" w:type="dxa"/>
            <w:vAlign w:val="center"/>
          </w:tcPr>
          <w:p w14:paraId="7BCDA196">
            <w:pPr>
              <w:adjustRightInd w:val="0"/>
              <w:snapToGrid w:val="0"/>
              <w:spacing w:line="240" w:lineRule="auto"/>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冲水结束上卷杠加热，上定型水，发型师检查符合要求后拆卷杠</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做造型。</w:t>
            </w:r>
          </w:p>
        </w:tc>
      </w:tr>
      <w:tr w14:paraId="2DF6D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98" w:type="dxa"/>
            <w:vAlign w:val="center"/>
          </w:tcPr>
          <w:p w14:paraId="5DC12CB7">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7</w:t>
            </w:r>
          </w:p>
        </w:tc>
        <w:tc>
          <w:tcPr>
            <w:tcW w:w="1252" w:type="dxa"/>
            <w:vMerge w:val="restart"/>
            <w:vAlign w:val="center"/>
          </w:tcPr>
          <w:p w14:paraId="4EF07429">
            <w:pPr>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染发</w:t>
            </w:r>
          </w:p>
        </w:tc>
        <w:tc>
          <w:tcPr>
            <w:tcW w:w="6269" w:type="dxa"/>
            <w:vAlign w:val="center"/>
          </w:tcPr>
          <w:p w14:paraId="2DABC6D8">
            <w:pPr>
              <w:adjustRightInd w:val="0"/>
              <w:snapToGrid w:val="0"/>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安排洗头。</w:t>
            </w:r>
          </w:p>
        </w:tc>
      </w:tr>
      <w:tr w14:paraId="21AA9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98" w:type="dxa"/>
            <w:vAlign w:val="center"/>
          </w:tcPr>
          <w:p w14:paraId="772BF49D">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8</w:t>
            </w:r>
          </w:p>
        </w:tc>
        <w:tc>
          <w:tcPr>
            <w:tcW w:w="1252" w:type="dxa"/>
            <w:vMerge w:val="continue"/>
            <w:vAlign w:val="center"/>
          </w:tcPr>
          <w:p w14:paraId="0411675B">
            <w:pPr>
              <w:spacing w:line="240" w:lineRule="auto"/>
              <w:jc w:val="center"/>
              <w:rPr>
                <w:rFonts w:hint="eastAsia" w:ascii="宋体" w:hAnsi="宋体" w:eastAsia="宋体" w:cs="宋体"/>
                <w:color w:val="auto"/>
                <w:sz w:val="20"/>
                <w:szCs w:val="20"/>
                <w:highlight w:val="none"/>
              </w:rPr>
            </w:pPr>
          </w:p>
        </w:tc>
        <w:tc>
          <w:tcPr>
            <w:tcW w:w="6269" w:type="dxa"/>
            <w:vAlign w:val="center"/>
          </w:tcPr>
          <w:p w14:paraId="4F3BBB6A">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发型师跟客人沟通好染什么颜色，然后进行调配。</w:t>
            </w:r>
          </w:p>
        </w:tc>
      </w:tr>
      <w:tr w14:paraId="3888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98" w:type="dxa"/>
            <w:vAlign w:val="center"/>
          </w:tcPr>
          <w:p w14:paraId="46A31BC7">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9</w:t>
            </w:r>
          </w:p>
        </w:tc>
        <w:tc>
          <w:tcPr>
            <w:tcW w:w="1252" w:type="dxa"/>
            <w:vMerge w:val="continue"/>
            <w:vAlign w:val="center"/>
          </w:tcPr>
          <w:p w14:paraId="09D50179">
            <w:pPr>
              <w:spacing w:line="240" w:lineRule="auto"/>
              <w:jc w:val="center"/>
              <w:rPr>
                <w:rFonts w:hint="eastAsia" w:ascii="宋体" w:hAnsi="宋体" w:eastAsia="宋体" w:cs="宋体"/>
                <w:color w:val="auto"/>
                <w:sz w:val="20"/>
                <w:szCs w:val="20"/>
                <w:highlight w:val="none"/>
              </w:rPr>
            </w:pPr>
          </w:p>
        </w:tc>
        <w:tc>
          <w:tcPr>
            <w:tcW w:w="6269" w:type="dxa"/>
            <w:vAlign w:val="center"/>
          </w:tcPr>
          <w:p w14:paraId="40EA41DB">
            <w:pPr>
              <w:adjustRightInd w:val="0"/>
              <w:snapToGrid w:val="0"/>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准备好围布披肩后上染发膏，一定时间后发型师检查上色状况，判断是否可以冲水。</w:t>
            </w:r>
          </w:p>
        </w:tc>
      </w:tr>
      <w:tr w14:paraId="61C3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98" w:type="dxa"/>
            <w:vAlign w:val="center"/>
          </w:tcPr>
          <w:p w14:paraId="4B8E63E0">
            <w:pPr>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1252" w:type="dxa"/>
            <w:vMerge w:val="continue"/>
            <w:vAlign w:val="center"/>
          </w:tcPr>
          <w:p w14:paraId="261527DB">
            <w:pPr>
              <w:spacing w:line="240" w:lineRule="auto"/>
              <w:jc w:val="center"/>
              <w:rPr>
                <w:rFonts w:hint="eastAsia" w:ascii="宋体" w:hAnsi="宋体" w:eastAsia="宋体" w:cs="宋体"/>
                <w:color w:val="auto"/>
                <w:sz w:val="20"/>
                <w:szCs w:val="20"/>
                <w:highlight w:val="none"/>
              </w:rPr>
            </w:pPr>
          </w:p>
        </w:tc>
        <w:tc>
          <w:tcPr>
            <w:tcW w:w="6269" w:type="dxa"/>
            <w:vAlign w:val="center"/>
          </w:tcPr>
          <w:p w14:paraId="4223BF7E">
            <w:pPr>
              <w:adjustRightInd w:val="0"/>
              <w:snapToGrid w:val="0"/>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安排</w:t>
            </w:r>
            <w:r>
              <w:rPr>
                <w:rFonts w:hint="eastAsia" w:ascii="宋体" w:hAnsi="宋体" w:eastAsia="宋体" w:cs="宋体"/>
                <w:color w:val="auto"/>
                <w:sz w:val="20"/>
                <w:szCs w:val="20"/>
                <w:highlight w:val="none"/>
              </w:rPr>
              <w:t>冲水</w:t>
            </w:r>
            <w:r>
              <w:rPr>
                <w:rFonts w:hint="eastAsia" w:ascii="宋体" w:hAnsi="宋体" w:eastAsia="宋体" w:cs="宋体"/>
                <w:color w:val="auto"/>
                <w:sz w:val="20"/>
                <w:szCs w:val="20"/>
                <w:highlight w:val="none"/>
                <w:lang w:val="en-US" w:eastAsia="zh-CN"/>
              </w:rPr>
              <w:t>后</w:t>
            </w:r>
            <w:r>
              <w:rPr>
                <w:rFonts w:hint="eastAsia" w:ascii="宋体" w:hAnsi="宋体" w:eastAsia="宋体" w:cs="宋体"/>
                <w:color w:val="auto"/>
                <w:sz w:val="20"/>
                <w:szCs w:val="20"/>
                <w:highlight w:val="none"/>
              </w:rPr>
              <w:t>，清理好头皮等残留色膏。</w:t>
            </w:r>
          </w:p>
        </w:tc>
      </w:tr>
      <w:tr w14:paraId="7374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98" w:type="dxa"/>
            <w:vAlign w:val="center"/>
          </w:tcPr>
          <w:p w14:paraId="625DD69A">
            <w:pPr>
              <w:spacing w:line="240" w:lineRule="auto"/>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w:t>
            </w:r>
            <w:r>
              <w:rPr>
                <w:rFonts w:hint="eastAsia" w:ascii="宋体" w:hAnsi="宋体" w:eastAsia="宋体" w:cs="宋体"/>
                <w:color w:val="auto"/>
                <w:sz w:val="20"/>
                <w:szCs w:val="20"/>
                <w:highlight w:val="none"/>
                <w:lang w:val="en-US" w:eastAsia="zh-CN"/>
              </w:rPr>
              <w:t>1</w:t>
            </w:r>
          </w:p>
        </w:tc>
        <w:tc>
          <w:tcPr>
            <w:tcW w:w="1252" w:type="dxa"/>
            <w:vMerge w:val="continue"/>
            <w:vAlign w:val="center"/>
          </w:tcPr>
          <w:p w14:paraId="464970CD">
            <w:pPr>
              <w:spacing w:line="240" w:lineRule="auto"/>
              <w:jc w:val="center"/>
              <w:rPr>
                <w:rFonts w:hint="eastAsia" w:ascii="宋体" w:hAnsi="宋体" w:eastAsia="宋体" w:cs="宋体"/>
                <w:color w:val="auto"/>
                <w:sz w:val="20"/>
                <w:szCs w:val="20"/>
                <w:highlight w:val="none"/>
              </w:rPr>
            </w:pPr>
          </w:p>
        </w:tc>
        <w:tc>
          <w:tcPr>
            <w:tcW w:w="6269" w:type="dxa"/>
            <w:vAlign w:val="center"/>
          </w:tcPr>
          <w:p w14:paraId="00D53092">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发型师做造型。</w:t>
            </w:r>
          </w:p>
        </w:tc>
      </w:tr>
      <w:tr w14:paraId="7B5C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98" w:type="dxa"/>
            <w:vAlign w:val="center"/>
          </w:tcPr>
          <w:p w14:paraId="07040ECA">
            <w:pPr>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1252" w:type="dxa"/>
            <w:vMerge w:val="restart"/>
            <w:vAlign w:val="center"/>
          </w:tcPr>
          <w:p w14:paraId="4C1BB5B6">
            <w:pPr>
              <w:spacing w:line="24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直发</w:t>
            </w:r>
          </w:p>
        </w:tc>
        <w:tc>
          <w:tcPr>
            <w:tcW w:w="6269" w:type="dxa"/>
            <w:vAlign w:val="center"/>
          </w:tcPr>
          <w:p w14:paraId="2A9D7A56">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根据客人的头发长短设计发型，跟客人进行沟通，然后安排助理洗头，洗好后带到直发区。</w:t>
            </w:r>
          </w:p>
        </w:tc>
      </w:tr>
      <w:tr w14:paraId="116E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98" w:type="dxa"/>
            <w:vAlign w:val="center"/>
          </w:tcPr>
          <w:p w14:paraId="71CD54EF">
            <w:pPr>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1252" w:type="dxa"/>
            <w:vMerge w:val="continue"/>
            <w:vAlign w:val="center"/>
          </w:tcPr>
          <w:p w14:paraId="25B6AE4B">
            <w:pPr>
              <w:spacing w:line="240" w:lineRule="auto"/>
              <w:jc w:val="center"/>
              <w:rPr>
                <w:rFonts w:hint="eastAsia" w:ascii="宋体" w:hAnsi="宋体" w:eastAsia="宋体" w:cs="宋体"/>
                <w:color w:val="auto"/>
                <w:sz w:val="20"/>
                <w:szCs w:val="20"/>
                <w:highlight w:val="none"/>
              </w:rPr>
            </w:pPr>
          </w:p>
        </w:tc>
        <w:tc>
          <w:tcPr>
            <w:tcW w:w="6269" w:type="dxa"/>
            <w:vAlign w:val="center"/>
          </w:tcPr>
          <w:p w14:paraId="4754C42B">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发型师拉直发前先修剪头发，根据跟客人沟通好的发型进行修剪。</w:t>
            </w:r>
          </w:p>
        </w:tc>
      </w:tr>
      <w:tr w14:paraId="2293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98" w:type="dxa"/>
            <w:vAlign w:val="center"/>
          </w:tcPr>
          <w:p w14:paraId="733F731D">
            <w:pPr>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1252" w:type="dxa"/>
            <w:vMerge w:val="continue"/>
            <w:vAlign w:val="center"/>
          </w:tcPr>
          <w:p w14:paraId="2EA42833">
            <w:pPr>
              <w:spacing w:line="240" w:lineRule="auto"/>
              <w:jc w:val="center"/>
              <w:rPr>
                <w:rFonts w:hint="eastAsia" w:ascii="宋体" w:hAnsi="宋体" w:eastAsia="宋体" w:cs="宋体"/>
                <w:color w:val="auto"/>
                <w:sz w:val="20"/>
                <w:szCs w:val="20"/>
                <w:highlight w:val="none"/>
              </w:rPr>
            </w:pPr>
          </w:p>
        </w:tc>
        <w:tc>
          <w:tcPr>
            <w:tcW w:w="6269" w:type="dxa"/>
            <w:vAlign w:val="center"/>
          </w:tcPr>
          <w:p w14:paraId="19BDDEF1">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安排上烫发膏，上夹板拉直，上定型水，一定时间后判断是否可以冲水。</w:t>
            </w:r>
          </w:p>
        </w:tc>
      </w:tr>
      <w:tr w14:paraId="4968D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98" w:type="dxa"/>
            <w:vAlign w:val="center"/>
          </w:tcPr>
          <w:p w14:paraId="1C3957F3">
            <w:pPr>
              <w:spacing w:line="24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1252" w:type="dxa"/>
            <w:vMerge w:val="continue"/>
            <w:vAlign w:val="center"/>
          </w:tcPr>
          <w:p w14:paraId="5F6222CC">
            <w:pPr>
              <w:spacing w:line="240" w:lineRule="auto"/>
              <w:jc w:val="center"/>
              <w:rPr>
                <w:rFonts w:hint="eastAsia" w:ascii="宋体" w:hAnsi="宋体" w:eastAsia="宋体" w:cs="宋体"/>
                <w:color w:val="auto"/>
                <w:sz w:val="20"/>
                <w:szCs w:val="20"/>
                <w:highlight w:val="none"/>
              </w:rPr>
            </w:pPr>
          </w:p>
        </w:tc>
        <w:tc>
          <w:tcPr>
            <w:tcW w:w="6269" w:type="dxa"/>
            <w:vAlign w:val="center"/>
          </w:tcPr>
          <w:p w14:paraId="4746EB5B">
            <w:pPr>
              <w:spacing w:line="24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助理冲水后，发型师做造型。</w:t>
            </w:r>
          </w:p>
        </w:tc>
      </w:tr>
    </w:tbl>
    <w:p w14:paraId="5C6801F1">
      <w:pPr>
        <w:bidi w:val="0"/>
        <w:spacing w:line="240" w:lineRule="auto"/>
        <w:jc w:val="center"/>
        <w:rPr>
          <w:rFonts w:hint="eastAsia" w:ascii="宋体" w:hAnsi="宋体" w:eastAsia="宋体" w:cs="宋体"/>
          <w:b/>
          <w:bCs/>
          <w:color w:val="auto"/>
          <w:sz w:val="20"/>
          <w:szCs w:val="20"/>
          <w:highlight w:val="none"/>
        </w:rPr>
      </w:pPr>
      <w:bookmarkStart w:id="327" w:name="_Toc13773"/>
      <w:bookmarkStart w:id="328" w:name="_Toc3900"/>
      <w:r>
        <w:rPr>
          <w:rFonts w:hint="eastAsia" w:ascii="宋体" w:hAnsi="宋体" w:eastAsia="宋体" w:cs="宋体"/>
          <w:b/>
          <w:bCs/>
          <w:color w:val="auto"/>
          <w:sz w:val="20"/>
          <w:szCs w:val="20"/>
          <w:highlight w:val="none"/>
          <w:lang w:val="en-US" w:eastAsia="zh-CN"/>
        </w:rPr>
        <w:t>2.2.3：理发</w:t>
      </w:r>
      <w:r>
        <w:rPr>
          <w:rFonts w:hint="eastAsia" w:ascii="宋体" w:hAnsi="宋体" w:eastAsia="宋体" w:cs="宋体"/>
          <w:b/>
          <w:bCs/>
          <w:color w:val="auto"/>
          <w:sz w:val="20"/>
          <w:szCs w:val="20"/>
          <w:highlight w:val="none"/>
        </w:rPr>
        <w:t>服务人员工作规范</w:t>
      </w:r>
      <w:bookmarkEnd w:id="327"/>
      <w:bookmarkEnd w:id="328"/>
    </w:p>
    <w:tbl>
      <w:tblPr>
        <w:tblStyle w:val="15"/>
        <w:tblW w:w="8404" w:type="dxa"/>
        <w:tblInd w:w="-29" w:type="dxa"/>
        <w:tblLayout w:type="fixed"/>
        <w:tblCellMar>
          <w:top w:w="0" w:type="dxa"/>
          <w:left w:w="108" w:type="dxa"/>
          <w:bottom w:w="0" w:type="dxa"/>
          <w:right w:w="108" w:type="dxa"/>
        </w:tblCellMar>
      </w:tblPr>
      <w:tblGrid>
        <w:gridCol w:w="933"/>
        <w:gridCol w:w="1233"/>
        <w:gridCol w:w="6238"/>
      </w:tblGrid>
      <w:tr w14:paraId="126CEAB0">
        <w:tblPrEx>
          <w:tblCellMar>
            <w:top w:w="0" w:type="dxa"/>
            <w:left w:w="108" w:type="dxa"/>
            <w:bottom w:w="0" w:type="dxa"/>
            <w:right w:w="108" w:type="dxa"/>
          </w:tblCellMar>
        </w:tblPrEx>
        <w:trPr>
          <w:trHeight w:val="414" w:hRule="atLeast"/>
          <w:tblHeader/>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D426F">
            <w:pPr>
              <w:widowControl/>
              <w:spacing w:line="240" w:lineRule="auto"/>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序号</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991F">
            <w:pPr>
              <w:widowControl/>
              <w:spacing w:line="240" w:lineRule="auto"/>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人员</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2956">
            <w:pPr>
              <w:widowControl/>
              <w:spacing w:line="240" w:lineRule="auto"/>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工作规范</w:t>
            </w:r>
          </w:p>
        </w:tc>
      </w:tr>
      <w:tr w14:paraId="41873A7C">
        <w:tblPrEx>
          <w:tblCellMar>
            <w:top w:w="0" w:type="dxa"/>
            <w:left w:w="108" w:type="dxa"/>
            <w:bottom w:w="0" w:type="dxa"/>
            <w:right w:w="108" w:type="dxa"/>
          </w:tblCellMar>
        </w:tblPrEx>
        <w:trPr>
          <w:trHeight w:val="588"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8636A">
            <w:pPr>
              <w:widowControl/>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2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41EF83">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bidi="ar"/>
              </w:rPr>
              <w:t>理发师</w:t>
            </w:r>
            <w:r>
              <w:rPr>
                <w:rFonts w:hint="eastAsia" w:ascii="宋体" w:hAnsi="宋体" w:eastAsia="宋体" w:cs="宋体"/>
                <w:color w:val="auto"/>
                <w:kern w:val="0"/>
                <w:sz w:val="20"/>
                <w:szCs w:val="20"/>
                <w:highlight w:val="none"/>
                <w:lang w:val="en-US" w:eastAsia="zh-CN" w:bidi="ar"/>
              </w:rPr>
              <w:t>/助理理发师</w:t>
            </w: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0C132">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遵守理发室管理制度，服从工作调配。遵守劳动纪律，不迟到、不早退。</w:t>
            </w:r>
          </w:p>
        </w:tc>
      </w:tr>
      <w:tr w14:paraId="44CAE80A">
        <w:tblPrEx>
          <w:tblCellMar>
            <w:top w:w="0" w:type="dxa"/>
            <w:left w:w="108" w:type="dxa"/>
            <w:bottom w:w="0" w:type="dxa"/>
            <w:right w:w="108" w:type="dxa"/>
          </w:tblCellMar>
        </w:tblPrEx>
        <w:trPr>
          <w:trHeight w:val="588"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439B">
            <w:pPr>
              <w:widowControl/>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2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16E93">
            <w:pPr>
              <w:spacing w:line="240" w:lineRule="auto"/>
              <w:jc w:val="center"/>
              <w:rPr>
                <w:rFonts w:hint="eastAsia" w:ascii="宋体" w:hAnsi="宋体" w:eastAsia="宋体" w:cs="宋体"/>
                <w:color w:val="auto"/>
                <w:sz w:val="20"/>
                <w:szCs w:val="20"/>
                <w:highlight w:val="none"/>
              </w:rPr>
            </w:pP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84F06">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应具备良好的素质，保持良好精神状态，注意自身形象，服装统一、整洁卫生。</w:t>
            </w:r>
          </w:p>
        </w:tc>
      </w:tr>
      <w:tr w14:paraId="3D3F3AEC">
        <w:tblPrEx>
          <w:tblCellMar>
            <w:top w:w="0" w:type="dxa"/>
            <w:left w:w="108" w:type="dxa"/>
            <w:bottom w:w="0" w:type="dxa"/>
            <w:right w:w="108" w:type="dxa"/>
          </w:tblCellMar>
        </w:tblPrEx>
        <w:trPr>
          <w:trHeight w:val="588"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12E94">
            <w:pPr>
              <w:widowControl/>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2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AF535">
            <w:pPr>
              <w:spacing w:line="240" w:lineRule="auto"/>
              <w:jc w:val="center"/>
              <w:rPr>
                <w:rFonts w:hint="eastAsia" w:ascii="宋体" w:hAnsi="宋体" w:eastAsia="宋体" w:cs="宋体"/>
                <w:color w:val="auto"/>
                <w:sz w:val="20"/>
                <w:szCs w:val="20"/>
                <w:highlight w:val="none"/>
              </w:rPr>
            </w:pP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61F2">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val="en-US" w:eastAsia="zh-CN" w:bidi="ar"/>
              </w:rPr>
              <w:t>应</w:t>
            </w:r>
            <w:r>
              <w:rPr>
                <w:rFonts w:hint="eastAsia" w:ascii="宋体" w:hAnsi="宋体" w:eastAsia="宋体" w:cs="宋体"/>
                <w:color w:val="auto"/>
                <w:kern w:val="0"/>
                <w:sz w:val="20"/>
                <w:szCs w:val="20"/>
                <w:highlight w:val="none"/>
                <w:lang w:bidi="ar"/>
              </w:rPr>
              <w:t>规范服务行为，按照行业职操做好服务工作，保证服务质量。</w:t>
            </w:r>
          </w:p>
        </w:tc>
      </w:tr>
      <w:tr w14:paraId="44F701AB">
        <w:tblPrEx>
          <w:tblCellMar>
            <w:top w:w="0" w:type="dxa"/>
            <w:left w:w="108" w:type="dxa"/>
            <w:bottom w:w="0" w:type="dxa"/>
            <w:right w:w="108" w:type="dxa"/>
          </w:tblCellMar>
        </w:tblPrEx>
        <w:trPr>
          <w:trHeight w:val="588"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32ACD">
            <w:pPr>
              <w:widowControl/>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2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1A702">
            <w:pPr>
              <w:spacing w:line="240" w:lineRule="auto"/>
              <w:jc w:val="center"/>
              <w:rPr>
                <w:rFonts w:hint="eastAsia" w:ascii="宋体" w:hAnsi="宋体" w:eastAsia="宋体" w:cs="宋体"/>
                <w:color w:val="auto"/>
                <w:sz w:val="20"/>
                <w:szCs w:val="20"/>
                <w:highlight w:val="none"/>
              </w:rPr>
            </w:pP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86BF">
            <w:pPr>
              <w:widowControl/>
              <w:spacing w:line="240" w:lineRule="auto"/>
              <w:jc w:val="left"/>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bidi="ar"/>
              </w:rPr>
              <w:t>以客为尊，认真听取</w:t>
            </w:r>
            <w:r>
              <w:rPr>
                <w:rStyle w:val="22"/>
                <w:rFonts w:hint="eastAsia" w:ascii="宋体" w:hAnsi="宋体" w:eastAsia="宋体" w:cs="宋体"/>
                <w:color w:val="auto"/>
                <w:sz w:val="20"/>
                <w:szCs w:val="20"/>
                <w:highlight w:val="none"/>
                <w:lang w:bidi="ar"/>
              </w:rPr>
              <w:t>客人意见，及时反馈客户需求。在工作期间，应礼貌待人，热情诚恳待客，使文明用语</w:t>
            </w:r>
            <w:r>
              <w:rPr>
                <w:rStyle w:val="22"/>
                <w:rFonts w:hint="eastAsia" w:ascii="宋体" w:hAnsi="宋体" w:eastAsia="宋体" w:cs="宋体"/>
                <w:color w:val="auto"/>
                <w:sz w:val="20"/>
                <w:szCs w:val="20"/>
                <w:highlight w:val="none"/>
                <w:lang w:eastAsia="zh-CN" w:bidi="ar"/>
              </w:rPr>
              <w:t>。</w:t>
            </w:r>
          </w:p>
        </w:tc>
      </w:tr>
      <w:tr w14:paraId="6A3FB421">
        <w:tblPrEx>
          <w:tblCellMar>
            <w:top w:w="0" w:type="dxa"/>
            <w:left w:w="108" w:type="dxa"/>
            <w:bottom w:w="0" w:type="dxa"/>
            <w:right w:w="108" w:type="dxa"/>
          </w:tblCellMar>
        </w:tblPrEx>
        <w:trPr>
          <w:trHeight w:val="588"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596D">
            <w:pPr>
              <w:widowControl/>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2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892D9">
            <w:pPr>
              <w:spacing w:line="240" w:lineRule="auto"/>
              <w:jc w:val="center"/>
              <w:rPr>
                <w:rFonts w:hint="eastAsia" w:ascii="宋体" w:hAnsi="宋体" w:eastAsia="宋体" w:cs="宋体"/>
                <w:color w:val="auto"/>
                <w:sz w:val="20"/>
                <w:szCs w:val="20"/>
                <w:highlight w:val="none"/>
              </w:rPr>
            </w:pP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ED9ED">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每次服务结束后向客人征求服务质量满意程度，并做好登记，及时总结改进，提升服务质量。</w:t>
            </w:r>
          </w:p>
        </w:tc>
      </w:tr>
      <w:tr w14:paraId="7284D3E0">
        <w:tblPrEx>
          <w:tblCellMar>
            <w:top w:w="0" w:type="dxa"/>
            <w:left w:w="108" w:type="dxa"/>
            <w:bottom w:w="0" w:type="dxa"/>
            <w:right w:w="108" w:type="dxa"/>
          </w:tblCellMar>
        </w:tblPrEx>
        <w:trPr>
          <w:trHeight w:val="588"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4F51C">
            <w:pPr>
              <w:widowControl/>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2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F4548">
            <w:pPr>
              <w:spacing w:line="240" w:lineRule="auto"/>
              <w:jc w:val="center"/>
              <w:rPr>
                <w:rFonts w:hint="eastAsia" w:ascii="宋体" w:hAnsi="宋体" w:eastAsia="宋体" w:cs="宋体"/>
                <w:color w:val="auto"/>
                <w:sz w:val="20"/>
                <w:szCs w:val="20"/>
                <w:highlight w:val="none"/>
              </w:rPr>
            </w:pP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8938">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为顾客服务完成后，应及时清洁、整理好工作台面的卫生，消毒设备，保持卫生。</w:t>
            </w:r>
          </w:p>
        </w:tc>
      </w:tr>
      <w:tr w14:paraId="58921F35">
        <w:tblPrEx>
          <w:tblCellMar>
            <w:top w:w="0" w:type="dxa"/>
            <w:left w:w="108" w:type="dxa"/>
            <w:bottom w:w="0" w:type="dxa"/>
            <w:right w:w="108" w:type="dxa"/>
          </w:tblCellMar>
        </w:tblPrEx>
        <w:trPr>
          <w:trHeight w:val="588"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8B31">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val="en-US" w:eastAsia="zh-CN" w:bidi="ar"/>
              </w:rPr>
              <w:t>7</w:t>
            </w:r>
          </w:p>
        </w:tc>
        <w:tc>
          <w:tcPr>
            <w:tcW w:w="12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400C3">
            <w:pPr>
              <w:spacing w:line="240" w:lineRule="auto"/>
              <w:jc w:val="center"/>
              <w:rPr>
                <w:rFonts w:hint="eastAsia" w:ascii="宋体" w:hAnsi="宋体" w:eastAsia="宋体" w:cs="宋体"/>
                <w:color w:val="auto"/>
                <w:sz w:val="20"/>
                <w:szCs w:val="20"/>
                <w:highlight w:val="none"/>
              </w:rPr>
            </w:pP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05AA0">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应爱护理发室设备设施，节约使用耗材，养成勤俭节约的良好习惯。</w:t>
            </w:r>
          </w:p>
        </w:tc>
      </w:tr>
      <w:tr w14:paraId="1A3A717C">
        <w:tblPrEx>
          <w:tblCellMar>
            <w:top w:w="0" w:type="dxa"/>
            <w:left w:w="108" w:type="dxa"/>
            <w:bottom w:w="0" w:type="dxa"/>
            <w:right w:w="108" w:type="dxa"/>
          </w:tblCellMar>
        </w:tblPrEx>
        <w:trPr>
          <w:trHeight w:val="414"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145CA">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val="en-US" w:eastAsia="zh-CN" w:bidi="ar"/>
              </w:rPr>
              <w:t>8</w:t>
            </w:r>
          </w:p>
        </w:tc>
        <w:tc>
          <w:tcPr>
            <w:tcW w:w="12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02E77">
            <w:pPr>
              <w:spacing w:line="240" w:lineRule="auto"/>
              <w:jc w:val="center"/>
              <w:rPr>
                <w:rFonts w:hint="eastAsia" w:ascii="宋体" w:hAnsi="宋体" w:eastAsia="宋体" w:cs="宋体"/>
                <w:color w:val="auto"/>
                <w:sz w:val="20"/>
                <w:szCs w:val="20"/>
                <w:highlight w:val="none"/>
              </w:rPr>
            </w:pP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7CA3">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严格遵守划卡标准，不可超出理发室公布的标准。</w:t>
            </w:r>
          </w:p>
        </w:tc>
      </w:tr>
      <w:tr w14:paraId="3E8CE28B">
        <w:tblPrEx>
          <w:tblCellMar>
            <w:top w:w="0" w:type="dxa"/>
            <w:left w:w="108" w:type="dxa"/>
            <w:bottom w:w="0" w:type="dxa"/>
            <w:right w:w="108" w:type="dxa"/>
          </w:tblCellMar>
        </w:tblPrEx>
        <w:trPr>
          <w:trHeight w:val="597"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451ED">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val="en-US" w:eastAsia="zh-CN" w:bidi="ar"/>
              </w:rPr>
              <w:t>9</w:t>
            </w:r>
          </w:p>
        </w:tc>
        <w:tc>
          <w:tcPr>
            <w:tcW w:w="12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21BBA">
            <w:pPr>
              <w:spacing w:line="240" w:lineRule="auto"/>
              <w:jc w:val="center"/>
              <w:rPr>
                <w:rFonts w:hint="eastAsia" w:ascii="宋体" w:hAnsi="宋体" w:eastAsia="宋体" w:cs="宋体"/>
                <w:color w:val="auto"/>
                <w:sz w:val="20"/>
                <w:szCs w:val="20"/>
                <w:highlight w:val="none"/>
              </w:rPr>
            </w:pPr>
          </w:p>
        </w:tc>
        <w:tc>
          <w:tcPr>
            <w:tcW w:w="6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1E861">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严格遵守《消防法》和有关消防管理规定，理发室所有</w:t>
            </w:r>
            <w:r>
              <w:rPr>
                <w:rFonts w:hint="eastAsia" w:ascii="宋体" w:hAnsi="宋体" w:eastAsia="宋体" w:cs="宋体"/>
                <w:color w:val="auto"/>
                <w:kern w:val="0"/>
                <w:sz w:val="20"/>
                <w:szCs w:val="20"/>
                <w:highlight w:val="none"/>
                <w:lang w:val="en-US" w:eastAsia="zh-CN" w:bidi="ar"/>
              </w:rPr>
              <w:t>服务</w:t>
            </w:r>
            <w:r>
              <w:rPr>
                <w:rFonts w:hint="eastAsia" w:ascii="宋体" w:hAnsi="宋体" w:eastAsia="宋体" w:cs="宋体"/>
                <w:color w:val="auto"/>
                <w:kern w:val="0"/>
                <w:sz w:val="20"/>
                <w:szCs w:val="20"/>
                <w:highlight w:val="none"/>
                <w:lang w:bidi="ar"/>
              </w:rPr>
              <w:t>人员</w:t>
            </w:r>
            <w:r>
              <w:rPr>
                <w:rFonts w:hint="eastAsia" w:ascii="宋体" w:hAnsi="宋体" w:eastAsia="宋体" w:cs="宋体"/>
                <w:color w:val="auto"/>
                <w:kern w:val="0"/>
                <w:sz w:val="20"/>
                <w:szCs w:val="20"/>
                <w:highlight w:val="none"/>
                <w:lang w:val="en-US" w:eastAsia="zh-CN" w:bidi="ar"/>
              </w:rPr>
              <w:t>应</w:t>
            </w:r>
            <w:r>
              <w:rPr>
                <w:rFonts w:hint="eastAsia" w:ascii="宋体" w:hAnsi="宋体" w:eastAsia="宋体" w:cs="宋体"/>
                <w:color w:val="auto"/>
                <w:kern w:val="0"/>
                <w:sz w:val="20"/>
                <w:szCs w:val="20"/>
                <w:highlight w:val="none"/>
                <w:lang w:bidi="ar"/>
              </w:rPr>
              <w:t>能熟练使用各种灭火设备。</w:t>
            </w:r>
          </w:p>
        </w:tc>
      </w:tr>
    </w:tbl>
    <w:p w14:paraId="571D558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329" w:name="_Toc32762"/>
      <w:bookmarkStart w:id="330" w:name="_Toc30873"/>
      <w:bookmarkStart w:id="331" w:name="_Toc3507"/>
      <w:bookmarkStart w:id="332" w:name="_Toc11994"/>
      <w:r>
        <w:rPr>
          <w:rFonts w:hint="eastAsia" w:ascii="宋体" w:hAnsi="宋体" w:eastAsia="宋体" w:cs="宋体"/>
          <w:b/>
          <w:bCs/>
          <w:color w:val="auto"/>
          <w:sz w:val="20"/>
          <w:szCs w:val="20"/>
          <w:highlight w:val="none"/>
          <w:lang w:val="en-US" w:eastAsia="zh-CN"/>
        </w:rPr>
        <w:t>3.服务履约考核</w:t>
      </w:r>
      <w:bookmarkEnd w:id="325"/>
      <w:bookmarkEnd w:id="329"/>
      <w:bookmarkEnd w:id="330"/>
      <w:bookmarkEnd w:id="331"/>
      <w:bookmarkEnd w:id="332"/>
    </w:p>
    <w:p w14:paraId="7774CE35">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2500"/>
        <w:gridCol w:w="878"/>
        <w:gridCol w:w="2940"/>
        <w:gridCol w:w="1065"/>
        <w:gridCol w:w="750"/>
        <w:gridCol w:w="779"/>
      </w:tblGrid>
      <w:tr w14:paraId="6EA7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64" w:type="dxa"/>
            <w:tcBorders>
              <w:top w:val="single" w:color="auto" w:sz="4" w:space="0"/>
              <w:left w:val="single" w:color="auto" w:sz="4" w:space="0"/>
              <w:bottom w:val="single" w:color="auto" w:sz="4" w:space="0"/>
              <w:right w:val="single" w:color="auto" w:sz="4" w:space="0"/>
            </w:tcBorders>
            <w:noWrap w:val="0"/>
            <w:vAlign w:val="center"/>
          </w:tcPr>
          <w:p w14:paraId="470C73F7">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bookmarkStart w:id="333" w:name="_Toc8168"/>
            <w:r>
              <w:rPr>
                <w:rFonts w:hint="eastAsia" w:ascii="宋体" w:hAnsi="宋体" w:eastAsia="宋体" w:cs="宋体"/>
                <w:b/>
                <w:bCs/>
                <w:color w:val="auto"/>
                <w:sz w:val="20"/>
                <w:szCs w:val="20"/>
                <w:highlight w:val="none"/>
              </w:rPr>
              <w:t>序号</w:t>
            </w:r>
          </w:p>
        </w:tc>
        <w:tc>
          <w:tcPr>
            <w:tcW w:w="2500" w:type="dxa"/>
            <w:tcBorders>
              <w:top w:val="single" w:color="auto" w:sz="4" w:space="0"/>
              <w:left w:val="nil"/>
              <w:bottom w:val="single" w:color="auto" w:sz="4" w:space="0"/>
              <w:right w:val="single" w:color="auto" w:sz="4" w:space="0"/>
            </w:tcBorders>
            <w:noWrap w:val="0"/>
            <w:vAlign w:val="center"/>
          </w:tcPr>
          <w:p w14:paraId="791C3B9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878" w:type="dxa"/>
            <w:tcBorders>
              <w:top w:val="single" w:color="auto" w:sz="4" w:space="0"/>
              <w:left w:val="nil"/>
              <w:bottom w:val="single" w:color="auto" w:sz="4" w:space="0"/>
              <w:right w:val="single" w:color="auto" w:sz="4" w:space="0"/>
            </w:tcBorders>
            <w:noWrap w:val="0"/>
            <w:vAlign w:val="center"/>
          </w:tcPr>
          <w:p w14:paraId="5FE1355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940" w:type="dxa"/>
            <w:tcBorders>
              <w:top w:val="single" w:color="auto" w:sz="4" w:space="0"/>
              <w:left w:val="nil"/>
              <w:bottom w:val="single" w:color="auto" w:sz="4" w:space="0"/>
              <w:right w:val="single" w:color="auto" w:sz="4" w:space="0"/>
            </w:tcBorders>
            <w:noWrap w:val="0"/>
            <w:vAlign w:val="center"/>
          </w:tcPr>
          <w:p w14:paraId="1BB1A82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065" w:type="dxa"/>
            <w:tcBorders>
              <w:top w:val="single" w:color="auto" w:sz="4" w:space="0"/>
              <w:left w:val="nil"/>
              <w:bottom w:val="single" w:color="auto" w:sz="4" w:space="0"/>
              <w:right w:val="single" w:color="auto" w:sz="4" w:space="0"/>
            </w:tcBorders>
            <w:noWrap w:val="0"/>
            <w:vAlign w:val="center"/>
          </w:tcPr>
          <w:p w14:paraId="3BB4468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6DDD71E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750" w:type="dxa"/>
            <w:tcBorders>
              <w:top w:val="single" w:color="auto" w:sz="4" w:space="0"/>
              <w:left w:val="nil"/>
              <w:bottom w:val="single" w:color="auto" w:sz="4" w:space="0"/>
              <w:right w:val="single" w:color="auto" w:sz="4" w:space="0"/>
            </w:tcBorders>
            <w:noWrap w:val="0"/>
            <w:vAlign w:val="center"/>
          </w:tcPr>
          <w:p w14:paraId="5C215C09">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2EEB450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779" w:type="dxa"/>
            <w:tcBorders>
              <w:top w:val="single" w:color="auto" w:sz="4" w:space="0"/>
              <w:left w:val="nil"/>
              <w:bottom w:val="single" w:color="auto" w:sz="4" w:space="0"/>
              <w:right w:val="single" w:color="auto" w:sz="4" w:space="0"/>
            </w:tcBorders>
            <w:noWrap w:val="0"/>
            <w:vAlign w:val="center"/>
          </w:tcPr>
          <w:p w14:paraId="200FC505">
            <w:pPr>
              <w:keepNext w:val="0"/>
              <w:keepLines w:val="0"/>
              <w:pageBreakBefore w:val="0"/>
              <w:widowControl w:val="0"/>
              <w:kinsoku/>
              <w:wordWrap/>
              <w:overflowPunct/>
              <w:topLinePunct w:val="0"/>
              <w:autoSpaceDE/>
              <w:autoSpaceDN/>
              <w:bidi w:val="0"/>
              <w:spacing w:line="240" w:lineRule="auto"/>
              <w:ind w:firstLine="201" w:firstLineChars="10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57D2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964" w:type="dxa"/>
            <w:vMerge w:val="restart"/>
            <w:tcBorders>
              <w:top w:val="single" w:color="auto" w:sz="4" w:space="0"/>
              <w:left w:val="single" w:color="auto" w:sz="4" w:space="0"/>
              <w:right w:val="single" w:color="auto" w:sz="4" w:space="0"/>
            </w:tcBorders>
            <w:noWrap w:val="0"/>
            <w:vAlign w:val="center"/>
          </w:tcPr>
          <w:p w14:paraId="7EFB415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2500" w:type="dxa"/>
            <w:vMerge w:val="restart"/>
            <w:tcBorders>
              <w:top w:val="single" w:color="auto" w:sz="4" w:space="0"/>
              <w:left w:val="nil"/>
              <w:right w:val="single" w:color="auto" w:sz="4" w:space="0"/>
            </w:tcBorders>
            <w:noWrap w:val="0"/>
            <w:vAlign w:val="center"/>
          </w:tcPr>
          <w:p w14:paraId="4D369F3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lang w:val="en-US"/>
              </w:rPr>
            </w:pPr>
            <w:r>
              <w:rPr>
                <w:rFonts w:hint="eastAsia" w:ascii="宋体" w:hAnsi="宋体" w:eastAsia="宋体" w:cs="宋体"/>
                <w:b w:val="0"/>
                <w:bCs w:val="0"/>
                <w:color w:val="auto"/>
                <w:sz w:val="20"/>
                <w:szCs w:val="20"/>
                <w:highlight w:val="none"/>
                <w:vertAlign w:val="baseline"/>
                <w:lang w:val="en-US" w:eastAsia="zh-CN"/>
              </w:rPr>
              <w:t>按时按质按量完成采购方的理发服务工作任务，及时响应采购方的需求（含临时或紧急需求），积极与采购方沟通，使用的洗涤用品符合相关标准，理发服务记录齐全，制定有应急预案。</w:t>
            </w:r>
          </w:p>
        </w:tc>
        <w:tc>
          <w:tcPr>
            <w:tcW w:w="878" w:type="dxa"/>
            <w:vMerge w:val="restart"/>
            <w:tcBorders>
              <w:top w:val="single" w:color="auto" w:sz="4" w:space="0"/>
              <w:left w:val="nil"/>
              <w:right w:val="single" w:color="auto" w:sz="4" w:space="0"/>
            </w:tcBorders>
            <w:noWrap w:val="0"/>
            <w:vAlign w:val="center"/>
          </w:tcPr>
          <w:p w14:paraId="0A04EC7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40</w:t>
            </w:r>
          </w:p>
        </w:tc>
        <w:tc>
          <w:tcPr>
            <w:tcW w:w="2940" w:type="dxa"/>
            <w:tcBorders>
              <w:top w:val="single" w:color="auto" w:sz="4" w:space="0"/>
              <w:left w:val="nil"/>
              <w:bottom w:val="single" w:color="auto" w:sz="4" w:space="0"/>
              <w:right w:val="single" w:color="auto" w:sz="4" w:space="0"/>
            </w:tcBorders>
            <w:noWrap w:val="0"/>
            <w:vAlign w:val="center"/>
          </w:tcPr>
          <w:p w14:paraId="5127B649">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u w:val="single"/>
              </w:rPr>
            </w:pPr>
            <w:r>
              <w:rPr>
                <w:rFonts w:hint="eastAsia" w:ascii="宋体" w:hAnsi="宋体" w:eastAsia="宋体" w:cs="宋体"/>
                <w:b w:val="0"/>
                <w:bCs/>
                <w:color w:val="auto"/>
                <w:sz w:val="20"/>
                <w:szCs w:val="20"/>
                <w:highlight w:val="none"/>
                <w:lang w:val="en-US" w:eastAsia="zh-CN"/>
              </w:rPr>
              <w:t>未按采购方要求，按时按质提供服务，存在怠于响应、迟到、敷衍开展工作等现象。</w:t>
            </w:r>
          </w:p>
        </w:tc>
        <w:tc>
          <w:tcPr>
            <w:tcW w:w="1065" w:type="dxa"/>
            <w:tcBorders>
              <w:top w:val="single" w:color="auto" w:sz="4" w:space="0"/>
              <w:left w:val="nil"/>
              <w:bottom w:val="single" w:color="auto" w:sz="4" w:space="0"/>
              <w:right w:val="single" w:color="auto" w:sz="4" w:space="0"/>
            </w:tcBorders>
            <w:noWrap w:val="0"/>
            <w:vAlign w:val="center"/>
          </w:tcPr>
          <w:p w14:paraId="25C7A85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2FA47219">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45C59FC3">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r>
      <w:tr w14:paraId="429C2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64" w:type="dxa"/>
            <w:vMerge w:val="continue"/>
            <w:tcBorders>
              <w:left w:val="single" w:color="auto" w:sz="4" w:space="0"/>
              <w:right w:val="single" w:color="auto" w:sz="4" w:space="0"/>
            </w:tcBorders>
            <w:noWrap w:val="0"/>
            <w:vAlign w:val="center"/>
          </w:tcPr>
          <w:p w14:paraId="15749D8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500" w:type="dxa"/>
            <w:vMerge w:val="continue"/>
            <w:tcBorders>
              <w:left w:val="nil"/>
              <w:right w:val="single" w:color="auto" w:sz="4" w:space="0"/>
            </w:tcBorders>
            <w:noWrap w:val="0"/>
            <w:vAlign w:val="center"/>
          </w:tcPr>
          <w:p w14:paraId="3CD06F5D">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1AC882F9">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4390EB8B">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color w:val="auto"/>
                <w:sz w:val="20"/>
                <w:szCs w:val="20"/>
                <w:highlight w:val="none"/>
                <w:lang w:val="en-US" w:eastAsia="zh-CN"/>
              </w:rPr>
              <w:t>未按采购方要求服务，响应速度慢，影响采购方员工理发需求开展</w:t>
            </w:r>
            <w:r>
              <w:rPr>
                <w:rFonts w:hint="eastAsia" w:ascii="宋体" w:hAnsi="宋体" w:eastAsia="宋体" w:cs="宋体"/>
                <w:b w:val="0"/>
                <w:bCs w:val="0"/>
                <w:color w:val="auto"/>
                <w:sz w:val="20"/>
                <w:szCs w:val="20"/>
                <w:highlight w:val="none"/>
                <w:lang w:eastAsia="zh-CN"/>
              </w:rPr>
              <w:t>。</w:t>
            </w:r>
          </w:p>
        </w:tc>
        <w:tc>
          <w:tcPr>
            <w:tcW w:w="1065" w:type="dxa"/>
            <w:tcBorders>
              <w:top w:val="single" w:color="auto" w:sz="4" w:space="0"/>
              <w:left w:val="nil"/>
              <w:bottom w:val="single" w:color="auto" w:sz="4" w:space="0"/>
              <w:right w:val="single" w:color="auto" w:sz="4" w:space="0"/>
            </w:tcBorders>
            <w:noWrap w:val="0"/>
            <w:vAlign w:val="center"/>
          </w:tcPr>
          <w:p w14:paraId="6BE81EE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5E01E1A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0DED93B8">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2B0A9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64" w:type="dxa"/>
            <w:vMerge w:val="continue"/>
            <w:tcBorders>
              <w:left w:val="single" w:color="auto" w:sz="4" w:space="0"/>
              <w:right w:val="single" w:color="auto" w:sz="4" w:space="0"/>
            </w:tcBorders>
            <w:noWrap w:val="0"/>
            <w:vAlign w:val="center"/>
          </w:tcPr>
          <w:p w14:paraId="1C6043DD">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500" w:type="dxa"/>
            <w:vMerge w:val="continue"/>
            <w:tcBorders>
              <w:left w:val="nil"/>
              <w:right w:val="single" w:color="auto" w:sz="4" w:space="0"/>
            </w:tcBorders>
            <w:noWrap w:val="0"/>
            <w:vAlign w:val="center"/>
          </w:tcPr>
          <w:p w14:paraId="4F66F67B">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51444DFF">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2545775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无正当理由及未与采购方沟通的，未按规定时间提供服务。</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46440D5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1AA8D394">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FB21AC6">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56C26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64" w:type="dxa"/>
            <w:vMerge w:val="continue"/>
            <w:tcBorders>
              <w:left w:val="single" w:color="auto" w:sz="4" w:space="0"/>
              <w:right w:val="single" w:color="auto" w:sz="4" w:space="0"/>
            </w:tcBorders>
            <w:noWrap w:val="0"/>
            <w:vAlign w:val="center"/>
          </w:tcPr>
          <w:p w14:paraId="3BFE0828">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500" w:type="dxa"/>
            <w:vMerge w:val="continue"/>
            <w:tcBorders>
              <w:left w:val="nil"/>
              <w:right w:val="single" w:color="auto" w:sz="4" w:space="0"/>
            </w:tcBorders>
            <w:noWrap w:val="0"/>
            <w:vAlign w:val="center"/>
          </w:tcPr>
          <w:p w14:paraId="361C087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29FCF5BF">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598BFC0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在理发服务的过程中，使用劣质的洗涤用品，如因为使用劣质洗涤用品造成了采购方员工皮肤问题。</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4AACA2C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2-4</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6858EFA6">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864E9B5">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13E2D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64" w:type="dxa"/>
            <w:vMerge w:val="continue"/>
            <w:tcBorders>
              <w:left w:val="single" w:color="auto" w:sz="4" w:space="0"/>
              <w:right w:val="single" w:color="auto" w:sz="4" w:space="0"/>
            </w:tcBorders>
            <w:noWrap w:val="0"/>
            <w:vAlign w:val="center"/>
          </w:tcPr>
          <w:p w14:paraId="708137C0">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500" w:type="dxa"/>
            <w:vMerge w:val="continue"/>
            <w:tcBorders>
              <w:left w:val="nil"/>
              <w:right w:val="single" w:color="auto" w:sz="4" w:space="0"/>
            </w:tcBorders>
            <w:noWrap w:val="0"/>
            <w:vAlign w:val="center"/>
          </w:tcPr>
          <w:p w14:paraId="5849AB2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24320627">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5A929E10">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未按采购方要求做好理发服务记录和档案管理工作。</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52D3EFD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2D2BC4F0">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396642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59067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64" w:type="dxa"/>
            <w:vMerge w:val="continue"/>
            <w:tcBorders>
              <w:left w:val="single" w:color="auto" w:sz="4" w:space="0"/>
              <w:right w:val="single" w:color="auto" w:sz="4" w:space="0"/>
            </w:tcBorders>
            <w:noWrap w:val="0"/>
            <w:vAlign w:val="center"/>
          </w:tcPr>
          <w:p w14:paraId="13D5ADFA">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500" w:type="dxa"/>
            <w:vMerge w:val="continue"/>
            <w:tcBorders>
              <w:left w:val="nil"/>
              <w:right w:val="single" w:color="auto" w:sz="4" w:space="0"/>
            </w:tcBorders>
            <w:noWrap w:val="0"/>
            <w:vAlign w:val="center"/>
          </w:tcPr>
          <w:p w14:paraId="5CA2D16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65AA40FD">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35C172C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未配合采购方临时或紧急需求。</w:t>
            </w:r>
          </w:p>
        </w:tc>
        <w:tc>
          <w:tcPr>
            <w:tcW w:w="1065" w:type="dxa"/>
            <w:tcBorders>
              <w:top w:val="single" w:color="auto" w:sz="4" w:space="0"/>
              <w:left w:val="nil"/>
              <w:bottom w:val="single" w:color="auto" w:sz="4" w:space="0"/>
              <w:right w:val="single" w:color="auto" w:sz="4" w:space="0"/>
            </w:tcBorders>
            <w:noWrap w:val="0"/>
            <w:vAlign w:val="center"/>
          </w:tcPr>
          <w:p w14:paraId="68BC3A1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68E7E1D7">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077E40A7">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AD5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64" w:type="dxa"/>
            <w:vMerge w:val="continue"/>
            <w:tcBorders>
              <w:left w:val="single" w:color="auto" w:sz="4" w:space="0"/>
              <w:right w:val="single" w:color="auto" w:sz="4" w:space="0"/>
            </w:tcBorders>
            <w:noWrap w:val="0"/>
            <w:vAlign w:val="center"/>
          </w:tcPr>
          <w:p w14:paraId="08CC909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500" w:type="dxa"/>
            <w:vMerge w:val="continue"/>
            <w:tcBorders>
              <w:left w:val="nil"/>
              <w:right w:val="single" w:color="auto" w:sz="4" w:space="0"/>
            </w:tcBorders>
            <w:noWrap w:val="0"/>
            <w:vAlign w:val="center"/>
          </w:tcPr>
          <w:p w14:paraId="23B932CA">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0E68FBC5">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006567D8">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未制定应急方案，且在紧急事件发生时，不能及时处理，给采购方带来损失。</w:t>
            </w:r>
          </w:p>
        </w:tc>
        <w:tc>
          <w:tcPr>
            <w:tcW w:w="1065" w:type="dxa"/>
            <w:tcBorders>
              <w:top w:val="single" w:color="auto" w:sz="4" w:space="0"/>
              <w:left w:val="nil"/>
              <w:bottom w:val="single" w:color="auto" w:sz="4" w:space="0"/>
              <w:right w:val="single" w:color="auto" w:sz="4" w:space="0"/>
            </w:tcBorders>
            <w:noWrap w:val="0"/>
            <w:vAlign w:val="center"/>
          </w:tcPr>
          <w:p w14:paraId="72B9768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46F6A24A">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83AF41F">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121F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jc w:val="center"/>
        </w:trPr>
        <w:tc>
          <w:tcPr>
            <w:tcW w:w="964" w:type="dxa"/>
            <w:vMerge w:val="restart"/>
            <w:tcBorders>
              <w:left w:val="single" w:color="auto" w:sz="4" w:space="0"/>
              <w:right w:val="single" w:color="auto" w:sz="4" w:space="0"/>
            </w:tcBorders>
            <w:noWrap w:val="0"/>
            <w:vAlign w:val="center"/>
          </w:tcPr>
          <w:p w14:paraId="6E080D1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500" w:type="dxa"/>
            <w:vMerge w:val="restart"/>
            <w:tcBorders>
              <w:left w:val="nil"/>
              <w:right w:val="single" w:color="auto" w:sz="4" w:space="0"/>
            </w:tcBorders>
            <w:noWrap w:val="0"/>
            <w:vAlign w:val="center"/>
          </w:tcPr>
          <w:p w14:paraId="62F090F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人员工作经验丰富，服务态度良好，处理问题及反馈及时。</w:t>
            </w:r>
          </w:p>
        </w:tc>
        <w:tc>
          <w:tcPr>
            <w:tcW w:w="878" w:type="dxa"/>
            <w:vMerge w:val="restart"/>
            <w:tcBorders>
              <w:left w:val="nil"/>
              <w:right w:val="single" w:color="auto" w:sz="4" w:space="0"/>
            </w:tcBorders>
            <w:noWrap w:val="0"/>
            <w:vAlign w:val="center"/>
          </w:tcPr>
          <w:p w14:paraId="1F4E99F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20</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226C4A10">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服务人员应具备丰富的相关经验和专业判断能力。服务商派出的人员如无法对理发服务过程需处理的问题能够作出专业判断、诊断和处理方案。</w:t>
            </w:r>
          </w:p>
        </w:tc>
        <w:tc>
          <w:tcPr>
            <w:tcW w:w="1065" w:type="dxa"/>
            <w:tcBorders>
              <w:top w:val="single" w:color="auto" w:sz="4" w:space="0"/>
              <w:left w:val="nil"/>
              <w:bottom w:val="single" w:color="auto" w:sz="4" w:space="0"/>
              <w:right w:val="single" w:color="auto" w:sz="4" w:space="0"/>
            </w:tcBorders>
            <w:noWrap w:val="0"/>
            <w:vAlign w:val="center"/>
          </w:tcPr>
          <w:p w14:paraId="1378798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4</w:t>
            </w:r>
            <w:r>
              <w:rPr>
                <w:rFonts w:hint="eastAsia" w:ascii="宋体" w:hAnsi="宋体" w:eastAsia="宋体" w:cs="宋体"/>
                <w:b w:val="0"/>
                <w:bCs w:val="0"/>
                <w:color w:val="auto"/>
                <w:sz w:val="20"/>
                <w:szCs w:val="20"/>
                <w:highlight w:val="none"/>
              </w:rPr>
              <w:t>分/</w:t>
            </w:r>
            <w:r>
              <w:rPr>
                <w:rFonts w:hint="eastAsia" w:ascii="宋体" w:hAnsi="宋体" w:eastAsia="宋体" w:cs="宋体"/>
                <w:b w:val="0"/>
                <w:bCs w:val="0"/>
                <w:color w:val="auto"/>
                <w:sz w:val="20"/>
                <w:szCs w:val="20"/>
                <w:highlight w:val="none"/>
                <w:lang w:val="en-US" w:eastAsia="zh-CN"/>
              </w:rPr>
              <w:t>次</w:t>
            </w:r>
          </w:p>
        </w:tc>
        <w:tc>
          <w:tcPr>
            <w:tcW w:w="750" w:type="dxa"/>
            <w:tcBorders>
              <w:top w:val="single" w:color="auto" w:sz="4" w:space="0"/>
              <w:left w:val="nil"/>
              <w:bottom w:val="single" w:color="auto" w:sz="4" w:space="0"/>
              <w:right w:val="single" w:color="auto" w:sz="4" w:space="0"/>
            </w:tcBorders>
            <w:noWrap w:val="0"/>
            <w:vAlign w:val="top"/>
          </w:tcPr>
          <w:p w14:paraId="7201DC14">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11B13AD2">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51FA4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964" w:type="dxa"/>
            <w:vMerge w:val="continue"/>
            <w:tcBorders>
              <w:left w:val="single" w:color="auto" w:sz="4" w:space="0"/>
              <w:right w:val="single" w:color="auto" w:sz="4" w:space="0"/>
            </w:tcBorders>
            <w:noWrap w:val="0"/>
            <w:vAlign w:val="center"/>
          </w:tcPr>
          <w:p w14:paraId="5B4953F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500" w:type="dxa"/>
            <w:vMerge w:val="continue"/>
            <w:tcBorders>
              <w:left w:val="nil"/>
              <w:right w:val="single" w:color="auto" w:sz="4" w:space="0"/>
            </w:tcBorders>
            <w:noWrap w:val="0"/>
            <w:vAlign w:val="center"/>
          </w:tcPr>
          <w:p w14:paraId="362000C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5760C4C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0862C6A9">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服务人员服务态度良好，应对采购方或员工提出的问题耐心解答，对反馈的问题及时跟进。如服务人员态度恶劣，消极怠工。</w:t>
            </w:r>
          </w:p>
        </w:tc>
        <w:tc>
          <w:tcPr>
            <w:tcW w:w="1065" w:type="dxa"/>
            <w:tcBorders>
              <w:top w:val="single" w:color="auto" w:sz="4" w:space="0"/>
              <w:left w:val="nil"/>
              <w:bottom w:val="single" w:color="auto" w:sz="4" w:space="0"/>
              <w:right w:val="single" w:color="auto" w:sz="4" w:space="0"/>
            </w:tcBorders>
            <w:noWrap w:val="0"/>
            <w:vAlign w:val="center"/>
          </w:tcPr>
          <w:p w14:paraId="77B0907B">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2AE1AF71">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49622442">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17F28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964" w:type="dxa"/>
            <w:vMerge w:val="restart"/>
            <w:tcBorders>
              <w:left w:val="single" w:color="auto" w:sz="4" w:space="0"/>
              <w:right w:val="single" w:color="auto" w:sz="4" w:space="0"/>
            </w:tcBorders>
            <w:noWrap w:val="0"/>
            <w:vAlign w:val="center"/>
          </w:tcPr>
          <w:p w14:paraId="15A5BF2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500" w:type="dxa"/>
            <w:vMerge w:val="restart"/>
            <w:tcBorders>
              <w:left w:val="nil"/>
              <w:right w:val="single" w:color="auto" w:sz="4" w:space="0"/>
            </w:tcBorders>
            <w:noWrap w:val="0"/>
            <w:vAlign w:val="center"/>
          </w:tcPr>
          <w:p w14:paraId="5C5B6CEE">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val="0"/>
                <w:color w:val="auto"/>
                <w:sz w:val="20"/>
                <w:szCs w:val="20"/>
                <w:highlight w:val="none"/>
              </w:rPr>
            </w:pPr>
            <w:r>
              <w:rPr>
                <w:rFonts w:hint="eastAsia" w:ascii="宋体" w:hAnsi="宋体" w:eastAsia="宋体" w:cs="宋体"/>
                <w:b w:val="0"/>
                <w:bCs/>
                <w:color w:val="auto"/>
                <w:sz w:val="20"/>
                <w:szCs w:val="20"/>
                <w:highlight w:val="none"/>
                <w:lang w:val="en-US" w:eastAsia="zh-CN"/>
              </w:rPr>
              <w:t>安全管理</w:t>
            </w:r>
          </w:p>
        </w:tc>
        <w:tc>
          <w:tcPr>
            <w:tcW w:w="878" w:type="dxa"/>
            <w:vMerge w:val="restart"/>
            <w:tcBorders>
              <w:left w:val="nil"/>
              <w:right w:val="single" w:color="auto" w:sz="4" w:space="0"/>
            </w:tcBorders>
            <w:noWrap w:val="0"/>
            <w:vAlign w:val="center"/>
          </w:tcPr>
          <w:p w14:paraId="72343CE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0F1AC479">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服务商必须严格执行采购方的安全规定。每出现一次安全事故。</w:t>
            </w:r>
          </w:p>
        </w:tc>
        <w:tc>
          <w:tcPr>
            <w:tcW w:w="1065" w:type="dxa"/>
            <w:tcBorders>
              <w:top w:val="single" w:color="auto" w:sz="4" w:space="0"/>
              <w:left w:val="nil"/>
              <w:bottom w:val="single" w:color="auto" w:sz="4" w:space="0"/>
              <w:right w:val="single" w:color="auto" w:sz="4" w:space="0"/>
            </w:tcBorders>
            <w:noWrap w:val="0"/>
            <w:vAlign w:val="center"/>
          </w:tcPr>
          <w:p w14:paraId="1734920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3AA265D2">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60A9A26">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16B97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964" w:type="dxa"/>
            <w:vMerge w:val="continue"/>
            <w:tcBorders>
              <w:left w:val="single" w:color="auto" w:sz="4" w:space="0"/>
              <w:right w:val="single" w:color="auto" w:sz="4" w:space="0"/>
            </w:tcBorders>
            <w:noWrap w:val="0"/>
            <w:vAlign w:val="center"/>
          </w:tcPr>
          <w:p w14:paraId="39D5BC6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500" w:type="dxa"/>
            <w:vMerge w:val="continue"/>
            <w:tcBorders>
              <w:left w:val="nil"/>
              <w:right w:val="single" w:color="auto" w:sz="4" w:space="0"/>
            </w:tcBorders>
            <w:noWrap w:val="0"/>
            <w:vAlign w:val="center"/>
          </w:tcPr>
          <w:p w14:paraId="47A32BA4">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57485C3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4CB49528">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服务商必须严格执行采购方的安全规定。每出现一次重大安全事故。</w:t>
            </w:r>
          </w:p>
        </w:tc>
        <w:tc>
          <w:tcPr>
            <w:tcW w:w="1065" w:type="dxa"/>
            <w:tcBorders>
              <w:top w:val="single" w:color="auto" w:sz="4" w:space="0"/>
              <w:left w:val="nil"/>
              <w:bottom w:val="single" w:color="auto" w:sz="4" w:space="0"/>
              <w:right w:val="single" w:color="auto" w:sz="4" w:space="0"/>
            </w:tcBorders>
            <w:noWrap w:val="0"/>
            <w:vAlign w:val="center"/>
          </w:tcPr>
          <w:p w14:paraId="4FCCE13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16FD44F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095A2C7">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8170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964" w:type="dxa"/>
            <w:tcBorders>
              <w:left w:val="single" w:color="auto" w:sz="4" w:space="0"/>
              <w:right w:val="single" w:color="auto" w:sz="4" w:space="0"/>
            </w:tcBorders>
            <w:noWrap w:val="0"/>
            <w:vAlign w:val="center"/>
          </w:tcPr>
          <w:p w14:paraId="07CF2C0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500" w:type="dxa"/>
            <w:tcBorders>
              <w:left w:val="nil"/>
              <w:right w:val="single" w:color="auto" w:sz="4" w:space="0"/>
            </w:tcBorders>
            <w:noWrap w:val="0"/>
            <w:vAlign w:val="center"/>
          </w:tcPr>
          <w:p w14:paraId="4CD1BBBE">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操作安全得当</w:t>
            </w:r>
          </w:p>
        </w:tc>
        <w:tc>
          <w:tcPr>
            <w:tcW w:w="878" w:type="dxa"/>
            <w:tcBorders>
              <w:left w:val="nil"/>
              <w:right w:val="single" w:color="auto" w:sz="4" w:space="0"/>
            </w:tcBorders>
            <w:noWrap w:val="0"/>
            <w:vAlign w:val="center"/>
          </w:tcPr>
          <w:p w14:paraId="0F7B4C6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3C4A2EF7">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操作人员操作失误或不当造成采购方员工产生了身体伤害。</w:t>
            </w:r>
          </w:p>
        </w:tc>
        <w:tc>
          <w:tcPr>
            <w:tcW w:w="1065" w:type="dxa"/>
            <w:tcBorders>
              <w:top w:val="single" w:color="auto" w:sz="4" w:space="0"/>
              <w:left w:val="nil"/>
              <w:bottom w:val="single" w:color="auto" w:sz="4" w:space="0"/>
              <w:right w:val="single" w:color="auto" w:sz="4" w:space="0"/>
            </w:tcBorders>
            <w:noWrap w:val="0"/>
            <w:vAlign w:val="center"/>
          </w:tcPr>
          <w:p w14:paraId="7BB6605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5-10</w:t>
            </w:r>
            <w:r>
              <w:rPr>
                <w:rFonts w:hint="eastAsia" w:ascii="宋体" w:hAnsi="宋体" w:eastAsia="宋体" w:cs="宋体"/>
                <w:b w:val="0"/>
                <w:bCs w:val="0"/>
                <w:color w:val="auto"/>
                <w:sz w:val="20"/>
                <w:szCs w:val="20"/>
                <w:highlight w:val="none"/>
              </w:rPr>
              <w:t>分/次</w:t>
            </w:r>
            <w:r>
              <w:rPr>
                <w:rFonts w:hint="eastAsia" w:ascii="宋体" w:hAnsi="宋体" w:eastAsia="宋体" w:cs="宋体"/>
                <w:b w:val="0"/>
                <w:bCs w:val="0"/>
                <w:color w:val="auto"/>
                <w:sz w:val="20"/>
                <w:szCs w:val="20"/>
                <w:highlight w:val="none"/>
                <w:lang w:eastAsia="zh-CN"/>
              </w:rPr>
              <w:t>，</w:t>
            </w:r>
            <w:r>
              <w:rPr>
                <w:rFonts w:hint="eastAsia" w:ascii="宋体" w:hAnsi="宋体" w:eastAsia="宋体" w:cs="宋体"/>
                <w:b w:val="0"/>
                <w:bCs w:val="0"/>
                <w:color w:val="auto"/>
                <w:sz w:val="20"/>
                <w:szCs w:val="20"/>
                <w:highlight w:val="none"/>
                <w:lang w:val="en-US" w:eastAsia="zh-CN"/>
              </w:rPr>
              <w:t>并按相关法律法规进行赔偿。</w:t>
            </w:r>
          </w:p>
        </w:tc>
        <w:tc>
          <w:tcPr>
            <w:tcW w:w="750" w:type="dxa"/>
            <w:tcBorders>
              <w:top w:val="single" w:color="auto" w:sz="4" w:space="0"/>
              <w:left w:val="nil"/>
              <w:bottom w:val="single" w:color="auto" w:sz="4" w:space="0"/>
              <w:right w:val="single" w:color="auto" w:sz="4" w:space="0"/>
            </w:tcBorders>
            <w:noWrap w:val="0"/>
            <w:vAlign w:val="top"/>
          </w:tcPr>
          <w:p w14:paraId="0E57D319">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4AE3E70">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bookmarkEnd w:id="333"/>
    </w:tbl>
    <w:tbl>
      <w:tblPr>
        <w:tblStyle w:val="16"/>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2"/>
      </w:tblGrid>
      <w:tr w14:paraId="200BD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852" w:type="dxa"/>
            <w:vAlign w:val="center"/>
          </w:tcPr>
          <w:p w14:paraId="2BEE375B">
            <w:pPr>
              <w:pStyle w:val="18"/>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lang w:val="en-US" w:eastAsia="zh-CN"/>
              </w:rPr>
              <w:t xml:space="preserve">                                            考核得分：</w:t>
            </w:r>
          </w:p>
        </w:tc>
      </w:tr>
      <w:tr w14:paraId="6EF77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2" w:type="dxa"/>
            <w:vAlign w:val="center"/>
          </w:tcPr>
          <w:p w14:paraId="16A90401">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55858719">
            <w:pPr>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w:t>
            </w:r>
            <w:r>
              <w:rPr>
                <w:rFonts w:hint="eastAsia" w:ascii="宋体" w:hAnsi="宋体" w:cs="宋体"/>
                <w:color w:val="auto"/>
                <w:sz w:val="20"/>
                <w:szCs w:val="20"/>
                <w:highlight w:val="none"/>
                <w:lang w:val="en-US" w:eastAsia="zh-CN"/>
              </w:rPr>
              <w:t>签名：</w:t>
            </w:r>
          </w:p>
          <w:p w14:paraId="3C434BDB">
            <w:pPr>
              <w:rPr>
                <w:rFonts w:hint="eastAsia" w:ascii="宋体" w:hAnsi="宋体" w:eastAsia="宋体" w:cs="宋体"/>
                <w:color w:val="auto"/>
                <w:sz w:val="20"/>
                <w:szCs w:val="20"/>
                <w:highlight w:val="none"/>
                <w:vertAlign w:val="baseline"/>
                <w:lang w:val="en-US" w:eastAsia="zh-CN"/>
              </w:rPr>
            </w:pPr>
            <w:r>
              <w:rPr>
                <w:rFonts w:hint="eastAsia" w:ascii="宋体" w:hAnsi="宋体" w:cs="宋体"/>
                <w:color w:val="auto"/>
                <w:sz w:val="20"/>
                <w:szCs w:val="20"/>
                <w:highlight w:val="none"/>
                <w:lang w:val="en-US" w:eastAsia="zh-CN"/>
              </w:rPr>
              <w:t xml:space="preserve">                                                   日期：</w:t>
            </w:r>
          </w:p>
        </w:tc>
      </w:tr>
    </w:tbl>
    <w:p w14:paraId="51A9E0A1">
      <w:pPr>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br w:type="page"/>
      </w:r>
    </w:p>
    <w:p w14:paraId="30B7BEE8">
      <w:pPr>
        <w:rPr>
          <w:rFonts w:hint="eastAsia" w:asciiTheme="majorEastAsia" w:hAnsiTheme="majorEastAsia" w:eastAsiaTheme="majorEastAsia" w:cstheme="majorEastAsia"/>
          <w:highlight w:val="none"/>
          <w:lang w:val="en-US" w:eastAsia="zh-CN"/>
        </w:rPr>
      </w:pPr>
    </w:p>
    <w:p w14:paraId="458F9242">
      <w:pPr>
        <w:pStyle w:val="4"/>
        <w:bidi w:val="0"/>
        <w:ind w:left="0" w:leftChars="0" w:firstLine="0" w:firstLineChars="0"/>
        <w:jc w:val="center"/>
        <w:rPr>
          <w:rFonts w:hint="eastAsia" w:asciiTheme="majorEastAsia" w:hAnsiTheme="majorEastAsia" w:eastAsiaTheme="majorEastAsia" w:cstheme="majorEastAsia"/>
          <w:highlight w:val="none"/>
          <w:lang w:val="en-US" w:eastAsia="zh-CN"/>
        </w:rPr>
      </w:pPr>
      <w:bookmarkStart w:id="334" w:name="_Toc4001"/>
      <w:bookmarkStart w:id="335" w:name="_Toc9197"/>
      <w:r>
        <w:rPr>
          <w:rFonts w:hint="eastAsia" w:asciiTheme="majorEastAsia" w:hAnsiTheme="majorEastAsia" w:eastAsiaTheme="majorEastAsia" w:cstheme="majorEastAsia"/>
          <w:highlight w:val="none"/>
          <w:lang w:val="en-US" w:eastAsia="zh-CN"/>
        </w:rPr>
        <w:t>（九）不动产管理服务项目</w:t>
      </w:r>
      <w:bookmarkEnd w:id="334"/>
      <w:bookmarkEnd w:id="335"/>
    </w:p>
    <w:p w14:paraId="39096A53">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1项目服务标准及要求</w:t>
      </w:r>
    </w:p>
    <w:tbl>
      <w:tblPr>
        <w:tblStyle w:val="16"/>
        <w:tblW w:w="9529" w:type="dxa"/>
        <w:tblInd w:w="-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
        <w:gridCol w:w="630"/>
        <w:gridCol w:w="8284"/>
      </w:tblGrid>
      <w:tr w14:paraId="2F8B4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615" w:type="dxa"/>
            <w:noWrap w:val="0"/>
            <w:vAlign w:val="center"/>
          </w:tcPr>
          <w:p w14:paraId="050B72B5">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color w:val="000000" w:themeColor="text1"/>
                <w:sz w:val="20"/>
                <w:szCs w:val="20"/>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0"/>
                <w:szCs w:val="20"/>
                <w:highlight w:val="none"/>
                <w:vertAlign w:val="baseline"/>
                <w:lang w:val="en-US" w:eastAsia="zh-CN"/>
                <w14:textFill>
                  <w14:solidFill>
                    <w14:schemeClr w14:val="tx1"/>
                  </w14:solidFill>
                </w14:textFill>
              </w:rPr>
              <w:t>1</w:t>
            </w:r>
          </w:p>
        </w:tc>
        <w:tc>
          <w:tcPr>
            <w:tcW w:w="630" w:type="dxa"/>
            <w:noWrap w:val="0"/>
            <w:vAlign w:val="center"/>
          </w:tcPr>
          <w:p w14:paraId="0B01BF9D">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不动产管理服务项目</w:t>
            </w:r>
          </w:p>
        </w:tc>
        <w:tc>
          <w:tcPr>
            <w:tcW w:w="8284" w:type="dxa"/>
            <w:noWrap w:val="0"/>
            <w:vAlign w:val="center"/>
          </w:tcPr>
          <w:p w14:paraId="0DEA6DC5">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Chars="0" w:right="0" w:rightChars="0"/>
              <w:jc w:val="left"/>
              <w:textAlignment w:val="auto"/>
              <w:outlineLvl w:val="9"/>
              <w:rPr>
                <w:rFonts w:hint="eastAsia"/>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在服务期内协助采购方管理采购方对外出租的不动产，负责不动产的日常管理、安全管理、招租管理等工作，主要内容如下：</w:t>
            </w:r>
          </w:p>
          <w:p w14:paraId="7367B9E1">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Chars="0" w:right="0" w:rightChars="0"/>
              <w:jc w:val="left"/>
              <w:textAlignment w:val="auto"/>
              <w:outlineLvl w:val="9"/>
              <w:rPr>
                <w:rFonts w:hint="eastAsia"/>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1.严格落实安全责任，每季度定期开展安全隐患排查治理，具体落实国家针各项相关政策措施。</w:t>
            </w:r>
          </w:p>
          <w:p w14:paraId="7A1235D3">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Chars="0" w:right="0" w:rightChars="0"/>
              <w:jc w:val="left"/>
              <w:textAlignment w:val="auto"/>
              <w:outlineLvl w:val="9"/>
              <w:rPr>
                <w:rFonts w:hint="eastAsia"/>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2.严格落实管理责任，开展资产管理，按时协助催收租金，水、电、气杂费等，按要求完成房源场地租赁其他工作事项。</w:t>
            </w:r>
          </w:p>
          <w:p w14:paraId="37BE473B">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Chars="0" w:right="0" w:rightChars="0"/>
              <w:jc w:val="left"/>
              <w:textAlignment w:val="auto"/>
              <w:outlineLvl w:val="9"/>
              <w:rPr>
                <w:rFonts w:hint="eastAsia"/>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3.协助采购方落实空置不动产的招租前期准备工作，收集汇总服务商相关合规资料备案，并组织服务商签订租赁合同。</w:t>
            </w:r>
          </w:p>
          <w:p w14:paraId="66A72513">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themeColor="text1"/>
                <w:sz w:val="20"/>
                <w:szCs w:val="20"/>
                <w:highlight w:val="none"/>
                <w:u w:val="none"/>
                <w:lang w:val="en-US" w:eastAsia="zh-CN"/>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备注：甲乙双方每月核定实际管理的不动产面积，以实际管理的不动产面积据实结算。</w:t>
            </w:r>
          </w:p>
        </w:tc>
      </w:tr>
    </w:tbl>
    <w:p w14:paraId="5174F180">
      <w:pPr>
        <w:bidi w:val="0"/>
        <w:rPr>
          <w:rFonts w:hint="eastAsia" w:ascii="宋体" w:hAnsi="宋体" w:eastAsia="宋体" w:cs="宋体"/>
          <w:b/>
          <w:bCs/>
          <w:highlight w:val="none"/>
        </w:rPr>
      </w:pPr>
      <w:r>
        <w:rPr>
          <w:rFonts w:hint="eastAsia" w:ascii="宋体" w:hAnsi="宋体" w:eastAsia="宋体" w:cs="宋体"/>
          <w:b/>
          <w:bCs/>
          <w:highlight w:val="none"/>
          <w:lang w:val="en-US" w:eastAsia="zh-CN"/>
        </w:rPr>
        <w:t>2.</w:t>
      </w:r>
      <w:r>
        <w:rPr>
          <w:rFonts w:hint="eastAsia" w:ascii="宋体" w:hAnsi="宋体" w:eastAsia="宋体" w:cs="宋体"/>
          <w:b/>
          <w:bCs/>
          <w:highlight w:val="none"/>
        </w:rPr>
        <w:t>服务履约考核</w:t>
      </w:r>
    </w:p>
    <w:p w14:paraId="6DFB9AF8">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5"/>
        <w:gridCol w:w="654"/>
        <w:gridCol w:w="1668"/>
        <w:gridCol w:w="3450"/>
        <w:gridCol w:w="1328"/>
        <w:gridCol w:w="727"/>
      </w:tblGrid>
      <w:tr w14:paraId="3D2FC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5"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F2FE0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B809A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维度</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88278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评价内容</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54132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评分标准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A5140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考核扣分</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6E6FF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4C137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E55068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4D1FE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服务评价</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735C9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质量评价的评价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B0B5A1">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所提供的服务不符合</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的质量要求。每次扣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61803C">
            <w:pPr>
              <w:keepNext w:val="0"/>
              <w:keepLines w:val="0"/>
              <w:pageBreakBefore w:val="0"/>
              <w:widowControl w:val="0"/>
              <w:suppressLineNumbers w:val="0"/>
              <w:kinsoku/>
              <w:wordWrap/>
              <w:overflowPunct/>
              <w:topLinePunct w:val="0"/>
              <w:autoSpaceDE/>
              <w:autoSpaceDN/>
              <w:bidi w:val="0"/>
              <w:adjustRightInd/>
              <w:snapToGrid/>
              <w:ind w:firstLine="200" w:firstLineChars="10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94B60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43500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B3D670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2</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5DDA6F">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35FB929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响应速度的评价</w:t>
            </w:r>
          </w:p>
        </w:tc>
        <w:tc>
          <w:tcPr>
            <w:tcW w:w="2024"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6529B23">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服务响应速度慢，影响</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的预期计划。每次扣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4C81C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619DC3">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1F5E4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B129DD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3</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466491A4">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362DEB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服务准时性的评价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2CCFDB6">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应对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布置的工作要求、任务予以积极响应。未按规定时间提供服务的或完成交办事项的，每次扣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5B4EE76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E24566">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72DC1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45BEC81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4</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72A99545">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7D8DE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D7549F">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应保持良好的沟通形式，下达任务因反馈不及时，影响工作进度、质量的，每次扣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2D7862A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23A674">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63AC5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4BF4228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5</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52899B17">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BA664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FB6966A">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服务态度差，</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向</w:t>
            </w: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要求换人或投诉，每次扣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10D86E1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E6ED85">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1E8B4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50111C8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cs="宋体"/>
                <w:b w:val="0"/>
                <w:bCs w:val="0"/>
                <w:i w:val="0"/>
                <w:iCs w:val="0"/>
                <w:color w:val="auto"/>
                <w:kern w:val="0"/>
                <w:sz w:val="20"/>
                <w:szCs w:val="20"/>
                <w:highlight w:val="none"/>
                <w:u w:val="none"/>
                <w:lang w:val="en-US" w:eastAsia="zh-CN" w:bidi="ar"/>
              </w:rPr>
              <w:t>6</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09476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3CF25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6D936F">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必须严格执行</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的安全规定。每出现一次安全事故，扣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分；每出现一次重大安全事故，每次扣</w:t>
            </w:r>
            <w:r>
              <w:rPr>
                <w:rFonts w:hint="eastAsia" w:ascii="宋体" w:hAnsi="宋体"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FD6F0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；10分/次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E1702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6E940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453A477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1D544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9864C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4B73EA">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服务人员未做好保密工作，造成了信息泄露，每次扣</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分；信息泄露给</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带来重大影响的，每次扣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FEFB5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；5分/次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BF98E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1D84B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419829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5BCD8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DB0BA59">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2C4FAA17">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619CD3B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41030FD1">
      <w:pPr>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br w:type="page"/>
      </w:r>
    </w:p>
    <w:p w14:paraId="7C96FE4A">
      <w:pPr>
        <w:pStyle w:val="4"/>
        <w:keepNext/>
        <w:keepLines/>
        <w:pageBreakBefore w:val="0"/>
        <w:widowControl w:val="0"/>
        <w:numPr>
          <w:ilvl w:val="0"/>
          <w:numId w:val="0"/>
        </w:numPr>
        <w:kinsoku/>
        <w:wordWrap/>
        <w:overflowPunct/>
        <w:topLinePunct w:val="0"/>
        <w:autoSpaceDE/>
        <w:autoSpaceDN/>
        <w:bidi w:val="0"/>
        <w:adjustRightInd/>
        <w:snapToGrid/>
        <w:spacing w:before="0" w:after="0" w:line="580" w:lineRule="exact"/>
        <w:ind w:firstLine="201" w:firstLineChars="100"/>
        <w:jc w:val="center"/>
        <w:textAlignment w:val="auto"/>
        <w:rPr>
          <w:rFonts w:hint="eastAsia" w:ascii="宋体" w:hAnsi="宋体" w:eastAsia="宋体" w:cs="宋体"/>
          <w:b/>
          <w:bCs w:val="0"/>
          <w:color w:val="auto"/>
          <w:sz w:val="20"/>
          <w:szCs w:val="20"/>
          <w:highlight w:val="none"/>
          <w:lang w:val="en-US" w:eastAsia="zh-CN"/>
        </w:rPr>
      </w:pPr>
      <w:bookmarkStart w:id="336" w:name="_Toc19702"/>
      <w:bookmarkStart w:id="337" w:name="_Toc30409"/>
      <w:r>
        <w:rPr>
          <w:rFonts w:hint="eastAsia" w:ascii="宋体" w:hAnsi="宋体" w:eastAsia="宋体" w:cs="宋体"/>
          <w:b/>
          <w:bCs w:val="0"/>
          <w:color w:val="auto"/>
          <w:sz w:val="20"/>
          <w:szCs w:val="20"/>
          <w:highlight w:val="none"/>
          <w:lang w:val="en-US" w:eastAsia="zh-CN"/>
        </w:rPr>
        <w:t>（</w:t>
      </w:r>
      <w:r>
        <w:rPr>
          <w:rFonts w:hint="eastAsia" w:ascii="宋体" w:hAnsi="宋体" w:cs="宋体"/>
          <w:b/>
          <w:bCs w:val="0"/>
          <w:color w:val="auto"/>
          <w:sz w:val="20"/>
          <w:szCs w:val="20"/>
          <w:highlight w:val="none"/>
          <w:lang w:val="en-US" w:eastAsia="zh-CN"/>
        </w:rPr>
        <w:t>十</w:t>
      </w:r>
      <w:r>
        <w:rPr>
          <w:rFonts w:hint="eastAsia" w:ascii="宋体" w:hAnsi="宋体" w:eastAsia="宋体" w:cs="宋体"/>
          <w:b/>
          <w:bCs w:val="0"/>
          <w:color w:val="auto"/>
          <w:sz w:val="20"/>
          <w:szCs w:val="20"/>
          <w:highlight w:val="none"/>
          <w:lang w:val="en-US" w:eastAsia="zh-CN"/>
        </w:rPr>
        <w:t>）盆栽绿植购置</w:t>
      </w:r>
      <w:r>
        <w:rPr>
          <w:rFonts w:hint="eastAsia" w:ascii="宋体" w:hAnsi="宋体" w:cs="宋体"/>
          <w:b/>
          <w:bCs w:val="0"/>
          <w:color w:val="auto"/>
          <w:sz w:val="20"/>
          <w:szCs w:val="20"/>
          <w:highlight w:val="none"/>
          <w:lang w:val="en-US" w:eastAsia="zh-CN"/>
        </w:rPr>
        <w:t>、租赁</w:t>
      </w:r>
      <w:r>
        <w:rPr>
          <w:rFonts w:hint="eastAsia" w:ascii="宋体" w:hAnsi="宋体" w:eastAsia="宋体" w:cs="宋体"/>
          <w:b/>
          <w:bCs w:val="0"/>
          <w:color w:val="auto"/>
          <w:sz w:val="20"/>
          <w:szCs w:val="20"/>
          <w:highlight w:val="none"/>
          <w:lang w:val="en-US" w:eastAsia="zh-CN"/>
        </w:rPr>
        <w:t>项目</w:t>
      </w:r>
      <w:bookmarkEnd w:id="336"/>
      <w:bookmarkEnd w:id="337"/>
    </w:p>
    <w:p w14:paraId="6824414B">
      <w:pPr>
        <w:pStyle w:val="6"/>
        <w:bidi w:val="0"/>
        <w:rPr>
          <w:rFonts w:hint="eastAsia" w:ascii="宋体" w:hAnsi="宋体" w:eastAsia="宋体" w:cs="宋体"/>
          <w:b/>
          <w:bCs/>
          <w:color w:val="auto"/>
          <w:kern w:val="2"/>
          <w:sz w:val="20"/>
          <w:szCs w:val="20"/>
          <w:highlight w:val="none"/>
          <w:lang w:val="en-US" w:eastAsia="zh-CN" w:bidi="ar-SA"/>
        </w:rPr>
      </w:pPr>
      <w:bookmarkStart w:id="338" w:name="_Toc3078"/>
      <w:bookmarkStart w:id="339" w:name="_Toc4116"/>
      <w:r>
        <w:rPr>
          <w:rFonts w:hint="eastAsia" w:ascii="宋体" w:hAnsi="宋体" w:eastAsia="宋体" w:cs="宋体"/>
          <w:b/>
          <w:bCs/>
          <w:color w:val="auto"/>
          <w:kern w:val="2"/>
          <w:sz w:val="20"/>
          <w:szCs w:val="20"/>
          <w:highlight w:val="none"/>
          <w:lang w:val="en-US" w:eastAsia="zh-CN" w:bidi="ar-SA"/>
        </w:rPr>
        <w:t>1</w:t>
      </w:r>
      <w:bookmarkEnd w:id="338"/>
      <w:bookmarkEnd w:id="339"/>
      <w:bookmarkStart w:id="340" w:name="_Toc13619"/>
      <w:bookmarkStart w:id="341" w:name="_Toc21547"/>
      <w:r>
        <w:rPr>
          <w:rFonts w:hint="eastAsia" w:ascii="宋体" w:hAnsi="宋体" w:eastAsia="宋体" w:cs="宋体"/>
          <w:b/>
          <w:bCs/>
          <w:color w:val="auto"/>
          <w:kern w:val="2"/>
          <w:sz w:val="20"/>
          <w:szCs w:val="20"/>
          <w:highlight w:val="none"/>
          <w:lang w:val="en-US" w:eastAsia="zh-CN" w:bidi="ar-SA"/>
        </w:rPr>
        <w:t>.项目服务标准及要求</w:t>
      </w:r>
      <w:bookmarkEnd w:id="340"/>
      <w:bookmarkEnd w:id="341"/>
    </w:p>
    <w:p w14:paraId="40F3EAFE">
      <w:pPr>
        <w:bidi w:val="0"/>
        <w:ind w:firstLine="402" w:firstLineChars="200"/>
        <w:rPr>
          <w:rFonts w:hint="eastAsia"/>
          <w:b/>
          <w:bCs/>
          <w:highlight w:val="none"/>
        </w:rPr>
      </w:pPr>
      <w:bookmarkStart w:id="342" w:name="_Toc15640"/>
      <w:bookmarkStart w:id="343" w:name="_Toc30158"/>
      <w:bookmarkStart w:id="344" w:name="_Toc13286"/>
      <w:bookmarkStart w:id="345" w:name="_Toc6091"/>
      <w:bookmarkStart w:id="346" w:name="_Toc31795"/>
      <w:bookmarkStart w:id="347" w:name="_Toc3491"/>
      <w:bookmarkStart w:id="348" w:name="_Toc28014"/>
      <w:bookmarkStart w:id="349" w:name="_Toc9340"/>
      <w:bookmarkStart w:id="350" w:name="_Toc15540"/>
      <w:bookmarkStart w:id="351" w:name="_Toc5682"/>
      <w:bookmarkStart w:id="352" w:name="_Toc28151"/>
      <w:r>
        <w:rPr>
          <w:rFonts w:hint="eastAsia"/>
          <w:b/>
          <w:bCs/>
          <w:highlight w:val="none"/>
          <w:lang w:val="en-US" w:eastAsia="zh-CN"/>
        </w:rPr>
        <w:t>1.1</w:t>
      </w:r>
      <w:r>
        <w:rPr>
          <w:rFonts w:hint="eastAsia"/>
          <w:b/>
          <w:bCs/>
          <w:highlight w:val="none"/>
        </w:rPr>
        <w:t>项目服务标准</w:t>
      </w:r>
      <w:bookmarkEnd w:id="342"/>
      <w:bookmarkEnd w:id="343"/>
      <w:bookmarkEnd w:id="344"/>
      <w:bookmarkEnd w:id="345"/>
      <w:bookmarkEnd w:id="346"/>
      <w:bookmarkEnd w:id="347"/>
      <w:bookmarkEnd w:id="348"/>
      <w:bookmarkEnd w:id="349"/>
      <w:bookmarkEnd w:id="350"/>
      <w:bookmarkEnd w:id="351"/>
      <w:bookmarkEnd w:id="352"/>
    </w:p>
    <w:p w14:paraId="2343D066">
      <w:pPr>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服务商在提供</w:t>
      </w:r>
      <w:r>
        <w:rPr>
          <w:rFonts w:hint="eastAsia" w:ascii="宋体" w:hAnsi="宋体" w:eastAsia="宋体" w:cs="宋体"/>
          <w:color w:val="auto"/>
          <w:sz w:val="20"/>
          <w:szCs w:val="20"/>
          <w:highlight w:val="none"/>
          <w:lang w:eastAsia="zh-CN"/>
        </w:rPr>
        <w:t>盆栽绿植、花架、花盆等购置、</w:t>
      </w:r>
      <w:r>
        <w:rPr>
          <w:rFonts w:hint="eastAsia" w:ascii="宋体" w:hAnsi="宋体" w:cs="宋体"/>
          <w:b w:val="0"/>
          <w:bCs/>
          <w:color w:val="auto"/>
          <w:sz w:val="20"/>
          <w:szCs w:val="20"/>
          <w:highlight w:val="none"/>
          <w:lang w:val="en-US" w:eastAsia="zh-CN"/>
        </w:rPr>
        <w:t>租赁</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需按照如下标准执行，如果在合同执行期间国家颁布新的标准时，应按最新的条款执行。</w:t>
      </w:r>
    </w:p>
    <w:tbl>
      <w:tblPr>
        <w:tblStyle w:val="16"/>
        <w:tblW w:w="8240"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7400"/>
      </w:tblGrid>
      <w:tr w14:paraId="3D8DF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blHeader/>
        </w:trPr>
        <w:tc>
          <w:tcPr>
            <w:tcW w:w="840" w:type="dxa"/>
            <w:vAlign w:val="center"/>
          </w:tcPr>
          <w:p w14:paraId="158DB6D2">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7400" w:type="dxa"/>
            <w:vAlign w:val="center"/>
          </w:tcPr>
          <w:p w14:paraId="3188F81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相关标准</w:t>
            </w:r>
          </w:p>
        </w:tc>
      </w:tr>
      <w:tr w14:paraId="37336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1D0116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7400" w:type="dxa"/>
            <w:vAlign w:val="center"/>
          </w:tcPr>
          <w:p w14:paraId="64BC0DC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《中华人民共和国城市绿化条例》</w:t>
            </w:r>
          </w:p>
        </w:tc>
      </w:tr>
      <w:tr w14:paraId="21542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4DA17B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7400" w:type="dxa"/>
            <w:vAlign w:val="center"/>
          </w:tcPr>
          <w:p w14:paraId="3B27726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《室内环境污染控制规范》（GB 50325-2010）</w:t>
            </w:r>
          </w:p>
        </w:tc>
      </w:tr>
      <w:tr w14:paraId="0E7C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088F93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7400" w:type="dxa"/>
            <w:vAlign w:val="center"/>
          </w:tcPr>
          <w:p w14:paraId="748653C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《城市绿化树木定点养护管理规范》（GB/T 23048-2008）</w:t>
            </w:r>
          </w:p>
        </w:tc>
      </w:tr>
      <w:tr w14:paraId="52DB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11E1EE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7400" w:type="dxa"/>
            <w:vAlign w:val="center"/>
          </w:tcPr>
          <w:p w14:paraId="160846E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《绿化植物养护服务规范》</w:t>
            </w:r>
          </w:p>
        </w:tc>
      </w:tr>
      <w:tr w14:paraId="5E2AC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3A6C81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7400" w:type="dxa"/>
            <w:vAlign w:val="center"/>
          </w:tcPr>
          <w:p w14:paraId="14DA833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《绿化管理技术规定》</w:t>
            </w:r>
          </w:p>
        </w:tc>
      </w:tr>
      <w:tr w14:paraId="5043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37F7DE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7400" w:type="dxa"/>
            <w:vAlign w:val="center"/>
          </w:tcPr>
          <w:p w14:paraId="53DD17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《绿色植被工程技术规程》</w:t>
            </w:r>
          </w:p>
        </w:tc>
      </w:tr>
      <w:tr w14:paraId="0C36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2BAFE4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7400" w:type="dxa"/>
            <w:vAlign w:val="center"/>
          </w:tcPr>
          <w:p w14:paraId="47C296F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《绿化工程设计施工规范》</w:t>
            </w:r>
          </w:p>
        </w:tc>
      </w:tr>
      <w:tr w14:paraId="45EBB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625798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8</w:t>
            </w:r>
          </w:p>
        </w:tc>
        <w:tc>
          <w:tcPr>
            <w:tcW w:w="7400" w:type="dxa"/>
            <w:vAlign w:val="center"/>
          </w:tcPr>
          <w:p w14:paraId="0319578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《广西壮族自治区城市绿化养护规范及验收标准》</w:t>
            </w:r>
          </w:p>
        </w:tc>
      </w:tr>
      <w:tr w14:paraId="5065D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187459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9</w:t>
            </w:r>
          </w:p>
        </w:tc>
        <w:tc>
          <w:tcPr>
            <w:tcW w:w="7400" w:type="dxa"/>
            <w:vAlign w:val="center"/>
          </w:tcPr>
          <w:p w14:paraId="15A87B5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《中华人民共和国农药管理条例》</w:t>
            </w:r>
          </w:p>
        </w:tc>
      </w:tr>
      <w:tr w14:paraId="169E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40" w:type="dxa"/>
            <w:vAlign w:val="center"/>
          </w:tcPr>
          <w:p w14:paraId="7E4B1E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10</w:t>
            </w:r>
          </w:p>
        </w:tc>
        <w:tc>
          <w:tcPr>
            <w:tcW w:w="7400" w:type="dxa"/>
            <w:vAlign w:val="center"/>
          </w:tcPr>
          <w:p w14:paraId="5E7FBC6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《主要花卉产品等级》（GB/T 18247.3-2000）</w:t>
            </w:r>
          </w:p>
        </w:tc>
      </w:tr>
    </w:tbl>
    <w:p w14:paraId="3A14B04A">
      <w:pPr>
        <w:bidi w:val="0"/>
        <w:ind w:firstLine="402" w:firstLineChars="200"/>
        <w:rPr>
          <w:rFonts w:hint="eastAsia"/>
          <w:b/>
          <w:bCs/>
          <w:highlight w:val="none"/>
          <w:lang w:val="en-US" w:eastAsia="zh-CN"/>
        </w:rPr>
      </w:pPr>
      <w:bookmarkStart w:id="353" w:name="_Toc17502"/>
      <w:bookmarkStart w:id="354" w:name="_Toc13735"/>
      <w:bookmarkStart w:id="355" w:name="_Toc25144"/>
      <w:bookmarkStart w:id="356" w:name="_Toc2008"/>
      <w:bookmarkStart w:id="357" w:name="_Toc6385"/>
      <w:bookmarkStart w:id="358" w:name="_Toc8967"/>
      <w:bookmarkStart w:id="359" w:name="_Toc8923"/>
      <w:bookmarkStart w:id="360" w:name="_Toc24870"/>
      <w:bookmarkStart w:id="361" w:name="_Toc19363"/>
      <w:bookmarkStart w:id="362" w:name="_Toc24732"/>
      <w:bookmarkStart w:id="363" w:name="_Toc15355"/>
    </w:p>
    <w:p w14:paraId="69465448">
      <w:pPr>
        <w:bidi w:val="0"/>
        <w:ind w:firstLine="402" w:firstLineChars="200"/>
        <w:rPr>
          <w:rFonts w:hint="eastAsia"/>
          <w:b/>
          <w:bCs/>
          <w:highlight w:val="none"/>
        </w:rPr>
      </w:pPr>
      <w:r>
        <w:rPr>
          <w:rFonts w:hint="eastAsia"/>
          <w:b/>
          <w:bCs/>
          <w:highlight w:val="none"/>
          <w:lang w:val="en-US" w:eastAsia="zh-CN"/>
        </w:rPr>
        <w:t>1.2</w:t>
      </w:r>
      <w:r>
        <w:rPr>
          <w:rFonts w:hint="eastAsia"/>
          <w:b/>
          <w:bCs/>
          <w:highlight w:val="none"/>
        </w:rPr>
        <w:t>项目服务要求</w:t>
      </w:r>
      <w:bookmarkEnd w:id="353"/>
      <w:bookmarkEnd w:id="354"/>
      <w:bookmarkEnd w:id="355"/>
      <w:bookmarkEnd w:id="356"/>
      <w:bookmarkEnd w:id="357"/>
      <w:bookmarkEnd w:id="358"/>
      <w:bookmarkEnd w:id="359"/>
      <w:bookmarkEnd w:id="360"/>
      <w:bookmarkEnd w:id="361"/>
      <w:bookmarkEnd w:id="362"/>
      <w:bookmarkEnd w:id="363"/>
    </w:p>
    <w:p w14:paraId="3EE6D4A4">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1.2.1合同实施前，服务商需指派专人进行对接，对采购方整体</w:t>
      </w:r>
      <w:r>
        <w:rPr>
          <w:rFonts w:hint="eastAsia" w:ascii="宋体" w:hAnsi="宋体" w:eastAsia="宋体" w:cs="宋体"/>
          <w:color w:val="auto"/>
          <w:sz w:val="20"/>
          <w:szCs w:val="20"/>
          <w:highlight w:val="none"/>
        </w:rPr>
        <w:t>盆栽绿植</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花架、花盆等购置的需求进行全面摸查和了解。</w:t>
      </w:r>
    </w:p>
    <w:p w14:paraId="0549413E">
      <w:pPr>
        <w:keepNext w:val="0"/>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bCs/>
          <w:color w:val="auto"/>
          <w:sz w:val="20"/>
          <w:szCs w:val="20"/>
          <w:highlight w:val="none"/>
          <w:lang w:val="en-US" w:eastAsia="zh-CN"/>
        </w:rPr>
        <w:t>为保证工作正常有序开展，服务商必须按照采购方的要求执行</w:t>
      </w:r>
      <w:r>
        <w:rPr>
          <w:rFonts w:hint="eastAsia" w:ascii="宋体" w:hAnsi="宋体" w:eastAsia="宋体" w:cs="宋体"/>
          <w:color w:val="auto"/>
          <w:sz w:val="20"/>
          <w:szCs w:val="20"/>
          <w:highlight w:val="none"/>
        </w:rPr>
        <w:t>。若出现不符合质量和要求的情况，必须制定出应急处理方案，退换的盆栽绿植</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花架、花盆等</w:t>
      </w:r>
      <w:r>
        <w:rPr>
          <w:rFonts w:hint="eastAsia" w:ascii="宋体" w:hAnsi="宋体" w:eastAsia="宋体" w:cs="宋体"/>
          <w:color w:val="auto"/>
          <w:sz w:val="20"/>
          <w:szCs w:val="20"/>
          <w:highlight w:val="none"/>
        </w:rPr>
        <w:t>需在采购方验货完毕后3小时内补给，服务商需无条件更换，以此造成的损失由服务商承担。</w:t>
      </w:r>
    </w:p>
    <w:p w14:paraId="0AE00D0F">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1.2.3服务商在服务期内应保证所有植物的成活率达到采购方要求，三个月存活期养护期间发生有死亡及毁损的情况，应及时更换，并自行承担所需费用。</w:t>
      </w:r>
    </w:p>
    <w:p w14:paraId="6FB3332F">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1.2.4在存活期养护期间，服务商需派专业养护人员每周对花木进行保养工作。按植物生长情况进行浇水、施肥、病虫害防治、修剪整形、清洁叶片等，并且按照采购人的意见在合同规定范围内调整摆放品种和摆放位置。此外，购置的花木盆栽的配套用品，由服务商派出的养护人员负责清洁。</w:t>
      </w:r>
    </w:p>
    <w:p w14:paraId="0E4FA5F7">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1.2.5在存活期养护期间，服务商</w:t>
      </w:r>
      <w:r>
        <w:rPr>
          <w:rFonts w:hint="eastAsia" w:ascii="宋体" w:hAnsi="宋体" w:eastAsia="宋体" w:cs="宋体"/>
          <w:color w:val="auto"/>
          <w:sz w:val="20"/>
          <w:szCs w:val="20"/>
          <w:highlight w:val="none"/>
        </w:rPr>
        <w:t>，如因养护条件不当而造成花木枯死或长势不好，由专业护理人员负责更换，需要更换的植物花卉，在工作日内调换到位，保证</w:t>
      </w:r>
      <w:r>
        <w:rPr>
          <w:rFonts w:hint="eastAsia" w:ascii="宋体" w:hAnsi="宋体" w:eastAsia="宋体" w:cs="宋体"/>
          <w:color w:val="auto"/>
          <w:sz w:val="20"/>
          <w:szCs w:val="20"/>
          <w:highlight w:val="none"/>
          <w:lang w:val="en-US" w:eastAsia="zh-CN"/>
        </w:rPr>
        <w:t>采购方</w:t>
      </w:r>
      <w:r>
        <w:rPr>
          <w:rFonts w:hint="eastAsia" w:ascii="宋体" w:hAnsi="宋体" w:eastAsia="宋体" w:cs="宋体"/>
          <w:color w:val="auto"/>
          <w:sz w:val="20"/>
          <w:szCs w:val="20"/>
          <w:highlight w:val="none"/>
        </w:rPr>
        <w:t>的观赏效果。</w:t>
      </w:r>
    </w:p>
    <w:p w14:paraId="75FE556D">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1.2.6服务商派出的养护人员进入采购方相关场所时，需严格遵守和执行相关的管理规定。</w:t>
      </w:r>
    </w:p>
    <w:p w14:paraId="5FC9B008">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1.2.7服务商提供24小时服务热线（热线电话、微信、传真、电子邮件等）。服务商在接到采购方的需求后，必须在1小时内作出响应，并在采购方规定的时间内，满足要求。若服务商预期无法按规定时间完成需求，则需提前通知采购方，采购方同意后，方可执行。</w:t>
      </w:r>
    </w:p>
    <w:p w14:paraId="4AAC9C81">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1.2.8服务商在提供</w:t>
      </w:r>
      <w:r>
        <w:rPr>
          <w:rFonts w:hint="eastAsia" w:ascii="宋体" w:hAnsi="宋体" w:eastAsia="宋体" w:cs="宋体"/>
          <w:color w:val="auto"/>
          <w:sz w:val="20"/>
          <w:szCs w:val="20"/>
          <w:highlight w:val="none"/>
        </w:rPr>
        <w:t>盆栽绿植</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花架、花盆等购置服务后，需记录相关信息，并由采购方值班人员或管理人员签字确认后，作为</w:t>
      </w:r>
      <w:r>
        <w:rPr>
          <w:rFonts w:hint="eastAsia" w:ascii="宋体" w:hAnsi="宋体" w:eastAsia="宋体" w:cs="宋体"/>
          <w:color w:val="auto"/>
          <w:sz w:val="20"/>
          <w:szCs w:val="20"/>
          <w:highlight w:val="none"/>
        </w:rPr>
        <w:t>盆栽绿植</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花架、花盆等购置的重要依据。</w:t>
      </w:r>
    </w:p>
    <w:p w14:paraId="030B9F98">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1.2.9服务商加强人员管理，合理安排人员，保障项目工作进度。确因不可抗力影响项目实施，需与采购方协商修订项目实施计划，达成一致后执行。</w:t>
      </w:r>
    </w:p>
    <w:p w14:paraId="4FE32433">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1.2.10在进行养护的工作期间，服务商应负责落实现场安全防护措施，建立可靠的安全防护措施和明显标志，保证安全作业。而且必须遵循采购方的安全管理，并采取必要的措施保障安全。确保不发生信息安全事件；不发生轻伤及以上人身事故；不发生有责任的设备损坏事故；不发生重大质量事故。</w:t>
      </w:r>
    </w:p>
    <w:p w14:paraId="1246F036">
      <w:pPr>
        <w:bidi w:val="0"/>
        <w:ind w:firstLine="402" w:firstLineChars="200"/>
        <w:rPr>
          <w:rFonts w:hint="default"/>
          <w:b/>
          <w:bCs/>
          <w:highlight w:val="none"/>
          <w:lang w:val="en-US" w:eastAsia="zh-CN"/>
        </w:rPr>
      </w:pPr>
      <w:bookmarkStart w:id="364" w:name="_Toc10171"/>
      <w:bookmarkStart w:id="365" w:name="_Toc13585"/>
      <w:r>
        <w:rPr>
          <w:rFonts w:hint="eastAsia" w:ascii="宋体" w:hAnsi="宋体" w:eastAsia="宋体" w:cs="宋体"/>
          <w:b/>
          <w:bCs/>
          <w:highlight w:val="none"/>
          <w:lang w:val="en-US" w:eastAsia="zh-CN"/>
        </w:rPr>
        <w:t>2.</w:t>
      </w:r>
      <w:r>
        <w:rPr>
          <w:rFonts w:hint="eastAsia"/>
          <w:b/>
          <w:bCs/>
          <w:highlight w:val="none"/>
          <w:lang w:val="en-US" w:eastAsia="zh-CN"/>
        </w:rPr>
        <w:t>服务达标要求</w:t>
      </w:r>
    </w:p>
    <w:p w14:paraId="52CB9FD3">
      <w:pPr>
        <w:bidi w:val="0"/>
        <w:ind w:firstLine="400" w:firstLineChars="200"/>
        <w:jc w:val="left"/>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2.1盆栽绿植购置服务达标要求</w:t>
      </w:r>
    </w:p>
    <w:tbl>
      <w:tblPr>
        <w:tblStyle w:val="16"/>
        <w:tblW w:w="9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939"/>
        <w:gridCol w:w="1579"/>
        <w:gridCol w:w="5760"/>
      </w:tblGrid>
      <w:tr w14:paraId="06D2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731" w:type="dxa"/>
            <w:vAlign w:val="center"/>
          </w:tcPr>
          <w:p w14:paraId="4631DD96">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939" w:type="dxa"/>
            <w:vAlign w:val="center"/>
          </w:tcPr>
          <w:p w14:paraId="588087B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环节</w:t>
            </w:r>
          </w:p>
        </w:tc>
        <w:tc>
          <w:tcPr>
            <w:tcW w:w="1579" w:type="dxa"/>
            <w:vAlign w:val="center"/>
          </w:tcPr>
          <w:p w14:paraId="7FFABE9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种类</w:t>
            </w:r>
          </w:p>
        </w:tc>
        <w:tc>
          <w:tcPr>
            <w:tcW w:w="5760" w:type="dxa"/>
            <w:vAlign w:val="center"/>
          </w:tcPr>
          <w:p w14:paraId="1F39BE9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服务达标</w:t>
            </w:r>
            <w:r>
              <w:rPr>
                <w:rFonts w:hint="eastAsia" w:ascii="宋体" w:hAnsi="宋体" w:eastAsia="宋体" w:cs="宋体"/>
                <w:b/>
                <w:bCs/>
                <w:color w:val="auto"/>
                <w:sz w:val="20"/>
                <w:szCs w:val="20"/>
                <w:highlight w:val="none"/>
              </w:rPr>
              <w:t>要求</w:t>
            </w:r>
          </w:p>
        </w:tc>
      </w:tr>
      <w:tr w14:paraId="782A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1" w:type="dxa"/>
            <w:vAlign w:val="center"/>
          </w:tcPr>
          <w:p w14:paraId="5B703FA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939" w:type="dxa"/>
            <w:vMerge w:val="restart"/>
            <w:vAlign w:val="center"/>
          </w:tcPr>
          <w:p w14:paraId="16DB407A">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采购</w:t>
            </w:r>
          </w:p>
        </w:tc>
        <w:tc>
          <w:tcPr>
            <w:tcW w:w="1579" w:type="dxa"/>
            <w:vAlign w:val="center"/>
          </w:tcPr>
          <w:p w14:paraId="34AC4E72">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草皮、绿化带</w:t>
            </w:r>
          </w:p>
        </w:tc>
        <w:tc>
          <w:tcPr>
            <w:tcW w:w="5760" w:type="dxa"/>
            <w:vAlign w:val="center"/>
          </w:tcPr>
          <w:p w14:paraId="164E8159">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草生长势强，密度高，草块大小基本一致，不脱散，符合种植要求。</w:t>
            </w:r>
          </w:p>
        </w:tc>
      </w:tr>
      <w:tr w14:paraId="086A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1" w:type="dxa"/>
            <w:vAlign w:val="center"/>
          </w:tcPr>
          <w:p w14:paraId="0ADB54A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939" w:type="dxa"/>
            <w:vMerge w:val="continue"/>
            <w:vAlign w:val="center"/>
          </w:tcPr>
          <w:p w14:paraId="137670E2">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Align w:val="center"/>
          </w:tcPr>
          <w:p w14:paraId="76AAEF20">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绿篱</w:t>
            </w:r>
          </w:p>
        </w:tc>
        <w:tc>
          <w:tcPr>
            <w:tcW w:w="5760" w:type="dxa"/>
            <w:vAlign w:val="center"/>
          </w:tcPr>
          <w:p w14:paraId="00086415">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生长健壮、无病虫害，符合种植要求。</w:t>
            </w:r>
          </w:p>
        </w:tc>
      </w:tr>
      <w:tr w14:paraId="418B7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1" w:type="dxa"/>
            <w:vAlign w:val="center"/>
          </w:tcPr>
          <w:p w14:paraId="3B880FD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939" w:type="dxa"/>
            <w:vMerge w:val="continue"/>
            <w:vAlign w:val="center"/>
          </w:tcPr>
          <w:p w14:paraId="2B493372">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Align w:val="center"/>
          </w:tcPr>
          <w:p w14:paraId="179EF826">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乔木</w:t>
            </w:r>
          </w:p>
        </w:tc>
        <w:tc>
          <w:tcPr>
            <w:tcW w:w="5760" w:type="dxa"/>
            <w:vAlign w:val="center"/>
          </w:tcPr>
          <w:p w14:paraId="1F0EC39E">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生长健壮、无病虫害，符合种植要求。</w:t>
            </w:r>
          </w:p>
        </w:tc>
      </w:tr>
      <w:tr w14:paraId="0284D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1" w:type="dxa"/>
            <w:vAlign w:val="center"/>
          </w:tcPr>
          <w:p w14:paraId="33A09A75">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939" w:type="dxa"/>
            <w:vMerge w:val="continue"/>
            <w:vAlign w:val="center"/>
          </w:tcPr>
          <w:p w14:paraId="5A54B456">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Align w:val="center"/>
          </w:tcPr>
          <w:p w14:paraId="0FB5834A">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水生植物</w:t>
            </w:r>
          </w:p>
        </w:tc>
        <w:tc>
          <w:tcPr>
            <w:tcW w:w="5760" w:type="dxa"/>
            <w:vAlign w:val="center"/>
          </w:tcPr>
          <w:p w14:paraId="5A4C941E">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花卉颜色多样、生长健壮、无病虫害，符合种植要求。</w:t>
            </w:r>
          </w:p>
        </w:tc>
      </w:tr>
      <w:tr w14:paraId="020B2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1" w:type="dxa"/>
            <w:vAlign w:val="center"/>
          </w:tcPr>
          <w:p w14:paraId="50F3544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939" w:type="dxa"/>
            <w:vMerge w:val="continue"/>
            <w:vAlign w:val="center"/>
          </w:tcPr>
          <w:p w14:paraId="18A9EBC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Align w:val="center"/>
          </w:tcPr>
          <w:p w14:paraId="5C8D6CE5">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绿植盆景</w:t>
            </w:r>
          </w:p>
        </w:tc>
        <w:tc>
          <w:tcPr>
            <w:tcW w:w="5760" w:type="dxa"/>
            <w:vAlign w:val="center"/>
          </w:tcPr>
          <w:p w14:paraId="59A7F414">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外形优美、长势良好、无病虫害，符合盆景摆设需求。</w:t>
            </w:r>
          </w:p>
        </w:tc>
      </w:tr>
      <w:tr w14:paraId="0048A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14:paraId="50002F9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939" w:type="dxa"/>
            <w:vMerge w:val="continue"/>
            <w:vAlign w:val="center"/>
          </w:tcPr>
          <w:p w14:paraId="2B61CA3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Merge w:val="restart"/>
            <w:vAlign w:val="center"/>
          </w:tcPr>
          <w:p w14:paraId="53CA75FC">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种植土</w:t>
            </w:r>
          </w:p>
        </w:tc>
        <w:tc>
          <w:tcPr>
            <w:tcW w:w="5760" w:type="dxa"/>
            <w:vAlign w:val="center"/>
          </w:tcPr>
          <w:p w14:paraId="5B94BB3A">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排水透气性很好，有较好的保水保肥能力</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含有正常含量的有机质，不含其它黏土、沙土、石块、杂物等。</w:t>
            </w:r>
          </w:p>
        </w:tc>
      </w:tr>
      <w:tr w14:paraId="37E8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14:paraId="431DFD20">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939" w:type="dxa"/>
            <w:vMerge w:val="continue"/>
            <w:vAlign w:val="center"/>
          </w:tcPr>
          <w:p w14:paraId="1891937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Merge w:val="continue"/>
            <w:vAlign w:val="center"/>
          </w:tcPr>
          <w:p w14:paraId="58B439B3">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lang w:val="en-US" w:eastAsia="zh-CN"/>
              </w:rPr>
            </w:pPr>
          </w:p>
        </w:tc>
        <w:tc>
          <w:tcPr>
            <w:tcW w:w="5760" w:type="dxa"/>
            <w:vAlign w:val="center"/>
          </w:tcPr>
          <w:p w14:paraId="599C5B1A">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建筑垃圾土、盐碱土、河道污泥和淤泥、受重金属污染或其他有害成分的土壤不能</w:t>
            </w:r>
            <w:r>
              <w:rPr>
                <w:rFonts w:hint="eastAsia" w:ascii="宋体" w:hAnsi="宋体" w:eastAsia="宋体" w:cs="宋体"/>
                <w:color w:val="auto"/>
                <w:sz w:val="20"/>
                <w:szCs w:val="20"/>
                <w:highlight w:val="none"/>
                <w:lang w:val="en-US" w:eastAsia="zh-CN"/>
              </w:rPr>
              <w:t>作</w:t>
            </w:r>
            <w:r>
              <w:rPr>
                <w:rFonts w:hint="eastAsia" w:ascii="宋体" w:hAnsi="宋体" w:eastAsia="宋体" w:cs="宋体"/>
                <w:color w:val="auto"/>
                <w:sz w:val="20"/>
                <w:szCs w:val="20"/>
                <w:highlight w:val="none"/>
              </w:rPr>
              <w:t>为种植土。</w:t>
            </w:r>
          </w:p>
        </w:tc>
      </w:tr>
      <w:tr w14:paraId="095D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14:paraId="0FF38F0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939" w:type="dxa"/>
            <w:vMerge w:val="continue"/>
            <w:vAlign w:val="center"/>
          </w:tcPr>
          <w:p w14:paraId="1D5F35E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Align w:val="center"/>
          </w:tcPr>
          <w:p w14:paraId="16358305">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落地花架</w:t>
            </w:r>
          </w:p>
        </w:tc>
        <w:tc>
          <w:tcPr>
            <w:tcW w:w="5760" w:type="dxa"/>
            <w:vAlign w:val="center"/>
          </w:tcPr>
          <w:p w14:paraId="7502D2A5">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外形美观，用料厚实，结实稳固、承重力强，周身光滑无毛刺、无开裂及起翘，防滑耐磨，不易变形、生虫和发霉。</w:t>
            </w:r>
          </w:p>
        </w:tc>
      </w:tr>
      <w:tr w14:paraId="3C74F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14:paraId="36E0DE15">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939" w:type="dxa"/>
            <w:vMerge w:val="continue"/>
            <w:vAlign w:val="center"/>
          </w:tcPr>
          <w:p w14:paraId="25FD767B">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Align w:val="center"/>
          </w:tcPr>
          <w:p w14:paraId="3B9F2669">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陶瓷花盆、陶罐、塑花盆槽</w:t>
            </w:r>
          </w:p>
        </w:tc>
        <w:tc>
          <w:tcPr>
            <w:tcW w:w="5760" w:type="dxa"/>
            <w:vAlign w:val="center"/>
          </w:tcPr>
          <w:p w14:paraId="3C25C639">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i w:val="0"/>
                <w:iCs w:val="0"/>
                <w:caps w:val="0"/>
                <w:color w:val="auto"/>
                <w:spacing w:val="0"/>
                <w:kern w:val="2"/>
                <w:sz w:val="20"/>
                <w:szCs w:val="20"/>
                <w:highlight w:val="none"/>
                <w:shd w:val="clear" w:fill="FFFFFF"/>
                <w:lang w:val="en-US" w:eastAsia="zh-CN" w:bidi="ar-SA"/>
              </w:rPr>
            </w:pPr>
            <w:r>
              <w:rPr>
                <w:rFonts w:hint="eastAsia" w:ascii="宋体" w:hAnsi="宋体" w:eastAsia="宋体" w:cs="宋体"/>
                <w:color w:val="auto"/>
                <w:sz w:val="20"/>
                <w:szCs w:val="20"/>
                <w:highlight w:val="none"/>
                <w:lang w:val="en-US" w:eastAsia="zh-CN"/>
              </w:rPr>
              <w:t>外表美观，造型多样，比较坚固，周身无裂纹、缺口。</w:t>
            </w:r>
          </w:p>
        </w:tc>
      </w:tr>
      <w:tr w14:paraId="1247A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1" w:type="dxa"/>
            <w:vAlign w:val="center"/>
          </w:tcPr>
          <w:p w14:paraId="2BD644F9">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939" w:type="dxa"/>
            <w:vMerge w:val="continue"/>
            <w:vAlign w:val="center"/>
          </w:tcPr>
          <w:p w14:paraId="2B35C4B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Align w:val="center"/>
          </w:tcPr>
          <w:p w14:paraId="49809B1B">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仿真青苔、草坪、装饰花卉</w:t>
            </w:r>
          </w:p>
        </w:tc>
        <w:tc>
          <w:tcPr>
            <w:tcW w:w="5760" w:type="dxa"/>
            <w:vAlign w:val="center"/>
          </w:tcPr>
          <w:p w14:paraId="3FC86045">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仿真度高、立体饱满、富有光泽。</w:t>
            </w:r>
          </w:p>
        </w:tc>
      </w:tr>
      <w:tr w14:paraId="7878D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1" w:type="dxa"/>
            <w:vAlign w:val="center"/>
          </w:tcPr>
          <w:p w14:paraId="127110D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939" w:type="dxa"/>
            <w:vMerge w:val="continue"/>
            <w:vAlign w:val="center"/>
          </w:tcPr>
          <w:p w14:paraId="21E38C7C">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Align w:val="center"/>
          </w:tcPr>
          <w:p w14:paraId="4BD75AA5">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鹅卵石</w:t>
            </w:r>
          </w:p>
        </w:tc>
        <w:tc>
          <w:tcPr>
            <w:tcW w:w="5760" w:type="dxa"/>
            <w:vAlign w:val="center"/>
          </w:tcPr>
          <w:p w14:paraId="3E146A6B">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外形美观、无断裂、缺口，符合购置要求。</w:t>
            </w:r>
          </w:p>
        </w:tc>
      </w:tr>
      <w:tr w14:paraId="0EFA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dxa"/>
            <w:vAlign w:val="center"/>
          </w:tcPr>
          <w:p w14:paraId="03524E9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939" w:type="dxa"/>
            <w:vMerge w:val="continue"/>
            <w:vAlign w:val="center"/>
          </w:tcPr>
          <w:p w14:paraId="7C870FA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Align w:val="center"/>
          </w:tcPr>
          <w:p w14:paraId="4BCE3687">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围栏</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防腐木花厢、窗台木箱等</w:t>
            </w:r>
          </w:p>
        </w:tc>
        <w:tc>
          <w:tcPr>
            <w:tcW w:w="5760" w:type="dxa"/>
            <w:vAlign w:val="center"/>
          </w:tcPr>
          <w:p w14:paraId="7F125AD5">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外形美观，用料厚实，结实稳固、承重力强。</w:t>
            </w:r>
          </w:p>
        </w:tc>
      </w:tr>
      <w:tr w14:paraId="7A8E2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1" w:type="dxa"/>
            <w:vAlign w:val="center"/>
          </w:tcPr>
          <w:p w14:paraId="62F81D7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939" w:type="dxa"/>
            <w:vMerge w:val="restart"/>
            <w:vAlign w:val="center"/>
          </w:tcPr>
          <w:p w14:paraId="1BCABA34">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装车</w:t>
            </w:r>
          </w:p>
        </w:tc>
        <w:tc>
          <w:tcPr>
            <w:tcW w:w="1579" w:type="dxa"/>
            <w:vMerge w:val="restart"/>
            <w:vAlign w:val="center"/>
          </w:tcPr>
          <w:p w14:paraId="360F34B2">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全种类</w:t>
            </w:r>
          </w:p>
        </w:tc>
        <w:tc>
          <w:tcPr>
            <w:tcW w:w="5760" w:type="dxa"/>
            <w:vAlign w:val="center"/>
          </w:tcPr>
          <w:p w14:paraId="2D747780">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植物枝条要收拢合适，不能有严重断裂现象发生。科学合理装车，适当装满，不能损坏表皮和尖部，运输途中枝条完整不能断裂、土球不能散开，此为装车基本准则。</w:t>
            </w:r>
          </w:p>
        </w:tc>
      </w:tr>
      <w:tr w14:paraId="0480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1" w:type="dxa"/>
            <w:vAlign w:val="center"/>
          </w:tcPr>
          <w:p w14:paraId="324F116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939" w:type="dxa"/>
            <w:vMerge w:val="continue"/>
            <w:vAlign w:val="center"/>
          </w:tcPr>
          <w:p w14:paraId="020A0F1D">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1579" w:type="dxa"/>
            <w:vMerge w:val="continue"/>
            <w:vAlign w:val="center"/>
          </w:tcPr>
          <w:p w14:paraId="7D23076E">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p>
        </w:tc>
        <w:tc>
          <w:tcPr>
            <w:tcW w:w="5760" w:type="dxa"/>
            <w:vAlign w:val="center"/>
          </w:tcPr>
          <w:p w14:paraId="08C739C1">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植物运输途中，必须采取挡风、避雨、遮阳、保水等保护措施，确保植物等物品质量，并根据需求物品规格确定运输量，植物装卸时应轻拿轻放，不得损伤植物或造成散球。</w:t>
            </w:r>
          </w:p>
        </w:tc>
      </w:tr>
      <w:tr w14:paraId="102C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731" w:type="dxa"/>
            <w:vAlign w:val="center"/>
          </w:tcPr>
          <w:p w14:paraId="31B167D7">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939" w:type="dxa"/>
            <w:vAlign w:val="center"/>
          </w:tcPr>
          <w:p w14:paraId="4AA9477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存活养护</w:t>
            </w:r>
          </w:p>
        </w:tc>
        <w:tc>
          <w:tcPr>
            <w:tcW w:w="1579" w:type="dxa"/>
            <w:vAlign w:val="center"/>
          </w:tcPr>
          <w:p w14:paraId="6B34E3A3">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全种类</w:t>
            </w:r>
          </w:p>
        </w:tc>
        <w:tc>
          <w:tcPr>
            <w:tcW w:w="5760" w:type="dxa"/>
            <w:vAlign w:val="center"/>
          </w:tcPr>
          <w:p w14:paraId="06640611">
            <w:pPr>
              <w:keepNext w:val="0"/>
              <w:keepLines w:val="0"/>
              <w:pageBreakBefore w:val="0"/>
              <w:widowControl w:val="0"/>
              <w:kinsoku/>
              <w:wordWrap/>
              <w:overflowPunct/>
              <w:topLinePunct w:val="0"/>
              <w:autoSpaceDE/>
              <w:autoSpaceDN/>
              <w:bidi w:val="0"/>
              <w:adjustRightInd/>
              <w:snapToGrid/>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绿化存活养护期限为</w:t>
            </w:r>
            <w:r>
              <w:rPr>
                <w:rFonts w:hint="eastAsia" w:ascii="宋体" w:hAnsi="宋体" w:eastAsia="宋体" w:cs="宋体"/>
                <w:color w:val="auto"/>
                <w:sz w:val="20"/>
                <w:szCs w:val="20"/>
                <w:highlight w:val="none"/>
                <w:lang w:val="en-US" w:eastAsia="zh-CN"/>
              </w:rPr>
              <w:t>签收</w:t>
            </w:r>
            <w:r>
              <w:rPr>
                <w:rFonts w:hint="eastAsia" w:ascii="宋体" w:hAnsi="宋体" w:eastAsia="宋体" w:cs="宋体"/>
                <w:color w:val="auto"/>
                <w:sz w:val="20"/>
                <w:szCs w:val="20"/>
                <w:highlight w:val="none"/>
              </w:rPr>
              <w:t>之日起三个月</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如有枯萎、烂根、叶片全脱落等现象，在养护期间，应免费予以更换。</w:t>
            </w:r>
          </w:p>
        </w:tc>
      </w:tr>
    </w:tbl>
    <w:p w14:paraId="6EBD73DA">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3.服务履约考核</w:t>
      </w:r>
      <w:bookmarkEnd w:id="364"/>
      <w:bookmarkEnd w:id="365"/>
      <w:r>
        <w:rPr>
          <w:rFonts w:hint="eastAsia" w:ascii="宋体" w:hAnsi="宋体" w:eastAsia="宋体" w:cs="宋体"/>
          <w:b/>
          <w:bCs/>
          <w:highlight w:val="none"/>
          <w:lang w:val="en-US" w:eastAsia="zh-CN"/>
        </w:rPr>
        <w:tab/>
      </w:r>
    </w:p>
    <w:p w14:paraId="6CC6F8AF">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采购方</w:t>
      </w:r>
      <w:r>
        <w:rPr>
          <w:rFonts w:hint="eastAsia" w:ascii="宋体" w:hAnsi="宋体" w:eastAsia="宋体" w:cs="宋体"/>
          <w:color w:val="auto"/>
          <w:sz w:val="20"/>
          <w:szCs w:val="20"/>
          <w:highlight w:val="none"/>
          <w:lang w:val="en-US" w:eastAsia="zh-CN"/>
        </w:rPr>
        <w:t>每月</w:t>
      </w:r>
      <w:r>
        <w:rPr>
          <w:rFonts w:hint="eastAsia" w:ascii="宋体" w:hAnsi="宋体" w:eastAsia="宋体" w:cs="宋体"/>
          <w:color w:val="auto"/>
          <w:sz w:val="20"/>
          <w:szCs w:val="20"/>
          <w:highlight w:val="none"/>
        </w:rPr>
        <w:t>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r>
        <w:rPr>
          <w:rFonts w:hint="eastAsia" w:ascii="宋体" w:hAnsi="宋体" w:eastAsia="宋体" w:cs="宋体"/>
          <w:color w:val="auto"/>
          <w:sz w:val="20"/>
          <w:szCs w:val="20"/>
          <w:highlight w:val="none"/>
        </w:rPr>
        <w:t>。</w:t>
      </w:r>
    </w:p>
    <w:p w14:paraId="60F366BB">
      <w:pPr>
        <w:bidi w:val="0"/>
        <w:rPr>
          <w:rFonts w:hint="eastAsia" w:ascii="宋体" w:hAnsi="宋体" w:eastAsia="宋体" w:cs="宋体"/>
          <w:b/>
          <w:bCs/>
          <w:highlight w:val="none"/>
          <w:lang w:val="en-US" w:eastAsia="zh-CN"/>
        </w:rPr>
      </w:pPr>
      <w:bookmarkStart w:id="366" w:name="_Toc18718"/>
      <w:bookmarkStart w:id="367" w:name="_Toc10243"/>
      <w:bookmarkStart w:id="368" w:name="_Toc17552"/>
      <w:r>
        <w:rPr>
          <w:rFonts w:hint="eastAsia" w:ascii="宋体" w:hAnsi="宋体" w:eastAsia="宋体" w:cs="宋体"/>
          <w:b/>
          <w:bCs/>
          <w:highlight w:val="none"/>
          <w:lang w:val="en-US" w:eastAsia="zh-CN"/>
        </w:rPr>
        <w:t>3.1</w:t>
      </w:r>
      <w:r>
        <w:rPr>
          <w:rFonts w:hint="eastAsia" w:ascii="宋体" w:hAnsi="宋体" w:eastAsia="宋体" w:cs="宋体"/>
          <w:b/>
          <w:bCs/>
          <w:highlight w:val="none"/>
        </w:rPr>
        <w:t>服务履约考核</w:t>
      </w:r>
      <w:bookmarkEnd w:id="366"/>
      <w:bookmarkEnd w:id="367"/>
      <w:bookmarkEnd w:id="368"/>
      <w:r>
        <w:rPr>
          <w:rFonts w:hint="eastAsia" w:ascii="宋体" w:hAnsi="宋体" w:eastAsia="宋体" w:cs="宋体"/>
          <w:b/>
          <w:bCs/>
          <w:highlight w:val="none"/>
          <w:lang w:val="en-US" w:eastAsia="zh-CN"/>
        </w:rPr>
        <w:t>表</w:t>
      </w:r>
    </w:p>
    <w:tbl>
      <w:tblPr>
        <w:tblStyle w:val="15"/>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981"/>
        <w:gridCol w:w="675"/>
        <w:gridCol w:w="2951"/>
        <w:gridCol w:w="1226"/>
        <w:gridCol w:w="710"/>
        <w:gridCol w:w="688"/>
      </w:tblGrid>
      <w:tr w14:paraId="3F400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59FB032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2981" w:type="dxa"/>
            <w:tcBorders>
              <w:top w:val="single" w:color="auto" w:sz="4" w:space="0"/>
              <w:left w:val="nil"/>
              <w:bottom w:val="single" w:color="auto" w:sz="4" w:space="0"/>
              <w:right w:val="single" w:color="auto" w:sz="4" w:space="0"/>
            </w:tcBorders>
            <w:noWrap w:val="0"/>
            <w:vAlign w:val="center"/>
          </w:tcPr>
          <w:p w14:paraId="702236E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675" w:type="dxa"/>
            <w:tcBorders>
              <w:top w:val="single" w:color="auto" w:sz="4" w:space="0"/>
              <w:left w:val="nil"/>
              <w:bottom w:val="single" w:color="auto" w:sz="4" w:space="0"/>
              <w:right w:val="single" w:color="auto" w:sz="4" w:space="0"/>
            </w:tcBorders>
            <w:noWrap w:val="0"/>
            <w:vAlign w:val="center"/>
          </w:tcPr>
          <w:p w14:paraId="47F7715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951" w:type="dxa"/>
            <w:tcBorders>
              <w:top w:val="single" w:color="auto" w:sz="4" w:space="0"/>
              <w:left w:val="nil"/>
              <w:bottom w:val="single" w:color="auto" w:sz="4" w:space="0"/>
              <w:right w:val="single" w:color="auto" w:sz="4" w:space="0"/>
            </w:tcBorders>
            <w:noWrap w:val="0"/>
            <w:vAlign w:val="center"/>
          </w:tcPr>
          <w:p w14:paraId="65DE73C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226" w:type="dxa"/>
            <w:tcBorders>
              <w:top w:val="single" w:color="auto" w:sz="4" w:space="0"/>
              <w:left w:val="nil"/>
              <w:bottom w:val="single" w:color="auto" w:sz="4" w:space="0"/>
              <w:right w:val="single" w:color="auto" w:sz="4" w:space="0"/>
            </w:tcBorders>
            <w:noWrap w:val="0"/>
            <w:vAlign w:val="center"/>
          </w:tcPr>
          <w:p w14:paraId="2D8FED8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5F844E6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710" w:type="dxa"/>
            <w:tcBorders>
              <w:top w:val="single" w:color="auto" w:sz="4" w:space="0"/>
              <w:left w:val="nil"/>
              <w:bottom w:val="single" w:color="auto" w:sz="4" w:space="0"/>
              <w:right w:val="single" w:color="auto" w:sz="4" w:space="0"/>
            </w:tcBorders>
            <w:noWrap w:val="0"/>
            <w:vAlign w:val="center"/>
          </w:tcPr>
          <w:p w14:paraId="2E99F82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773FB8B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688" w:type="dxa"/>
            <w:tcBorders>
              <w:top w:val="single" w:color="auto" w:sz="4" w:space="0"/>
              <w:left w:val="nil"/>
              <w:bottom w:val="single" w:color="auto" w:sz="4" w:space="0"/>
              <w:right w:val="single" w:color="auto" w:sz="4" w:space="0"/>
            </w:tcBorders>
            <w:noWrap w:val="0"/>
            <w:vAlign w:val="center"/>
          </w:tcPr>
          <w:p w14:paraId="0880C085">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08CC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033EAD8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bookmarkStart w:id="369" w:name="OLE_LINK151" w:colFirst="2" w:colLast="2"/>
            <w:r>
              <w:rPr>
                <w:rFonts w:hint="eastAsia" w:ascii="宋体" w:hAnsi="宋体" w:eastAsia="宋体" w:cs="宋体"/>
                <w:b w:val="0"/>
                <w:bCs w:val="0"/>
                <w:color w:val="auto"/>
                <w:sz w:val="20"/>
                <w:szCs w:val="20"/>
                <w:highlight w:val="none"/>
              </w:rPr>
              <w:t>1</w:t>
            </w:r>
          </w:p>
        </w:tc>
        <w:tc>
          <w:tcPr>
            <w:tcW w:w="2981" w:type="dxa"/>
            <w:vMerge w:val="restart"/>
            <w:tcBorders>
              <w:top w:val="single" w:color="auto" w:sz="4" w:space="0"/>
              <w:left w:val="nil"/>
              <w:right w:val="single" w:color="auto" w:sz="4" w:space="0"/>
            </w:tcBorders>
            <w:noWrap w:val="0"/>
            <w:vAlign w:val="center"/>
          </w:tcPr>
          <w:p w14:paraId="5DA54616">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接到</w:t>
            </w:r>
            <w:r>
              <w:rPr>
                <w:rFonts w:hint="eastAsia" w:ascii="宋体" w:hAnsi="宋体" w:cs="宋体"/>
                <w:b w:val="0"/>
                <w:bCs w:val="0"/>
                <w:color w:val="auto"/>
                <w:sz w:val="20"/>
                <w:szCs w:val="20"/>
                <w:highlight w:val="none"/>
                <w:lang w:eastAsia="zh-CN"/>
              </w:rPr>
              <w:t>采购方</w:t>
            </w:r>
            <w:r>
              <w:rPr>
                <w:rFonts w:hint="eastAsia" w:ascii="宋体" w:hAnsi="宋体" w:eastAsia="宋体" w:cs="宋体"/>
                <w:b w:val="0"/>
                <w:bCs w:val="0"/>
                <w:color w:val="auto"/>
                <w:sz w:val="20"/>
                <w:szCs w:val="20"/>
                <w:highlight w:val="none"/>
                <w:lang w:eastAsia="zh-CN"/>
              </w:rPr>
              <w:t>花卉植物采购订单通</w:t>
            </w:r>
          </w:p>
          <w:p w14:paraId="671F0619">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知后 3 天内，或双方约定的其</w:t>
            </w:r>
          </w:p>
          <w:p w14:paraId="74B39379">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他时间内，按</w:t>
            </w:r>
            <w:r>
              <w:rPr>
                <w:rFonts w:hint="eastAsia" w:ascii="宋体" w:hAnsi="宋体" w:cs="宋体"/>
                <w:b w:val="0"/>
                <w:bCs w:val="0"/>
                <w:color w:val="auto"/>
                <w:sz w:val="20"/>
                <w:szCs w:val="20"/>
                <w:highlight w:val="none"/>
                <w:lang w:eastAsia="zh-CN"/>
              </w:rPr>
              <w:t>采购方</w:t>
            </w:r>
            <w:r>
              <w:rPr>
                <w:rFonts w:hint="eastAsia" w:ascii="宋体" w:hAnsi="宋体" w:eastAsia="宋体" w:cs="宋体"/>
                <w:b w:val="0"/>
                <w:bCs w:val="0"/>
                <w:color w:val="auto"/>
                <w:sz w:val="20"/>
                <w:szCs w:val="20"/>
                <w:highlight w:val="none"/>
                <w:lang w:eastAsia="zh-CN"/>
              </w:rPr>
              <w:t>需求送货上</w:t>
            </w:r>
          </w:p>
          <w:p w14:paraId="120B6FEA">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门，并做好摆放</w:t>
            </w:r>
          </w:p>
        </w:tc>
        <w:tc>
          <w:tcPr>
            <w:tcW w:w="675" w:type="dxa"/>
            <w:vMerge w:val="restart"/>
            <w:tcBorders>
              <w:top w:val="single" w:color="auto" w:sz="4" w:space="0"/>
              <w:left w:val="nil"/>
              <w:right w:val="single" w:color="auto" w:sz="4" w:space="0"/>
            </w:tcBorders>
            <w:noWrap w:val="0"/>
            <w:vAlign w:val="center"/>
          </w:tcPr>
          <w:p w14:paraId="1441F98C">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20</w:t>
            </w:r>
          </w:p>
        </w:tc>
        <w:tc>
          <w:tcPr>
            <w:tcW w:w="2951" w:type="dxa"/>
            <w:tcBorders>
              <w:top w:val="single" w:color="auto" w:sz="4" w:space="0"/>
              <w:left w:val="nil"/>
              <w:bottom w:val="single" w:color="auto" w:sz="4" w:space="0"/>
              <w:right w:val="single" w:color="auto" w:sz="4" w:space="0"/>
            </w:tcBorders>
            <w:noWrap w:val="0"/>
            <w:vAlign w:val="center"/>
          </w:tcPr>
          <w:p w14:paraId="31BF1168">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未按时间节点要求送货上门。</w:t>
            </w:r>
          </w:p>
        </w:tc>
        <w:tc>
          <w:tcPr>
            <w:tcW w:w="1226" w:type="dxa"/>
            <w:tcBorders>
              <w:top w:val="single" w:color="auto" w:sz="4" w:space="0"/>
              <w:left w:val="nil"/>
              <w:bottom w:val="single" w:color="auto" w:sz="4" w:space="0"/>
              <w:right w:val="single" w:color="auto" w:sz="4" w:space="0"/>
            </w:tcBorders>
            <w:noWrap w:val="0"/>
            <w:vAlign w:val="center"/>
          </w:tcPr>
          <w:p w14:paraId="682822B8">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eastAsia="宋体" w:cs="宋体"/>
                <w:b w:val="0"/>
                <w:bCs w:val="0"/>
                <w:color w:val="auto"/>
                <w:sz w:val="20"/>
                <w:szCs w:val="20"/>
                <w:highlight w:val="none"/>
                <w:lang w:val="en-US" w:eastAsia="zh-CN"/>
              </w:rPr>
            </w:pPr>
            <w:bookmarkStart w:id="370" w:name="OLE_LINK152"/>
            <w:r>
              <w:rPr>
                <w:rFonts w:hint="eastAsia" w:ascii="宋体" w:hAnsi="宋体" w:eastAsia="宋体" w:cs="宋体"/>
                <w:b w:val="0"/>
                <w:bCs w:val="0"/>
                <w:color w:val="auto"/>
                <w:sz w:val="20"/>
                <w:szCs w:val="20"/>
                <w:highlight w:val="none"/>
                <w:lang w:val="en-US" w:eastAsia="zh-CN"/>
              </w:rPr>
              <w:t>-1分/次</w:t>
            </w:r>
            <w:bookmarkEnd w:id="370"/>
          </w:p>
        </w:tc>
        <w:tc>
          <w:tcPr>
            <w:tcW w:w="710" w:type="dxa"/>
            <w:tcBorders>
              <w:top w:val="single" w:color="auto" w:sz="4" w:space="0"/>
              <w:left w:val="nil"/>
              <w:bottom w:val="single" w:color="auto" w:sz="4" w:space="0"/>
              <w:right w:val="single" w:color="auto" w:sz="4" w:space="0"/>
            </w:tcBorders>
            <w:noWrap w:val="0"/>
            <w:vAlign w:val="top"/>
          </w:tcPr>
          <w:p w14:paraId="34A2873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5AB7679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04C48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645" w:type="dxa"/>
            <w:vMerge w:val="continue"/>
            <w:tcBorders>
              <w:left w:val="single" w:color="auto" w:sz="4" w:space="0"/>
              <w:right w:val="single" w:color="auto" w:sz="4" w:space="0"/>
            </w:tcBorders>
            <w:noWrap w:val="0"/>
            <w:vAlign w:val="center"/>
          </w:tcPr>
          <w:p w14:paraId="76D3B43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981" w:type="dxa"/>
            <w:vMerge w:val="continue"/>
            <w:tcBorders>
              <w:left w:val="nil"/>
              <w:right w:val="single" w:color="auto" w:sz="4" w:space="0"/>
            </w:tcBorders>
            <w:noWrap w:val="0"/>
            <w:vAlign w:val="center"/>
          </w:tcPr>
          <w:p w14:paraId="3F2C75B6">
            <w:pPr>
              <w:rPr>
                <w:rFonts w:hint="eastAsia" w:ascii="宋体" w:hAnsi="宋体" w:eastAsia="宋体" w:cs="宋体"/>
                <w:b w:val="0"/>
                <w:bCs w:val="0"/>
                <w:color w:val="auto"/>
                <w:sz w:val="20"/>
                <w:szCs w:val="20"/>
                <w:highlight w:val="none"/>
                <w:lang w:eastAsia="zh-CN"/>
              </w:rPr>
            </w:pPr>
          </w:p>
        </w:tc>
        <w:tc>
          <w:tcPr>
            <w:tcW w:w="675" w:type="dxa"/>
            <w:vMerge w:val="continue"/>
            <w:tcBorders>
              <w:left w:val="nil"/>
              <w:right w:val="single" w:color="auto" w:sz="4" w:space="0"/>
            </w:tcBorders>
            <w:noWrap w:val="0"/>
            <w:vAlign w:val="center"/>
          </w:tcPr>
          <w:p w14:paraId="1A4A529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51" w:type="dxa"/>
            <w:tcBorders>
              <w:top w:val="single" w:color="auto" w:sz="4" w:space="0"/>
              <w:left w:val="nil"/>
              <w:bottom w:val="single" w:color="auto" w:sz="4" w:space="0"/>
              <w:right w:val="single" w:color="auto" w:sz="4" w:space="0"/>
            </w:tcBorders>
            <w:noWrap w:val="0"/>
            <w:vAlign w:val="center"/>
          </w:tcPr>
          <w:p w14:paraId="248C7D57">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未按</w:t>
            </w:r>
            <w:r>
              <w:rPr>
                <w:rFonts w:hint="eastAsia" w:ascii="宋体" w:hAnsi="宋体" w:cs="宋体"/>
                <w:b w:val="0"/>
                <w:bCs w:val="0"/>
                <w:color w:val="auto"/>
                <w:sz w:val="20"/>
                <w:szCs w:val="20"/>
                <w:highlight w:val="none"/>
                <w:u w:val="none"/>
                <w:lang w:val="en-US" w:eastAsia="zh-CN"/>
              </w:rPr>
              <w:t>采购方</w:t>
            </w:r>
            <w:r>
              <w:rPr>
                <w:rFonts w:hint="eastAsia" w:ascii="宋体" w:hAnsi="宋体" w:eastAsia="宋体" w:cs="宋体"/>
                <w:b w:val="0"/>
                <w:bCs w:val="0"/>
                <w:color w:val="auto"/>
                <w:sz w:val="20"/>
                <w:szCs w:val="20"/>
                <w:highlight w:val="none"/>
                <w:u w:val="none"/>
                <w:lang w:val="en-US" w:eastAsia="zh-CN"/>
              </w:rPr>
              <w:t>要求做好摆放。</w:t>
            </w:r>
          </w:p>
        </w:tc>
        <w:tc>
          <w:tcPr>
            <w:tcW w:w="1226" w:type="dxa"/>
            <w:tcBorders>
              <w:top w:val="single" w:color="auto" w:sz="4" w:space="0"/>
              <w:left w:val="nil"/>
              <w:bottom w:val="single" w:color="auto" w:sz="4" w:space="0"/>
              <w:right w:val="single" w:color="auto" w:sz="4" w:space="0"/>
            </w:tcBorders>
            <w:noWrap w:val="0"/>
            <w:vAlign w:val="center"/>
          </w:tcPr>
          <w:p w14:paraId="5BC38E7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-1分/次</w:t>
            </w:r>
          </w:p>
        </w:tc>
        <w:tc>
          <w:tcPr>
            <w:tcW w:w="710" w:type="dxa"/>
            <w:tcBorders>
              <w:top w:val="single" w:color="auto" w:sz="4" w:space="0"/>
              <w:left w:val="nil"/>
              <w:bottom w:val="single" w:color="auto" w:sz="4" w:space="0"/>
              <w:right w:val="single" w:color="auto" w:sz="4" w:space="0"/>
            </w:tcBorders>
            <w:noWrap w:val="0"/>
            <w:vAlign w:val="top"/>
          </w:tcPr>
          <w:p w14:paraId="3963A15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08DB4D2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bookmarkEnd w:id="369"/>
      <w:tr w14:paraId="0208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5D9B9CA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981" w:type="dxa"/>
            <w:vMerge w:val="restart"/>
            <w:tcBorders>
              <w:top w:val="single" w:color="auto" w:sz="4" w:space="0"/>
              <w:left w:val="nil"/>
              <w:right w:val="single" w:color="auto" w:sz="4" w:space="0"/>
            </w:tcBorders>
            <w:noWrap w:val="0"/>
            <w:vAlign w:val="center"/>
          </w:tcPr>
          <w:p w14:paraId="7D40F719">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为</w:t>
            </w:r>
            <w:r>
              <w:rPr>
                <w:rFonts w:hint="eastAsia" w:ascii="宋体" w:hAnsi="宋体" w:cs="宋体"/>
                <w:b w:val="0"/>
                <w:bCs w:val="0"/>
                <w:color w:val="auto"/>
                <w:sz w:val="20"/>
                <w:szCs w:val="20"/>
                <w:highlight w:val="none"/>
                <w:lang w:eastAsia="zh-CN"/>
              </w:rPr>
              <w:t>采购方</w:t>
            </w:r>
            <w:r>
              <w:rPr>
                <w:rFonts w:hint="eastAsia" w:ascii="宋体" w:hAnsi="宋体" w:eastAsia="宋体" w:cs="宋体"/>
                <w:b w:val="0"/>
                <w:bCs w:val="0"/>
                <w:color w:val="auto"/>
                <w:sz w:val="20"/>
                <w:szCs w:val="20"/>
                <w:highlight w:val="none"/>
                <w:lang w:eastAsia="zh-CN"/>
              </w:rPr>
              <w:t>采购的花卉植物提供 1</w:t>
            </w:r>
          </w:p>
          <w:p w14:paraId="2BB50C43">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个月的养护服务，期满后，与</w:t>
            </w:r>
          </w:p>
          <w:p w14:paraId="7B3ADAD8">
            <w:pPr>
              <w:rPr>
                <w:rFonts w:hint="eastAsia" w:ascii="宋体" w:hAnsi="宋体" w:eastAsia="宋体" w:cs="宋体"/>
                <w:b w:val="0"/>
                <w:bCs w:val="0"/>
                <w:color w:val="auto"/>
                <w:sz w:val="20"/>
                <w:szCs w:val="20"/>
                <w:highlight w:val="none"/>
                <w:lang w:eastAsia="zh-CN"/>
              </w:rPr>
            </w:pPr>
            <w:r>
              <w:rPr>
                <w:rFonts w:hint="eastAsia" w:ascii="宋体" w:hAnsi="宋体" w:cs="宋体"/>
                <w:b w:val="0"/>
                <w:bCs w:val="0"/>
                <w:color w:val="auto"/>
                <w:sz w:val="20"/>
                <w:szCs w:val="20"/>
                <w:highlight w:val="none"/>
                <w:lang w:eastAsia="zh-CN"/>
              </w:rPr>
              <w:t>采购方</w:t>
            </w:r>
            <w:r>
              <w:rPr>
                <w:rFonts w:hint="eastAsia" w:ascii="宋体" w:hAnsi="宋体" w:eastAsia="宋体" w:cs="宋体"/>
                <w:b w:val="0"/>
                <w:bCs w:val="0"/>
                <w:color w:val="auto"/>
                <w:sz w:val="20"/>
                <w:szCs w:val="20"/>
                <w:highlight w:val="none"/>
                <w:lang w:eastAsia="zh-CN"/>
              </w:rPr>
              <w:t>相关物业服务公司交接养</w:t>
            </w:r>
          </w:p>
          <w:p w14:paraId="43DABB8B">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护事宜。</w:t>
            </w:r>
          </w:p>
        </w:tc>
        <w:tc>
          <w:tcPr>
            <w:tcW w:w="675" w:type="dxa"/>
            <w:vMerge w:val="restart"/>
            <w:tcBorders>
              <w:top w:val="single" w:color="auto" w:sz="4" w:space="0"/>
              <w:left w:val="nil"/>
              <w:right w:val="single" w:color="auto" w:sz="4" w:space="0"/>
            </w:tcBorders>
            <w:noWrap w:val="0"/>
            <w:vAlign w:val="center"/>
          </w:tcPr>
          <w:p w14:paraId="46B77BE1">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20</w:t>
            </w:r>
          </w:p>
        </w:tc>
        <w:tc>
          <w:tcPr>
            <w:tcW w:w="2951" w:type="dxa"/>
            <w:tcBorders>
              <w:top w:val="single" w:color="auto" w:sz="4" w:space="0"/>
              <w:left w:val="nil"/>
              <w:bottom w:val="single" w:color="auto" w:sz="4" w:space="0"/>
              <w:right w:val="single" w:color="auto" w:sz="4" w:space="0"/>
            </w:tcBorders>
            <w:noWrap w:val="0"/>
            <w:vAlign w:val="center"/>
          </w:tcPr>
          <w:p w14:paraId="02F6F316">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 xml:space="preserve">养护期内出现花卉植物死亡或枯萎而未及时更换。 </w:t>
            </w:r>
          </w:p>
        </w:tc>
        <w:tc>
          <w:tcPr>
            <w:tcW w:w="1226" w:type="dxa"/>
            <w:tcBorders>
              <w:top w:val="single" w:color="auto" w:sz="4" w:space="0"/>
              <w:left w:val="nil"/>
              <w:bottom w:val="single" w:color="auto" w:sz="4" w:space="0"/>
              <w:right w:val="single" w:color="auto" w:sz="4" w:space="0"/>
            </w:tcBorders>
            <w:noWrap w:val="0"/>
            <w:vAlign w:val="center"/>
          </w:tcPr>
          <w:p w14:paraId="46E357D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-1分/次</w:t>
            </w:r>
          </w:p>
        </w:tc>
        <w:tc>
          <w:tcPr>
            <w:tcW w:w="710" w:type="dxa"/>
            <w:tcBorders>
              <w:top w:val="single" w:color="auto" w:sz="4" w:space="0"/>
              <w:left w:val="nil"/>
              <w:bottom w:val="single" w:color="auto" w:sz="4" w:space="0"/>
              <w:right w:val="single" w:color="auto" w:sz="4" w:space="0"/>
            </w:tcBorders>
            <w:noWrap w:val="0"/>
            <w:vAlign w:val="top"/>
          </w:tcPr>
          <w:p w14:paraId="30A3342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44AC874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748D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645" w:type="dxa"/>
            <w:vMerge w:val="continue"/>
            <w:tcBorders>
              <w:left w:val="single" w:color="auto" w:sz="4" w:space="0"/>
              <w:right w:val="single" w:color="auto" w:sz="4" w:space="0"/>
            </w:tcBorders>
            <w:noWrap w:val="0"/>
            <w:vAlign w:val="center"/>
          </w:tcPr>
          <w:p w14:paraId="56975CC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981" w:type="dxa"/>
            <w:vMerge w:val="continue"/>
            <w:tcBorders>
              <w:left w:val="nil"/>
              <w:right w:val="single" w:color="auto" w:sz="4" w:space="0"/>
            </w:tcBorders>
            <w:noWrap w:val="0"/>
            <w:vAlign w:val="center"/>
          </w:tcPr>
          <w:p w14:paraId="75B6584E">
            <w:pPr>
              <w:rPr>
                <w:rFonts w:hint="eastAsia" w:ascii="宋体" w:hAnsi="宋体" w:eastAsia="宋体" w:cs="宋体"/>
                <w:b w:val="0"/>
                <w:bCs w:val="0"/>
                <w:color w:val="auto"/>
                <w:sz w:val="20"/>
                <w:szCs w:val="20"/>
                <w:highlight w:val="none"/>
                <w:lang w:eastAsia="zh-CN"/>
              </w:rPr>
            </w:pPr>
          </w:p>
        </w:tc>
        <w:tc>
          <w:tcPr>
            <w:tcW w:w="675" w:type="dxa"/>
            <w:vMerge w:val="continue"/>
            <w:tcBorders>
              <w:left w:val="nil"/>
              <w:right w:val="single" w:color="auto" w:sz="4" w:space="0"/>
            </w:tcBorders>
            <w:noWrap w:val="0"/>
            <w:vAlign w:val="center"/>
          </w:tcPr>
          <w:p w14:paraId="5AADEB4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51" w:type="dxa"/>
            <w:tcBorders>
              <w:top w:val="single" w:color="auto" w:sz="4" w:space="0"/>
              <w:left w:val="nil"/>
              <w:bottom w:val="single" w:color="auto" w:sz="4" w:space="0"/>
              <w:right w:val="single" w:color="auto" w:sz="4" w:space="0"/>
            </w:tcBorders>
            <w:noWrap w:val="0"/>
            <w:vAlign w:val="center"/>
          </w:tcPr>
          <w:p w14:paraId="086F504B">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养护期满后未交接养护事宜。</w:t>
            </w:r>
          </w:p>
        </w:tc>
        <w:tc>
          <w:tcPr>
            <w:tcW w:w="1226" w:type="dxa"/>
            <w:tcBorders>
              <w:top w:val="single" w:color="auto" w:sz="4" w:space="0"/>
              <w:left w:val="nil"/>
              <w:bottom w:val="single" w:color="auto" w:sz="4" w:space="0"/>
              <w:right w:val="single" w:color="auto" w:sz="4" w:space="0"/>
            </w:tcBorders>
            <w:noWrap w:val="0"/>
            <w:vAlign w:val="center"/>
          </w:tcPr>
          <w:p w14:paraId="61271EC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-2分/次</w:t>
            </w:r>
          </w:p>
        </w:tc>
        <w:tc>
          <w:tcPr>
            <w:tcW w:w="710" w:type="dxa"/>
            <w:tcBorders>
              <w:top w:val="single" w:color="auto" w:sz="4" w:space="0"/>
              <w:left w:val="nil"/>
              <w:bottom w:val="single" w:color="auto" w:sz="4" w:space="0"/>
              <w:right w:val="single" w:color="auto" w:sz="4" w:space="0"/>
            </w:tcBorders>
            <w:noWrap w:val="0"/>
            <w:vAlign w:val="top"/>
          </w:tcPr>
          <w:p w14:paraId="71762D4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309A450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3D032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6FA3D9C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981" w:type="dxa"/>
            <w:vMerge w:val="restart"/>
            <w:tcBorders>
              <w:top w:val="single" w:color="auto" w:sz="4" w:space="0"/>
              <w:left w:val="nil"/>
              <w:right w:val="single" w:color="auto" w:sz="4" w:space="0"/>
            </w:tcBorders>
            <w:noWrap w:val="0"/>
            <w:vAlign w:val="center"/>
          </w:tcPr>
          <w:p w14:paraId="7FA2A233">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供应的花卉植物供长势良好、</w:t>
            </w:r>
          </w:p>
          <w:p w14:paraId="3269FAF6">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对人体无害，如不符合要求，</w:t>
            </w:r>
          </w:p>
          <w:p w14:paraId="32A0A44C">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需在 2 日内为</w:t>
            </w:r>
            <w:r>
              <w:rPr>
                <w:rFonts w:hint="eastAsia" w:ascii="宋体" w:hAnsi="宋体" w:cs="宋体"/>
                <w:b w:val="0"/>
                <w:bCs w:val="0"/>
                <w:color w:val="auto"/>
                <w:sz w:val="20"/>
                <w:szCs w:val="20"/>
                <w:highlight w:val="none"/>
                <w:lang w:eastAsia="zh-CN"/>
              </w:rPr>
              <w:t>采购方</w:t>
            </w:r>
            <w:r>
              <w:rPr>
                <w:rFonts w:hint="eastAsia" w:ascii="宋体" w:hAnsi="宋体" w:eastAsia="宋体" w:cs="宋体"/>
                <w:b w:val="0"/>
                <w:bCs w:val="0"/>
                <w:color w:val="auto"/>
                <w:sz w:val="20"/>
                <w:szCs w:val="20"/>
                <w:highlight w:val="none"/>
                <w:lang w:eastAsia="zh-CN"/>
              </w:rPr>
              <w:t>更换</w:t>
            </w:r>
          </w:p>
        </w:tc>
        <w:tc>
          <w:tcPr>
            <w:tcW w:w="675" w:type="dxa"/>
            <w:vMerge w:val="restart"/>
            <w:tcBorders>
              <w:top w:val="single" w:color="auto" w:sz="4" w:space="0"/>
              <w:left w:val="nil"/>
              <w:right w:val="single" w:color="auto" w:sz="4" w:space="0"/>
            </w:tcBorders>
            <w:noWrap w:val="0"/>
            <w:vAlign w:val="center"/>
          </w:tcPr>
          <w:p w14:paraId="32E8B7BA">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20</w:t>
            </w:r>
          </w:p>
        </w:tc>
        <w:tc>
          <w:tcPr>
            <w:tcW w:w="2951" w:type="dxa"/>
            <w:tcBorders>
              <w:top w:val="single" w:color="auto" w:sz="4" w:space="0"/>
              <w:left w:val="nil"/>
              <w:bottom w:val="single" w:color="auto" w:sz="4" w:space="0"/>
              <w:right w:val="single" w:color="auto" w:sz="4" w:space="0"/>
            </w:tcBorders>
            <w:noWrap w:val="0"/>
            <w:vAlign w:val="center"/>
          </w:tcPr>
          <w:p w14:paraId="57BF2F00">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供应给</w:t>
            </w:r>
            <w:r>
              <w:rPr>
                <w:rFonts w:hint="eastAsia" w:ascii="宋体" w:hAnsi="宋体" w:cs="宋体"/>
                <w:b w:val="0"/>
                <w:bCs w:val="0"/>
                <w:color w:val="auto"/>
                <w:sz w:val="20"/>
                <w:szCs w:val="20"/>
                <w:highlight w:val="none"/>
                <w:u w:val="none"/>
                <w:lang w:val="en-US" w:eastAsia="zh-CN"/>
              </w:rPr>
              <w:t>采购方</w:t>
            </w:r>
            <w:r>
              <w:rPr>
                <w:rFonts w:hint="eastAsia" w:ascii="宋体" w:hAnsi="宋体" w:eastAsia="宋体" w:cs="宋体"/>
                <w:b w:val="0"/>
                <w:bCs w:val="0"/>
                <w:color w:val="auto"/>
                <w:sz w:val="20"/>
                <w:szCs w:val="20"/>
                <w:highlight w:val="none"/>
                <w:u w:val="none"/>
                <w:lang w:val="en-US" w:eastAsia="zh-CN"/>
              </w:rPr>
              <w:t>的花卉植物长势</w:t>
            </w:r>
          </w:p>
          <w:p w14:paraId="3B377642">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差，叶片枯黄，花卉凋零、对</w:t>
            </w:r>
          </w:p>
          <w:p w14:paraId="7046854F">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人体有害并拒绝更换。</w:t>
            </w:r>
          </w:p>
        </w:tc>
        <w:tc>
          <w:tcPr>
            <w:tcW w:w="1226" w:type="dxa"/>
            <w:tcBorders>
              <w:top w:val="single" w:color="auto" w:sz="4" w:space="0"/>
              <w:left w:val="nil"/>
              <w:bottom w:val="single" w:color="auto" w:sz="4" w:space="0"/>
              <w:right w:val="single" w:color="auto" w:sz="4" w:space="0"/>
            </w:tcBorders>
            <w:noWrap w:val="0"/>
            <w:vAlign w:val="center"/>
          </w:tcPr>
          <w:p w14:paraId="5E983E6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-5分/次</w:t>
            </w:r>
          </w:p>
        </w:tc>
        <w:tc>
          <w:tcPr>
            <w:tcW w:w="710" w:type="dxa"/>
            <w:tcBorders>
              <w:top w:val="single" w:color="auto" w:sz="4" w:space="0"/>
              <w:left w:val="nil"/>
              <w:bottom w:val="single" w:color="auto" w:sz="4" w:space="0"/>
              <w:right w:val="single" w:color="auto" w:sz="4" w:space="0"/>
            </w:tcBorders>
            <w:noWrap w:val="0"/>
            <w:vAlign w:val="top"/>
          </w:tcPr>
          <w:p w14:paraId="6EEE443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6DB36C8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0AFD6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5" w:type="dxa"/>
            <w:vMerge w:val="continue"/>
            <w:tcBorders>
              <w:left w:val="single" w:color="auto" w:sz="4" w:space="0"/>
              <w:right w:val="single" w:color="auto" w:sz="4" w:space="0"/>
            </w:tcBorders>
            <w:noWrap w:val="0"/>
            <w:vAlign w:val="center"/>
          </w:tcPr>
          <w:p w14:paraId="79C8E08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981" w:type="dxa"/>
            <w:vMerge w:val="continue"/>
            <w:tcBorders>
              <w:left w:val="nil"/>
              <w:right w:val="single" w:color="auto" w:sz="4" w:space="0"/>
            </w:tcBorders>
            <w:noWrap w:val="0"/>
            <w:vAlign w:val="center"/>
          </w:tcPr>
          <w:p w14:paraId="4E57E997">
            <w:pPr>
              <w:rPr>
                <w:rFonts w:hint="eastAsia" w:ascii="宋体" w:hAnsi="宋体" w:eastAsia="宋体" w:cs="宋体"/>
                <w:b w:val="0"/>
                <w:bCs w:val="0"/>
                <w:color w:val="auto"/>
                <w:sz w:val="20"/>
                <w:szCs w:val="20"/>
                <w:highlight w:val="none"/>
                <w:lang w:eastAsia="zh-CN"/>
              </w:rPr>
            </w:pPr>
          </w:p>
        </w:tc>
        <w:tc>
          <w:tcPr>
            <w:tcW w:w="675" w:type="dxa"/>
            <w:vMerge w:val="continue"/>
            <w:tcBorders>
              <w:left w:val="nil"/>
              <w:right w:val="single" w:color="auto" w:sz="4" w:space="0"/>
            </w:tcBorders>
            <w:noWrap w:val="0"/>
            <w:vAlign w:val="center"/>
          </w:tcPr>
          <w:p w14:paraId="2BE3315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51" w:type="dxa"/>
            <w:tcBorders>
              <w:top w:val="single" w:color="auto" w:sz="4" w:space="0"/>
              <w:left w:val="nil"/>
              <w:bottom w:val="single" w:color="auto" w:sz="4" w:space="0"/>
              <w:right w:val="single" w:color="auto" w:sz="4" w:space="0"/>
            </w:tcBorders>
            <w:noWrap w:val="0"/>
            <w:vAlign w:val="center"/>
          </w:tcPr>
          <w:p w14:paraId="335CC3F4">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超时更换。</w:t>
            </w:r>
          </w:p>
        </w:tc>
        <w:tc>
          <w:tcPr>
            <w:tcW w:w="1226" w:type="dxa"/>
            <w:tcBorders>
              <w:top w:val="single" w:color="auto" w:sz="4" w:space="0"/>
              <w:left w:val="nil"/>
              <w:bottom w:val="single" w:color="auto" w:sz="4" w:space="0"/>
              <w:right w:val="single" w:color="auto" w:sz="4" w:space="0"/>
            </w:tcBorders>
            <w:noWrap w:val="0"/>
            <w:vAlign w:val="center"/>
          </w:tcPr>
          <w:p w14:paraId="78FF3FC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bookmarkStart w:id="371" w:name="OLE_LINK153"/>
            <w:r>
              <w:rPr>
                <w:rFonts w:hint="eastAsia" w:ascii="宋体" w:hAnsi="宋体" w:eastAsia="宋体" w:cs="宋体"/>
                <w:b w:val="0"/>
                <w:bCs w:val="0"/>
                <w:color w:val="auto"/>
                <w:sz w:val="20"/>
                <w:szCs w:val="20"/>
                <w:highlight w:val="none"/>
                <w:lang w:val="en-US" w:eastAsia="zh-CN"/>
              </w:rPr>
              <w:t>-1分/次</w:t>
            </w:r>
            <w:bookmarkEnd w:id="371"/>
          </w:p>
        </w:tc>
        <w:tc>
          <w:tcPr>
            <w:tcW w:w="710" w:type="dxa"/>
            <w:tcBorders>
              <w:top w:val="single" w:color="auto" w:sz="4" w:space="0"/>
              <w:left w:val="nil"/>
              <w:bottom w:val="single" w:color="auto" w:sz="4" w:space="0"/>
              <w:right w:val="single" w:color="auto" w:sz="4" w:space="0"/>
            </w:tcBorders>
            <w:noWrap w:val="0"/>
            <w:vAlign w:val="top"/>
          </w:tcPr>
          <w:p w14:paraId="4CB24E4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7F97EFF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45BCF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7E959A9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981" w:type="dxa"/>
            <w:vMerge w:val="restart"/>
            <w:tcBorders>
              <w:top w:val="single" w:color="auto" w:sz="4" w:space="0"/>
              <w:left w:val="nil"/>
              <w:right w:val="single" w:color="auto" w:sz="4" w:space="0"/>
            </w:tcBorders>
            <w:noWrap w:val="0"/>
            <w:vAlign w:val="center"/>
          </w:tcPr>
          <w:p w14:paraId="18D3C7E5">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自行做好安全措施、现场防护</w:t>
            </w:r>
          </w:p>
          <w:p w14:paraId="22C196C4">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措施及其他相关的安全管理工</w:t>
            </w:r>
          </w:p>
          <w:p w14:paraId="359BCDEC">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作。对服务人员进行安全教育</w:t>
            </w:r>
          </w:p>
          <w:p w14:paraId="112B5730">
            <w:pP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培训不少于 1 次。</w:t>
            </w:r>
          </w:p>
        </w:tc>
        <w:tc>
          <w:tcPr>
            <w:tcW w:w="675" w:type="dxa"/>
            <w:vMerge w:val="restart"/>
            <w:tcBorders>
              <w:top w:val="single" w:color="auto" w:sz="4" w:space="0"/>
              <w:left w:val="nil"/>
              <w:right w:val="single" w:color="auto" w:sz="4" w:space="0"/>
            </w:tcBorders>
            <w:noWrap w:val="0"/>
            <w:vAlign w:val="center"/>
          </w:tcPr>
          <w:p w14:paraId="786E1E5D">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20</w:t>
            </w:r>
          </w:p>
        </w:tc>
        <w:tc>
          <w:tcPr>
            <w:tcW w:w="2951" w:type="dxa"/>
            <w:tcBorders>
              <w:top w:val="single" w:color="auto" w:sz="4" w:space="0"/>
              <w:left w:val="nil"/>
              <w:bottom w:val="single" w:color="auto" w:sz="4" w:space="0"/>
              <w:right w:val="single" w:color="auto" w:sz="4" w:space="0"/>
            </w:tcBorders>
            <w:noWrap w:val="0"/>
            <w:vAlign w:val="center"/>
          </w:tcPr>
          <w:p w14:paraId="4660BBA7">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没有做好安全措施和现场防</w:t>
            </w:r>
          </w:p>
          <w:p w14:paraId="09C79CA4">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 xml:space="preserve">护措施。 </w:t>
            </w:r>
          </w:p>
        </w:tc>
        <w:tc>
          <w:tcPr>
            <w:tcW w:w="1226" w:type="dxa"/>
            <w:tcBorders>
              <w:top w:val="single" w:color="auto" w:sz="4" w:space="0"/>
              <w:left w:val="nil"/>
              <w:bottom w:val="single" w:color="auto" w:sz="4" w:space="0"/>
              <w:right w:val="single" w:color="auto" w:sz="4" w:space="0"/>
            </w:tcBorders>
            <w:noWrap w:val="0"/>
            <w:vAlign w:val="center"/>
          </w:tcPr>
          <w:p w14:paraId="26B8F74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-2分/次</w:t>
            </w:r>
          </w:p>
        </w:tc>
        <w:tc>
          <w:tcPr>
            <w:tcW w:w="710" w:type="dxa"/>
            <w:tcBorders>
              <w:top w:val="single" w:color="auto" w:sz="4" w:space="0"/>
              <w:left w:val="nil"/>
              <w:bottom w:val="single" w:color="auto" w:sz="4" w:space="0"/>
              <w:right w:val="single" w:color="auto" w:sz="4" w:space="0"/>
            </w:tcBorders>
            <w:noWrap w:val="0"/>
            <w:vAlign w:val="top"/>
          </w:tcPr>
          <w:p w14:paraId="513036D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3A8B5BB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565F3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continue"/>
            <w:tcBorders>
              <w:left w:val="single" w:color="auto" w:sz="4" w:space="0"/>
              <w:right w:val="single" w:color="auto" w:sz="4" w:space="0"/>
            </w:tcBorders>
            <w:noWrap w:val="0"/>
            <w:vAlign w:val="center"/>
          </w:tcPr>
          <w:p w14:paraId="4C53F8D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981" w:type="dxa"/>
            <w:vMerge w:val="continue"/>
            <w:tcBorders>
              <w:left w:val="nil"/>
              <w:right w:val="single" w:color="auto" w:sz="4" w:space="0"/>
            </w:tcBorders>
            <w:noWrap w:val="0"/>
            <w:vAlign w:val="center"/>
          </w:tcPr>
          <w:p w14:paraId="5028AFCC">
            <w:pPr>
              <w:rPr>
                <w:rFonts w:hint="eastAsia" w:ascii="宋体" w:hAnsi="宋体" w:eastAsia="宋体" w:cs="宋体"/>
                <w:b w:val="0"/>
                <w:bCs w:val="0"/>
                <w:color w:val="auto"/>
                <w:sz w:val="20"/>
                <w:szCs w:val="20"/>
                <w:highlight w:val="none"/>
                <w:lang w:eastAsia="zh-CN"/>
              </w:rPr>
            </w:pPr>
          </w:p>
        </w:tc>
        <w:tc>
          <w:tcPr>
            <w:tcW w:w="675" w:type="dxa"/>
            <w:vMerge w:val="continue"/>
            <w:tcBorders>
              <w:left w:val="nil"/>
              <w:right w:val="single" w:color="auto" w:sz="4" w:space="0"/>
            </w:tcBorders>
            <w:noWrap w:val="0"/>
            <w:vAlign w:val="center"/>
          </w:tcPr>
          <w:p w14:paraId="1C75DC6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51" w:type="dxa"/>
            <w:tcBorders>
              <w:top w:val="single" w:color="auto" w:sz="4" w:space="0"/>
              <w:left w:val="nil"/>
              <w:bottom w:val="single" w:color="auto" w:sz="4" w:space="0"/>
              <w:right w:val="single" w:color="auto" w:sz="4" w:space="0"/>
            </w:tcBorders>
            <w:noWrap w:val="0"/>
            <w:vAlign w:val="center"/>
          </w:tcPr>
          <w:p w14:paraId="0B2B5382">
            <w:pPr>
              <w:keepNext w:val="0"/>
              <w:keepLines w:val="0"/>
              <w:pageBreakBefore w:val="0"/>
              <w:widowControl w:val="0"/>
              <w:kinsoku/>
              <w:wordWrap/>
              <w:overflowPunct/>
              <w:topLinePunct w:val="0"/>
              <w:autoSpaceDE/>
              <w:autoSpaceDN/>
              <w:bidi w:val="0"/>
              <w:spacing w:line="400" w:lineRule="exact"/>
              <w:jc w:val="left"/>
              <w:textAlignment w:val="auto"/>
              <w:rPr>
                <w:rFonts w:hint="eastAsia" w:ascii="宋体" w:hAnsi="宋体" w:eastAsia="宋体" w:cs="宋体"/>
                <w:b w:val="0"/>
                <w:bCs w:val="0"/>
                <w:color w:val="auto"/>
                <w:sz w:val="20"/>
                <w:szCs w:val="20"/>
                <w:highlight w:val="none"/>
                <w:u w:val="none"/>
                <w:lang w:val="en-US" w:eastAsia="zh-CN"/>
              </w:rPr>
            </w:pPr>
            <w:r>
              <w:rPr>
                <w:rFonts w:hint="eastAsia" w:ascii="宋体" w:hAnsi="宋体" w:eastAsia="宋体" w:cs="宋体"/>
                <w:b w:val="0"/>
                <w:bCs w:val="0"/>
                <w:color w:val="auto"/>
                <w:sz w:val="20"/>
                <w:szCs w:val="20"/>
                <w:highlight w:val="none"/>
                <w:u w:val="none"/>
                <w:lang w:val="en-US" w:eastAsia="zh-CN"/>
              </w:rPr>
              <w:t>未按要求开展安全教育培训。</w:t>
            </w:r>
          </w:p>
        </w:tc>
        <w:tc>
          <w:tcPr>
            <w:tcW w:w="1226" w:type="dxa"/>
            <w:tcBorders>
              <w:top w:val="single" w:color="auto" w:sz="4" w:space="0"/>
              <w:left w:val="nil"/>
              <w:bottom w:val="single" w:color="auto" w:sz="4" w:space="0"/>
              <w:right w:val="single" w:color="auto" w:sz="4" w:space="0"/>
            </w:tcBorders>
            <w:noWrap w:val="0"/>
            <w:vAlign w:val="center"/>
          </w:tcPr>
          <w:p w14:paraId="07C950C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bookmarkStart w:id="372" w:name="OLE_LINK154"/>
            <w:r>
              <w:rPr>
                <w:rFonts w:hint="eastAsia" w:ascii="宋体" w:hAnsi="宋体" w:eastAsia="宋体" w:cs="宋体"/>
                <w:b w:val="0"/>
                <w:bCs w:val="0"/>
                <w:color w:val="auto"/>
                <w:sz w:val="20"/>
                <w:szCs w:val="20"/>
                <w:highlight w:val="none"/>
                <w:lang w:val="en-US" w:eastAsia="zh-CN"/>
              </w:rPr>
              <w:t>-2分/次</w:t>
            </w:r>
            <w:bookmarkEnd w:id="372"/>
          </w:p>
        </w:tc>
        <w:tc>
          <w:tcPr>
            <w:tcW w:w="710" w:type="dxa"/>
            <w:tcBorders>
              <w:top w:val="single" w:color="auto" w:sz="4" w:space="0"/>
              <w:left w:val="nil"/>
              <w:bottom w:val="single" w:color="auto" w:sz="4" w:space="0"/>
              <w:right w:val="single" w:color="auto" w:sz="4" w:space="0"/>
            </w:tcBorders>
            <w:noWrap w:val="0"/>
            <w:vAlign w:val="top"/>
          </w:tcPr>
          <w:p w14:paraId="4836335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1D42B9B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56AE1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2105E4B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5</w:t>
            </w:r>
          </w:p>
        </w:tc>
        <w:tc>
          <w:tcPr>
            <w:tcW w:w="2981" w:type="dxa"/>
            <w:vMerge w:val="restart"/>
            <w:tcBorders>
              <w:top w:val="single" w:color="auto" w:sz="4" w:space="0"/>
              <w:left w:val="nil"/>
              <w:right w:val="single" w:color="auto" w:sz="4" w:space="0"/>
            </w:tcBorders>
            <w:noWrap w:val="0"/>
            <w:vAlign w:val="center"/>
          </w:tcPr>
          <w:p w14:paraId="01815E83">
            <w:pPr>
              <w:rPr>
                <w:rFonts w:hint="eastAsia" w:ascii="宋体" w:hAnsi="宋体" w:eastAsia="宋体" w:cs="宋体"/>
                <w:b w:val="0"/>
                <w:bCs w:val="0"/>
                <w:color w:val="auto"/>
                <w:sz w:val="20"/>
                <w:szCs w:val="20"/>
                <w:highlight w:val="none"/>
                <w:lang w:eastAsia="zh-CN"/>
              </w:rPr>
            </w:pPr>
            <w:r>
              <w:rPr>
                <w:rFonts w:hint="eastAsia" w:ascii="宋体" w:hAnsi="宋体" w:cs="宋体"/>
                <w:color w:val="auto"/>
                <w:sz w:val="20"/>
                <w:szCs w:val="20"/>
                <w:highlight w:val="none"/>
                <w:lang w:eastAsia="zh-CN"/>
              </w:rPr>
              <w:t>服务商</w:t>
            </w:r>
            <w:r>
              <w:rPr>
                <w:rFonts w:hint="eastAsia" w:ascii="宋体" w:hAnsi="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布置的工作要求、任务有落实，有反馈。</w:t>
            </w:r>
          </w:p>
        </w:tc>
        <w:tc>
          <w:tcPr>
            <w:tcW w:w="675" w:type="dxa"/>
            <w:vMerge w:val="restart"/>
            <w:tcBorders>
              <w:top w:val="single" w:color="auto" w:sz="4" w:space="0"/>
              <w:left w:val="nil"/>
              <w:right w:val="single" w:color="auto" w:sz="4" w:space="0"/>
            </w:tcBorders>
            <w:noWrap w:val="0"/>
            <w:vAlign w:val="center"/>
          </w:tcPr>
          <w:p w14:paraId="5E810CDD">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20</w:t>
            </w:r>
          </w:p>
        </w:tc>
        <w:tc>
          <w:tcPr>
            <w:tcW w:w="2951" w:type="dxa"/>
            <w:tcBorders>
              <w:top w:val="single" w:color="auto" w:sz="4" w:space="0"/>
              <w:left w:val="nil"/>
              <w:bottom w:val="single" w:color="auto" w:sz="4" w:space="0"/>
              <w:right w:val="single" w:color="auto" w:sz="4" w:space="0"/>
            </w:tcBorders>
            <w:shd w:val="clear" w:color="auto" w:fill="auto"/>
            <w:noWrap w:val="0"/>
            <w:vAlign w:val="center"/>
          </w:tcPr>
          <w:p w14:paraId="118F8BCE">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1226" w:type="dxa"/>
            <w:tcBorders>
              <w:top w:val="single" w:color="auto" w:sz="4" w:space="0"/>
              <w:left w:val="nil"/>
              <w:bottom w:val="single" w:color="auto" w:sz="4" w:space="0"/>
              <w:right w:val="single" w:color="auto" w:sz="4" w:space="0"/>
            </w:tcBorders>
            <w:noWrap w:val="0"/>
            <w:vAlign w:val="center"/>
          </w:tcPr>
          <w:p w14:paraId="387D2D7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-2分/次</w:t>
            </w:r>
          </w:p>
        </w:tc>
        <w:tc>
          <w:tcPr>
            <w:tcW w:w="710" w:type="dxa"/>
            <w:tcBorders>
              <w:top w:val="single" w:color="auto" w:sz="4" w:space="0"/>
              <w:left w:val="nil"/>
              <w:bottom w:val="single" w:color="auto" w:sz="4" w:space="0"/>
              <w:right w:val="single" w:color="auto" w:sz="4" w:space="0"/>
            </w:tcBorders>
            <w:noWrap w:val="0"/>
            <w:vAlign w:val="top"/>
          </w:tcPr>
          <w:p w14:paraId="56970CF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3046505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755F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continue"/>
            <w:tcBorders>
              <w:left w:val="single" w:color="auto" w:sz="4" w:space="0"/>
              <w:right w:val="single" w:color="auto" w:sz="4" w:space="0"/>
            </w:tcBorders>
            <w:noWrap w:val="0"/>
            <w:vAlign w:val="center"/>
          </w:tcPr>
          <w:p w14:paraId="1CDF8C9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81" w:type="dxa"/>
            <w:vMerge w:val="continue"/>
            <w:tcBorders>
              <w:left w:val="nil"/>
              <w:right w:val="single" w:color="auto" w:sz="4" w:space="0"/>
            </w:tcBorders>
            <w:noWrap w:val="0"/>
            <w:vAlign w:val="center"/>
          </w:tcPr>
          <w:p w14:paraId="1C8CC416">
            <w:pPr>
              <w:rPr>
                <w:rFonts w:hint="eastAsia" w:ascii="宋体" w:hAnsi="宋体" w:eastAsia="宋体" w:cs="宋体"/>
                <w:b w:val="0"/>
                <w:bCs w:val="0"/>
                <w:color w:val="auto"/>
                <w:sz w:val="20"/>
                <w:szCs w:val="20"/>
                <w:highlight w:val="none"/>
                <w:lang w:eastAsia="zh-CN"/>
              </w:rPr>
            </w:pPr>
          </w:p>
        </w:tc>
        <w:tc>
          <w:tcPr>
            <w:tcW w:w="675" w:type="dxa"/>
            <w:vMerge w:val="continue"/>
            <w:tcBorders>
              <w:left w:val="nil"/>
              <w:right w:val="single" w:color="auto" w:sz="4" w:space="0"/>
            </w:tcBorders>
            <w:noWrap w:val="0"/>
            <w:vAlign w:val="center"/>
          </w:tcPr>
          <w:p w14:paraId="54D7BEE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51" w:type="dxa"/>
            <w:tcBorders>
              <w:top w:val="single" w:color="auto" w:sz="4" w:space="0"/>
              <w:left w:val="nil"/>
              <w:bottom w:val="single" w:color="auto" w:sz="4" w:space="0"/>
              <w:right w:val="single" w:color="auto" w:sz="4" w:space="0"/>
            </w:tcBorders>
            <w:shd w:val="clear" w:color="auto" w:fill="auto"/>
            <w:noWrap w:val="0"/>
            <w:vAlign w:val="center"/>
          </w:tcPr>
          <w:p w14:paraId="09753F84">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1226" w:type="dxa"/>
            <w:tcBorders>
              <w:top w:val="single" w:color="auto" w:sz="4" w:space="0"/>
              <w:left w:val="nil"/>
              <w:bottom w:val="single" w:color="auto" w:sz="4" w:space="0"/>
              <w:right w:val="single" w:color="auto" w:sz="4" w:space="0"/>
            </w:tcBorders>
            <w:noWrap w:val="0"/>
            <w:vAlign w:val="center"/>
          </w:tcPr>
          <w:p w14:paraId="2E614E0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-5分/份</w:t>
            </w:r>
          </w:p>
        </w:tc>
        <w:tc>
          <w:tcPr>
            <w:tcW w:w="710" w:type="dxa"/>
            <w:tcBorders>
              <w:top w:val="single" w:color="auto" w:sz="4" w:space="0"/>
              <w:left w:val="nil"/>
              <w:bottom w:val="single" w:color="auto" w:sz="4" w:space="0"/>
              <w:right w:val="single" w:color="auto" w:sz="4" w:space="0"/>
            </w:tcBorders>
            <w:noWrap w:val="0"/>
            <w:vAlign w:val="top"/>
          </w:tcPr>
          <w:p w14:paraId="31D4788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3B1D038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6230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continue"/>
            <w:tcBorders>
              <w:left w:val="single" w:color="auto" w:sz="4" w:space="0"/>
              <w:right w:val="single" w:color="auto" w:sz="4" w:space="0"/>
            </w:tcBorders>
            <w:noWrap w:val="0"/>
            <w:vAlign w:val="center"/>
          </w:tcPr>
          <w:p w14:paraId="1165856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81" w:type="dxa"/>
            <w:vMerge w:val="continue"/>
            <w:tcBorders>
              <w:left w:val="nil"/>
              <w:right w:val="single" w:color="auto" w:sz="4" w:space="0"/>
            </w:tcBorders>
            <w:noWrap w:val="0"/>
            <w:vAlign w:val="center"/>
          </w:tcPr>
          <w:p w14:paraId="3432A91B">
            <w:pPr>
              <w:rPr>
                <w:rFonts w:hint="eastAsia" w:ascii="宋体" w:hAnsi="宋体" w:eastAsia="宋体" w:cs="宋体"/>
                <w:b w:val="0"/>
                <w:bCs w:val="0"/>
                <w:color w:val="auto"/>
                <w:sz w:val="20"/>
                <w:szCs w:val="20"/>
                <w:highlight w:val="none"/>
                <w:lang w:eastAsia="zh-CN"/>
              </w:rPr>
            </w:pPr>
          </w:p>
        </w:tc>
        <w:tc>
          <w:tcPr>
            <w:tcW w:w="675" w:type="dxa"/>
            <w:vMerge w:val="continue"/>
            <w:tcBorders>
              <w:left w:val="nil"/>
              <w:right w:val="single" w:color="auto" w:sz="4" w:space="0"/>
            </w:tcBorders>
            <w:noWrap w:val="0"/>
            <w:vAlign w:val="center"/>
          </w:tcPr>
          <w:p w14:paraId="4CCE3C4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951" w:type="dxa"/>
            <w:tcBorders>
              <w:top w:val="single" w:color="auto" w:sz="4" w:space="0"/>
              <w:left w:val="nil"/>
              <w:bottom w:val="single" w:color="auto" w:sz="4" w:space="0"/>
              <w:right w:val="single" w:color="auto" w:sz="4" w:space="0"/>
            </w:tcBorders>
            <w:shd w:val="clear" w:color="auto" w:fill="auto"/>
            <w:noWrap w:val="0"/>
            <w:vAlign w:val="center"/>
          </w:tcPr>
          <w:p w14:paraId="557456A6">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因工作执行不到位，对采购方照成重大不良影响，每出现一项。</w:t>
            </w:r>
          </w:p>
        </w:tc>
        <w:tc>
          <w:tcPr>
            <w:tcW w:w="1226" w:type="dxa"/>
            <w:tcBorders>
              <w:top w:val="single" w:color="auto" w:sz="4" w:space="0"/>
              <w:left w:val="nil"/>
              <w:bottom w:val="single" w:color="auto" w:sz="4" w:space="0"/>
              <w:right w:val="single" w:color="auto" w:sz="4" w:space="0"/>
            </w:tcBorders>
            <w:noWrap w:val="0"/>
            <w:vAlign w:val="center"/>
          </w:tcPr>
          <w:p w14:paraId="162A05B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10分/项</w:t>
            </w:r>
          </w:p>
        </w:tc>
        <w:tc>
          <w:tcPr>
            <w:tcW w:w="710" w:type="dxa"/>
            <w:tcBorders>
              <w:top w:val="single" w:color="auto" w:sz="4" w:space="0"/>
              <w:left w:val="nil"/>
              <w:bottom w:val="single" w:color="auto" w:sz="4" w:space="0"/>
              <w:right w:val="single" w:color="auto" w:sz="4" w:space="0"/>
            </w:tcBorders>
            <w:noWrap w:val="0"/>
            <w:vAlign w:val="top"/>
          </w:tcPr>
          <w:p w14:paraId="66F6B70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688" w:type="dxa"/>
            <w:tcBorders>
              <w:top w:val="single" w:color="auto" w:sz="4" w:space="0"/>
              <w:left w:val="nil"/>
              <w:bottom w:val="single" w:color="auto" w:sz="4" w:space="0"/>
              <w:right w:val="single" w:color="auto" w:sz="4" w:space="0"/>
            </w:tcBorders>
            <w:noWrap w:val="0"/>
            <w:vAlign w:val="center"/>
          </w:tcPr>
          <w:p w14:paraId="037DB19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0E02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9876" w:type="dxa"/>
            <w:gridSpan w:val="7"/>
            <w:tcBorders>
              <w:left w:val="single" w:color="auto" w:sz="4" w:space="0"/>
              <w:right w:val="single" w:color="auto" w:sz="4" w:space="0"/>
            </w:tcBorders>
            <w:noWrap w:val="0"/>
            <w:vAlign w:val="center"/>
          </w:tcPr>
          <w:p w14:paraId="78FD25FC">
            <w:pPr>
              <w:adjustRightInd w:val="0"/>
              <w:snapToGrid w:val="0"/>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考核得分：</w:t>
            </w:r>
          </w:p>
        </w:tc>
      </w:tr>
      <w:tr w14:paraId="087E5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9876" w:type="dxa"/>
            <w:gridSpan w:val="7"/>
            <w:tcBorders>
              <w:left w:val="single" w:color="auto" w:sz="4" w:space="0"/>
              <w:right w:val="single" w:color="auto" w:sz="4" w:space="0"/>
            </w:tcBorders>
            <w:noWrap w:val="0"/>
            <w:vAlign w:val="center"/>
          </w:tcPr>
          <w:p w14:paraId="37299B40">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14B01BD9">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6CDA03BE">
            <w:pPr>
              <w:adjustRightInd w:val="0"/>
              <w:snapToGrid w:val="0"/>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日期：</w:t>
            </w:r>
          </w:p>
        </w:tc>
      </w:tr>
    </w:tbl>
    <w:p w14:paraId="0024697E">
      <w:pPr>
        <w:rPr>
          <w:rFonts w:hint="eastAsia"/>
          <w:highlight w:val="none"/>
          <w:lang w:val="en-US" w:eastAsia="zh-CN"/>
        </w:rPr>
      </w:pPr>
      <w:r>
        <w:rPr>
          <w:rFonts w:hint="eastAsia"/>
          <w:highlight w:val="none"/>
          <w:lang w:val="en-US" w:eastAsia="zh-CN"/>
        </w:rPr>
        <w:br w:type="page"/>
      </w:r>
    </w:p>
    <w:p w14:paraId="1F97FA48">
      <w:pPr>
        <w:pStyle w:val="4"/>
        <w:bidi w:val="0"/>
        <w:ind w:left="0" w:leftChars="0" w:firstLine="0" w:firstLineChars="0"/>
        <w:jc w:val="center"/>
        <w:rPr>
          <w:rFonts w:hint="eastAsia"/>
          <w:highlight w:val="none"/>
          <w:lang w:val="en-US" w:eastAsia="zh-CN"/>
        </w:rPr>
      </w:pPr>
      <w:bookmarkStart w:id="373" w:name="_Toc6606"/>
      <w:bookmarkStart w:id="374" w:name="_Toc25868"/>
      <w:r>
        <w:rPr>
          <w:rFonts w:hint="eastAsia"/>
          <w:highlight w:val="none"/>
          <w:lang w:val="en-US" w:eastAsia="zh-CN"/>
        </w:rPr>
        <w:t>（十一）空调维保服务项目</w:t>
      </w:r>
      <w:bookmarkEnd w:id="373"/>
      <w:bookmarkEnd w:id="374"/>
    </w:p>
    <w:p w14:paraId="30D49844">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375" w:name="_Toc24743"/>
      <w:bookmarkStart w:id="376" w:name="_Toc31281"/>
      <w:bookmarkStart w:id="377" w:name="_Toc359"/>
      <w:bookmarkStart w:id="378" w:name="_Toc8869"/>
      <w:bookmarkStart w:id="379" w:name="_Toc31829"/>
      <w:r>
        <w:rPr>
          <w:rFonts w:hint="eastAsia" w:ascii="宋体" w:hAnsi="宋体" w:eastAsia="宋体" w:cs="宋体"/>
          <w:b/>
          <w:bCs/>
          <w:color w:val="auto"/>
          <w:sz w:val="20"/>
          <w:szCs w:val="20"/>
          <w:highlight w:val="none"/>
          <w:lang w:val="en-US" w:eastAsia="zh-CN"/>
        </w:rPr>
        <w:t>1.项目服务标准及要求</w:t>
      </w:r>
      <w:bookmarkEnd w:id="375"/>
      <w:bookmarkEnd w:id="376"/>
      <w:bookmarkEnd w:id="377"/>
    </w:p>
    <w:p w14:paraId="23356695">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380" w:name="_Toc9564"/>
      <w:bookmarkStart w:id="381" w:name="_Toc32037"/>
      <w:bookmarkStart w:id="382" w:name="_Toc8484"/>
      <w:bookmarkStart w:id="383" w:name="_Toc3504"/>
      <w:bookmarkStart w:id="384" w:name="_Toc22039"/>
      <w:bookmarkStart w:id="385" w:name="_Toc14283"/>
      <w:bookmarkStart w:id="386" w:name="_Toc11752"/>
      <w:bookmarkStart w:id="387" w:name="_Toc29434"/>
      <w:r>
        <w:rPr>
          <w:rFonts w:hint="eastAsia" w:ascii="宋体" w:hAnsi="宋体" w:eastAsia="宋体" w:cs="宋体"/>
          <w:b/>
          <w:bCs/>
          <w:color w:val="auto"/>
          <w:sz w:val="20"/>
          <w:szCs w:val="20"/>
          <w:highlight w:val="none"/>
          <w:lang w:val="en-US" w:eastAsia="zh-CN"/>
        </w:rPr>
        <w:t>1.1项目服务标准</w:t>
      </w:r>
      <w:bookmarkEnd w:id="380"/>
      <w:bookmarkEnd w:id="381"/>
      <w:bookmarkEnd w:id="382"/>
      <w:bookmarkEnd w:id="383"/>
      <w:bookmarkEnd w:id="384"/>
      <w:bookmarkEnd w:id="385"/>
      <w:bookmarkEnd w:id="386"/>
      <w:bookmarkEnd w:id="387"/>
    </w:p>
    <w:p w14:paraId="0804C287">
      <w:pPr>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服务商在提供</w:t>
      </w:r>
      <w:r>
        <w:rPr>
          <w:rFonts w:hint="eastAsia" w:ascii="宋体" w:hAnsi="宋体" w:eastAsia="宋体" w:cs="宋体"/>
          <w:b w:val="0"/>
          <w:bCs w:val="0"/>
          <w:color w:val="auto"/>
          <w:sz w:val="20"/>
          <w:szCs w:val="20"/>
          <w:highlight w:val="none"/>
          <w:lang w:val="en-US" w:eastAsia="zh-CN"/>
        </w:rPr>
        <w:t>中央空调、</w:t>
      </w:r>
      <w:r>
        <w:rPr>
          <w:rFonts w:hint="eastAsia" w:ascii="宋体" w:hAnsi="宋体" w:eastAsia="宋体" w:cs="宋体"/>
          <w:color w:val="auto"/>
          <w:sz w:val="20"/>
          <w:szCs w:val="20"/>
          <w:highlight w:val="none"/>
        </w:rPr>
        <w:t>分体空调</w:t>
      </w:r>
      <w:r>
        <w:rPr>
          <w:rFonts w:hint="eastAsia" w:ascii="宋体" w:hAnsi="宋体" w:eastAsia="宋体" w:cs="宋体"/>
          <w:color w:val="auto"/>
          <w:sz w:val="20"/>
          <w:szCs w:val="20"/>
          <w:highlight w:val="none"/>
          <w:lang w:eastAsia="zh-CN"/>
        </w:rPr>
        <w:t>维保</w:t>
      </w:r>
      <w:r>
        <w:rPr>
          <w:rFonts w:hint="eastAsia" w:ascii="宋体" w:hAnsi="宋体" w:eastAsia="宋体" w:cs="宋体"/>
          <w:color w:val="auto"/>
          <w:sz w:val="20"/>
          <w:szCs w:val="20"/>
          <w:highlight w:val="none"/>
        </w:rPr>
        <w:t>服务时，需按照如下标准执行，如果在合同执行期间国家颁布新的标准时，应按最新的条款执行。</w:t>
      </w:r>
    </w:p>
    <w:tbl>
      <w:tblPr>
        <w:tblStyle w:val="16"/>
        <w:tblW w:w="8099"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7211"/>
      </w:tblGrid>
      <w:tr w14:paraId="54CA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4C44C2A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序号</w:t>
            </w:r>
          </w:p>
        </w:tc>
        <w:tc>
          <w:tcPr>
            <w:tcW w:w="7211" w:type="dxa"/>
            <w:vAlign w:val="center"/>
          </w:tcPr>
          <w:p w14:paraId="41BE022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相关标准</w:t>
            </w:r>
          </w:p>
        </w:tc>
      </w:tr>
      <w:tr w14:paraId="43E13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0D6D9EE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1</w:t>
            </w:r>
          </w:p>
        </w:tc>
        <w:tc>
          <w:tcPr>
            <w:tcW w:w="7211" w:type="dxa"/>
            <w:shd w:val="clear" w:color="auto" w:fill="auto"/>
            <w:vAlign w:val="center"/>
          </w:tcPr>
          <w:p w14:paraId="1F1E344E">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《液体无水氨》（GB/T 536-1988）</w:t>
            </w:r>
          </w:p>
        </w:tc>
      </w:tr>
      <w:tr w14:paraId="19892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36A8B99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2</w:t>
            </w:r>
          </w:p>
        </w:tc>
        <w:tc>
          <w:tcPr>
            <w:tcW w:w="7211" w:type="dxa"/>
            <w:shd w:val="clear" w:color="auto" w:fill="auto"/>
            <w:vAlign w:val="center"/>
          </w:tcPr>
          <w:p w14:paraId="3FF3BC5E">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《制冷设备、空气分离设备安装工程施工及验收规范》GB 50274-2010）</w:t>
            </w:r>
          </w:p>
        </w:tc>
      </w:tr>
      <w:tr w14:paraId="2723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888" w:type="dxa"/>
            <w:vAlign w:val="center"/>
          </w:tcPr>
          <w:p w14:paraId="6B51BC8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3</w:t>
            </w:r>
          </w:p>
        </w:tc>
        <w:tc>
          <w:tcPr>
            <w:tcW w:w="7211" w:type="dxa"/>
            <w:shd w:val="clear" w:color="auto" w:fill="auto"/>
            <w:vAlign w:val="center"/>
          </w:tcPr>
          <w:p w14:paraId="0843C6AA">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《家用和类似用途空调器安装规范》（GB 17790-2008）</w:t>
            </w:r>
          </w:p>
        </w:tc>
      </w:tr>
      <w:tr w14:paraId="1023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2D02D38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4</w:t>
            </w:r>
          </w:p>
        </w:tc>
        <w:tc>
          <w:tcPr>
            <w:tcW w:w="7211" w:type="dxa"/>
            <w:shd w:val="clear" w:color="auto" w:fill="auto"/>
            <w:vAlign w:val="center"/>
          </w:tcPr>
          <w:p w14:paraId="50F2792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《使用可燃性制冷剂房间空调器安装、维修和运输技术要求》（QB/T 4835-2015 ）</w:t>
            </w:r>
          </w:p>
        </w:tc>
      </w:tr>
      <w:tr w14:paraId="44CB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3C4D1AE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5</w:t>
            </w:r>
          </w:p>
        </w:tc>
        <w:tc>
          <w:tcPr>
            <w:tcW w:w="7211" w:type="dxa"/>
            <w:shd w:val="clear" w:color="auto" w:fill="auto"/>
            <w:vAlign w:val="center"/>
          </w:tcPr>
          <w:p w14:paraId="09541762">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《房间空气调节安装规范》（GB-17790-1999）</w:t>
            </w:r>
          </w:p>
        </w:tc>
      </w:tr>
      <w:tr w14:paraId="2D6C7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1F02625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6</w:t>
            </w:r>
          </w:p>
        </w:tc>
        <w:tc>
          <w:tcPr>
            <w:tcW w:w="7211" w:type="dxa"/>
            <w:shd w:val="clear" w:color="auto" w:fill="auto"/>
            <w:vAlign w:val="center"/>
          </w:tcPr>
          <w:p w14:paraId="414C396F">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《通风与空调工程施工质量验收规范》（GB 50243—2002）</w:t>
            </w:r>
          </w:p>
        </w:tc>
      </w:tr>
      <w:tr w14:paraId="689F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888" w:type="dxa"/>
            <w:vAlign w:val="center"/>
          </w:tcPr>
          <w:p w14:paraId="5024072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7</w:t>
            </w:r>
          </w:p>
        </w:tc>
        <w:tc>
          <w:tcPr>
            <w:tcW w:w="7211" w:type="dxa"/>
            <w:shd w:val="clear" w:color="auto" w:fill="auto"/>
            <w:vAlign w:val="center"/>
          </w:tcPr>
          <w:p w14:paraId="5AB06D6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《通风与空调工程施工及验收规范》（GB50243-97）</w:t>
            </w:r>
          </w:p>
        </w:tc>
      </w:tr>
      <w:tr w14:paraId="315A4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45236A8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8</w:t>
            </w:r>
          </w:p>
        </w:tc>
        <w:tc>
          <w:tcPr>
            <w:tcW w:w="7211" w:type="dxa"/>
            <w:shd w:val="clear" w:color="auto" w:fill="auto"/>
            <w:vAlign w:val="center"/>
          </w:tcPr>
          <w:p w14:paraId="76C2D1B6">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《工业管道工程施工及验收规范》（GBJ50235-97）</w:t>
            </w:r>
          </w:p>
        </w:tc>
      </w:tr>
      <w:tr w14:paraId="13B8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4F5B5A0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9</w:t>
            </w:r>
          </w:p>
        </w:tc>
        <w:tc>
          <w:tcPr>
            <w:tcW w:w="7211" w:type="dxa"/>
            <w:shd w:val="clear" w:color="auto" w:fill="auto"/>
            <w:vAlign w:val="center"/>
          </w:tcPr>
          <w:p w14:paraId="40EE3C7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《现场设备、工业管道焊接工程施工及验收规范》GBJ50236-97）</w:t>
            </w:r>
          </w:p>
        </w:tc>
      </w:tr>
      <w:tr w14:paraId="47305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6FC7107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10</w:t>
            </w:r>
          </w:p>
        </w:tc>
        <w:tc>
          <w:tcPr>
            <w:tcW w:w="7211" w:type="dxa"/>
            <w:shd w:val="clear" w:color="auto" w:fill="auto"/>
            <w:vAlign w:val="center"/>
          </w:tcPr>
          <w:p w14:paraId="4D52817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《通风空调工程质量检验评定标准》（GBJ304-88）</w:t>
            </w:r>
          </w:p>
        </w:tc>
      </w:tr>
      <w:tr w14:paraId="75DFD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888" w:type="dxa"/>
            <w:vAlign w:val="center"/>
          </w:tcPr>
          <w:p w14:paraId="2CEF87F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11</w:t>
            </w:r>
          </w:p>
        </w:tc>
        <w:tc>
          <w:tcPr>
            <w:tcW w:w="7211" w:type="dxa"/>
            <w:shd w:val="clear" w:color="auto" w:fill="auto"/>
            <w:vAlign w:val="center"/>
          </w:tcPr>
          <w:p w14:paraId="19AEAD9E">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《建筑安装工程质量检验评定统一标准》（GBJ300-88）</w:t>
            </w:r>
          </w:p>
        </w:tc>
      </w:tr>
      <w:tr w14:paraId="3589E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3C0EBA6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12</w:t>
            </w:r>
          </w:p>
        </w:tc>
        <w:tc>
          <w:tcPr>
            <w:tcW w:w="7211" w:type="dxa"/>
            <w:shd w:val="clear" w:color="auto" w:fill="auto"/>
            <w:vAlign w:val="center"/>
          </w:tcPr>
          <w:p w14:paraId="6442352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《施工现场临时用电安全技术规范》（JBJ46-88）</w:t>
            </w:r>
          </w:p>
        </w:tc>
      </w:tr>
      <w:tr w14:paraId="1380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371E13F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13</w:t>
            </w:r>
          </w:p>
        </w:tc>
        <w:tc>
          <w:tcPr>
            <w:tcW w:w="7211" w:type="dxa"/>
            <w:shd w:val="clear" w:color="auto" w:fill="auto"/>
            <w:vAlign w:val="center"/>
          </w:tcPr>
          <w:p w14:paraId="62CD9DBF">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《机械设备安装工程施工及验收通用规范》（JBJ23-96）</w:t>
            </w:r>
          </w:p>
        </w:tc>
      </w:tr>
      <w:tr w14:paraId="3082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88" w:type="dxa"/>
            <w:vAlign w:val="center"/>
          </w:tcPr>
          <w:p w14:paraId="756D1CD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14</w:t>
            </w:r>
          </w:p>
        </w:tc>
        <w:tc>
          <w:tcPr>
            <w:tcW w:w="7211" w:type="dxa"/>
            <w:shd w:val="clear" w:color="auto" w:fill="auto"/>
            <w:vAlign w:val="center"/>
          </w:tcPr>
          <w:p w14:paraId="4798FB3A">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《压缩机、风机、泵安装工程施工及验收规范》（JBJ29-961）</w:t>
            </w:r>
          </w:p>
        </w:tc>
      </w:tr>
      <w:tr w14:paraId="51582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888" w:type="dxa"/>
            <w:vAlign w:val="center"/>
          </w:tcPr>
          <w:p w14:paraId="3F66552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15</w:t>
            </w:r>
          </w:p>
        </w:tc>
        <w:tc>
          <w:tcPr>
            <w:tcW w:w="7211" w:type="dxa"/>
            <w:shd w:val="clear" w:color="auto" w:fill="auto"/>
            <w:vAlign w:val="center"/>
          </w:tcPr>
          <w:p w14:paraId="03706252">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《家用中央空调拆装和维修服务技术规范》（SB/T 10993-2013）</w:t>
            </w:r>
          </w:p>
        </w:tc>
      </w:tr>
      <w:tr w14:paraId="66FD2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88" w:type="dxa"/>
            <w:vAlign w:val="center"/>
          </w:tcPr>
          <w:p w14:paraId="331AFFE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16</w:t>
            </w:r>
          </w:p>
        </w:tc>
        <w:tc>
          <w:tcPr>
            <w:tcW w:w="7211" w:type="dxa"/>
            <w:shd w:val="clear" w:color="auto" w:fill="auto"/>
            <w:vAlign w:val="center"/>
          </w:tcPr>
          <w:p w14:paraId="4A7C199F">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《通风空调系统的安装》（SY/T 6982-2014）</w:t>
            </w:r>
          </w:p>
        </w:tc>
      </w:tr>
    </w:tbl>
    <w:p w14:paraId="55FDB32D">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388" w:name="_Toc5561"/>
      <w:bookmarkStart w:id="389" w:name="_Toc26197"/>
      <w:bookmarkStart w:id="390" w:name="_Toc31434"/>
      <w:bookmarkStart w:id="391" w:name="_Toc25399"/>
      <w:bookmarkStart w:id="392" w:name="_Toc7080"/>
      <w:bookmarkStart w:id="393" w:name="_Toc932"/>
      <w:bookmarkStart w:id="394" w:name="_Toc10336"/>
      <w:bookmarkStart w:id="395" w:name="_Toc11759"/>
      <w:r>
        <w:rPr>
          <w:rFonts w:hint="eastAsia" w:ascii="宋体" w:hAnsi="宋体" w:eastAsia="宋体" w:cs="宋体"/>
          <w:b/>
          <w:bCs/>
          <w:color w:val="auto"/>
          <w:sz w:val="20"/>
          <w:szCs w:val="20"/>
          <w:highlight w:val="none"/>
          <w:lang w:val="en-US" w:eastAsia="zh-CN"/>
        </w:rPr>
        <w:t>1.2项目服务要求</w:t>
      </w:r>
      <w:bookmarkEnd w:id="388"/>
      <w:bookmarkEnd w:id="389"/>
      <w:bookmarkEnd w:id="390"/>
      <w:bookmarkEnd w:id="391"/>
      <w:bookmarkEnd w:id="392"/>
      <w:bookmarkEnd w:id="393"/>
      <w:bookmarkEnd w:id="394"/>
      <w:bookmarkEnd w:id="395"/>
    </w:p>
    <w:p w14:paraId="2B2A70F9">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1.2.1合同实施前，服务商需对采购方整体中央空调、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运行状况进行全面摸查，根据摸查情况，针对中央空调、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维保服务项目，需指派专人进行对接，熟悉和了解采购方中央空调、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构成。</w:t>
      </w:r>
    </w:p>
    <w:p w14:paraId="5941E1A8">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1.2.2为保证采购方中央空调、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正常有效运转，</w:t>
      </w:r>
      <w:r>
        <w:rPr>
          <w:rFonts w:hint="eastAsia" w:ascii="宋体" w:hAnsi="宋体" w:eastAsia="宋体" w:cs="宋体"/>
          <w:bCs/>
          <w:color w:val="auto"/>
          <w:sz w:val="20"/>
          <w:szCs w:val="20"/>
          <w:highlight w:val="none"/>
          <w:lang w:val="en-US" w:eastAsia="zh-CN"/>
        </w:rPr>
        <w:t>服务商必须按照采购方的要求执行。</w:t>
      </w:r>
    </w:p>
    <w:p w14:paraId="2E23653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1.2.3服务商提供24小时的故障接受渠道（热线电话、微信、传真、电子邮件等）。服务商在接到中央空调、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故障报修电话后，必须在1小时内作出响应，并派出专业的技术人员按采购方的时间要求到达现场。在采购方规定的时间内，恢复故障，如果故障在检修24小时后仍无法排除，应与采购协商解决。</w:t>
      </w:r>
    </w:p>
    <w:p w14:paraId="19FE7EA6">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1.2.4如遇到不能现场维修的故障，服务商在不影响采购方正常工作的前提下取机返公司维修。并视采购方的需求，提供备机供采购方先行使用，保证</w:t>
      </w:r>
      <w:r>
        <w:rPr>
          <w:rFonts w:hint="eastAsia" w:ascii="宋体" w:hAnsi="宋体" w:eastAsia="宋体" w:cs="宋体"/>
          <w:color w:val="auto"/>
          <w:sz w:val="20"/>
          <w:szCs w:val="20"/>
          <w:highlight w:val="none"/>
        </w:rPr>
        <w:t>分体空调</w:t>
      </w:r>
      <w:r>
        <w:rPr>
          <w:rFonts w:hint="eastAsia" w:ascii="宋体" w:hAnsi="宋体" w:eastAsia="宋体" w:cs="宋体"/>
          <w:color w:val="auto"/>
          <w:sz w:val="20"/>
          <w:szCs w:val="20"/>
          <w:highlight w:val="none"/>
          <w:lang w:val="en-US" w:eastAsia="zh-CN"/>
        </w:rPr>
        <w:t>维保</w:t>
      </w:r>
      <w:r>
        <w:rPr>
          <w:rFonts w:hint="eastAsia" w:ascii="宋体" w:hAnsi="宋体" w:eastAsia="宋体" w:cs="宋体"/>
          <w:b w:val="0"/>
          <w:bCs w:val="0"/>
          <w:color w:val="auto"/>
          <w:sz w:val="20"/>
          <w:szCs w:val="20"/>
          <w:highlight w:val="none"/>
          <w:lang w:val="en-US" w:eastAsia="zh-CN"/>
        </w:rPr>
        <w:t>业务恢复正常运行。</w:t>
      </w:r>
    </w:p>
    <w:p w14:paraId="50D43328">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1.2.5服务商在维修、保养过程中对发生损坏的特殊零配件不能及时更换时，服务商应及时向采购方通报，提出计划修复的时间（上述时间应经采购方认可），并严格按计划时间争取尽早修复。</w:t>
      </w:r>
    </w:p>
    <w:p w14:paraId="042119A4">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1.2.6在服务过程中如发现相关设备设施自身存在危险状态的，服务商应尽快前往修复/维护，同时应作好基本的安全防护措施，以免发生或扩大损失。</w:t>
      </w:r>
    </w:p>
    <w:p w14:paraId="021FAAD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1.2.7服务商应自行配备工作所需的各种专业工具及设备，并在进场之前由相关专业人员检查合格后可在现场使用。此外，服务商在维修过程中所用零配件应为合格产品，其余辅助材料应符合国家相关技术规范及设备安全使用条例。</w:t>
      </w:r>
    </w:p>
    <w:p w14:paraId="4B4AEB5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1.2.8服务商为维修及更换过的零配件提供的质保期为12个月，自服务商签署确认记录表之日计算。质保期内出现同一问题的，服务商应免费予以维修，且质保期自免费维修后重新计算。</w:t>
      </w:r>
    </w:p>
    <w:p w14:paraId="443797B5">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1.2.9在每次巡检和故障维保时，服务商需填写《中央空调、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维护保养现场记录表》并经采购方值班人员或管理员核实签字认可,作为服务商进行设备维保的重要依据。此外，根据采购方的实际需求，提供中央空调、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异常情况分析报告。</w:t>
      </w:r>
    </w:p>
    <w:p w14:paraId="1C1915F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1.2.10服务商负责制定服务范围内中央空调、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紧急事件的工作预案，经服务商和采购方双方审定后由服务商组织实施；在发生紧急事件或急迫性维修后，服务商须立即委派技术负责人到达现场妥善处理。</w:t>
      </w:r>
    </w:p>
    <w:p w14:paraId="24B3A7A6">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1.2.11服务商应建立规范的档案管理制度，设立专人负责妥善保管和正确使用本合同范围内中央空调、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的档案资料，并负责及时记载有关变更、维修、保养情况。</w:t>
      </w:r>
    </w:p>
    <w:p w14:paraId="7D82755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1.2.12服务商加强人员管理，合理安排人员，保障项目工作进度。确因不可抗力影响项目实施，需与采购人协商修订项目实施计划，达成一致后执行。</w:t>
      </w:r>
    </w:p>
    <w:p w14:paraId="3E6C8AF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1.2.13采购方在举办各项大型活动及接待工作（各类会展、活动保障与服务等）时，服务商根据采购需要负责活动前对现场、设备设施进行检查，保证中央空调、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设备完好,运行正常，无安全隐患，确保设备、设施运行可靠性。活动期间，加强巡检力度，确保设备、设施安全可靠运行。</w:t>
      </w:r>
    </w:p>
    <w:p w14:paraId="45E9D72F">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1.2.14根据采购方的需求提供对应的培训。培训方式包括线上讲解、现场设备的实际操作、系统的实际操作。使采购方相关人员掌握有关监控硬件与平台的日常基础使用、维护和管理方法，达到能独立进行普通日常管理、故障排除、日常测试等基础工作。</w:t>
      </w:r>
    </w:p>
    <w:p w14:paraId="63CD4764">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1.2.15服务商必须配备专业的维修人员完成本项目，维修人员具有设施设备维修经验并持有法定要求的职业资格证。</w:t>
      </w:r>
    </w:p>
    <w:p w14:paraId="7C4E8644">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1.2.16服务商应具备足够的可随时调遣的中央空调、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维保后备人员，以便随时响应采购方的临时工作安排，后备人员具备相应的沟通能力、业务能力和技术能力。</w:t>
      </w:r>
    </w:p>
    <w:p w14:paraId="0A28658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1.2.17服务商必须建立健全严格的安全管理制度，在开展中央空调、</w:t>
      </w:r>
      <w:r>
        <w:rPr>
          <w:rFonts w:hint="eastAsia" w:ascii="宋体" w:hAnsi="宋体" w:eastAsia="宋体" w:cs="宋体"/>
          <w:color w:val="auto"/>
          <w:sz w:val="20"/>
          <w:szCs w:val="20"/>
          <w:highlight w:val="none"/>
        </w:rPr>
        <w:t>分体空调</w:t>
      </w:r>
      <w:r>
        <w:rPr>
          <w:rFonts w:hint="eastAsia" w:ascii="宋体" w:hAnsi="宋体" w:eastAsia="宋体" w:cs="宋体"/>
          <w:color w:val="auto"/>
          <w:sz w:val="20"/>
          <w:szCs w:val="20"/>
          <w:highlight w:val="none"/>
          <w:lang w:val="en-US" w:eastAsia="zh-CN"/>
        </w:rPr>
        <w:t>维保</w:t>
      </w:r>
      <w:r>
        <w:rPr>
          <w:rFonts w:hint="eastAsia" w:ascii="宋体" w:hAnsi="宋体" w:eastAsia="宋体" w:cs="宋体"/>
          <w:b w:val="0"/>
          <w:bCs w:val="0"/>
          <w:color w:val="auto"/>
          <w:sz w:val="20"/>
          <w:szCs w:val="20"/>
          <w:highlight w:val="none"/>
          <w:lang w:val="en-US" w:eastAsia="zh-CN"/>
        </w:rPr>
        <w:t>服务工作中严格执行安全管理规定，深刻认识和领会采购方对安全工作的态度和要求，并给予相应的支持和配合。如因非采购方原因导致的安全问题，由服务商承担责任，并按国家法律法规及相关要求进行赔偿。</w:t>
      </w:r>
    </w:p>
    <w:p w14:paraId="0C7E9AD7">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1.2.18在中央空调、</w:t>
      </w:r>
      <w:r>
        <w:rPr>
          <w:rFonts w:hint="eastAsia" w:ascii="宋体" w:hAnsi="宋体" w:eastAsia="宋体" w:cs="宋体"/>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维保工作期间，服务商应负责落实现场安全防护措施，建立可靠的安全防护措施和明显标志，保证安全作业。而且必须遵循采购方的安全管理，并采取必要的措施保障安全。确保不发生信息安全事件；不发生轻伤及以上人身事故；不发生有责任的设备损坏事故；不发生重大质量事故。</w:t>
      </w:r>
    </w:p>
    <w:p w14:paraId="508D7710">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1.2.19服务商的维修人员应严格遵守有关法律法规和采购人内部规章制度，不得擅自翻阅、复制、传播所接触的资料或数据。并且，服务商须遵守采购方信息保密制度，禁止窥窃采购方任何信息。服务商应与采购方签署保密协议书，并负责约束有关员工的保密工作。如服务商泄露采购方的资料或数据，服务商应全额赔偿采购方的损失。</w:t>
      </w:r>
    </w:p>
    <w:p w14:paraId="3458532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1.2.20服务商须建立健全的各项规章制度（包含但不限于安全生产责任及管理制度、质量安全及事故呈报与处理制度、回访制度等）。</w:t>
      </w:r>
    </w:p>
    <w:p w14:paraId="385A3B0C">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396" w:name="_Toc17397"/>
      <w:bookmarkStart w:id="397" w:name="_Toc22682"/>
      <w:bookmarkStart w:id="398" w:name="_Toc9275"/>
      <w:r>
        <w:rPr>
          <w:rFonts w:hint="eastAsia" w:ascii="宋体" w:hAnsi="宋体" w:eastAsia="宋体" w:cs="宋体"/>
          <w:b/>
          <w:bCs/>
          <w:color w:val="auto"/>
          <w:sz w:val="20"/>
          <w:szCs w:val="20"/>
          <w:highlight w:val="none"/>
          <w:lang w:val="en-US" w:eastAsia="zh-CN"/>
        </w:rPr>
        <w:t>2.服务达标要求</w:t>
      </w:r>
      <w:bookmarkEnd w:id="396"/>
      <w:bookmarkEnd w:id="397"/>
      <w:bookmarkEnd w:id="398"/>
    </w:p>
    <w:p w14:paraId="337389F0">
      <w:pPr>
        <w:keepNext w:val="0"/>
        <w:keepLines w:val="0"/>
        <w:pageBreakBefore w:val="0"/>
        <w:widowControl w:val="0"/>
        <w:kinsoku/>
        <w:wordWrap/>
        <w:overflowPunct/>
        <w:topLinePunct w:val="0"/>
        <w:autoSpaceDE/>
        <w:autoSpaceDN/>
        <w:bidi w:val="0"/>
        <w:adjustRightInd/>
        <w:snapToGrid/>
        <w:spacing w:line="560" w:lineRule="exact"/>
        <w:ind w:firstLine="400" w:firstLineChars="200"/>
        <w:jc w:val="both"/>
        <w:textAlignment w:val="auto"/>
        <w:outlineLvl w:val="9"/>
        <w:rPr>
          <w:rFonts w:hint="default"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2.1</w:t>
      </w:r>
      <w:r>
        <w:rPr>
          <w:rFonts w:hint="eastAsia" w:ascii="宋体" w:hAnsi="宋体" w:eastAsia="宋体" w:cs="宋体"/>
          <w:b w:val="0"/>
          <w:bCs w:val="0"/>
          <w:color w:val="auto"/>
          <w:sz w:val="20"/>
          <w:szCs w:val="20"/>
          <w:highlight w:val="none"/>
        </w:rPr>
        <w:t>分体空调</w:t>
      </w:r>
      <w:r>
        <w:rPr>
          <w:rFonts w:hint="eastAsia" w:ascii="宋体" w:hAnsi="宋体" w:eastAsia="宋体" w:cs="宋体"/>
          <w:b w:val="0"/>
          <w:bCs w:val="0"/>
          <w:color w:val="auto"/>
          <w:sz w:val="20"/>
          <w:szCs w:val="20"/>
          <w:highlight w:val="none"/>
          <w:lang w:val="en-US" w:eastAsia="zh-CN"/>
        </w:rPr>
        <w:t>维保服务达标要求</w:t>
      </w:r>
    </w:p>
    <w:tbl>
      <w:tblPr>
        <w:tblStyle w:val="16"/>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567"/>
        <w:gridCol w:w="5350"/>
        <w:gridCol w:w="1867"/>
      </w:tblGrid>
      <w:tr w14:paraId="5672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blHeader/>
          <w:jc w:val="center"/>
        </w:trPr>
        <w:tc>
          <w:tcPr>
            <w:tcW w:w="740" w:type="dxa"/>
            <w:vAlign w:val="center"/>
          </w:tcPr>
          <w:p w14:paraId="79EF2EAD">
            <w:pPr>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rPr>
              <w:t>序号</w:t>
            </w:r>
          </w:p>
        </w:tc>
        <w:tc>
          <w:tcPr>
            <w:tcW w:w="1567" w:type="dxa"/>
            <w:vAlign w:val="center"/>
          </w:tcPr>
          <w:p w14:paraId="24A9E880">
            <w:pPr>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rPr>
              <w:t>项目内容</w:t>
            </w:r>
          </w:p>
        </w:tc>
        <w:tc>
          <w:tcPr>
            <w:tcW w:w="5350" w:type="dxa"/>
            <w:vAlign w:val="center"/>
          </w:tcPr>
          <w:p w14:paraId="78218011">
            <w:pPr>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rPr>
              <w:t>维护保养基本要求</w:t>
            </w:r>
          </w:p>
        </w:tc>
        <w:tc>
          <w:tcPr>
            <w:tcW w:w="1867" w:type="dxa"/>
            <w:vAlign w:val="center"/>
          </w:tcPr>
          <w:p w14:paraId="61A1F32E">
            <w:pPr>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周期</w:t>
            </w:r>
          </w:p>
        </w:tc>
      </w:tr>
      <w:tr w14:paraId="12D7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36763953">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 </w:t>
            </w:r>
          </w:p>
        </w:tc>
        <w:tc>
          <w:tcPr>
            <w:tcW w:w="1567" w:type="dxa"/>
            <w:vAlign w:val="center"/>
          </w:tcPr>
          <w:p w14:paraId="50CC4BCF">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空调清洗</w:t>
            </w:r>
          </w:p>
        </w:tc>
        <w:tc>
          <w:tcPr>
            <w:tcW w:w="5350" w:type="dxa"/>
            <w:vAlign w:val="center"/>
          </w:tcPr>
          <w:p w14:paraId="07A7DD1B">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对空调内机、外机进行深度清洗，保证清洁干净。</w:t>
            </w:r>
          </w:p>
        </w:tc>
        <w:tc>
          <w:tcPr>
            <w:tcW w:w="1867" w:type="dxa"/>
            <w:vAlign w:val="center"/>
          </w:tcPr>
          <w:p w14:paraId="0A1FF0F2">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42919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3D2D3EA0">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2</w:t>
            </w:r>
          </w:p>
        </w:tc>
        <w:tc>
          <w:tcPr>
            <w:tcW w:w="1567" w:type="dxa"/>
            <w:vAlign w:val="center"/>
          </w:tcPr>
          <w:p w14:paraId="7C6A1425">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日常检查</w:t>
            </w:r>
          </w:p>
        </w:tc>
        <w:tc>
          <w:tcPr>
            <w:tcW w:w="5350" w:type="dxa"/>
            <w:vAlign w:val="center"/>
          </w:tcPr>
          <w:p w14:paraId="218D4867">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每月对合同内的空调进行检查一次，运行是否正常，发现问题及时排除。 </w:t>
            </w:r>
          </w:p>
        </w:tc>
        <w:tc>
          <w:tcPr>
            <w:tcW w:w="1867" w:type="dxa"/>
            <w:vAlign w:val="center"/>
          </w:tcPr>
          <w:p w14:paraId="1D9E2BA1">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每月</w:t>
            </w:r>
          </w:p>
        </w:tc>
      </w:tr>
      <w:tr w14:paraId="63395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253EDF6F">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 </w:t>
            </w:r>
          </w:p>
        </w:tc>
        <w:tc>
          <w:tcPr>
            <w:tcW w:w="1567" w:type="dxa"/>
            <w:vAlign w:val="center"/>
          </w:tcPr>
          <w:p w14:paraId="570B1A01">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蒸发器</w:t>
            </w:r>
          </w:p>
        </w:tc>
        <w:tc>
          <w:tcPr>
            <w:tcW w:w="5350" w:type="dxa"/>
            <w:vAlign w:val="center"/>
          </w:tcPr>
          <w:p w14:paraId="2CB50B33">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 检查蒸发器是否有汅垢、结冰现像。</w:t>
            </w:r>
          </w:p>
        </w:tc>
        <w:tc>
          <w:tcPr>
            <w:tcW w:w="1867" w:type="dxa"/>
            <w:vAlign w:val="center"/>
          </w:tcPr>
          <w:p w14:paraId="144234A1">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2362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48B1AEA3">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4 </w:t>
            </w:r>
          </w:p>
        </w:tc>
        <w:tc>
          <w:tcPr>
            <w:tcW w:w="1567" w:type="dxa"/>
            <w:vAlign w:val="center"/>
          </w:tcPr>
          <w:p w14:paraId="2AE2A8A6">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压缩机</w:t>
            </w:r>
          </w:p>
        </w:tc>
        <w:tc>
          <w:tcPr>
            <w:tcW w:w="5350" w:type="dxa"/>
            <w:vAlign w:val="center"/>
          </w:tcPr>
          <w:p w14:paraId="1C4EBEC0">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检查氟利昂压力、容量是否正常、有无漏油。</w:t>
            </w:r>
          </w:p>
        </w:tc>
        <w:tc>
          <w:tcPr>
            <w:tcW w:w="1867" w:type="dxa"/>
            <w:vAlign w:val="center"/>
          </w:tcPr>
          <w:p w14:paraId="0AAFF603">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284A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6E9C49D5">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5 </w:t>
            </w:r>
          </w:p>
        </w:tc>
        <w:tc>
          <w:tcPr>
            <w:tcW w:w="1567" w:type="dxa"/>
            <w:vAlign w:val="center"/>
          </w:tcPr>
          <w:p w14:paraId="1D841A64">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内机电机</w:t>
            </w:r>
          </w:p>
        </w:tc>
        <w:tc>
          <w:tcPr>
            <w:tcW w:w="5350" w:type="dxa"/>
            <w:vAlign w:val="center"/>
          </w:tcPr>
          <w:p w14:paraId="584A506E">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电流是否正常或损坏。</w:t>
            </w:r>
          </w:p>
        </w:tc>
        <w:tc>
          <w:tcPr>
            <w:tcW w:w="1867" w:type="dxa"/>
            <w:vAlign w:val="center"/>
          </w:tcPr>
          <w:p w14:paraId="480D5A8F">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7874C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42B67C96">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6 </w:t>
            </w:r>
          </w:p>
        </w:tc>
        <w:tc>
          <w:tcPr>
            <w:tcW w:w="1567" w:type="dxa"/>
            <w:vAlign w:val="center"/>
          </w:tcPr>
          <w:p w14:paraId="658F7B7A">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传感器</w:t>
            </w:r>
          </w:p>
        </w:tc>
        <w:tc>
          <w:tcPr>
            <w:tcW w:w="5350" w:type="dxa"/>
            <w:vAlign w:val="center"/>
          </w:tcPr>
          <w:p w14:paraId="1AEE5312">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温度是否正常、主机制冷是否正常工作。</w:t>
            </w:r>
          </w:p>
        </w:tc>
        <w:tc>
          <w:tcPr>
            <w:tcW w:w="1867" w:type="dxa"/>
            <w:vAlign w:val="center"/>
          </w:tcPr>
          <w:p w14:paraId="0D65C0FF">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2D614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2343A8F3">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7</w:t>
            </w:r>
          </w:p>
        </w:tc>
        <w:tc>
          <w:tcPr>
            <w:tcW w:w="1567" w:type="dxa"/>
            <w:vAlign w:val="center"/>
          </w:tcPr>
          <w:p w14:paraId="2A8E9C03">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主控板</w:t>
            </w:r>
          </w:p>
        </w:tc>
        <w:tc>
          <w:tcPr>
            <w:tcW w:w="5350" w:type="dxa"/>
            <w:vAlign w:val="center"/>
          </w:tcPr>
          <w:p w14:paraId="6350E228">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电流是否正常工作。</w:t>
            </w:r>
          </w:p>
        </w:tc>
        <w:tc>
          <w:tcPr>
            <w:tcW w:w="1867" w:type="dxa"/>
            <w:vAlign w:val="center"/>
          </w:tcPr>
          <w:p w14:paraId="2AD4C1DC">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707EF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09EFCC83">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8 </w:t>
            </w:r>
          </w:p>
        </w:tc>
        <w:tc>
          <w:tcPr>
            <w:tcW w:w="1567" w:type="dxa"/>
            <w:vAlign w:val="center"/>
          </w:tcPr>
          <w:p w14:paraId="29086362">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压力开关</w:t>
            </w:r>
          </w:p>
        </w:tc>
        <w:tc>
          <w:tcPr>
            <w:tcW w:w="5350" w:type="dxa"/>
            <w:vAlign w:val="center"/>
          </w:tcPr>
          <w:p w14:paraId="65605D95">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 是否有漏电或损坏。</w:t>
            </w:r>
          </w:p>
        </w:tc>
        <w:tc>
          <w:tcPr>
            <w:tcW w:w="1867" w:type="dxa"/>
            <w:vAlign w:val="center"/>
          </w:tcPr>
          <w:p w14:paraId="7FF50717">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282AC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087E4C73">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9 </w:t>
            </w:r>
          </w:p>
        </w:tc>
        <w:tc>
          <w:tcPr>
            <w:tcW w:w="1567" w:type="dxa"/>
            <w:vAlign w:val="center"/>
          </w:tcPr>
          <w:p w14:paraId="5E6897ED">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主机外机</w:t>
            </w:r>
          </w:p>
        </w:tc>
        <w:tc>
          <w:tcPr>
            <w:tcW w:w="5350" w:type="dxa"/>
            <w:vAlign w:val="center"/>
          </w:tcPr>
          <w:p w14:paraId="567B4EF1">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 是否有螺栓松动、脱落或损坏。</w:t>
            </w:r>
          </w:p>
        </w:tc>
        <w:tc>
          <w:tcPr>
            <w:tcW w:w="1867" w:type="dxa"/>
            <w:vAlign w:val="center"/>
          </w:tcPr>
          <w:p w14:paraId="569E15A3">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3A5A7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0808DA96">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10 </w:t>
            </w:r>
          </w:p>
        </w:tc>
        <w:tc>
          <w:tcPr>
            <w:tcW w:w="1567" w:type="dxa"/>
            <w:vAlign w:val="center"/>
          </w:tcPr>
          <w:p w14:paraId="5672BE26">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交流接触器</w:t>
            </w:r>
          </w:p>
        </w:tc>
        <w:tc>
          <w:tcPr>
            <w:tcW w:w="5350" w:type="dxa"/>
            <w:vAlign w:val="center"/>
          </w:tcPr>
          <w:p w14:paraId="2FFA9EEF">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是否漏电、电流是否正常。</w:t>
            </w:r>
          </w:p>
        </w:tc>
        <w:tc>
          <w:tcPr>
            <w:tcW w:w="1867" w:type="dxa"/>
            <w:vAlign w:val="center"/>
          </w:tcPr>
          <w:p w14:paraId="0678CCE3">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1CFCC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39A36D98">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11 </w:t>
            </w:r>
          </w:p>
        </w:tc>
        <w:tc>
          <w:tcPr>
            <w:tcW w:w="1567" w:type="dxa"/>
            <w:vAlign w:val="center"/>
          </w:tcPr>
          <w:p w14:paraId="3ED7269A">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接水盘</w:t>
            </w:r>
          </w:p>
        </w:tc>
        <w:tc>
          <w:tcPr>
            <w:tcW w:w="5350" w:type="dxa"/>
            <w:vAlign w:val="center"/>
          </w:tcPr>
          <w:p w14:paraId="618C0F5E">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 是否有堵塞或漏水。</w:t>
            </w:r>
          </w:p>
        </w:tc>
        <w:tc>
          <w:tcPr>
            <w:tcW w:w="1867" w:type="dxa"/>
            <w:vAlign w:val="center"/>
          </w:tcPr>
          <w:p w14:paraId="326A8E8E">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761F3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637DDD58">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12 </w:t>
            </w:r>
          </w:p>
        </w:tc>
        <w:tc>
          <w:tcPr>
            <w:tcW w:w="1567" w:type="dxa"/>
            <w:vAlign w:val="center"/>
          </w:tcPr>
          <w:p w14:paraId="1B3323E9">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排水系统</w:t>
            </w:r>
          </w:p>
        </w:tc>
        <w:tc>
          <w:tcPr>
            <w:tcW w:w="5350" w:type="dxa"/>
            <w:vAlign w:val="center"/>
          </w:tcPr>
          <w:p w14:paraId="506CF7E3">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 水管是否损坏、堵塞漏水。</w:t>
            </w:r>
          </w:p>
        </w:tc>
        <w:tc>
          <w:tcPr>
            <w:tcW w:w="1867" w:type="dxa"/>
            <w:vAlign w:val="center"/>
          </w:tcPr>
          <w:p w14:paraId="20A01F1D">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3EE37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23EE7216">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13</w:t>
            </w:r>
          </w:p>
        </w:tc>
        <w:tc>
          <w:tcPr>
            <w:tcW w:w="1567" w:type="dxa"/>
            <w:vAlign w:val="center"/>
          </w:tcPr>
          <w:p w14:paraId="688708E0">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线路板</w:t>
            </w:r>
          </w:p>
        </w:tc>
        <w:tc>
          <w:tcPr>
            <w:tcW w:w="5350" w:type="dxa"/>
            <w:vAlign w:val="center"/>
          </w:tcPr>
          <w:p w14:paraId="221B00E9">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是否能正确正常工作。</w:t>
            </w:r>
          </w:p>
        </w:tc>
        <w:tc>
          <w:tcPr>
            <w:tcW w:w="1867" w:type="dxa"/>
            <w:vAlign w:val="center"/>
          </w:tcPr>
          <w:p w14:paraId="2477F777">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6E749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144D0F37">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14 </w:t>
            </w:r>
          </w:p>
        </w:tc>
        <w:tc>
          <w:tcPr>
            <w:tcW w:w="1567" w:type="dxa"/>
            <w:vAlign w:val="center"/>
          </w:tcPr>
          <w:p w14:paraId="32B3682F">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内机面板</w:t>
            </w:r>
          </w:p>
        </w:tc>
        <w:tc>
          <w:tcPr>
            <w:tcW w:w="5350" w:type="dxa"/>
            <w:vAlign w:val="center"/>
          </w:tcPr>
          <w:p w14:paraId="28783207">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 保持干净清洁。</w:t>
            </w:r>
          </w:p>
        </w:tc>
        <w:tc>
          <w:tcPr>
            <w:tcW w:w="1867" w:type="dxa"/>
            <w:vAlign w:val="center"/>
          </w:tcPr>
          <w:p w14:paraId="769BA6A6">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44A11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740" w:type="dxa"/>
            <w:vAlign w:val="center"/>
          </w:tcPr>
          <w:p w14:paraId="25686C26">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15 </w:t>
            </w:r>
          </w:p>
        </w:tc>
        <w:tc>
          <w:tcPr>
            <w:tcW w:w="1567" w:type="dxa"/>
            <w:vAlign w:val="center"/>
          </w:tcPr>
          <w:p w14:paraId="6C71FBD6">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管道线路</w:t>
            </w:r>
          </w:p>
        </w:tc>
        <w:tc>
          <w:tcPr>
            <w:tcW w:w="5350" w:type="dxa"/>
            <w:vAlign w:val="center"/>
          </w:tcPr>
          <w:p w14:paraId="3F5DEE55">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检查管道保温棉是否有脱落、管线外露、漏氟利昂、漏水、排水不畅，发现问题及时排除。</w:t>
            </w:r>
          </w:p>
        </w:tc>
        <w:tc>
          <w:tcPr>
            <w:tcW w:w="1867" w:type="dxa"/>
            <w:vAlign w:val="center"/>
          </w:tcPr>
          <w:p w14:paraId="212FC3F9">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4C74D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40" w:type="dxa"/>
            <w:vAlign w:val="center"/>
          </w:tcPr>
          <w:p w14:paraId="7820AE56">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16 </w:t>
            </w:r>
          </w:p>
        </w:tc>
        <w:tc>
          <w:tcPr>
            <w:tcW w:w="1567" w:type="dxa"/>
            <w:vAlign w:val="center"/>
          </w:tcPr>
          <w:p w14:paraId="00F9C5E9">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内风机</w:t>
            </w:r>
          </w:p>
        </w:tc>
        <w:tc>
          <w:tcPr>
            <w:tcW w:w="5350" w:type="dxa"/>
            <w:vAlign w:val="center"/>
          </w:tcPr>
          <w:p w14:paraId="2A4DD11D">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风扇风轮是否有损坏。 </w:t>
            </w:r>
          </w:p>
        </w:tc>
        <w:tc>
          <w:tcPr>
            <w:tcW w:w="1867" w:type="dxa"/>
            <w:vAlign w:val="center"/>
          </w:tcPr>
          <w:p w14:paraId="403C3EB7">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r w14:paraId="0DF0D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40" w:type="dxa"/>
            <w:vAlign w:val="center"/>
          </w:tcPr>
          <w:p w14:paraId="59BAEECC">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17 </w:t>
            </w:r>
          </w:p>
        </w:tc>
        <w:tc>
          <w:tcPr>
            <w:tcW w:w="1567" w:type="dxa"/>
            <w:vAlign w:val="center"/>
          </w:tcPr>
          <w:p w14:paraId="1E2FCBBF">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外风机</w:t>
            </w:r>
          </w:p>
        </w:tc>
        <w:tc>
          <w:tcPr>
            <w:tcW w:w="5350" w:type="dxa"/>
            <w:vAlign w:val="center"/>
          </w:tcPr>
          <w:p w14:paraId="7499E024">
            <w:pPr>
              <w:pStyle w:val="21"/>
              <w:keepNext w:val="0"/>
              <w:keepLines w:val="0"/>
              <w:pageBreakBefore w:val="0"/>
              <w:widowControl w:val="0"/>
              <w:kinsoku/>
              <w:wordWrap/>
              <w:overflowPunct/>
              <w:topLinePunct w:val="0"/>
              <w:bidi w:val="0"/>
              <w:snapToGrid/>
              <w:ind w:left="0" w:leftChars="0"/>
              <w:jc w:val="left"/>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检查有无损坏、散热是否正常。</w:t>
            </w:r>
          </w:p>
        </w:tc>
        <w:tc>
          <w:tcPr>
            <w:tcW w:w="1867" w:type="dxa"/>
            <w:vAlign w:val="center"/>
          </w:tcPr>
          <w:p w14:paraId="131F003D">
            <w:pPr>
              <w:pStyle w:val="21"/>
              <w:keepNext w:val="0"/>
              <w:keepLines w:val="0"/>
              <w:pageBreakBefore w:val="0"/>
              <w:widowControl w:val="0"/>
              <w:kinsoku/>
              <w:wordWrap/>
              <w:overflowPunct/>
              <w:topLinePunct w:val="0"/>
              <w:bidi w:val="0"/>
              <w:snapToGrid/>
              <w:ind w:left="0" w:leftChars="0"/>
              <w:jc w:val="center"/>
              <w:outlineLvl w:val="9"/>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按</w:t>
            </w:r>
            <w:r>
              <w:rPr>
                <w:rFonts w:hint="eastAsia" w:ascii="宋体" w:hAnsi="宋体" w:cs="宋体"/>
                <w:color w:val="auto"/>
                <w:sz w:val="20"/>
                <w:szCs w:val="20"/>
                <w:highlight w:val="none"/>
                <w:lang w:val="en-US" w:eastAsia="zh-CN" w:bidi="ar-SA"/>
              </w:rPr>
              <w:t>采购方</w:t>
            </w:r>
            <w:r>
              <w:rPr>
                <w:rFonts w:hint="eastAsia" w:ascii="宋体" w:hAnsi="宋体" w:eastAsia="宋体" w:cs="宋体"/>
                <w:color w:val="auto"/>
                <w:sz w:val="20"/>
                <w:szCs w:val="20"/>
                <w:highlight w:val="none"/>
                <w:lang w:val="en-US" w:eastAsia="zh-CN" w:bidi="ar-SA"/>
              </w:rPr>
              <w:t>需求</w:t>
            </w:r>
          </w:p>
        </w:tc>
      </w:tr>
    </w:tbl>
    <w:p w14:paraId="28353C9D">
      <w:pPr>
        <w:keepNext w:val="0"/>
        <w:keepLines w:val="0"/>
        <w:pageBreakBefore w:val="0"/>
        <w:widowControl w:val="0"/>
        <w:kinsoku/>
        <w:wordWrap/>
        <w:overflowPunct/>
        <w:topLinePunct w:val="0"/>
        <w:autoSpaceDE/>
        <w:autoSpaceDN/>
        <w:bidi w:val="0"/>
        <w:adjustRightInd/>
        <w:snapToGrid/>
        <w:spacing w:line="560" w:lineRule="exact"/>
        <w:ind w:firstLine="400" w:firstLineChars="200"/>
        <w:jc w:val="both"/>
        <w:textAlignment w:val="auto"/>
        <w:outlineLvl w:val="9"/>
        <w:rPr>
          <w:rFonts w:hint="eastAsia" w:ascii="宋体" w:hAnsi="宋体" w:eastAsia="宋体" w:cs="宋体"/>
          <w:b w:val="0"/>
          <w:bCs w:val="0"/>
          <w:color w:val="auto"/>
          <w:sz w:val="20"/>
          <w:szCs w:val="20"/>
          <w:highlight w:val="none"/>
          <w:lang w:val="en-US"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1BA5D68D">
      <w:pPr>
        <w:keepNext w:val="0"/>
        <w:keepLines w:val="0"/>
        <w:pageBreakBefore w:val="0"/>
        <w:widowControl w:val="0"/>
        <w:kinsoku/>
        <w:wordWrap/>
        <w:overflowPunct/>
        <w:topLinePunct w:val="0"/>
        <w:autoSpaceDE/>
        <w:autoSpaceDN/>
        <w:bidi w:val="0"/>
        <w:adjustRightInd/>
        <w:snapToGrid/>
        <w:spacing w:line="560" w:lineRule="exact"/>
        <w:ind w:firstLine="400" w:firstLineChars="200"/>
        <w:jc w:val="both"/>
        <w:textAlignment w:val="auto"/>
        <w:outlineLvl w:val="9"/>
        <w:rPr>
          <w:rFonts w:hint="default"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2.2中央</w:t>
      </w:r>
      <w:r>
        <w:rPr>
          <w:rFonts w:hint="eastAsia" w:ascii="宋体" w:hAnsi="宋体" w:eastAsia="宋体" w:cs="宋体"/>
          <w:b w:val="0"/>
          <w:bCs w:val="0"/>
          <w:color w:val="auto"/>
          <w:sz w:val="20"/>
          <w:szCs w:val="20"/>
          <w:highlight w:val="none"/>
        </w:rPr>
        <w:t>空调</w:t>
      </w:r>
      <w:r>
        <w:rPr>
          <w:rFonts w:hint="eastAsia" w:ascii="宋体" w:hAnsi="宋体" w:eastAsia="宋体" w:cs="宋体"/>
          <w:b w:val="0"/>
          <w:bCs w:val="0"/>
          <w:color w:val="auto"/>
          <w:sz w:val="20"/>
          <w:szCs w:val="20"/>
          <w:highlight w:val="none"/>
          <w:lang w:val="en-US" w:eastAsia="zh-CN"/>
        </w:rPr>
        <w:t>维保服务达标要求</w:t>
      </w:r>
    </w:p>
    <w:tbl>
      <w:tblPr>
        <w:tblStyle w:val="15"/>
        <w:tblpPr w:leftFromText="180" w:rightFromText="180" w:vertAnchor="text" w:horzAnchor="page" w:tblpX="1400" w:tblpY="562"/>
        <w:tblOverlap w:val="never"/>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838"/>
        <w:gridCol w:w="1222"/>
        <w:gridCol w:w="5954"/>
        <w:gridCol w:w="991"/>
      </w:tblGrid>
      <w:tr w14:paraId="05177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42" w:type="dxa"/>
            <w:noWrap w:val="0"/>
            <w:vAlign w:val="center"/>
          </w:tcPr>
          <w:p w14:paraId="2589D0F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序号</w:t>
            </w:r>
          </w:p>
        </w:tc>
        <w:tc>
          <w:tcPr>
            <w:tcW w:w="838" w:type="dxa"/>
            <w:noWrap w:val="0"/>
            <w:vAlign w:val="center"/>
          </w:tcPr>
          <w:p w14:paraId="6862FF8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项类</w:t>
            </w:r>
          </w:p>
        </w:tc>
        <w:tc>
          <w:tcPr>
            <w:tcW w:w="1222" w:type="dxa"/>
            <w:noWrap w:val="0"/>
            <w:vAlign w:val="center"/>
          </w:tcPr>
          <w:p w14:paraId="4502B13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项目内容</w:t>
            </w:r>
          </w:p>
        </w:tc>
        <w:tc>
          <w:tcPr>
            <w:tcW w:w="5954" w:type="dxa"/>
            <w:noWrap w:val="0"/>
            <w:vAlign w:val="center"/>
          </w:tcPr>
          <w:p w14:paraId="7F5FB9A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维护保养基本要求</w:t>
            </w:r>
          </w:p>
        </w:tc>
        <w:tc>
          <w:tcPr>
            <w:tcW w:w="991" w:type="dxa"/>
            <w:noWrap w:val="0"/>
            <w:vAlign w:val="center"/>
          </w:tcPr>
          <w:p w14:paraId="1BC6AAC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周期</w:t>
            </w:r>
          </w:p>
        </w:tc>
      </w:tr>
      <w:tr w14:paraId="5E39B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484FF2A5">
            <w:pPr>
              <w:pStyle w:val="26"/>
              <w:numPr>
                <w:ilvl w:val="0"/>
                <w:numId w:val="0"/>
              </w:numPr>
              <w:ind w:leftChar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838" w:type="dxa"/>
            <w:vMerge w:val="restart"/>
            <w:noWrap w:val="0"/>
            <w:vAlign w:val="center"/>
          </w:tcPr>
          <w:p w14:paraId="29E925B2">
            <w:pPr>
              <w:jc w:val="center"/>
              <w:rPr>
                <w:rFonts w:hint="eastAsia" w:ascii="宋体" w:hAnsi="宋体" w:eastAsia="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麦克维尔模块式风冷冷热水机组</w:t>
            </w:r>
          </w:p>
        </w:tc>
        <w:tc>
          <w:tcPr>
            <w:tcW w:w="1222" w:type="dxa"/>
            <w:vMerge w:val="restart"/>
            <w:noWrap w:val="0"/>
            <w:vAlign w:val="center"/>
          </w:tcPr>
          <w:p w14:paraId="2C9C8EF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整机</w:t>
            </w:r>
          </w:p>
        </w:tc>
        <w:tc>
          <w:tcPr>
            <w:tcW w:w="5954" w:type="dxa"/>
            <w:noWrap w:val="0"/>
            <w:vAlign w:val="center"/>
          </w:tcPr>
          <w:p w14:paraId="3FA54160">
            <w:pPr>
              <w:spacing w:line="400" w:lineRule="exact"/>
              <w:ind w:left="300" w:leftChars="0" w:hanging="300" w:hangingChars="15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检查模块机组，调整安全控制装置；</w:t>
            </w:r>
          </w:p>
        </w:tc>
        <w:tc>
          <w:tcPr>
            <w:tcW w:w="991" w:type="dxa"/>
            <w:noWrap w:val="0"/>
            <w:vAlign w:val="center"/>
          </w:tcPr>
          <w:p w14:paraId="4A7F6B9D">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1E15C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4F4174A6">
            <w:pPr>
              <w:pStyle w:val="26"/>
              <w:numPr>
                <w:ilvl w:val="0"/>
                <w:numId w:val="0"/>
              </w:numPr>
              <w:ind w:leftChar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838" w:type="dxa"/>
            <w:vMerge w:val="continue"/>
            <w:noWrap w:val="0"/>
            <w:vAlign w:val="center"/>
          </w:tcPr>
          <w:p w14:paraId="46EE8D56">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1BCFA7C7">
            <w:pPr>
              <w:jc w:val="center"/>
              <w:rPr>
                <w:rFonts w:hint="eastAsia" w:ascii="宋体" w:hAnsi="宋体" w:eastAsia="宋体" w:cs="宋体"/>
                <w:color w:val="auto"/>
                <w:sz w:val="20"/>
                <w:szCs w:val="20"/>
                <w:highlight w:val="none"/>
              </w:rPr>
            </w:pPr>
          </w:p>
        </w:tc>
        <w:tc>
          <w:tcPr>
            <w:tcW w:w="5954" w:type="dxa"/>
            <w:noWrap w:val="0"/>
            <w:vAlign w:val="center"/>
          </w:tcPr>
          <w:p w14:paraId="7826DA36">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检查控制装置的工作状态；</w:t>
            </w:r>
          </w:p>
        </w:tc>
        <w:tc>
          <w:tcPr>
            <w:tcW w:w="991" w:type="dxa"/>
            <w:noWrap w:val="0"/>
            <w:vAlign w:val="center"/>
          </w:tcPr>
          <w:p w14:paraId="33E492EB">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516B3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4D587E83">
            <w:pPr>
              <w:pStyle w:val="26"/>
              <w:numPr>
                <w:ilvl w:val="0"/>
                <w:numId w:val="0"/>
              </w:numPr>
              <w:ind w:leftChar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838" w:type="dxa"/>
            <w:vMerge w:val="continue"/>
            <w:noWrap w:val="0"/>
            <w:vAlign w:val="center"/>
          </w:tcPr>
          <w:p w14:paraId="19CBEAF7">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11CA0246">
            <w:pPr>
              <w:jc w:val="center"/>
              <w:rPr>
                <w:rFonts w:hint="eastAsia" w:ascii="宋体" w:hAnsi="宋体" w:eastAsia="宋体" w:cs="宋体"/>
                <w:color w:val="auto"/>
                <w:sz w:val="20"/>
                <w:szCs w:val="20"/>
                <w:highlight w:val="none"/>
              </w:rPr>
            </w:pPr>
          </w:p>
        </w:tc>
        <w:tc>
          <w:tcPr>
            <w:tcW w:w="5954" w:type="dxa"/>
            <w:noWrap w:val="0"/>
            <w:vAlign w:val="center"/>
          </w:tcPr>
          <w:p w14:paraId="61241313">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检查制冷剂的充注量、压缩机的油色、油位；</w:t>
            </w:r>
          </w:p>
        </w:tc>
        <w:tc>
          <w:tcPr>
            <w:tcW w:w="991" w:type="dxa"/>
            <w:noWrap w:val="0"/>
            <w:vAlign w:val="center"/>
          </w:tcPr>
          <w:p w14:paraId="390ECCD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71043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20051983">
            <w:pPr>
              <w:pStyle w:val="26"/>
              <w:numPr>
                <w:ilvl w:val="0"/>
                <w:numId w:val="0"/>
              </w:numPr>
              <w:ind w:leftChar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838" w:type="dxa"/>
            <w:vMerge w:val="continue"/>
            <w:noWrap w:val="0"/>
            <w:vAlign w:val="center"/>
          </w:tcPr>
          <w:p w14:paraId="627C8858">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6BC33F95">
            <w:pPr>
              <w:jc w:val="center"/>
              <w:rPr>
                <w:rFonts w:hint="eastAsia" w:ascii="宋体" w:hAnsi="宋体" w:eastAsia="宋体" w:cs="宋体"/>
                <w:color w:val="auto"/>
                <w:sz w:val="20"/>
                <w:szCs w:val="20"/>
                <w:highlight w:val="none"/>
              </w:rPr>
            </w:pPr>
          </w:p>
        </w:tc>
        <w:tc>
          <w:tcPr>
            <w:tcW w:w="5954" w:type="dxa"/>
            <w:noWrap w:val="0"/>
            <w:vAlign w:val="center"/>
          </w:tcPr>
          <w:p w14:paraId="22A5BF9A">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检查润滑系统的运行；</w:t>
            </w:r>
          </w:p>
        </w:tc>
        <w:tc>
          <w:tcPr>
            <w:tcW w:w="991" w:type="dxa"/>
            <w:noWrap w:val="0"/>
            <w:vAlign w:val="center"/>
          </w:tcPr>
          <w:p w14:paraId="02B2A65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7D1B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5015564D">
            <w:pPr>
              <w:pStyle w:val="26"/>
              <w:numPr>
                <w:ilvl w:val="0"/>
                <w:numId w:val="0"/>
              </w:numPr>
              <w:ind w:leftChar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838" w:type="dxa"/>
            <w:vMerge w:val="continue"/>
            <w:noWrap w:val="0"/>
            <w:vAlign w:val="center"/>
          </w:tcPr>
          <w:p w14:paraId="77332989">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01874A91">
            <w:pPr>
              <w:jc w:val="center"/>
              <w:rPr>
                <w:rFonts w:hint="eastAsia" w:ascii="宋体" w:hAnsi="宋体" w:eastAsia="宋体" w:cs="宋体"/>
                <w:color w:val="auto"/>
                <w:sz w:val="20"/>
                <w:szCs w:val="20"/>
                <w:highlight w:val="none"/>
              </w:rPr>
            </w:pPr>
          </w:p>
        </w:tc>
        <w:tc>
          <w:tcPr>
            <w:tcW w:w="5954" w:type="dxa"/>
            <w:noWrap w:val="0"/>
            <w:vAlign w:val="center"/>
          </w:tcPr>
          <w:p w14:paraId="4BA8A672">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检查机组内处表清洁及主机系统的密封性；</w:t>
            </w:r>
          </w:p>
        </w:tc>
        <w:tc>
          <w:tcPr>
            <w:tcW w:w="991" w:type="dxa"/>
            <w:noWrap w:val="0"/>
            <w:vAlign w:val="center"/>
          </w:tcPr>
          <w:p w14:paraId="23B8A63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3BEC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4BBDB087">
            <w:pPr>
              <w:pStyle w:val="26"/>
              <w:numPr>
                <w:ilvl w:val="0"/>
                <w:numId w:val="0"/>
              </w:numPr>
              <w:ind w:leftChar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838" w:type="dxa"/>
            <w:vMerge w:val="continue"/>
            <w:noWrap w:val="0"/>
            <w:vAlign w:val="center"/>
          </w:tcPr>
          <w:p w14:paraId="72E1F9C7">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55AD3142">
            <w:pPr>
              <w:jc w:val="center"/>
              <w:rPr>
                <w:rFonts w:hint="eastAsia" w:ascii="宋体" w:hAnsi="宋体" w:eastAsia="宋体" w:cs="宋体"/>
                <w:color w:val="auto"/>
                <w:sz w:val="20"/>
                <w:szCs w:val="20"/>
                <w:highlight w:val="none"/>
              </w:rPr>
            </w:pPr>
          </w:p>
        </w:tc>
        <w:tc>
          <w:tcPr>
            <w:tcW w:w="5954" w:type="dxa"/>
            <w:noWrap w:val="0"/>
            <w:vAlign w:val="center"/>
          </w:tcPr>
          <w:p w14:paraId="7ACAD0F0">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检查电机和启动器的运行；</w:t>
            </w:r>
          </w:p>
        </w:tc>
        <w:tc>
          <w:tcPr>
            <w:tcW w:w="991" w:type="dxa"/>
            <w:noWrap w:val="0"/>
            <w:vAlign w:val="center"/>
          </w:tcPr>
          <w:p w14:paraId="64C549DB">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5029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731A86A9">
            <w:pPr>
              <w:pStyle w:val="26"/>
              <w:numPr>
                <w:ilvl w:val="0"/>
                <w:numId w:val="0"/>
              </w:numPr>
              <w:ind w:leftChar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838" w:type="dxa"/>
            <w:vMerge w:val="continue"/>
            <w:noWrap w:val="0"/>
            <w:vAlign w:val="center"/>
          </w:tcPr>
          <w:p w14:paraId="02DA51BF">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6E7B27BE">
            <w:pPr>
              <w:jc w:val="center"/>
              <w:rPr>
                <w:rFonts w:hint="eastAsia" w:ascii="宋体" w:hAnsi="宋体" w:eastAsia="宋体" w:cs="宋体"/>
                <w:color w:val="auto"/>
                <w:sz w:val="20"/>
                <w:szCs w:val="20"/>
                <w:highlight w:val="none"/>
              </w:rPr>
            </w:pPr>
          </w:p>
        </w:tc>
        <w:tc>
          <w:tcPr>
            <w:tcW w:w="5954" w:type="dxa"/>
            <w:noWrap w:val="0"/>
            <w:vAlign w:val="center"/>
          </w:tcPr>
          <w:p w14:paraId="5E73B371">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检查水泵的工作状态，调整机组水流开关；</w:t>
            </w:r>
          </w:p>
        </w:tc>
        <w:tc>
          <w:tcPr>
            <w:tcW w:w="991" w:type="dxa"/>
            <w:noWrap w:val="0"/>
            <w:vAlign w:val="center"/>
          </w:tcPr>
          <w:p w14:paraId="4E9C440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3D176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3F7A61C4">
            <w:pPr>
              <w:pStyle w:val="26"/>
              <w:numPr>
                <w:ilvl w:val="0"/>
                <w:numId w:val="0"/>
              </w:numPr>
              <w:ind w:leftChar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838" w:type="dxa"/>
            <w:vMerge w:val="continue"/>
            <w:noWrap w:val="0"/>
            <w:vAlign w:val="center"/>
          </w:tcPr>
          <w:p w14:paraId="7AD6A9CA">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19266C0D">
            <w:pPr>
              <w:jc w:val="center"/>
              <w:rPr>
                <w:rFonts w:hint="eastAsia" w:ascii="宋体" w:hAnsi="宋体" w:eastAsia="宋体" w:cs="宋体"/>
                <w:color w:val="auto"/>
                <w:sz w:val="20"/>
                <w:szCs w:val="20"/>
                <w:highlight w:val="none"/>
              </w:rPr>
            </w:pPr>
          </w:p>
        </w:tc>
        <w:tc>
          <w:tcPr>
            <w:tcW w:w="5954" w:type="dxa"/>
            <w:noWrap w:val="0"/>
            <w:vAlign w:val="center"/>
          </w:tcPr>
          <w:p w14:paraId="6EAF0879">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检查容量控制组件的运行情况；</w:t>
            </w:r>
          </w:p>
        </w:tc>
        <w:tc>
          <w:tcPr>
            <w:tcW w:w="991" w:type="dxa"/>
            <w:noWrap w:val="0"/>
            <w:vAlign w:val="center"/>
          </w:tcPr>
          <w:p w14:paraId="6CD9FE7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4E5F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536B7DF9">
            <w:pPr>
              <w:pStyle w:val="26"/>
              <w:numPr>
                <w:ilvl w:val="0"/>
                <w:numId w:val="0"/>
              </w:numPr>
              <w:ind w:leftChars="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838" w:type="dxa"/>
            <w:vMerge w:val="continue"/>
            <w:noWrap w:val="0"/>
            <w:vAlign w:val="center"/>
          </w:tcPr>
          <w:p w14:paraId="2114E5CD">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413C6E9F">
            <w:pPr>
              <w:jc w:val="center"/>
              <w:rPr>
                <w:rFonts w:hint="eastAsia" w:ascii="宋体" w:hAnsi="宋体" w:eastAsia="宋体" w:cs="宋体"/>
                <w:color w:val="auto"/>
                <w:sz w:val="20"/>
                <w:szCs w:val="20"/>
                <w:highlight w:val="none"/>
              </w:rPr>
            </w:pPr>
          </w:p>
        </w:tc>
        <w:tc>
          <w:tcPr>
            <w:tcW w:w="5954" w:type="dxa"/>
            <w:noWrap w:val="0"/>
            <w:vAlign w:val="center"/>
          </w:tcPr>
          <w:p w14:paraId="1D21E56F">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检查及紧固各电气接线端；</w:t>
            </w:r>
          </w:p>
        </w:tc>
        <w:tc>
          <w:tcPr>
            <w:tcW w:w="991" w:type="dxa"/>
            <w:noWrap w:val="0"/>
            <w:vAlign w:val="center"/>
          </w:tcPr>
          <w:p w14:paraId="4D1ED1F9">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327C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20AB3E6D">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838" w:type="dxa"/>
            <w:vMerge w:val="continue"/>
            <w:noWrap w:val="0"/>
            <w:vAlign w:val="center"/>
          </w:tcPr>
          <w:p w14:paraId="01AC880B">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10852E3D">
            <w:pPr>
              <w:jc w:val="center"/>
              <w:rPr>
                <w:rFonts w:hint="eastAsia" w:ascii="宋体" w:hAnsi="宋体" w:eastAsia="宋体" w:cs="宋体"/>
                <w:color w:val="auto"/>
                <w:sz w:val="20"/>
                <w:szCs w:val="20"/>
                <w:highlight w:val="none"/>
              </w:rPr>
            </w:pPr>
          </w:p>
        </w:tc>
        <w:tc>
          <w:tcPr>
            <w:tcW w:w="5954" w:type="dxa"/>
            <w:noWrap w:val="0"/>
            <w:vAlign w:val="center"/>
          </w:tcPr>
          <w:p w14:paraId="4ABEA510">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检查及检测各温控探头及压力变送器的显示精度；</w:t>
            </w:r>
          </w:p>
        </w:tc>
        <w:tc>
          <w:tcPr>
            <w:tcW w:w="991" w:type="dxa"/>
            <w:noWrap w:val="0"/>
            <w:vAlign w:val="center"/>
          </w:tcPr>
          <w:p w14:paraId="64F41F4B">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50D69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0BB90170">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838" w:type="dxa"/>
            <w:vMerge w:val="continue"/>
            <w:noWrap w:val="0"/>
            <w:vAlign w:val="center"/>
          </w:tcPr>
          <w:p w14:paraId="3CDFEB49">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7060C430">
            <w:pPr>
              <w:jc w:val="center"/>
              <w:rPr>
                <w:rFonts w:hint="eastAsia" w:ascii="宋体" w:hAnsi="宋体" w:eastAsia="宋体" w:cs="宋体"/>
                <w:color w:val="auto"/>
                <w:sz w:val="20"/>
                <w:szCs w:val="20"/>
                <w:highlight w:val="none"/>
              </w:rPr>
            </w:pPr>
          </w:p>
        </w:tc>
        <w:tc>
          <w:tcPr>
            <w:tcW w:w="5954" w:type="dxa"/>
            <w:noWrap w:val="0"/>
            <w:vAlign w:val="center"/>
          </w:tcPr>
          <w:p w14:paraId="077B6A88">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检查各电磁阀的工作状态；</w:t>
            </w:r>
          </w:p>
        </w:tc>
        <w:tc>
          <w:tcPr>
            <w:tcW w:w="991" w:type="dxa"/>
            <w:noWrap w:val="0"/>
            <w:vAlign w:val="center"/>
          </w:tcPr>
          <w:p w14:paraId="32BE4C38">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5ED3D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4B1564BD">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838" w:type="dxa"/>
            <w:vMerge w:val="continue"/>
            <w:noWrap w:val="0"/>
            <w:vAlign w:val="center"/>
          </w:tcPr>
          <w:p w14:paraId="1B885CE3">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0AB59E45">
            <w:pPr>
              <w:jc w:val="center"/>
              <w:rPr>
                <w:rFonts w:hint="eastAsia" w:ascii="宋体" w:hAnsi="宋体" w:eastAsia="宋体" w:cs="宋体"/>
                <w:color w:val="auto"/>
                <w:sz w:val="20"/>
                <w:szCs w:val="20"/>
                <w:highlight w:val="none"/>
              </w:rPr>
            </w:pPr>
          </w:p>
        </w:tc>
        <w:tc>
          <w:tcPr>
            <w:tcW w:w="5954" w:type="dxa"/>
            <w:noWrap w:val="0"/>
            <w:vAlign w:val="center"/>
          </w:tcPr>
          <w:p w14:paraId="2A4706FB">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检查系统是否有泄漏（查系统是否有堵塞、冷冻机油滴、跑、漏现象等）；</w:t>
            </w:r>
          </w:p>
        </w:tc>
        <w:tc>
          <w:tcPr>
            <w:tcW w:w="991" w:type="dxa"/>
            <w:noWrap w:val="0"/>
            <w:vAlign w:val="center"/>
          </w:tcPr>
          <w:p w14:paraId="539B33D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6D7F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280D7D98">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838" w:type="dxa"/>
            <w:vMerge w:val="continue"/>
            <w:noWrap w:val="0"/>
            <w:vAlign w:val="center"/>
          </w:tcPr>
          <w:p w14:paraId="36C239E1">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501942D4">
            <w:pPr>
              <w:jc w:val="center"/>
              <w:rPr>
                <w:rFonts w:hint="eastAsia" w:ascii="宋体" w:hAnsi="宋体" w:eastAsia="宋体" w:cs="宋体"/>
                <w:color w:val="auto"/>
                <w:sz w:val="20"/>
                <w:szCs w:val="20"/>
                <w:highlight w:val="none"/>
              </w:rPr>
            </w:pPr>
          </w:p>
        </w:tc>
        <w:tc>
          <w:tcPr>
            <w:tcW w:w="5954" w:type="dxa"/>
            <w:noWrap w:val="0"/>
            <w:vAlign w:val="center"/>
          </w:tcPr>
          <w:p w14:paraId="535DD9E6">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记录运行状态参数，分析确认机组运行正常，必要时进行机组检修；</w:t>
            </w:r>
          </w:p>
        </w:tc>
        <w:tc>
          <w:tcPr>
            <w:tcW w:w="991" w:type="dxa"/>
            <w:noWrap w:val="0"/>
            <w:vAlign w:val="center"/>
          </w:tcPr>
          <w:p w14:paraId="35B5852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5E98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3D60FCF9">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838" w:type="dxa"/>
            <w:vMerge w:val="continue"/>
            <w:noWrap w:val="0"/>
            <w:vAlign w:val="center"/>
          </w:tcPr>
          <w:p w14:paraId="60402F35">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59A8EB70">
            <w:pPr>
              <w:jc w:val="center"/>
              <w:rPr>
                <w:rFonts w:hint="eastAsia" w:ascii="宋体" w:hAnsi="宋体" w:eastAsia="宋体" w:cs="宋体"/>
                <w:color w:val="auto"/>
                <w:sz w:val="20"/>
                <w:szCs w:val="20"/>
                <w:highlight w:val="none"/>
              </w:rPr>
            </w:pPr>
          </w:p>
        </w:tc>
        <w:tc>
          <w:tcPr>
            <w:tcW w:w="5954" w:type="dxa"/>
            <w:noWrap w:val="0"/>
            <w:vAlign w:val="center"/>
          </w:tcPr>
          <w:p w14:paraId="4AC2F4A5">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检查系统干燥程度，检查并调整冷煤充注量；</w:t>
            </w:r>
          </w:p>
        </w:tc>
        <w:tc>
          <w:tcPr>
            <w:tcW w:w="991" w:type="dxa"/>
            <w:noWrap w:val="0"/>
            <w:vAlign w:val="center"/>
          </w:tcPr>
          <w:p w14:paraId="13094E6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0C439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742" w:type="dxa"/>
            <w:noWrap w:val="0"/>
            <w:vAlign w:val="center"/>
          </w:tcPr>
          <w:p w14:paraId="53800F41">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838" w:type="dxa"/>
            <w:vMerge w:val="continue"/>
            <w:noWrap w:val="0"/>
            <w:vAlign w:val="center"/>
          </w:tcPr>
          <w:p w14:paraId="6EEE267F">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5FD8D90F">
            <w:pPr>
              <w:jc w:val="center"/>
              <w:rPr>
                <w:rFonts w:hint="eastAsia" w:ascii="宋体" w:hAnsi="宋体" w:eastAsia="宋体" w:cs="宋体"/>
                <w:color w:val="auto"/>
                <w:sz w:val="20"/>
                <w:szCs w:val="20"/>
                <w:highlight w:val="none"/>
              </w:rPr>
            </w:pPr>
          </w:p>
        </w:tc>
        <w:tc>
          <w:tcPr>
            <w:tcW w:w="5954" w:type="dxa"/>
            <w:noWrap w:val="0"/>
            <w:vAlign w:val="center"/>
          </w:tcPr>
          <w:p w14:paraId="24522653">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提交</w:t>
            </w:r>
            <w:r>
              <w:rPr>
                <w:rFonts w:hint="eastAsia" w:ascii="宋体" w:hAnsi="宋体" w:eastAsia="宋体" w:cs="宋体"/>
                <w:color w:val="auto"/>
                <w:sz w:val="20"/>
                <w:szCs w:val="20"/>
                <w:highlight w:val="none"/>
                <w:lang w:val="en-US" w:eastAsia="zh-CN"/>
              </w:rPr>
              <w:t>月度</w:t>
            </w:r>
            <w:r>
              <w:rPr>
                <w:rFonts w:hint="eastAsia" w:ascii="宋体" w:hAnsi="宋体" w:eastAsia="宋体" w:cs="宋体"/>
                <w:color w:val="auto"/>
                <w:sz w:val="20"/>
                <w:szCs w:val="20"/>
                <w:highlight w:val="none"/>
              </w:rPr>
              <w:t>工作报告。</w:t>
            </w:r>
          </w:p>
        </w:tc>
        <w:tc>
          <w:tcPr>
            <w:tcW w:w="991" w:type="dxa"/>
            <w:noWrap w:val="0"/>
            <w:vAlign w:val="center"/>
          </w:tcPr>
          <w:p w14:paraId="560893E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645AB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22CCD9CE">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16</w:t>
            </w:r>
          </w:p>
        </w:tc>
        <w:tc>
          <w:tcPr>
            <w:tcW w:w="838" w:type="dxa"/>
            <w:vMerge w:val="continue"/>
            <w:noWrap w:val="0"/>
            <w:vAlign w:val="center"/>
          </w:tcPr>
          <w:p w14:paraId="4A521877">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5145D746">
            <w:pPr>
              <w:jc w:val="center"/>
              <w:rPr>
                <w:rFonts w:hint="eastAsia" w:ascii="宋体" w:hAnsi="宋体" w:eastAsia="宋体" w:cs="宋体"/>
                <w:color w:val="auto"/>
                <w:sz w:val="20"/>
                <w:szCs w:val="20"/>
                <w:highlight w:val="none"/>
              </w:rPr>
            </w:pPr>
          </w:p>
        </w:tc>
        <w:tc>
          <w:tcPr>
            <w:tcW w:w="5954" w:type="dxa"/>
            <w:noWrap w:val="0"/>
            <w:vAlign w:val="center"/>
          </w:tcPr>
          <w:p w14:paraId="256DFC1C">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检查制冷剂的充注量、压缩机内的油色、油位；</w:t>
            </w:r>
          </w:p>
        </w:tc>
        <w:tc>
          <w:tcPr>
            <w:tcW w:w="991" w:type="dxa"/>
            <w:noWrap w:val="0"/>
            <w:vAlign w:val="center"/>
          </w:tcPr>
          <w:p w14:paraId="30585D88">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每季度</w:t>
            </w:r>
          </w:p>
        </w:tc>
      </w:tr>
      <w:tr w14:paraId="7CB02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53529BA0">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17</w:t>
            </w:r>
          </w:p>
        </w:tc>
        <w:tc>
          <w:tcPr>
            <w:tcW w:w="838" w:type="dxa"/>
            <w:vMerge w:val="continue"/>
            <w:noWrap w:val="0"/>
            <w:vAlign w:val="center"/>
          </w:tcPr>
          <w:p w14:paraId="4CFE76AB">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5E4903F3">
            <w:pPr>
              <w:jc w:val="center"/>
              <w:rPr>
                <w:rFonts w:hint="eastAsia" w:ascii="宋体" w:hAnsi="宋体" w:eastAsia="宋体" w:cs="宋体"/>
                <w:color w:val="auto"/>
                <w:sz w:val="20"/>
                <w:szCs w:val="20"/>
                <w:highlight w:val="none"/>
              </w:rPr>
            </w:pPr>
          </w:p>
        </w:tc>
        <w:tc>
          <w:tcPr>
            <w:tcW w:w="5954" w:type="dxa"/>
            <w:noWrap w:val="0"/>
            <w:vAlign w:val="center"/>
          </w:tcPr>
          <w:p w14:paraId="506DBB4A">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检查油加热器和控制温度；</w:t>
            </w:r>
          </w:p>
        </w:tc>
        <w:tc>
          <w:tcPr>
            <w:tcW w:w="991" w:type="dxa"/>
            <w:noWrap w:val="0"/>
            <w:vAlign w:val="center"/>
          </w:tcPr>
          <w:p w14:paraId="22CCE693">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1B6F0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03FCCEB8">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18</w:t>
            </w:r>
          </w:p>
        </w:tc>
        <w:tc>
          <w:tcPr>
            <w:tcW w:w="838" w:type="dxa"/>
            <w:vMerge w:val="continue"/>
            <w:noWrap w:val="0"/>
            <w:vAlign w:val="center"/>
          </w:tcPr>
          <w:p w14:paraId="03173A1E">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6D083EAA">
            <w:pPr>
              <w:jc w:val="center"/>
              <w:rPr>
                <w:rFonts w:hint="eastAsia" w:ascii="宋体" w:hAnsi="宋体" w:eastAsia="宋体" w:cs="宋体"/>
                <w:color w:val="auto"/>
                <w:sz w:val="20"/>
                <w:szCs w:val="20"/>
                <w:highlight w:val="none"/>
              </w:rPr>
            </w:pPr>
          </w:p>
        </w:tc>
        <w:tc>
          <w:tcPr>
            <w:tcW w:w="5954" w:type="dxa"/>
            <w:noWrap w:val="0"/>
            <w:vAlign w:val="center"/>
          </w:tcPr>
          <w:p w14:paraId="6EA89454">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检查和测试所有运行控制和安全控制功能；</w:t>
            </w:r>
          </w:p>
        </w:tc>
        <w:tc>
          <w:tcPr>
            <w:tcW w:w="991" w:type="dxa"/>
            <w:noWrap w:val="0"/>
            <w:vAlign w:val="center"/>
          </w:tcPr>
          <w:p w14:paraId="346915B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53C6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3223C5F8">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19</w:t>
            </w:r>
          </w:p>
        </w:tc>
        <w:tc>
          <w:tcPr>
            <w:tcW w:w="838" w:type="dxa"/>
            <w:vMerge w:val="continue"/>
            <w:noWrap w:val="0"/>
            <w:vAlign w:val="center"/>
          </w:tcPr>
          <w:p w14:paraId="12270848">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497E55A6">
            <w:pPr>
              <w:jc w:val="center"/>
              <w:rPr>
                <w:rFonts w:hint="eastAsia" w:ascii="宋体" w:hAnsi="宋体" w:eastAsia="宋体" w:cs="宋体"/>
                <w:color w:val="auto"/>
                <w:sz w:val="20"/>
                <w:szCs w:val="20"/>
                <w:highlight w:val="none"/>
              </w:rPr>
            </w:pPr>
          </w:p>
        </w:tc>
        <w:tc>
          <w:tcPr>
            <w:tcW w:w="5954" w:type="dxa"/>
            <w:noWrap w:val="0"/>
            <w:vAlign w:val="center"/>
          </w:tcPr>
          <w:p w14:paraId="29D2BEB9">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与操作人员一起温习操作步骤，查看机组历史记录；</w:t>
            </w:r>
          </w:p>
        </w:tc>
        <w:tc>
          <w:tcPr>
            <w:tcW w:w="991" w:type="dxa"/>
            <w:noWrap w:val="0"/>
            <w:vAlign w:val="center"/>
          </w:tcPr>
          <w:p w14:paraId="5ED7820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23DE3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72B63B40">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20</w:t>
            </w:r>
          </w:p>
        </w:tc>
        <w:tc>
          <w:tcPr>
            <w:tcW w:w="838" w:type="dxa"/>
            <w:vMerge w:val="continue"/>
            <w:noWrap w:val="0"/>
            <w:vAlign w:val="center"/>
          </w:tcPr>
          <w:p w14:paraId="2E7BFB13">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6ECCC37A">
            <w:pPr>
              <w:jc w:val="center"/>
              <w:rPr>
                <w:rFonts w:hint="eastAsia" w:ascii="宋体" w:hAnsi="宋体" w:eastAsia="宋体" w:cs="宋体"/>
                <w:color w:val="auto"/>
                <w:sz w:val="20"/>
                <w:szCs w:val="20"/>
                <w:highlight w:val="none"/>
              </w:rPr>
            </w:pPr>
          </w:p>
        </w:tc>
        <w:tc>
          <w:tcPr>
            <w:tcW w:w="5954" w:type="dxa"/>
            <w:noWrap w:val="0"/>
            <w:vAlign w:val="center"/>
          </w:tcPr>
          <w:p w14:paraId="41383518">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检查启动器的工作性能；</w:t>
            </w:r>
          </w:p>
        </w:tc>
        <w:tc>
          <w:tcPr>
            <w:tcW w:w="991" w:type="dxa"/>
            <w:noWrap w:val="0"/>
            <w:vAlign w:val="center"/>
          </w:tcPr>
          <w:p w14:paraId="2E650B94">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339E2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5B46C18F">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21</w:t>
            </w:r>
          </w:p>
        </w:tc>
        <w:tc>
          <w:tcPr>
            <w:tcW w:w="838" w:type="dxa"/>
            <w:vMerge w:val="continue"/>
            <w:noWrap w:val="0"/>
            <w:vAlign w:val="center"/>
          </w:tcPr>
          <w:p w14:paraId="5B0284EF">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194FC0AA">
            <w:pPr>
              <w:jc w:val="center"/>
              <w:rPr>
                <w:rFonts w:hint="eastAsia" w:ascii="宋体" w:hAnsi="宋体" w:eastAsia="宋体" w:cs="宋体"/>
                <w:color w:val="auto"/>
                <w:sz w:val="20"/>
                <w:szCs w:val="20"/>
                <w:highlight w:val="none"/>
              </w:rPr>
            </w:pPr>
          </w:p>
        </w:tc>
        <w:tc>
          <w:tcPr>
            <w:tcW w:w="5954" w:type="dxa"/>
            <w:noWrap w:val="0"/>
            <w:vAlign w:val="center"/>
          </w:tcPr>
          <w:p w14:paraId="77B848A6">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配合检查水系统的运行情况（包括冷冻水泵、水流开关、冷却水泵、冷却塔、阀门等）；</w:t>
            </w:r>
          </w:p>
        </w:tc>
        <w:tc>
          <w:tcPr>
            <w:tcW w:w="991" w:type="dxa"/>
            <w:noWrap w:val="0"/>
            <w:vAlign w:val="center"/>
          </w:tcPr>
          <w:p w14:paraId="631927D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74AD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5EE97DC5">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22</w:t>
            </w:r>
          </w:p>
        </w:tc>
        <w:tc>
          <w:tcPr>
            <w:tcW w:w="838" w:type="dxa"/>
            <w:vMerge w:val="continue"/>
            <w:noWrap w:val="0"/>
            <w:vAlign w:val="center"/>
          </w:tcPr>
          <w:p w14:paraId="1F27212F">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4741CA1E">
            <w:pPr>
              <w:jc w:val="center"/>
              <w:rPr>
                <w:rFonts w:hint="eastAsia" w:ascii="宋体" w:hAnsi="宋体" w:eastAsia="宋体" w:cs="宋体"/>
                <w:color w:val="auto"/>
                <w:sz w:val="20"/>
                <w:szCs w:val="20"/>
                <w:highlight w:val="none"/>
              </w:rPr>
            </w:pPr>
          </w:p>
        </w:tc>
        <w:tc>
          <w:tcPr>
            <w:tcW w:w="5954" w:type="dxa"/>
            <w:noWrap w:val="0"/>
            <w:vAlign w:val="center"/>
          </w:tcPr>
          <w:p w14:paraId="7B5BC478">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检查调整微电脑控制中心的设定值；</w:t>
            </w:r>
          </w:p>
        </w:tc>
        <w:tc>
          <w:tcPr>
            <w:tcW w:w="991" w:type="dxa"/>
            <w:noWrap w:val="0"/>
            <w:vAlign w:val="center"/>
          </w:tcPr>
          <w:p w14:paraId="15C01AD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79F79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7C8BDF7F">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23</w:t>
            </w:r>
          </w:p>
        </w:tc>
        <w:tc>
          <w:tcPr>
            <w:tcW w:w="838" w:type="dxa"/>
            <w:vMerge w:val="continue"/>
            <w:noWrap w:val="0"/>
            <w:vAlign w:val="center"/>
          </w:tcPr>
          <w:p w14:paraId="3BDD847E">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3335F704">
            <w:pPr>
              <w:jc w:val="center"/>
              <w:rPr>
                <w:rFonts w:hint="eastAsia" w:ascii="宋体" w:hAnsi="宋体" w:eastAsia="宋体" w:cs="宋体"/>
                <w:color w:val="auto"/>
                <w:sz w:val="20"/>
                <w:szCs w:val="20"/>
                <w:highlight w:val="none"/>
              </w:rPr>
            </w:pPr>
          </w:p>
        </w:tc>
        <w:tc>
          <w:tcPr>
            <w:tcW w:w="5954" w:type="dxa"/>
            <w:noWrap w:val="0"/>
            <w:vAlign w:val="center"/>
          </w:tcPr>
          <w:p w14:paraId="6AAADF0B">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启动冷水机组，检查整个系统的运行状况，记录机组运行参数；</w:t>
            </w:r>
          </w:p>
        </w:tc>
        <w:tc>
          <w:tcPr>
            <w:tcW w:w="991" w:type="dxa"/>
            <w:noWrap w:val="0"/>
            <w:vAlign w:val="center"/>
          </w:tcPr>
          <w:p w14:paraId="5FCC9F0D">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279A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58745194">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24</w:t>
            </w:r>
          </w:p>
        </w:tc>
        <w:tc>
          <w:tcPr>
            <w:tcW w:w="838" w:type="dxa"/>
            <w:vMerge w:val="continue"/>
            <w:noWrap w:val="0"/>
            <w:vAlign w:val="center"/>
          </w:tcPr>
          <w:p w14:paraId="740E468D">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5E08A760">
            <w:pPr>
              <w:jc w:val="center"/>
              <w:rPr>
                <w:rFonts w:hint="eastAsia" w:ascii="宋体" w:hAnsi="宋体" w:eastAsia="宋体" w:cs="宋体"/>
                <w:color w:val="auto"/>
                <w:sz w:val="20"/>
                <w:szCs w:val="20"/>
                <w:highlight w:val="none"/>
              </w:rPr>
            </w:pPr>
          </w:p>
        </w:tc>
        <w:tc>
          <w:tcPr>
            <w:tcW w:w="5954" w:type="dxa"/>
            <w:noWrap w:val="0"/>
            <w:vAlign w:val="center"/>
          </w:tcPr>
          <w:p w14:paraId="44B94E9E">
            <w:pPr>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检查系统各处管道保温、防腐状况，发现保温、防腐失效部位立即告知</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，经同</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意后采取补救修复措施</w:t>
            </w:r>
          </w:p>
        </w:tc>
        <w:tc>
          <w:tcPr>
            <w:tcW w:w="991" w:type="dxa"/>
            <w:noWrap w:val="0"/>
            <w:vAlign w:val="center"/>
          </w:tcPr>
          <w:p w14:paraId="5C1E4429">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6873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37AF12D6">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25</w:t>
            </w:r>
          </w:p>
        </w:tc>
        <w:tc>
          <w:tcPr>
            <w:tcW w:w="838" w:type="dxa"/>
            <w:vMerge w:val="continue"/>
            <w:noWrap w:val="0"/>
            <w:vAlign w:val="center"/>
          </w:tcPr>
          <w:p w14:paraId="12B6A31A">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74B84087">
            <w:pPr>
              <w:jc w:val="center"/>
              <w:rPr>
                <w:rFonts w:hint="eastAsia" w:ascii="宋体" w:hAnsi="宋体" w:eastAsia="宋体" w:cs="宋体"/>
                <w:color w:val="auto"/>
                <w:sz w:val="20"/>
                <w:szCs w:val="20"/>
                <w:highlight w:val="none"/>
              </w:rPr>
            </w:pPr>
          </w:p>
        </w:tc>
        <w:tc>
          <w:tcPr>
            <w:tcW w:w="5954" w:type="dxa"/>
            <w:noWrap w:val="0"/>
            <w:vAlign w:val="center"/>
          </w:tcPr>
          <w:p w14:paraId="4F791DDA">
            <w:pPr>
              <w:spacing w:line="400" w:lineRule="exac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根据运行记录，分析机组存在的问题</w:t>
            </w:r>
            <w:r>
              <w:rPr>
                <w:rFonts w:hint="eastAsia" w:ascii="宋体" w:hAnsi="宋体" w:eastAsia="宋体" w:cs="宋体"/>
                <w:color w:val="auto"/>
                <w:sz w:val="20"/>
                <w:szCs w:val="20"/>
                <w:highlight w:val="none"/>
                <w:lang w:eastAsia="zh-CN"/>
              </w:rPr>
              <w:t>。</w:t>
            </w:r>
          </w:p>
        </w:tc>
        <w:tc>
          <w:tcPr>
            <w:tcW w:w="991" w:type="dxa"/>
            <w:noWrap w:val="0"/>
            <w:vAlign w:val="center"/>
          </w:tcPr>
          <w:p w14:paraId="48BAB45B">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6183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311DC87C">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26</w:t>
            </w:r>
          </w:p>
        </w:tc>
        <w:tc>
          <w:tcPr>
            <w:tcW w:w="838" w:type="dxa"/>
            <w:vMerge w:val="continue"/>
            <w:noWrap w:val="0"/>
            <w:vAlign w:val="center"/>
          </w:tcPr>
          <w:p w14:paraId="07976BBA">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59C25318">
            <w:pPr>
              <w:jc w:val="center"/>
              <w:rPr>
                <w:rFonts w:hint="eastAsia" w:ascii="宋体" w:hAnsi="宋体" w:eastAsia="宋体" w:cs="宋体"/>
                <w:color w:val="auto"/>
                <w:sz w:val="20"/>
                <w:szCs w:val="20"/>
                <w:highlight w:val="none"/>
              </w:rPr>
            </w:pPr>
          </w:p>
        </w:tc>
        <w:tc>
          <w:tcPr>
            <w:tcW w:w="5954" w:type="dxa"/>
            <w:noWrap w:val="0"/>
            <w:vAlign w:val="center"/>
          </w:tcPr>
          <w:p w14:paraId="1D93D48A">
            <w:pPr>
              <w:tabs>
                <w:tab w:val="left" w:pos="560"/>
              </w:tabs>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提供检修保养报告。</w:t>
            </w:r>
          </w:p>
        </w:tc>
        <w:tc>
          <w:tcPr>
            <w:tcW w:w="991" w:type="dxa"/>
            <w:noWrap w:val="0"/>
            <w:vAlign w:val="center"/>
          </w:tcPr>
          <w:p w14:paraId="66546558">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每季度</w:t>
            </w:r>
          </w:p>
        </w:tc>
      </w:tr>
      <w:tr w14:paraId="20A6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46C45654">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27</w:t>
            </w:r>
          </w:p>
        </w:tc>
        <w:tc>
          <w:tcPr>
            <w:tcW w:w="838" w:type="dxa"/>
            <w:vMerge w:val="continue"/>
            <w:noWrap w:val="0"/>
            <w:vAlign w:val="center"/>
          </w:tcPr>
          <w:p w14:paraId="1EC7760A">
            <w:pPr>
              <w:jc w:val="center"/>
              <w:rPr>
                <w:rFonts w:hint="eastAsia" w:ascii="宋体" w:hAnsi="宋体" w:eastAsia="宋体" w:cs="宋体"/>
                <w:color w:val="auto"/>
                <w:sz w:val="20"/>
                <w:szCs w:val="20"/>
                <w:highlight w:val="none"/>
              </w:rPr>
            </w:pPr>
          </w:p>
        </w:tc>
        <w:tc>
          <w:tcPr>
            <w:tcW w:w="1222" w:type="dxa"/>
            <w:noWrap w:val="0"/>
            <w:vAlign w:val="center"/>
          </w:tcPr>
          <w:p w14:paraId="47DF5494">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保温</w:t>
            </w:r>
          </w:p>
        </w:tc>
        <w:tc>
          <w:tcPr>
            <w:tcW w:w="5954" w:type="dxa"/>
            <w:noWrap w:val="0"/>
            <w:vAlign w:val="center"/>
          </w:tcPr>
          <w:p w14:paraId="7C642D2E">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检查保温棉是否老化，及时处理。</w:t>
            </w:r>
          </w:p>
        </w:tc>
        <w:tc>
          <w:tcPr>
            <w:tcW w:w="991" w:type="dxa"/>
            <w:noWrap w:val="0"/>
            <w:vAlign w:val="center"/>
          </w:tcPr>
          <w:p w14:paraId="7FDE3DEF">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70943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79DEC38B">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28</w:t>
            </w:r>
          </w:p>
        </w:tc>
        <w:tc>
          <w:tcPr>
            <w:tcW w:w="838" w:type="dxa"/>
            <w:vMerge w:val="continue"/>
            <w:noWrap w:val="0"/>
            <w:vAlign w:val="center"/>
          </w:tcPr>
          <w:p w14:paraId="41ADA14E">
            <w:pPr>
              <w:jc w:val="center"/>
              <w:rPr>
                <w:rFonts w:hint="eastAsia" w:ascii="宋体" w:hAnsi="宋体" w:eastAsia="宋体" w:cs="宋体"/>
                <w:color w:val="auto"/>
                <w:sz w:val="20"/>
                <w:szCs w:val="20"/>
                <w:highlight w:val="none"/>
              </w:rPr>
            </w:pPr>
          </w:p>
        </w:tc>
        <w:tc>
          <w:tcPr>
            <w:tcW w:w="1222" w:type="dxa"/>
            <w:noWrap w:val="0"/>
            <w:vAlign w:val="center"/>
          </w:tcPr>
          <w:p w14:paraId="2220A9F8">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维修</w:t>
            </w:r>
          </w:p>
        </w:tc>
        <w:tc>
          <w:tcPr>
            <w:tcW w:w="5954" w:type="dxa"/>
            <w:noWrap w:val="0"/>
            <w:vAlign w:val="center"/>
          </w:tcPr>
          <w:p w14:paraId="34DC7663">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根据检查维护情况分析，制定相应的维修方案。</w:t>
            </w:r>
          </w:p>
        </w:tc>
        <w:tc>
          <w:tcPr>
            <w:tcW w:w="991" w:type="dxa"/>
            <w:noWrap w:val="0"/>
            <w:vAlign w:val="center"/>
          </w:tcPr>
          <w:p w14:paraId="4952470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57EA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27E4884F">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29</w:t>
            </w:r>
          </w:p>
        </w:tc>
        <w:tc>
          <w:tcPr>
            <w:tcW w:w="838" w:type="dxa"/>
            <w:vMerge w:val="continue"/>
            <w:noWrap w:val="0"/>
            <w:vAlign w:val="center"/>
          </w:tcPr>
          <w:p w14:paraId="25292981">
            <w:pPr>
              <w:jc w:val="center"/>
              <w:rPr>
                <w:rFonts w:hint="eastAsia" w:ascii="宋体" w:hAnsi="宋体" w:eastAsia="宋体" w:cs="宋体"/>
                <w:color w:val="auto"/>
                <w:sz w:val="20"/>
                <w:szCs w:val="20"/>
                <w:highlight w:val="none"/>
              </w:rPr>
            </w:pPr>
          </w:p>
        </w:tc>
        <w:tc>
          <w:tcPr>
            <w:tcW w:w="1222" w:type="dxa"/>
            <w:vMerge w:val="restart"/>
            <w:noWrap w:val="0"/>
            <w:vAlign w:val="center"/>
          </w:tcPr>
          <w:p w14:paraId="6DE7288B">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运营记录</w:t>
            </w:r>
          </w:p>
        </w:tc>
        <w:tc>
          <w:tcPr>
            <w:tcW w:w="5954" w:type="dxa"/>
            <w:noWrap w:val="0"/>
            <w:vAlign w:val="center"/>
          </w:tcPr>
          <w:p w14:paraId="271066BD">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应有运行、检查、维护保养、修理、改造情况及故障处理结果记录。 </w:t>
            </w:r>
          </w:p>
        </w:tc>
        <w:tc>
          <w:tcPr>
            <w:tcW w:w="991" w:type="dxa"/>
            <w:noWrap w:val="0"/>
            <w:vAlign w:val="center"/>
          </w:tcPr>
          <w:p w14:paraId="2D77A60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6F33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5AF1E18F">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w:t>
            </w:r>
          </w:p>
        </w:tc>
        <w:tc>
          <w:tcPr>
            <w:tcW w:w="838" w:type="dxa"/>
            <w:vMerge w:val="continue"/>
            <w:noWrap w:val="0"/>
            <w:vAlign w:val="center"/>
          </w:tcPr>
          <w:p w14:paraId="4B5EDD02">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5B09B5F2">
            <w:pPr>
              <w:jc w:val="center"/>
              <w:rPr>
                <w:rFonts w:hint="eastAsia" w:ascii="宋体" w:hAnsi="宋体" w:eastAsia="宋体" w:cs="宋体"/>
                <w:color w:val="auto"/>
                <w:sz w:val="20"/>
                <w:szCs w:val="20"/>
                <w:highlight w:val="none"/>
              </w:rPr>
            </w:pPr>
          </w:p>
        </w:tc>
        <w:tc>
          <w:tcPr>
            <w:tcW w:w="5954" w:type="dxa"/>
            <w:noWrap w:val="0"/>
            <w:vAlign w:val="center"/>
          </w:tcPr>
          <w:p w14:paraId="4AB43308">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根据运行记录分析处理机组的其它问题。</w:t>
            </w:r>
          </w:p>
        </w:tc>
        <w:tc>
          <w:tcPr>
            <w:tcW w:w="991" w:type="dxa"/>
            <w:noWrap w:val="0"/>
            <w:vAlign w:val="center"/>
          </w:tcPr>
          <w:p w14:paraId="067FAC5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3CBE7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6538A9C6">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31</w:t>
            </w:r>
          </w:p>
        </w:tc>
        <w:tc>
          <w:tcPr>
            <w:tcW w:w="838" w:type="dxa"/>
            <w:vMerge w:val="restart"/>
            <w:noWrap w:val="0"/>
            <w:vAlign w:val="center"/>
          </w:tcPr>
          <w:p w14:paraId="1962917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空调</w:t>
            </w:r>
            <w:r>
              <w:rPr>
                <w:rFonts w:hint="eastAsia" w:ascii="宋体" w:hAnsi="宋体" w:eastAsia="宋体" w:cs="宋体"/>
                <w:color w:val="auto"/>
                <w:sz w:val="20"/>
                <w:szCs w:val="20"/>
                <w:highlight w:val="none"/>
              </w:rPr>
              <w:t>水泵</w:t>
            </w:r>
          </w:p>
        </w:tc>
        <w:tc>
          <w:tcPr>
            <w:tcW w:w="1222" w:type="dxa"/>
            <w:vMerge w:val="restart"/>
            <w:noWrap w:val="0"/>
            <w:vAlign w:val="center"/>
          </w:tcPr>
          <w:p w14:paraId="76EC987B">
            <w:pPr>
              <w:jc w:val="center"/>
              <w:rPr>
                <w:rFonts w:hint="eastAsia" w:ascii="宋体" w:hAnsi="宋体" w:eastAsia="宋体" w:cs="宋体"/>
                <w:color w:val="auto"/>
                <w:sz w:val="20"/>
                <w:szCs w:val="20"/>
                <w:highlight w:val="none"/>
              </w:rPr>
            </w:pPr>
          </w:p>
          <w:p w14:paraId="09F99B1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冷冻</w:t>
            </w:r>
            <w:r>
              <w:rPr>
                <w:rFonts w:hint="eastAsia" w:ascii="宋体" w:hAnsi="宋体" w:eastAsia="宋体" w:cs="宋体"/>
                <w:color w:val="auto"/>
                <w:sz w:val="20"/>
                <w:szCs w:val="20"/>
                <w:highlight w:val="none"/>
              </w:rPr>
              <w:t>水泵</w:t>
            </w:r>
          </w:p>
        </w:tc>
        <w:tc>
          <w:tcPr>
            <w:tcW w:w="5954" w:type="dxa"/>
            <w:noWrap w:val="0"/>
            <w:vAlign w:val="center"/>
          </w:tcPr>
          <w:p w14:paraId="0B27AF2B">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检查调节水泵的压差及阀门的开启度；</w:t>
            </w:r>
          </w:p>
        </w:tc>
        <w:tc>
          <w:tcPr>
            <w:tcW w:w="991" w:type="dxa"/>
            <w:noWrap w:val="0"/>
            <w:vAlign w:val="center"/>
          </w:tcPr>
          <w:p w14:paraId="60BBF0F3">
            <w:pPr>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每月</w:t>
            </w:r>
          </w:p>
        </w:tc>
      </w:tr>
      <w:tr w14:paraId="08646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72FF2DAB">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32</w:t>
            </w:r>
          </w:p>
        </w:tc>
        <w:tc>
          <w:tcPr>
            <w:tcW w:w="838" w:type="dxa"/>
            <w:vMerge w:val="continue"/>
            <w:noWrap w:val="0"/>
            <w:vAlign w:val="center"/>
          </w:tcPr>
          <w:p w14:paraId="47473AAC">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3E845E1B">
            <w:pPr>
              <w:jc w:val="center"/>
              <w:rPr>
                <w:rFonts w:hint="eastAsia" w:ascii="宋体" w:hAnsi="宋体" w:eastAsia="宋体" w:cs="宋体"/>
                <w:color w:val="auto"/>
                <w:sz w:val="20"/>
                <w:szCs w:val="20"/>
                <w:highlight w:val="none"/>
              </w:rPr>
            </w:pPr>
          </w:p>
        </w:tc>
        <w:tc>
          <w:tcPr>
            <w:tcW w:w="5954" w:type="dxa"/>
            <w:noWrap w:val="0"/>
            <w:vAlign w:val="center"/>
          </w:tcPr>
          <w:p w14:paraId="54A64FB8">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检查确认控制部分电气装置性能及状况良好；</w:t>
            </w:r>
          </w:p>
        </w:tc>
        <w:tc>
          <w:tcPr>
            <w:tcW w:w="991" w:type="dxa"/>
            <w:noWrap w:val="0"/>
            <w:vAlign w:val="center"/>
          </w:tcPr>
          <w:p w14:paraId="465BE1BF">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43721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42" w:type="dxa"/>
            <w:noWrap w:val="0"/>
            <w:vAlign w:val="center"/>
          </w:tcPr>
          <w:p w14:paraId="2BB9C12E">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33</w:t>
            </w:r>
          </w:p>
        </w:tc>
        <w:tc>
          <w:tcPr>
            <w:tcW w:w="838" w:type="dxa"/>
            <w:vMerge w:val="continue"/>
            <w:noWrap w:val="0"/>
            <w:vAlign w:val="center"/>
          </w:tcPr>
          <w:p w14:paraId="71166E85">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0AA09FFE">
            <w:pPr>
              <w:jc w:val="center"/>
              <w:rPr>
                <w:rFonts w:hint="eastAsia" w:ascii="宋体" w:hAnsi="宋体" w:eastAsia="宋体" w:cs="宋体"/>
                <w:color w:val="auto"/>
                <w:sz w:val="20"/>
                <w:szCs w:val="20"/>
                <w:highlight w:val="none"/>
              </w:rPr>
            </w:pPr>
          </w:p>
        </w:tc>
        <w:tc>
          <w:tcPr>
            <w:tcW w:w="5954" w:type="dxa"/>
            <w:noWrap w:val="0"/>
            <w:vAlign w:val="center"/>
          </w:tcPr>
          <w:p w14:paraId="784AE45F">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检查校对电机--水泵的连轴装置及同心度；</w:t>
            </w:r>
          </w:p>
        </w:tc>
        <w:tc>
          <w:tcPr>
            <w:tcW w:w="991" w:type="dxa"/>
            <w:noWrap w:val="0"/>
            <w:vAlign w:val="center"/>
          </w:tcPr>
          <w:p w14:paraId="33F4A41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6F527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261F8F1F">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34</w:t>
            </w:r>
          </w:p>
        </w:tc>
        <w:tc>
          <w:tcPr>
            <w:tcW w:w="838" w:type="dxa"/>
            <w:vMerge w:val="continue"/>
            <w:noWrap w:val="0"/>
            <w:vAlign w:val="center"/>
          </w:tcPr>
          <w:p w14:paraId="220B3A1A">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30664ECC">
            <w:pPr>
              <w:jc w:val="center"/>
              <w:rPr>
                <w:rFonts w:hint="eastAsia" w:ascii="宋体" w:hAnsi="宋体" w:eastAsia="宋体" w:cs="宋体"/>
                <w:color w:val="auto"/>
                <w:sz w:val="20"/>
                <w:szCs w:val="20"/>
                <w:highlight w:val="none"/>
              </w:rPr>
            </w:pPr>
          </w:p>
        </w:tc>
        <w:tc>
          <w:tcPr>
            <w:tcW w:w="5954" w:type="dxa"/>
            <w:noWrap w:val="0"/>
            <w:vAlign w:val="center"/>
          </w:tcPr>
          <w:p w14:paraId="56C01735">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检查水泵的密封件，密封填料和轴封；</w:t>
            </w:r>
          </w:p>
        </w:tc>
        <w:tc>
          <w:tcPr>
            <w:tcW w:w="991" w:type="dxa"/>
            <w:noWrap w:val="0"/>
            <w:vAlign w:val="center"/>
          </w:tcPr>
          <w:p w14:paraId="644E7339">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70EA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0AC8029B">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35</w:t>
            </w:r>
          </w:p>
        </w:tc>
        <w:tc>
          <w:tcPr>
            <w:tcW w:w="838" w:type="dxa"/>
            <w:vMerge w:val="continue"/>
            <w:noWrap w:val="0"/>
            <w:vAlign w:val="center"/>
          </w:tcPr>
          <w:p w14:paraId="275A92FD">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276D9D28">
            <w:pPr>
              <w:jc w:val="center"/>
              <w:rPr>
                <w:rFonts w:hint="eastAsia" w:ascii="宋体" w:hAnsi="宋体" w:eastAsia="宋体" w:cs="宋体"/>
                <w:color w:val="auto"/>
                <w:sz w:val="20"/>
                <w:szCs w:val="20"/>
                <w:highlight w:val="none"/>
              </w:rPr>
            </w:pPr>
          </w:p>
        </w:tc>
        <w:tc>
          <w:tcPr>
            <w:tcW w:w="5954" w:type="dxa"/>
            <w:noWrap w:val="0"/>
            <w:vAlign w:val="center"/>
          </w:tcPr>
          <w:p w14:paraId="4ACA7AB6">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调整水流压差以满足系统的运行需要；</w:t>
            </w:r>
          </w:p>
        </w:tc>
        <w:tc>
          <w:tcPr>
            <w:tcW w:w="991" w:type="dxa"/>
            <w:noWrap w:val="0"/>
            <w:vAlign w:val="center"/>
          </w:tcPr>
          <w:p w14:paraId="06DBE10E">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每月</w:t>
            </w:r>
          </w:p>
        </w:tc>
      </w:tr>
      <w:tr w14:paraId="01CD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76B7F68C">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36</w:t>
            </w:r>
          </w:p>
        </w:tc>
        <w:tc>
          <w:tcPr>
            <w:tcW w:w="838" w:type="dxa"/>
            <w:vMerge w:val="continue"/>
            <w:noWrap w:val="0"/>
            <w:vAlign w:val="center"/>
          </w:tcPr>
          <w:p w14:paraId="47221503">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400016B7">
            <w:pPr>
              <w:jc w:val="center"/>
              <w:rPr>
                <w:rFonts w:hint="eastAsia" w:ascii="宋体" w:hAnsi="宋体" w:eastAsia="宋体" w:cs="宋体"/>
                <w:color w:val="auto"/>
                <w:sz w:val="20"/>
                <w:szCs w:val="20"/>
                <w:highlight w:val="none"/>
              </w:rPr>
            </w:pPr>
          </w:p>
        </w:tc>
        <w:tc>
          <w:tcPr>
            <w:tcW w:w="5954" w:type="dxa"/>
            <w:noWrap w:val="0"/>
            <w:vAlign w:val="center"/>
          </w:tcPr>
          <w:p w14:paraId="0F1376D6">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记录水泵的工作电压、运行电流</w:t>
            </w:r>
            <w:r>
              <w:rPr>
                <w:rFonts w:hint="eastAsia" w:ascii="宋体" w:hAnsi="宋体" w:eastAsia="宋体" w:cs="宋体"/>
                <w:color w:val="auto"/>
                <w:sz w:val="20"/>
                <w:szCs w:val="20"/>
                <w:highlight w:val="none"/>
                <w:lang w:eastAsia="zh-CN"/>
              </w:rPr>
              <w:t>；</w:t>
            </w:r>
          </w:p>
        </w:tc>
        <w:tc>
          <w:tcPr>
            <w:tcW w:w="991" w:type="dxa"/>
            <w:noWrap w:val="0"/>
            <w:vAlign w:val="center"/>
          </w:tcPr>
          <w:p w14:paraId="394BE0CB">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每月</w:t>
            </w:r>
          </w:p>
        </w:tc>
      </w:tr>
      <w:tr w14:paraId="38C6F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345C6908">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37</w:t>
            </w:r>
          </w:p>
        </w:tc>
        <w:tc>
          <w:tcPr>
            <w:tcW w:w="838" w:type="dxa"/>
            <w:vMerge w:val="continue"/>
            <w:noWrap w:val="0"/>
            <w:vAlign w:val="center"/>
          </w:tcPr>
          <w:p w14:paraId="2E0A56E3">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167762E1">
            <w:pPr>
              <w:jc w:val="center"/>
              <w:rPr>
                <w:rFonts w:hint="eastAsia" w:ascii="宋体" w:hAnsi="宋体" w:eastAsia="宋体" w:cs="宋体"/>
                <w:color w:val="auto"/>
                <w:sz w:val="20"/>
                <w:szCs w:val="20"/>
                <w:highlight w:val="none"/>
              </w:rPr>
            </w:pPr>
          </w:p>
        </w:tc>
        <w:tc>
          <w:tcPr>
            <w:tcW w:w="5954" w:type="dxa"/>
            <w:noWrap w:val="0"/>
            <w:vAlign w:val="center"/>
          </w:tcPr>
          <w:p w14:paraId="60BC7913">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记录水压表（压力表）参数；</w:t>
            </w:r>
          </w:p>
        </w:tc>
        <w:tc>
          <w:tcPr>
            <w:tcW w:w="991" w:type="dxa"/>
            <w:noWrap w:val="0"/>
            <w:vAlign w:val="center"/>
          </w:tcPr>
          <w:p w14:paraId="32BFA016">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每月</w:t>
            </w:r>
          </w:p>
        </w:tc>
      </w:tr>
      <w:tr w14:paraId="508B7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63DA7E12">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38</w:t>
            </w:r>
          </w:p>
        </w:tc>
        <w:tc>
          <w:tcPr>
            <w:tcW w:w="838" w:type="dxa"/>
            <w:vMerge w:val="continue"/>
            <w:noWrap w:val="0"/>
            <w:vAlign w:val="center"/>
          </w:tcPr>
          <w:p w14:paraId="26DC06FA">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3DDA32E0">
            <w:pPr>
              <w:jc w:val="center"/>
              <w:rPr>
                <w:rFonts w:hint="eastAsia" w:ascii="宋体" w:hAnsi="宋体" w:eastAsia="宋体" w:cs="宋体"/>
                <w:color w:val="auto"/>
                <w:sz w:val="20"/>
                <w:szCs w:val="20"/>
                <w:highlight w:val="none"/>
              </w:rPr>
            </w:pPr>
          </w:p>
        </w:tc>
        <w:tc>
          <w:tcPr>
            <w:tcW w:w="5954" w:type="dxa"/>
            <w:noWrap w:val="0"/>
            <w:vAlign w:val="center"/>
          </w:tcPr>
          <w:p w14:paraId="348B0273">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检查管道渗漏情况；</w:t>
            </w:r>
          </w:p>
        </w:tc>
        <w:tc>
          <w:tcPr>
            <w:tcW w:w="991" w:type="dxa"/>
            <w:noWrap w:val="0"/>
            <w:vAlign w:val="center"/>
          </w:tcPr>
          <w:p w14:paraId="7D5E404B">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每</w:t>
            </w:r>
            <w:r>
              <w:rPr>
                <w:rFonts w:hint="eastAsia" w:ascii="宋体" w:hAnsi="宋体" w:eastAsia="宋体" w:cs="宋体"/>
                <w:color w:val="auto"/>
                <w:sz w:val="20"/>
                <w:szCs w:val="20"/>
                <w:highlight w:val="none"/>
                <w:lang w:val="en-US" w:eastAsia="zh-CN"/>
              </w:rPr>
              <w:t>月</w:t>
            </w:r>
          </w:p>
        </w:tc>
      </w:tr>
      <w:tr w14:paraId="7AB2B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5C9C809C">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39</w:t>
            </w:r>
          </w:p>
        </w:tc>
        <w:tc>
          <w:tcPr>
            <w:tcW w:w="838" w:type="dxa"/>
            <w:vMerge w:val="continue"/>
            <w:noWrap w:val="0"/>
            <w:vAlign w:val="center"/>
          </w:tcPr>
          <w:p w14:paraId="033073FE">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4ADC1A89">
            <w:pPr>
              <w:jc w:val="center"/>
              <w:rPr>
                <w:rFonts w:hint="eastAsia" w:ascii="宋体" w:hAnsi="宋体" w:eastAsia="宋体" w:cs="宋体"/>
                <w:color w:val="auto"/>
                <w:sz w:val="20"/>
                <w:szCs w:val="20"/>
                <w:highlight w:val="none"/>
              </w:rPr>
            </w:pPr>
          </w:p>
        </w:tc>
        <w:tc>
          <w:tcPr>
            <w:tcW w:w="5954" w:type="dxa"/>
            <w:noWrap w:val="0"/>
            <w:vAlign w:val="center"/>
          </w:tcPr>
          <w:p w14:paraId="30A0134B">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检查紧固各螺栓；</w:t>
            </w:r>
          </w:p>
        </w:tc>
        <w:tc>
          <w:tcPr>
            <w:tcW w:w="991" w:type="dxa"/>
            <w:noWrap w:val="0"/>
            <w:vAlign w:val="center"/>
          </w:tcPr>
          <w:p w14:paraId="5756D40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65CE2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7DC850E6">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40</w:t>
            </w:r>
          </w:p>
        </w:tc>
        <w:tc>
          <w:tcPr>
            <w:tcW w:w="838" w:type="dxa"/>
            <w:vMerge w:val="restart"/>
            <w:noWrap w:val="0"/>
            <w:vAlign w:val="center"/>
          </w:tcPr>
          <w:p w14:paraId="3EA89151">
            <w:pPr>
              <w:jc w:val="center"/>
              <w:rPr>
                <w:rFonts w:hint="eastAsia" w:ascii="宋体" w:hAnsi="宋体" w:eastAsia="宋体" w:cs="宋体"/>
                <w:color w:val="auto"/>
                <w:sz w:val="20"/>
                <w:szCs w:val="20"/>
                <w:highlight w:val="none"/>
              </w:rPr>
            </w:pPr>
            <w:r>
              <w:rPr>
                <w:rFonts w:hint="eastAsia" w:ascii="宋体" w:hAnsi="宋体" w:eastAsia="宋体" w:cs="宋体"/>
                <w:bCs/>
                <w:color w:val="auto"/>
                <w:sz w:val="20"/>
                <w:szCs w:val="20"/>
                <w:highlight w:val="none"/>
              </w:rPr>
              <w:t>风机盘管/风柜/新风机</w:t>
            </w:r>
          </w:p>
        </w:tc>
        <w:tc>
          <w:tcPr>
            <w:tcW w:w="1222" w:type="dxa"/>
            <w:noWrap w:val="0"/>
            <w:vAlign w:val="center"/>
          </w:tcPr>
          <w:p w14:paraId="07FCFDC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风口</w:t>
            </w:r>
          </w:p>
        </w:tc>
        <w:tc>
          <w:tcPr>
            <w:tcW w:w="5954" w:type="dxa"/>
            <w:noWrap w:val="0"/>
            <w:vAlign w:val="center"/>
          </w:tcPr>
          <w:p w14:paraId="3D1D6865">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检测风机盘管出风口温度是否正常，定期清洗风口及过滤网，排除盘管内的空气。 </w:t>
            </w:r>
          </w:p>
        </w:tc>
        <w:tc>
          <w:tcPr>
            <w:tcW w:w="991" w:type="dxa"/>
            <w:noWrap w:val="0"/>
            <w:vAlign w:val="center"/>
          </w:tcPr>
          <w:p w14:paraId="7E5430E8">
            <w:pPr>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每</w:t>
            </w:r>
            <w:r>
              <w:rPr>
                <w:rFonts w:hint="eastAsia" w:ascii="宋体" w:hAnsi="宋体" w:eastAsia="宋体" w:cs="宋体"/>
                <w:color w:val="auto"/>
                <w:sz w:val="20"/>
                <w:szCs w:val="20"/>
                <w:highlight w:val="none"/>
                <w:lang w:val="en-US" w:eastAsia="zh-CN"/>
              </w:rPr>
              <w:t>年</w:t>
            </w:r>
          </w:p>
        </w:tc>
      </w:tr>
      <w:tr w14:paraId="44187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42" w:type="dxa"/>
            <w:noWrap w:val="0"/>
            <w:vAlign w:val="center"/>
          </w:tcPr>
          <w:p w14:paraId="7CCE76C0">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41</w:t>
            </w:r>
          </w:p>
        </w:tc>
        <w:tc>
          <w:tcPr>
            <w:tcW w:w="838" w:type="dxa"/>
            <w:vMerge w:val="continue"/>
            <w:noWrap w:val="0"/>
            <w:vAlign w:val="center"/>
          </w:tcPr>
          <w:p w14:paraId="76A3FA95">
            <w:pPr>
              <w:jc w:val="center"/>
              <w:rPr>
                <w:rFonts w:hint="eastAsia" w:ascii="宋体" w:hAnsi="宋体" w:eastAsia="宋体" w:cs="宋体"/>
                <w:color w:val="auto"/>
                <w:sz w:val="20"/>
                <w:szCs w:val="20"/>
                <w:highlight w:val="none"/>
              </w:rPr>
            </w:pPr>
          </w:p>
        </w:tc>
        <w:tc>
          <w:tcPr>
            <w:tcW w:w="1222" w:type="dxa"/>
            <w:noWrap w:val="0"/>
            <w:vAlign w:val="center"/>
          </w:tcPr>
          <w:p w14:paraId="66C27F74">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风机</w:t>
            </w:r>
          </w:p>
        </w:tc>
        <w:tc>
          <w:tcPr>
            <w:tcW w:w="5954" w:type="dxa"/>
            <w:noWrap w:val="0"/>
            <w:vAlign w:val="center"/>
          </w:tcPr>
          <w:p w14:paraId="442677FA">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检查风机是否转动灵活，如有阻滞现象，则应加注润滑油，如有异常摩擦响声则应更换风机轴承或更换风机。 </w:t>
            </w:r>
          </w:p>
        </w:tc>
        <w:tc>
          <w:tcPr>
            <w:tcW w:w="991" w:type="dxa"/>
            <w:noWrap w:val="0"/>
            <w:vAlign w:val="center"/>
          </w:tcPr>
          <w:p w14:paraId="6AAA90F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268ED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39240FA8">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42</w:t>
            </w:r>
          </w:p>
        </w:tc>
        <w:tc>
          <w:tcPr>
            <w:tcW w:w="838" w:type="dxa"/>
            <w:vMerge w:val="continue"/>
            <w:noWrap w:val="0"/>
            <w:vAlign w:val="center"/>
          </w:tcPr>
          <w:p w14:paraId="222A9720">
            <w:pPr>
              <w:jc w:val="center"/>
              <w:rPr>
                <w:rFonts w:hint="eastAsia" w:ascii="宋体" w:hAnsi="宋体" w:eastAsia="宋体" w:cs="宋体"/>
                <w:color w:val="auto"/>
                <w:sz w:val="20"/>
                <w:szCs w:val="20"/>
                <w:highlight w:val="none"/>
              </w:rPr>
            </w:pPr>
          </w:p>
        </w:tc>
        <w:tc>
          <w:tcPr>
            <w:tcW w:w="1222" w:type="dxa"/>
            <w:noWrap w:val="0"/>
            <w:vAlign w:val="center"/>
          </w:tcPr>
          <w:p w14:paraId="381CECE3">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接水盘</w:t>
            </w:r>
          </w:p>
        </w:tc>
        <w:tc>
          <w:tcPr>
            <w:tcW w:w="5954" w:type="dxa"/>
            <w:noWrap w:val="0"/>
            <w:vAlign w:val="center"/>
          </w:tcPr>
          <w:p w14:paraId="0025672A">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清洁风机盘管、风柜积水盘上的污物。 </w:t>
            </w:r>
          </w:p>
        </w:tc>
        <w:tc>
          <w:tcPr>
            <w:tcW w:w="991" w:type="dxa"/>
            <w:noWrap w:val="0"/>
            <w:vAlign w:val="center"/>
          </w:tcPr>
          <w:p w14:paraId="70512098">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716D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1F761CC7">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43</w:t>
            </w:r>
          </w:p>
        </w:tc>
        <w:tc>
          <w:tcPr>
            <w:tcW w:w="838" w:type="dxa"/>
            <w:vMerge w:val="continue"/>
            <w:noWrap w:val="0"/>
            <w:vAlign w:val="center"/>
          </w:tcPr>
          <w:p w14:paraId="0200BE97">
            <w:pPr>
              <w:jc w:val="center"/>
              <w:rPr>
                <w:rFonts w:hint="eastAsia" w:ascii="宋体" w:hAnsi="宋体" w:eastAsia="宋体" w:cs="宋体"/>
                <w:color w:val="auto"/>
                <w:sz w:val="20"/>
                <w:szCs w:val="20"/>
                <w:highlight w:val="none"/>
              </w:rPr>
            </w:pPr>
          </w:p>
        </w:tc>
        <w:tc>
          <w:tcPr>
            <w:tcW w:w="1222" w:type="dxa"/>
            <w:noWrap w:val="0"/>
            <w:vAlign w:val="center"/>
          </w:tcPr>
          <w:p w14:paraId="5A0C28D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温控器</w:t>
            </w:r>
          </w:p>
        </w:tc>
        <w:tc>
          <w:tcPr>
            <w:tcW w:w="5954" w:type="dxa"/>
            <w:noWrap w:val="0"/>
            <w:vAlign w:val="center"/>
          </w:tcPr>
          <w:p w14:paraId="6424243B">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检查温控开关工作情况，不正常或控制失灵要及时修理或更换。</w:t>
            </w:r>
          </w:p>
        </w:tc>
        <w:tc>
          <w:tcPr>
            <w:tcW w:w="991" w:type="dxa"/>
            <w:noWrap w:val="0"/>
            <w:vAlign w:val="center"/>
          </w:tcPr>
          <w:p w14:paraId="7BEE4EBF">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1BB8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1F0E0E5E">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44</w:t>
            </w:r>
          </w:p>
        </w:tc>
        <w:tc>
          <w:tcPr>
            <w:tcW w:w="838" w:type="dxa"/>
            <w:vMerge w:val="continue"/>
            <w:noWrap w:val="0"/>
            <w:vAlign w:val="center"/>
          </w:tcPr>
          <w:p w14:paraId="5FD91DFA">
            <w:pPr>
              <w:jc w:val="center"/>
              <w:rPr>
                <w:rFonts w:hint="eastAsia" w:ascii="宋体" w:hAnsi="宋体" w:eastAsia="宋体" w:cs="宋体"/>
                <w:color w:val="auto"/>
                <w:sz w:val="20"/>
                <w:szCs w:val="20"/>
                <w:highlight w:val="none"/>
              </w:rPr>
            </w:pPr>
          </w:p>
        </w:tc>
        <w:tc>
          <w:tcPr>
            <w:tcW w:w="1222" w:type="dxa"/>
            <w:noWrap w:val="0"/>
            <w:vAlign w:val="center"/>
          </w:tcPr>
          <w:p w14:paraId="1115C664">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保温</w:t>
            </w:r>
          </w:p>
        </w:tc>
        <w:tc>
          <w:tcPr>
            <w:tcW w:w="5954" w:type="dxa"/>
            <w:noWrap w:val="0"/>
            <w:vAlign w:val="center"/>
          </w:tcPr>
          <w:p w14:paraId="1F2337D7">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检查滴水盘、水管、风管保温层的情况，破坏要及时修补或更换。</w:t>
            </w:r>
          </w:p>
        </w:tc>
        <w:tc>
          <w:tcPr>
            <w:tcW w:w="991" w:type="dxa"/>
            <w:noWrap w:val="0"/>
            <w:vAlign w:val="center"/>
          </w:tcPr>
          <w:p w14:paraId="48DB6CD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7D053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42" w:type="dxa"/>
            <w:noWrap w:val="0"/>
            <w:vAlign w:val="center"/>
          </w:tcPr>
          <w:p w14:paraId="1A2D460F">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45</w:t>
            </w:r>
          </w:p>
        </w:tc>
        <w:tc>
          <w:tcPr>
            <w:tcW w:w="838" w:type="dxa"/>
            <w:vMerge w:val="continue"/>
            <w:noWrap w:val="0"/>
            <w:vAlign w:val="center"/>
          </w:tcPr>
          <w:p w14:paraId="33218907">
            <w:pPr>
              <w:jc w:val="center"/>
              <w:rPr>
                <w:rFonts w:hint="eastAsia" w:ascii="宋体" w:hAnsi="宋体" w:eastAsia="宋体" w:cs="宋体"/>
                <w:color w:val="auto"/>
                <w:sz w:val="20"/>
                <w:szCs w:val="20"/>
                <w:highlight w:val="none"/>
              </w:rPr>
            </w:pPr>
          </w:p>
        </w:tc>
        <w:tc>
          <w:tcPr>
            <w:tcW w:w="1222" w:type="dxa"/>
            <w:noWrap w:val="0"/>
            <w:vAlign w:val="center"/>
          </w:tcPr>
          <w:p w14:paraId="0031E66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电机</w:t>
            </w:r>
          </w:p>
        </w:tc>
        <w:tc>
          <w:tcPr>
            <w:tcW w:w="5954" w:type="dxa"/>
            <w:noWrap w:val="0"/>
            <w:vAlign w:val="center"/>
          </w:tcPr>
          <w:p w14:paraId="03911BFB">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检查风机电容有无变形、鼓胀或开裂，如是则应更换同规格电容；检查各接线头是否牢固，是否有过热痕迹，如是则作相应整修。 </w:t>
            </w:r>
          </w:p>
        </w:tc>
        <w:tc>
          <w:tcPr>
            <w:tcW w:w="991" w:type="dxa"/>
            <w:noWrap w:val="0"/>
            <w:vAlign w:val="center"/>
          </w:tcPr>
          <w:p w14:paraId="2E39436F">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188F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79777A67">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46</w:t>
            </w:r>
          </w:p>
        </w:tc>
        <w:tc>
          <w:tcPr>
            <w:tcW w:w="838" w:type="dxa"/>
            <w:vMerge w:val="continue"/>
            <w:noWrap w:val="0"/>
            <w:vAlign w:val="center"/>
          </w:tcPr>
          <w:p w14:paraId="343E6F82">
            <w:pPr>
              <w:jc w:val="center"/>
              <w:rPr>
                <w:rFonts w:hint="eastAsia" w:ascii="宋体" w:hAnsi="宋体" w:eastAsia="宋体" w:cs="宋体"/>
                <w:color w:val="auto"/>
                <w:sz w:val="20"/>
                <w:szCs w:val="20"/>
                <w:highlight w:val="none"/>
              </w:rPr>
            </w:pPr>
          </w:p>
        </w:tc>
        <w:tc>
          <w:tcPr>
            <w:tcW w:w="1222" w:type="dxa"/>
            <w:vMerge w:val="restart"/>
            <w:noWrap w:val="0"/>
            <w:vAlign w:val="center"/>
          </w:tcPr>
          <w:p w14:paraId="469960A8">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新风机</w:t>
            </w:r>
          </w:p>
        </w:tc>
        <w:tc>
          <w:tcPr>
            <w:tcW w:w="5954" w:type="dxa"/>
            <w:noWrap w:val="0"/>
            <w:vAlign w:val="center"/>
          </w:tcPr>
          <w:p w14:paraId="50D24B58">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清扫新风空调机柜表面灰尘，检查机脚螺栓，联接螺栓有无松动，螺栓、防火阀金属表面有无锈蚀，发现故障立即处理。</w:t>
            </w:r>
          </w:p>
        </w:tc>
        <w:tc>
          <w:tcPr>
            <w:tcW w:w="991" w:type="dxa"/>
            <w:noWrap w:val="0"/>
            <w:vAlign w:val="center"/>
          </w:tcPr>
          <w:p w14:paraId="63955519">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7F83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607C7F18">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47</w:t>
            </w:r>
          </w:p>
        </w:tc>
        <w:tc>
          <w:tcPr>
            <w:tcW w:w="838" w:type="dxa"/>
            <w:vMerge w:val="continue"/>
            <w:noWrap w:val="0"/>
            <w:vAlign w:val="center"/>
          </w:tcPr>
          <w:p w14:paraId="094C37C5">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62C6CAD5">
            <w:pPr>
              <w:jc w:val="center"/>
              <w:rPr>
                <w:rFonts w:hint="eastAsia" w:ascii="宋体" w:hAnsi="宋体" w:eastAsia="宋体" w:cs="宋体"/>
                <w:color w:val="auto"/>
                <w:sz w:val="20"/>
                <w:szCs w:val="20"/>
                <w:highlight w:val="none"/>
              </w:rPr>
            </w:pPr>
          </w:p>
        </w:tc>
        <w:tc>
          <w:tcPr>
            <w:tcW w:w="5954" w:type="dxa"/>
            <w:noWrap w:val="0"/>
            <w:vAlign w:val="center"/>
          </w:tcPr>
          <w:p w14:paraId="2BE7F576">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检查风机皮带和调整其张紧度，皮带损坏的及时更换。</w:t>
            </w:r>
          </w:p>
        </w:tc>
        <w:tc>
          <w:tcPr>
            <w:tcW w:w="991" w:type="dxa"/>
            <w:noWrap w:val="0"/>
            <w:vAlign w:val="center"/>
          </w:tcPr>
          <w:p w14:paraId="2557096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每月</w:t>
            </w:r>
          </w:p>
        </w:tc>
      </w:tr>
      <w:tr w14:paraId="076B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7A363EF2">
            <w:pPr>
              <w:pStyle w:val="26"/>
              <w:numPr>
                <w:ilvl w:val="0"/>
                <w:numId w:val="0"/>
              </w:numPr>
              <w:ind w:leftChars="0"/>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48</w:t>
            </w:r>
          </w:p>
        </w:tc>
        <w:tc>
          <w:tcPr>
            <w:tcW w:w="838" w:type="dxa"/>
            <w:vMerge w:val="restart"/>
            <w:noWrap w:val="0"/>
            <w:vAlign w:val="center"/>
          </w:tcPr>
          <w:p w14:paraId="572BBB61">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风管系统</w:t>
            </w:r>
          </w:p>
        </w:tc>
        <w:tc>
          <w:tcPr>
            <w:tcW w:w="1222" w:type="dxa"/>
            <w:noWrap w:val="0"/>
            <w:vAlign w:val="center"/>
          </w:tcPr>
          <w:p w14:paraId="7195BCFB">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风阀</w:t>
            </w:r>
          </w:p>
        </w:tc>
        <w:tc>
          <w:tcPr>
            <w:tcW w:w="5954" w:type="dxa"/>
            <w:noWrap w:val="0"/>
            <w:vAlign w:val="center"/>
          </w:tcPr>
          <w:p w14:paraId="11255796">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检查各种风阀的灵活性、稳固性和开启的准确性，并进行必要的润滑和堵漏。</w:t>
            </w:r>
          </w:p>
        </w:tc>
        <w:tc>
          <w:tcPr>
            <w:tcW w:w="991" w:type="dxa"/>
            <w:noWrap w:val="0"/>
            <w:vAlign w:val="center"/>
          </w:tcPr>
          <w:p w14:paraId="3F2111DD">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14749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4404130B">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49</w:t>
            </w:r>
          </w:p>
        </w:tc>
        <w:tc>
          <w:tcPr>
            <w:tcW w:w="838" w:type="dxa"/>
            <w:vMerge w:val="continue"/>
            <w:noWrap w:val="0"/>
            <w:vAlign w:val="center"/>
          </w:tcPr>
          <w:p w14:paraId="3BDDC9F6">
            <w:pPr>
              <w:jc w:val="center"/>
              <w:rPr>
                <w:rFonts w:hint="eastAsia" w:ascii="宋体" w:hAnsi="宋体" w:eastAsia="宋体" w:cs="宋体"/>
                <w:color w:val="auto"/>
                <w:sz w:val="20"/>
                <w:szCs w:val="20"/>
                <w:highlight w:val="none"/>
              </w:rPr>
            </w:pPr>
          </w:p>
        </w:tc>
        <w:tc>
          <w:tcPr>
            <w:tcW w:w="1222" w:type="dxa"/>
            <w:vMerge w:val="restart"/>
            <w:noWrap w:val="0"/>
            <w:vAlign w:val="center"/>
          </w:tcPr>
          <w:p w14:paraId="3635CBEA">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风口</w:t>
            </w:r>
          </w:p>
        </w:tc>
        <w:tc>
          <w:tcPr>
            <w:tcW w:w="5954" w:type="dxa"/>
            <w:noWrap w:val="0"/>
            <w:vAlign w:val="center"/>
          </w:tcPr>
          <w:p w14:paraId="08BCBF16">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对送回风口进行清洁和紧固。</w:t>
            </w:r>
          </w:p>
        </w:tc>
        <w:tc>
          <w:tcPr>
            <w:tcW w:w="991" w:type="dxa"/>
            <w:noWrap w:val="0"/>
            <w:vAlign w:val="center"/>
          </w:tcPr>
          <w:p w14:paraId="0E9FFFB7">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4F50E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055FC54E">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50</w:t>
            </w:r>
          </w:p>
        </w:tc>
        <w:tc>
          <w:tcPr>
            <w:tcW w:w="838" w:type="dxa"/>
            <w:vMerge w:val="continue"/>
            <w:noWrap w:val="0"/>
            <w:vAlign w:val="center"/>
          </w:tcPr>
          <w:p w14:paraId="13CB77B2">
            <w:pPr>
              <w:jc w:val="center"/>
              <w:rPr>
                <w:rFonts w:hint="eastAsia" w:ascii="宋体" w:hAnsi="宋体" w:eastAsia="宋体" w:cs="宋体"/>
                <w:color w:val="auto"/>
                <w:sz w:val="20"/>
                <w:szCs w:val="20"/>
                <w:highlight w:val="none"/>
              </w:rPr>
            </w:pPr>
          </w:p>
        </w:tc>
        <w:tc>
          <w:tcPr>
            <w:tcW w:w="1222" w:type="dxa"/>
            <w:vMerge w:val="continue"/>
            <w:noWrap w:val="0"/>
            <w:vAlign w:val="center"/>
          </w:tcPr>
          <w:p w14:paraId="491DCEF6">
            <w:pPr>
              <w:jc w:val="center"/>
              <w:rPr>
                <w:rFonts w:hint="eastAsia" w:ascii="宋体" w:hAnsi="宋体" w:eastAsia="宋体" w:cs="宋体"/>
                <w:color w:val="auto"/>
                <w:sz w:val="20"/>
                <w:szCs w:val="20"/>
                <w:highlight w:val="none"/>
              </w:rPr>
            </w:pPr>
          </w:p>
        </w:tc>
        <w:tc>
          <w:tcPr>
            <w:tcW w:w="5954" w:type="dxa"/>
            <w:noWrap w:val="0"/>
            <w:vAlign w:val="center"/>
          </w:tcPr>
          <w:p w14:paraId="4DFAE671">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检查风管与风柜间的软接头，对破损的风口连接进行修复。</w:t>
            </w:r>
          </w:p>
        </w:tc>
        <w:tc>
          <w:tcPr>
            <w:tcW w:w="991" w:type="dxa"/>
            <w:noWrap w:val="0"/>
            <w:vAlign w:val="center"/>
          </w:tcPr>
          <w:p w14:paraId="612A747D">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39BE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42" w:type="dxa"/>
            <w:noWrap w:val="0"/>
            <w:vAlign w:val="center"/>
          </w:tcPr>
          <w:p w14:paraId="7754D614">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51</w:t>
            </w:r>
          </w:p>
        </w:tc>
        <w:tc>
          <w:tcPr>
            <w:tcW w:w="838" w:type="dxa"/>
            <w:vMerge w:val="continue"/>
            <w:noWrap w:val="0"/>
            <w:vAlign w:val="center"/>
          </w:tcPr>
          <w:p w14:paraId="57B349B5">
            <w:pPr>
              <w:jc w:val="center"/>
              <w:rPr>
                <w:rFonts w:hint="eastAsia" w:ascii="宋体" w:hAnsi="宋体" w:eastAsia="宋体" w:cs="宋体"/>
                <w:color w:val="auto"/>
                <w:sz w:val="20"/>
                <w:szCs w:val="20"/>
                <w:highlight w:val="none"/>
              </w:rPr>
            </w:pPr>
          </w:p>
        </w:tc>
        <w:tc>
          <w:tcPr>
            <w:tcW w:w="1222" w:type="dxa"/>
            <w:noWrap w:val="0"/>
            <w:vAlign w:val="center"/>
          </w:tcPr>
          <w:p w14:paraId="72BB1CF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保温</w:t>
            </w:r>
          </w:p>
        </w:tc>
        <w:tc>
          <w:tcPr>
            <w:tcW w:w="5954" w:type="dxa"/>
            <w:noWrap w:val="0"/>
            <w:vAlign w:val="center"/>
          </w:tcPr>
          <w:p w14:paraId="1881B438">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检查风管保温层或保护层，修复损坏部分。</w:t>
            </w:r>
          </w:p>
        </w:tc>
        <w:tc>
          <w:tcPr>
            <w:tcW w:w="991" w:type="dxa"/>
            <w:noWrap w:val="0"/>
            <w:vAlign w:val="center"/>
          </w:tcPr>
          <w:p w14:paraId="6BD4209A">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4342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42" w:type="dxa"/>
            <w:noWrap w:val="0"/>
            <w:vAlign w:val="center"/>
          </w:tcPr>
          <w:p w14:paraId="0F95FADE">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52</w:t>
            </w:r>
          </w:p>
        </w:tc>
        <w:tc>
          <w:tcPr>
            <w:tcW w:w="838" w:type="dxa"/>
            <w:vMerge w:val="continue"/>
            <w:noWrap w:val="0"/>
            <w:vAlign w:val="center"/>
          </w:tcPr>
          <w:p w14:paraId="138662D3">
            <w:pPr>
              <w:jc w:val="center"/>
              <w:rPr>
                <w:rFonts w:hint="eastAsia" w:ascii="宋体" w:hAnsi="宋体" w:eastAsia="宋体" w:cs="宋体"/>
                <w:color w:val="auto"/>
                <w:sz w:val="20"/>
                <w:szCs w:val="20"/>
                <w:highlight w:val="none"/>
              </w:rPr>
            </w:pPr>
          </w:p>
        </w:tc>
        <w:tc>
          <w:tcPr>
            <w:tcW w:w="1222" w:type="dxa"/>
            <w:noWrap w:val="0"/>
            <w:vAlign w:val="center"/>
          </w:tcPr>
          <w:p w14:paraId="4B0E660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支架</w:t>
            </w:r>
          </w:p>
        </w:tc>
        <w:tc>
          <w:tcPr>
            <w:tcW w:w="5954" w:type="dxa"/>
            <w:noWrap w:val="0"/>
            <w:vAlign w:val="center"/>
          </w:tcPr>
          <w:p w14:paraId="2AFE3A79">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检查风管系统的支承构件，损坏的要修复，松动的要紧固。</w:t>
            </w:r>
          </w:p>
        </w:tc>
        <w:tc>
          <w:tcPr>
            <w:tcW w:w="991" w:type="dxa"/>
            <w:noWrap w:val="0"/>
            <w:vAlign w:val="center"/>
          </w:tcPr>
          <w:p w14:paraId="0839564D">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3133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689A21E0">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53</w:t>
            </w:r>
          </w:p>
        </w:tc>
        <w:tc>
          <w:tcPr>
            <w:tcW w:w="838" w:type="dxa"/>
            <w:vMerge w:val="restart"/>
            <w:noWrap w:val="0"/>
            <w:vAlign w:val="center"/>
          </w:tcPr>
          <w:p w14:paraId="79940B4D">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水管系统</w:t>
            </w:r>
          </w:p>
        </w:tc>
        <w:tc>
          <w:tcPr>
            <w:tcW w:w="1222" w:type="dxa"/>
            <w:noWrap w:val="0"/>
            <w:vAlign w:val="center"/>
          </w:tcPr>
          <w:p w14:paraId="6CF0BF3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排气阀</w:t>
            </w:r>
          </w:p>
        </w:tc>
        <w:tc>
          <w:tcPr>
            <w:tcW w:w="5954" w:type="dxa"/>
            <w:noWrap w:val="0"/>
            <w:vAlign w:val="center"/>
          </w:tcPr>
          <w:p w14:paraId="31EF5F35">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检查管道系统中的自动排气阀动作情况，对动作不灵的要修理或更换。</w:t>
            </w:r>
          </w:p>
        </w:tc>
        <w:tc>
          <w:tcPr>
            <w:tcW w:w="991" w:type="dxa"/>
            <w:noWrap w:val="0"/>
            <w:vAlign w:val="center"/>
          </w:tcPr>
          <w:p w14:paraId="4C270E4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0207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1F84C30F">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54</w:t>
            </w:r>
          </w:p>
        </w:tc>
        <w:tc>
          <w:tcPr>
            <w:tcW w:w="838" w:type="dxa"/>
            <w:vMerge w:val="continue"/>
            <w:noWrap w:val="0"/>
            <w:vAlign w:val="center"/>
          </w:tcPr>
          <w:p w14:paraId="6D5889D2">
            <w:pPr>
              <w:jc w:val="center"/>
              <w:rPr>
                <w:rFonts w:hint="eastAsia" w:ascii="宋体" w:hAnsi="宋体" w:eastAsia="宋体" w:cs="宋体"/>
                <w:color w:val="auto"/>
                <w:sz w:val="20"/>
                <w:szCs w:val="20"/>
                <w:highlight w:val="none"/>
              </w:rPr>
            </w:pPr>
          </w:p>
        </w:tc>
        <w:tc>
          <w:tcPr>
            <w:tcW w:w="1222" w:type="dxa"/>
            <w:noWrap w:val="0"/>
            <w:vAlign w:val="center"/>
          </w:tcPr>
          <w:p w14:paraId="4D90203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保温</w:t>
            </w:r>
          </w:p>
        </w:tc>
        <w:tc>
          <w:tcPr>
            <w:tcW w:w="5954" w:type="dxa"/>
            <w:noWrap w:val="0"/>
            <w:vAlign w:val="center"/>
          </w:tcPr>
          <w:p w14:paraId="61571843">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检查水管保温层或保护层。</w:t>
            </w:r>
          </w:p>
        </w:tc>
        <w:tc>
          <w:tcPr>
            <w:tcW w:w="991" w:type="dxa"/>
            <w:noWrap w:val="0"/>
            <w:vAlign w:val="center"/>
          </w:tcPr>
          <w:p w14:paraId="22BF3EF1">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228B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0840BD6E">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55</w:t>
            </w:r>
          </w:p>
        </w:tc>
        <w:tc>
          <w:tcPr>
            <w:tcW w:w="838" w:type="dxa"/>
            <w:vMerge w:val="continue"/>
            <w:noWrap w:val="0"/>
            <w:vAlign w:val="center"/>
          </w:tcPr>
          <w:p w14:paraId="34A80ADC">
            <w:pPr>
              <w:jc w:val="center"/>
              <w:rPr>
                <w:rFonts w:hint="eastAsia" w:ascii="宋体" w:hAnsi="宋体" w:eastAsia="宋体" w:cs="宋体"/>
                <w:color w:val="auto"/>
                <w:sz w:val="20"/>
                <w:szCs w:val="20"/>
                <w:highlight w:val="none"/>
              </w:rPr>
            </w:pPr>
          </w:p>
        </w:tc>
        <w:tc>
          <w:tcPr>
            <w:tcW w:w="1222" w:type="dxa"/>
            <w:noWrap w:val="0"/>
            <w:vAlign w:val="center"/>
          </w:tcPr>
          <w:p w14:paraId="1EAB31F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阀门</w:t>
            </w:r>
          </w:p>
        </w:tc>
        <w:tc>
          <w:tcPr>
            <w:tcW w:w="5954" w:type="dxa"/>
            <w:noWrap w:val="0"/>
            <w:vAlign w:val="center"/>
          </w:tcPr>
          <w:p w14:paraId="755B9E55">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阀门、过滤器、单向阀、压力表、温度计、保温情况的检查及更换修理。</w:t>
            </w:r>
          </w:p>
        </w:tc>
        <w:tc>
          <w:tcPr>
            <w:tcW w:w="991" w:type="dxa"/>
            <w:noWrap w:val="0"/>
            <w:vAlign w:val="center"/>
          </w:tcPr>
          <w:p w14:paraId="15BAB235">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1FEF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5C15E35F">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56</w:t>
            </w:r>
          </w:p>
        </w:tc>
        <w:tc>
          <w:tcPr>
            <w:tcW w:w="838" w:type="dxa"/>
            <w:vMerge w:val="continue"/>
            <w:noWrap w:val="0"/>
            <w:vAlign w:val="center"/>
          </w:tcPr>
          <w:p w14:paraId="47DAB6F7">
            <w:pPr>
              <w:jc w:val="center"/>
              <w:rPr>
                <w:rFonts w:hint="eastAsia" w:ascii="宋体" w:hAnsi="宋体" w:eastAsia="宋体" w:cs="宋体"/>
                <w:color w:val="auto"/>
                <w:sz w:val="20"/>
                <w:szCs w:val="20"/>
                <w:highlight w:val="none"/>
              </w:rPr>
            </w:pPr>
          </w:p>
        </w:tc>
        <w:tc>
          <w:tcPr>
            <w:tcW w:w="1222" w:type="dxa"/>
            <w:noWrap w:val="0"/>
            <w:vAlign w:val="center"/>
          </w:tcPr>
          <w:p w14:paraId="2AF984D0">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水处理</w:t>
            </w:r>
          </w:p>
        </w:tc>
        <w:tc>
          <w:tcPr>
            <w:tcW w:w="5954" w:type="dxa"/>
            <w:noWrap w:val="0"/>
            <w:vAlign w:val="center"/>
          </w:tcPr>
          <w:p w14:paraId="5B14D896">
            <w:pPr>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sz w:val="20"/>
                <w:szCs w:val="20"/>
                <w:highlight w:val="none"/>
              </w:rPr>
              <w:t>定期清洗</w:t>
            </w:r>
            <w:r>
              <w:rPr>
                <w:rFonts w:hint="eastAsia" w:ascii="宋体" w:hAnsi="宋体" w:eastAsia="宋体" w:cs="宋体"/>
                <w:color w:val="auto"/>
                <w:sz w:val="20"/>
                <w:szCs w:val="20"/>
                <w:highlight w:val="none"/>
                <w:lang w:val="en-US" w:eastAsia="zh-CN"/>
              </w:rPr>
              <w:t>冷冻水系统</w:t>
            </w:r>
          </w:p>
        </w:tc>
        <w:tc>
          <w:tcPr>
            <w:tcW w:w="991" w:type="dxa"/>
            <w:noWrap w:val="0"/>
            <w:vAlign w:val="center"/>
          </w:tcPr>
          <w:p w14:paraId="5E03AA1C">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317D5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6087859D">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57</w:t>
            </w:r>
          </w:p>
        </w:tc>
        <w:tc>
          <w:tcPr>
            <w:tcW w:w="838" w:type="dxa"/>
            <w:vMerge w:val="continue"/>
            <w:noWrap w:val="0"/>
            <w:vAlign w:val="center"/>
          </w:tcPr>
          <w:p w14:paraId="35990831">
            <w:pPr>
              <w:jc w:val="center"/>
              <w:rPr>
                <w:rFonts w:hint="eastAsia" w:ascii="宋体" w:hAnsi="宋体" w:eastAsia="宋体" w:cs="宋体"/>
                <w:color w:val="auto"/>
                <w:sz w:val="20"/>
                <w:szCs w:val="20"/>
                <w:highlight w:val="none"/>
              </w:rPr>
            </w:pPr>
          </w:p>
        </w:tc>
        <w:tc>
          <w:tcPr>
            <w:tcW w:w="1222" w:type="dxa"/>
            <w:noWrap w:val="0"/>
            <w:vAlign w:val="center"/>
          </w:tcPr>
          <w:p w14:paraId="2B641C64">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杀菌灭藻</w:t>
            </w:r>
          </w:p>
        </w:tc>
        <w:tc>
          <w:tcPr>
            <w:tcW w:w="5954" w:type="dxa"/>
            <w:noWrap w:val="0"/>
            <w:vAlign w:val="center"/>
          </w:tcPr>
          <w:p w14:paraId="3FD805F7">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通过加入杀菌药剂，清除循环水中的各种细菌和藻类。</w:t>
            </w:r>
          </w:p>
        </w:tc>
        <w:tc>
          <w:tcPr>
            <w:tcW w:w="991" w:type="dxa"/>
            <w:noWrap w:val="0"/>
            <w:vAlign w:val="center"/>
          </w:tcPr>
          <w:p w14:paraId="779837A6">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r w14:paraId="1D49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42" w:type="dxa"/>
            <w:noWrap w:val="0"/>
            <w:vAlign w:val="center"/>
          </w:tcPr>
          <w:p w14:paraId="275BE14B">
            <w:pPr>
              <w:pStyle w:val="26"/>
              <w:numPr>
                <w:ilvl w:val="0"/>
                <w:numId w:val="0"/>
              </w:num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58</w:t>
            </w:r>
          </w:p>
        </w:tc>
        <w:tc>
          <w:tcPr>
            <w:tcW w:w="838" w:type="dxa"/>
            <w:vMerge w:val="continue"/>
            <w:noWrap w:val="0"/>
            <w:vAlign w:val="center"/>
          </w:tcPr>
          <w:p w14:paraId="3E1E4479">
            <w:pPr>
              <w:jc w:val="center"/>
              <w:rPr>
                <w:rFonts w:hint="eastAsia" w:ascii="宋体" w:hAnsi="宋体" w:eastAsia="宋体" w:cs="宋体"/>
                <w:color w:val="auto"/>
                <w:sz w:val="20"/>
                <w:szCs w:val="20"/>
                <w:highlight w:val="none"/>
              </w:rPr>
            </w:pPr>
          </w:p>
        </w:tc>
        <w:tc>
          <w:tcPr>
            <w:tcW w:w="1222" w:type="dxa"/>
            <w:noWrap w:val="0"/>
            <w:vAlign w:val="center"/>
          </w:tcPr>
          <w:p w14:paraId="31B9E36E">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日常养护</w:t>
            </w:r>
          </w:p>
        </w:tc>
        <w:tc>
          <w:tcPr>
            <w:tcW w:w="5954" w:type="dxa"/>
            <w:noWrap w:val="0"/>
            <w:vAlign w:val="center"/>
          </w:tcPr>
          <w:p w14:paraId="392FCB72">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定期加入综合性的日常养护处理剂，具有缓蚀、避免金属生锈的作用。日常养护处理剂中含有高分子络合阻垢剂，通过络合作用，防止钙镁离子结晶沉淀，延长机组的使用寿命，节水、省电，可提高制冷效率。</w:t>
            </w:r>
          </w:p>
        </w:tc>
        <w:tc>
          <w:tcPr>
            <w:tcW w:w="991" w:type="dxa"/>
            <w:noWrap w:val="0"/>
            <w:vAlign w:val="center"/>
          </w:tcPr>
          <w:p w14:paraId="0160C788">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每季度</w:t>
            </w:r>
          </w:p>
        </w:tc>
      </w:tr>
    </w:tbl>
    <w:p w14:paraId="153D8DA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399" w:name="_Toc2363"/>
      <w:bookmarkStart w:id="400" w:name="_Toc22026"/>
      <w:bookmarkStart w:id="401" w:name="_Toc9942"/>
      <w:r>
        <w:rPr>
          <w:rFonts w:hint="eastAsia" w:ascii="宋体" w:hAnsi="宋体" w:eastAsia="宋体" w:cs="宋体"/>
          <w:b/>
          <w:bCs/>
          <w:color w:val="auto"/>
          <w:sz w:val="20"/>
          <w:szCs w:val="20"/>
          <w:highlight w:val="none"/>
          <w:lang w:val="en-US" w:eastAsia="zh-CN"/>
        </w:rPr>
        <w:t>3.服务履约考核</w:t>
      </w:r>
      <w:bookmarkEnd w:id="399"/>
      <w:bookmarkEnd w:id="400"/>
      <w:bookmarkEnd w:id="401"/>
    </w:p>
    <w:p w14:paraId="7BB6742B">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采购方</w:t>
      </w:r>
      <w:r>
        <w:rPr>
          <w:rFonts w:hint="eastAsia" w:ascii="宋体" w:hAnsi="宋体" w:eastAsia="宋体" w:cs="宋体"/>
          <w:color w:val="auto"/>
          <w:sz w:val="20"/>
          <w:szCs w:val="20"/>
          <w:highlight w:val="none"/>
          <w:lang w:val="en-US" w:eastAsia="zh-CN"/>
        </w:rPr>
        <w:t>每月</w:t>
      </w:r>
      <w:r>
        <w:rPr>
          <w:rFonts w:hint="eastAsia" w:ascii="宋体" w:hAnsi="宋体" w:eastAsia="宋体" w:cs="宋体"/>
          <w:color w:val="auto"/>
          <w:sz w:val="20"/>
          <w:szCs w:val="20"/>
          <w:highlight w:val="none"/>
        </w:rPr>
        <w:t>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r>
        <w:rPr>
          <w:rFonts w:hint="eastAsia" w:ascii="宋体" w:hAnsi="宋体" w:eastAsia="宋体" w:cs="宋体"/>
          <w:color w:val="auto"/>
          <w:sz w:val="20"/>
          <w:szCs w:val="20"/>
          <w:highlight w:val="none"/>
        </w:rPr>
        <w:t>。</w:t>
      </w:r>
    </w:p>
    <w:p w14:paraId="030ECE27">
      <w:pPr>
        <w:keepNext w:val="0"/>
        <w:keepLines w:val="0"/>
        <w:pageBreakBefore w:val="0"/>
        <w:widowControl w:val="0"/>
        <w:kinsoku/>
        <w:wordWrap/>
        <w:overflowPunct/>
        <w:topLinePunct w:val="0"/>
        <w:autoSpaceDE/>
        <w:autoSpaceDN/>
        <w:bidi w:val="0"/>
        <w:adjustRightInd/>
        <w:snapToGrid/>
        <w:spacing w:line="560" w:lineRule="exact"/>
        <w:ind w:firstLine="402" w:firstLineChars="200"/>
        <w:jc w:val="both"/>
        <w:textAlignment w:val="auto"/>
        <w:outlineLvl w:val="9"/>
        <w:rPr>
          <w:rFonts w:hint="default"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3.1服务履约考核表</w:t>
      </w:r>
    </w:p>
    <w:tbl>
      <w:tblPr>
        <w:tblStyle w:val="15"/>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819"/>
        <w:gridCol w:w="878"/>
        <w:gridCol w:w="2940"/>
        <w:gridCol w:w="1215"/>
        <w:gridCol w:w="741"/>
        <w:gridCol w:w="638"/>
      </w:tblGrid>
      <w:tr w14:paraId="0D01F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530EF54B">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2819" w:type="dxa"/>
            <w:tcBorders>
              <w:top w:val="single" w:color="auto" w:sz="4" w:space="0"/>
              <w:left w:val="nil"/>
              <w:bottom w:val="single" w:color="auto" w:sz="4" w:space="0"/>
              <w:right w:val="single" w:color="auto" w:sz="4" w:space="0"/>
            </w:tcBorders>
            <w:noWrap w:val="0"/>
            <w:vAlign w:val="center"/>
          </w:tcPr>
          <w:p w14:paraId="18D36D0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878" w:type="dxa"/>
            <w:tcBorders>
              <w:top w:val="single" w:color="auto" w:sz="4" w:space="0"/>
              <w:left w:val="nil"/>
              <w:bottom w:val="single" w:color="auto" w:sz="4" w:space="0"/>
              <w:right w:val="single" w:color="auto" w:sz="4" w:space="0"/>
            </w:tcBorders>
            <w:noWrap w:val="0"/>
            <w:vAlign w:val="center"/>
          </w:tcPr>
          <w:p w14:paraId="035D10B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940" w:type="dxa"/>
            <w:tcBorders>
              <w:top w:val="single" w:color="auto" w:sz="4" w:space="0"/>
              <w:left w:val="nil"/>
              <w:bottom w:val="single" w:color="auto" w:sz="4" w:space="0"/>
              <w:right w:val="single" w:color="auto" w:sz="4" w:space="0"/>
            </w:tcBorders>
            <w:noWrap w:val="0"/>
            <w:vAlign w:val="center"/>
          </w:tcPr>
          <w:p w14:paraId="4A5A29A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215" w:type="dxa"/>
            <w:tcBorders>
              <w:top w:val="single" w:color="auto" w:sz="4" w:space="0"/>
              <w:left w:val="nil"/>
              <w:bottom w:val="single" w:color="auto" w:sz="4" w:space="0"/>
              <w:right w:val="single" w:color="auto" w:sz="4" w:space="0"/>
            </w:tcBorders>
            <w:noWrap w:val="0"/>
            <w:vAlign w:val="center"/>
          </w:tcPr>
          <w:p w14:paraId="2FFD724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13A447D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741" w:type="dxa"/>
            <w:tcBorders>
              <w:top w:val="single" w:color="auto" w:sz="4" w:space="0"/>
              <w:left w:val="nil"/>
              <w:bottom w:val="single" w:color="auto" w:sz="4" w:space="0"/>
              <w:right w:val="single" w:color="auto" w:sz="4" w:space="0"/>
            </w:tcBorders>
            <w:noWrap w:val="0"/>
            <w:vAlign w:val="center"/>
          </w:tcPr>
          <w:p w14:paraId="2F93779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3223E54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638" w:type="dxa"/>
            <w:tcBorders>
              <w:top w:val="single" w:color="auto" w:sz="4" w:space="0"/>
              <w:left w:val="nil"/>
              <w:bottom w:val="single" w:color="auto" w:sz="4" w:space="0"/>
              <w:right w:val="single" w:color="auto" w:sz="4" w:space="0"/>
            </w:tcBorders>
            <w:noWrap w:val="0"/>
            <w:vAlign w:val="center"/>
          </w:tcPr>
          <w:p w14:paraId="79553047">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7E3B8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04D10C5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2819" w:type="dxa"/>
            <w:vMerge w:val="restart"/>
            <w:tcBorders>
              <w:top w:val="single" w:color="auto" w:sz="4" w:space="0"/>
              <w:left w:val="nil"/>
              <w:right w:val="single" w:color="auto" w:sz="4" w:space="0"/>
            </w:tcBorders>
            <w:noWrap w:val="0"/>
            <w:vAlign w:val="center"/>
          </w:tcPr>
          <w:p w14:paraId="44CA4F7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lang w:val="en-US"/>
              </w:rPr>
            </w:pPr>
            <w:r>
              <w:rPr>
                <w:rFonts w:hint="eastAsia" w:ascii="宋体" w:hAnsi="宋体" w:eastAsia="宋体" w:cs="宋体"/>
                <w:b w:val="0"/>
                <w:bCs w:val="0"/>
                <w:color w:val="auto"/>
                <w:sz w:val="20"/>
                <w:szCs w:val="20"/>
                <w:highlight w:val="none"/>
                <w:vertAlign w:val="baseline"/>
                <w:lang w:val="en-US" w:eastAsia="zh-CN"/>
              </w:rPr>
              <w:t>按时按质按量完成采购方的空调维保服务工作任务，及时响应采购方的需求（含临时或紧急需求），积极与采购方沟通，使用的零部件符合相关标准，维保记录齐全，制定有应急预案。</w:t>
            </w:r>
          </w:p>
        </w:tc>
        <w:tc>
          <w:tcPr>
            <w:tcW w:w="878" w:type="dxa"/>
            <w:vMerge w:val="restart"/>
            <w:tcBorders>
              <w:top w:val="single" w:color="auto" w:sz="4" w:space="0"/>
              <w:left w:val="nil"/>
              <w:right w:val="single" w:color="auto" w:sz="4" w:space="0"/>
            </w:tcBorders>
            <w:noWrap w:val="0"/>
            <w:vAlign w:val="center"/>
          </w:tcPr>
          <w:p w14:paraId="026D1C13">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40</w:t>
            </w:r>
          </w:p>
        </w:tc>
        <w:tc>
          <w:tcPr>
            <w:tcW w:w="2940" w:type="dxa"/>
            <w:tcBorders>
              <w:top w:val="single" w:color="auto" w:sz="4" w:space="0"/>
              <w:left w:val="nil"/>
              <w:bottom w:val="single" w:color="auto" w:sz="4" w:space="0"/>
              <w:right w:val="single" w:color="auto" w:sz="4" w:space="0"/>
            </w:tcBorders>
            <w:noWrap w:val="0"/>
            <w:vAlign w:val="center"/>
          </w:tcPr>
          <w:p w14:paraId="471AC78F">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u w:val="single"/>
              </w:rPr>
            </w:pPr>
            <w:r>
              <w:rPr>
                <w:rFonts w:hint="eastAsia" w:ascii="宋体" w:hAnsi="宋体" w:eastAsia="宋体" w:cs="宋体"/>
                <w:b w:val="0"/>
                <w:bCs/>
                <w:color w:val="auto"/>
                <w:sz w:val="20"/>
                <w:szCs w:val="20"/>
                <w:highlight w:val="none"/>
                <w:lang w:val="en-US" w:eastAsia="zh-CN"/>
              </w:rPr>
              <w:t>未按采购方要求，按时按质提供服务，存在怠于响应、迟到、敷衍开展工作等现象。</w:t>
            </w:r>
          </w:p>
        </w:tc>
        <w:tc>
          <w:tcPr>
            <w:tcW w:w="1215" w:type="dxa"/>
            <w:tcBorders>
              <w:top w:val="single" w:color="auto" w:sz="4" w:space="0"/>
              <w:left w:val="nil"/>
              <w:bottom w:val="single" w:color="auto" w:sz="4" w:space="0"/>
              <w:right w:val="single" w:color="auto" w:sz="4" w:space="0"/>
            </w:tcBorders>
            <w:noWrap w:val="0"/>
            <w:vAlign w:val="center"/>
          </w:tcPr>
          <w:p w14:paraId="43E9A517">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2AAE96E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4C4DFF7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r>
      <w:tr w14:paraId="368E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0A3728F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518273D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6E65F546">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61929766">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color w:val="auto"/>
                <w:kern w:val="0"/>
                <w:sz w:val="20"/>
                <w:szCs w:val="20"/>
                <w:highlight w:val="none"/>
                <w:lang w:bidi="ar"/>
              </w:rPr>
              <w:t>未按采购方要求</w:t>
            </w:r>
            <w:r>
              <w:rPr>
                <w:rFonts w:hint="eastAsia" w:ascii="宋体" w:hAnsi="宋体" w:eastAsia="宋体" w:cs="宋体"/>
                <w:i w:val="0"/>
                <w:iCs w:val="0"/>
                <w:color w:val="auto"/>
                <w:kern w:val="0"/>
                <w:sz w:val="20"/>
                <w:szCs w:val="20"/>
                <w:highlight w:val="none"/>
                <w:u w:val="none"/>
                <w:lang w:val="en-US" w:eastAsia="zh-CN" w:bidi="ar"/>
              </w:rPr>
              <w:t>服务响应速度慢，影响采购方现</w:t>
            </w:r>
            <w:r>
              <w:rPr>
                <w:rFonts w:hint="eastAsia" w:ascii="宋体" w:hAnsi="宋体" w:eastAsia="宋体" w:cs="宋体"/>
                <w:color w:val="auto"/>
                <w:kern w:val="0"/>
                <w:sz w:val="20"/>
                <w:szCs w:val="20"/>
                <w:highlight w:val="none"/>
                <w:lang w:bidi="ar"/>
              </w:rPr>
              <w:t>场开展</w:t>
            </w:r>
            <w:r>
              <w:rPr>
                <w:rFonts w:hint="eastAsia" w:ascii="宋体" w:hAnsi="宋体" w:eastAsia="宋体" w:cs="宋体"/>
                <w:color w:val="auto"/>
                <w:kern w:val="0"/>
                <w:sz w:val="20"/>
                <w:szCs w:val="20"/>
                <w:highlight w:val="none"/>
                <w:lang w:eastAsia="zh-CN" w:bidi="ar"/>
              </w:rPr>
              <w:t>勘察</w:t>
            </w:r>
            <w:r>
              <w:rPr>
                <w:rFonts w:hint="eastAsia" w:ascii="宋体" w:hAnsi="宋体" w:eastAsia="宋体" w:cs="宋体"/>
                <w:i w:val="0"/>
                <w:iCs w:val="0"/>
                <w:color w:val="auto"/>
                <w:kern w:val="0"/>
                <w:sz w:val="20"/>
                <w:szCs w:val="20"/>
                <w:highlight w:val="none"/>
                <w:u w:val="none"/>
                <w:lang w:val="en-US" w:eastAsia="zh-CN" w:bidi="ar"/>
              </w:rPr>
              <w:t>的计划</w:t>
            </w:r>
            <w:r>
              <w:rPr>
                <w:rFonts w:hint="eastAsia" w:ascii="宋体" w:hAnsi="宋体" w:eastAsia="宋体" w:cs="宋体"/>
                <w:b w:val="0"/>
                <w:bCs w:val="0"/>
                <w:color w:val="auto"/>
                <w:sz w:val="20"/>
                <w:szCs w:val="20"/>
                <w:highlight w:val="none"/>
                <w:lang w:eastAsia="zh-CN"/>
              </w:rPr>
              <w:t>。</w:t>
            </w:r>
          </w:p>
        </w:tc>
        <w:tc>
          <w:tcPr>
            <w:tcW w:w="1215" w:type="dxa"/>
            <w:tcBorders>
              <w:top w:val="single" w:color="auto" w:sz="4" w:space="0"/>
              <w:left w:val="nil"/>
              <w:bottom w:val="single" w:color="auto" w:sz="4" w:space="0"/>
              <w:right w:val="single" w:color="auto" w:sz="4" w:space="0"/>
            </w:tcBorders>
            <w:noWrap w:val="0"/>
            <w:vAlign w:val="center"/>
          </w:tcPr>
          <w:p w14:paraId="363A6469">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2B173C65">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3F89A496">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1FF48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58414D7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2B094E2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2E4D445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40989AB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无正当理由及未与采购方沟通的，未按规定时间提供服务。</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00D1E5D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68B3A11E">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503504EE">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298B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39A9B7B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2CB9839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72FB17B6">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005FD2F6">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color w:val="auto"/>
                <w:kern w:val="0"/>
                <w:sz w:val="20"/>
                <w:szCs w:val="20"/>
                <w:highlight w:val="none"/>
                <w:lang w:bidi="ar"/>
              </w:rPr>
              <w:t>在</w:t>
            </w:r>
            <w:r>
              <w:rPr>
                <w:rFonts w:hint="eastAsia" w:ascii="宋体" w:hAnsi="宋体" w:eastAsia="宋体" w:cs="宋体"/>
                <w:color w:val="auto"/>
                <w:kern w:val="0"/>
                <w:sz w:val="20"/>
                <w:szCs w:val="20"/>
                <w:highlight w:val="none"/>
                <w:lang w:eastAsia="zh-CN" w:bidi="ar"/>
              </w:rPr>
              <w:t>维修保养服务</w:t>
            </w:r>
            <w:r>
              <w:rPr>
                <w:rFonts w:hint="eastAsia" w:ascii="宋体" w:hAnsi="宋体" w:eastAsia="宋体" w:cs="宋体"/>
                <w:color w:val="auto"/>
                <w:kern w:val="0"/>
                <w:sz w:val="20"/>
                <w:szCs w:val="20"/>
                <w:highlight w:val="none"/>
                <w:lang w:bidi="ar"/>
              </w:rPr>
              <w:t>的过程中，使用</w:t>
            </w:r>
            <w:r>
              <w:rPr>
                <w:rFonts w:hint="eastAsia" w:ascii="宋体" w:hAnsi="宋体" w:eastAsia="宋体" w:cs="宋体"/>
                <w:color w:val="auto"/>
                <w:kern w:val="0"/>
                <w:sz w:val="20"/>
                <w:szCs w:val="20"/>
                <w:highlight w:val="none"/>
                <w:lang w:eastAsia="zh-CN" w:bidi="ar"/>
              </w:rPr>
              <w:t>无生产合格证产品的零部件，</w:t>
            </w:r>
            <w:r>
              <w:rPr>
                <w:rFonts w:hint="eastAsia" w:ascii="宋体" w:hAnsi="宋体" w:eastAsia="宋体" w:cs="宋体"/>
                <w:color w:val="auto"/>
                <w:kern w:val="0"/>
                <w:sz w:val="20"/>
                <w:szCs w:val="20"/>
                <w:highlight w:val="none"/>
                <w:lang w:bidi="ar"/>
              </w:rPr>
              <w:t>如因为使用</w:t>
            </w:r>
            <w:r>
              <w:rPr>
                <w:rFonts w:hint="eastAsia" w:ascii="宋体" w:hAnsi="宋体" w:eastAsia="宋体" w:cs="宋体"/>
                <w:color w:val="auto"/>
                <w:kern w:val="0"/>
                <w:sz w:val="20"/>
                <w:szCs w:val="20"/>
                <w:highlight w:val="none"/>
                <w:lang w:eastAsia="zh-CN" w:bidi="ar"/>
              </w:rPr>
              <w:t>无生产合格证产品的零部件</w:t>
            </w:r>
            <w:r>
              <w:rPr>
                <w:rFonts w:hint="eastAsia" w:ascii="宋体" w:hAnsi="宋体" w:eastAsia="宋体" w:cs="宋体"/>
                <w:color w:val="auto"/>
                <w:kern w:val="0"/>
                <w:sz w:val="20"/>
                <w:szCs w:val="20"/>
                <w:highlight w:val="none"/>
                <w:lang w:bidi="ar"/>
              </w:rPr>
              <w:t>造成了重大损失</w:t>
            </w:r>
            <w:r>
              <w:rPr>
                <w:rFonts w:hint="eastAsia" w:ascii="宋体" w:hAnsi="宋体" w:eastAsia="宋体" w:cs="宋体"/>
                <w:color w:val="auto"/>
                <w:kern w:val="0"/>
                <w:sz w:val="20"/>
                <w:szCs w:val="20"/>
                <w:highlight w:val="none"/>
                <w:lang w:eastAsia="zh-CN" w:bidi="ar"/>
              </w:rPr>
              <w:t>。</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5D717AE7">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2-4</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167CC31D">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56543D70">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4A47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2BE5D565">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6A83A0A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04F3BAD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6AEB5DD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color w:val="auto"/>
                <w:kern w:val="0"/>
                <w:sz w:val="20"/>
                <w:szCs w:val="20"/>
                <w:highlight w:val="none"/>
                <w:lang w:bidi="ar"/>
              </w:rPr>
              <w:t>未按采购方要求做好</w:t>
            </w:r>
            <w:r>
              <w:rPr>
                <w:rFonts w:hint="eastAsia" w:ascii="宋体" w:hAnsi="宋体" w:eastAsia="宋体" w:cs="宋体"/>
                <w:color w:val="auto"/>
                <w:kern w:val="0"/>
                <w:sz w:val="20"/>
                <w:szCs w:val="20"/>
                <w:highlight w:val="none"/>
                <w:lang w:eastAsia="zh-CN" w:bidi="ar"/>
              </w:rPr>
              <w:t>维修保养</w:t>
            </w:r>
            <w:r>
              <w:rPr>
                <w:rFonts w:hint="eastAsia" w:ascii="宋体" w:hAnsi="宋体" w:eastAsia="宋体" w:cs="宋体"/>
                <w:color w:val="auto"/>
                <w:kern w:val="0"/>
                <w:sz w:val="20"/>
                <w:szCs w:val="20"/>
                <w:highlight w:val="none"/>
                <w:lang w:bidi="ar"/>
              </w:rPr>
              <w:t>记录和档案管理工作</w:t>
            </w:r>
            <w:r>
              <w:rPr>
                <w:rFonts w:hint="eastAsia" w:ascii="宋体" w:hAnsi="宋体" w:eastAsia="宋体" w:cs="宋体"/>
                <w:b w:val="0"/>
                <w:bCs/>
                <w:color w:val="auto"/>
                <w:sz w:val="20"/>
                <w:szCs w:val="20"/>
                <w:highlight w:val="none"/>
                <w:lang w:val="en-US" w:eastAsia="zh-CN"/>
              </w:rPr>
              <w:t>。</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4B30E00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59CEF768">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3EB261EB">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74918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76BF467F">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7C0BD0DA">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5EB1B03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0F196D4B">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未配合采购方临时或紧急需求。</w:t>
            </w:r>
          </w:p>
        </w:tc>
        <w:tc>
          <w:tcPr>
            <w:tcW w:w="1215" w:type="dxa"/>
            <w:tcBorders>
              <w:top w:val="single" w:color="auto" w:sz="4" w:space="0"/>
              <w:left w:val="nil"/>
              <w:bottom w:val="single" w:color="auto" w:sz="4" w:space="0"/>
              <w:right w:val="single" w:color="auto" w:sz="4" w:space="0"/>
            </w:tcBorders>
            <w:noWrap w:val="0"/>
            <w:vAlign w:val="center"/>
          </w:tcPr>
          <w:p w14:paraId="1689B7A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40B1446D">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7C237FDB">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552F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52BDDCB6">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6610579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3730EA54">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541D79D4">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未制定应急方案，且在紧急事件发生时，不能及时处理，给采购方带来损失。</w:t>
            </w:r>
          </w:p>
        </w:tc>
        <w:tc>
          <w:tcPr>
            <w:tcW w:w="1215" w:type="dxa"/>
            <w:tcBorders>
              <w:top w:val="single" w:color="auto" w:sz="4" w:space="0"/>
              <w:left w:val="nil"/>
              <w:bottom w:val="single" w:color="auto" w:sz="4" w:space="0"/>
              <w:right w:val="single" w:color="auto" w:sz="4" w:space="0"/>
            </w:tcBorders>
            <w:noWrap w:val="0"/>
            <w:vAlign w:val="center"/>
          </w:tcPr>
          <w:p w14:paraId="53700DF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2F2B5388">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10908476">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48736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jc w:val="center"/>
        </w:trPr>
        <w:tc>
          <w:tcPr>
            <w:tcW w:w="645" w:type="dxa"/>
            <w:vMerge w:val="restart"/>
            <w:tcBorders>
              <w:left w:val="single" w:color="auto" w:sz="4" w:space="0"/>
              <w:right w:val="single" w:color="auto" w:sz="4" w:space="0"/>
            </w:tcBorders>
            <w:noWrap w:val="0"/>
            <w:vAlign w:val="center"/>
          </w:tcPr>
          <w:p w14:paraId="75C2A52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819" w:type="dxa"/>
            <w:vMerge w:val="restart"/>
            <w:tcBorders>
              <w:left w:val="nil"/>
              <w:right w:val="single" w:color="auto" w:sz="4" w:space="0"/>
            </w:tcBorders>
            <w:shd w:val="clear" w:color="auto" w:fill="auto"/>
            <w:noWrap w:val="0"/>
            <w:vAlign w:val="center"/>
          </w:tcPr>
          <w:p w14:paraId="363467C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人员持证上岗、工作经验丰富，服务态度良好，处理问题及反馈及时。</w:t>
            </w:r>
          </w:p>
          <w:p w14:paraId="2CF3831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p>
        </w:tc>
        <w:tc>
          <w:tcPr>
            <w:tcW w:w="878" w:type="dxa"/>
            <w:vMerge w:val="restart"/>
            <w:tcBorders>
              <w:left w:val="nil"/>
              <w:right w:val="single" w:color="auto" w:sz="4" w:space="0"/>
            </w:tcBorders>
            <w:shd w:val="clear" w:color="auto" w:fill="auto"/>
            <w:noWrap w:val="0"/>
            <w:vAlign w:val="center"/>
          </w:tcPr>
          <w:p w14:paraId="312748B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30</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53D299BD">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相关法规要求的服务人员必须持证上岗，包括国家法规要求、行业要求、特种岗位要求、从业资格证等。如发现服务人员存在没有持证上岗的情况。</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5AA256A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4</w:t>
            </w:r>
            <w:r>
              <w:rPr>
                <w:rFonts w:hint="eastAsia" w:ascii="宋体" w:hAnsi="宋体" w:eastAsia="宋体" w:cs="宋体"/>
                <w:b w:val="0"/>
                <w:bCs w:val="0"/>
                <w:color w:val="auto"/>
                <w:sz w:val="20"/>
                <w:szCs w:val="20"/>
                <w:highlight w:val="none"/>
              </w:rPr>
              <w:t>分/</w:t>
            </w:r>
            <w:r>
              <w:rPr>
                <w:rFonts w:hint="eastAsia" w:ascii="宋体" w:hAnsi="宋体" w:eastAsia="宋体" w:cs="宋体"/>
                <w:b w:val="0"/>
                <w:bCs w:val="0"/>
                <w:color w:val="auto"/>
                <w:sz w:val="20"/>
                <w:szCs w:val="20"/>
                <w:highlight w:val="none"/>
                <w:lang w:val="en-US" w:eastAsia="zh-CN"/>
              </w:rPr>
              <w:t>人</w:t>
            </w:r>
          </w:p>
        </w:tc>
        <w:tc>
          <w:tcPr>
            <w:tcW w:w="741" w:type="dxa"/>
            <w:tcBorders>
              <w:top w:val="single" w:color="auto" w:sz="4" w:space="0"/>
              <w:left w:val="nil"/>
              <w:bottom w:val="single" w:color="auto" w:sz="4" w:space="0"/>
              <w:right w:val="single" w:color="auto" w:sz="4" w:space="0"/>
            </w:tcBorders>
            <w:noWrap w:val="0"/>
            <w:vAlign w:val="top"/>
          </w:tcPr>
          <w:p w14:paraId="5405EF5D">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65FF4BC3">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57943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jc w:val="center"/>
        </w:trPr>
        <w:tc>
          <w:tcPr>
            <w:tcW w:w="645" w:type="dxa"/>
            <w:vMerge w:val="continue"/>
            <w:tcBorders>
              <w:left w:val="single" w:color="auto" w:sz="4" w:space="0"/>
              <w:right w:val="single" w:color="auto" w:sz="4" w:space="0"/>
            </w:tcBorders>
            <w:noWrap w:val="0"/>
            <w:vAlign w:val="center"/>
          </w:tcPr>
          <w:p w14:paraId="79582C6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6F4BC1A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1CD1B12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4D614821">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服务人员应具备丰富的相关经验和专业判断能力。服务商派出的人员如</w:t>
            </w:r>
            <w:r>
              <w:rPr>
                <w:rFonts w:hint="eastAsia" w:ascii="宋体" w:hAnsi="宋体" w:eastAsia="宋体" w:cs="宋体"/>
                <w:color w:val="auto"/>
                <w:kern w:val="0"/>
                <w:sz w:val="20"/>
                <w:szCs w:val="20"/>
                <w:highlight w:val="none"/>
                <w:lang w:bidi="ar"/>
              </w:rPr>
              <w:t>无法对</w:t>
            </w:r>
            <w:r>
              <w:rPr>
                <w:rFonts w:hint="eastAsia" w:ascii="宋体" w:hAnsi="宋体" w:eastAsia="宋体" w:cs="宋体"/>
                <w:color w:val="auto"/>
                <w:kern w:val="0"/>
                <w:sz w:val="20"/>
                <w:szCs w:val="20"/>
                <w:highlight w:val="none"/>
                <w:lang w:eastAsia="zh-CN" w:bidi="ar"/>
              </w:rPr>
              <w:t>设备出现的</w:t>
            </w:r>
            <w:r>
              <w:rPr>
                <w:rFonts w:hint="eastAsia" w:ascii="宋体" w:hAnsi="宋体" w:eastAsia="宋体" w:cs="宋体"/>
                <w:color w:val="auto"/>
                <w:kern w:val="0"/>
                <w:sz w:val="20"/>
                <w:szCs w:val="20"/>
                <w:highlight w:val="none"/>
                <w:lang w:bidi="ar"/>
              </w:rPr>
              <w:t>问题能够作出专业判断、诊断和</w:t>
            </w:r>
            <w:r>
              <w:rPr>
                <w:rFonts w:hint="eastAsia" w:ascii="宋体" w:hAnsi="宋体" w:eastAsia="宋体" w:cs="宋体"/>
                <w:color w:val="auto"/>
                <w:kern w:val="0"/>
                <w:sz w:val="20"/>
                <w:szCs w:val="20"/>
                <w:highlight w:val="none"/>
                <w:lang w:eastAsia="zh-CN" w:bidi="ar"/>
              </w:rPr>
              <w:t>维修提出</w:t>
            </w:r>
            <w:r>
              <w:rPr>
                <w:rFonts w:hint="eastAsia" w:ascii="宋体" w:hAnsi="宋体" w:eastAsia="宋体" w:cs="宋体"/>
                <w:color w:val="auto"/>
                <w:kern w:val="0"/>
                <w:sz w:val="20"/>
                <w:szCs w:val="20"/>
                <w:highlight w:val="none"/>
                <w:lang w:bidi="ar"/>
              </w:rPr>
              <w:t>处理方案</w:t>
            </w:r>
            <w:r>
              <w:rPr>
                <w:rFonts w:hint="eastAsia" w:ascii="宋体" w:hAnsi="宋体" w:eastAsia="宋体" w:cs="宋体"/>
                <w:b w:val="0"/>
                <w:bCs/>
                <w:color w:val="auto"/>
                <w:sz w:val="20"/>
                <w:szCs w:val="20"/>
                <w:highlight w:val="none"/>
                <w:lang w:val="en-US" w:eastAsia="zh-CN"/>
              </w:rPr>
              <w:t>。</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0B70D6F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4133E4F7">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24847E27">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652A7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645" w:type="dxa"/>
            <w:vMerge w:val="continue"/>
            <w:tcBorders>
              <w:left w:val="single" w:color="auto" w:sz="4" w:space="0"/>
              <w:right w:val="single" w:color="auto" w:sz="4" w:space="0"/>
            </w:tcBorders>
            <w:noWrap w:val="0"/>
            <w:vAlign w:val="center"/>
          </w:tcPr>
          <w:p w14:paraId="1783731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1ED1700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24B8670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7367D645">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服务人员服务态度良好，应对采购方提出的问题耐心解答，对反馈的问题及时跟进。如服务人员态度恶劣，消极怠工。</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56DDDFE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7592B5F5">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3F077C40">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7762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restart"/>
            <w:tcBorders>
              <w:left w:val="single" w:color="auto" w:sz="4" w:space="0"/>
              <w:right w:val="single" w:color="auto" w:sz="4" w:space="0"/>
            </w:tcBorders>
            <w:noWrap w:val="0"/>
            <w:vAlign w:val="center"/>
          </w:tcPr>
          <w:p w14:paraId="2BC612E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819" w:type="dxa"/>
            <w:vMerge w:val="restart"/>
            <w:tcBorders>
              <w:left w:val="nil"/>
              <w:right w:val="single" w:color="auto" w:sz="4" w:space="0"/>
            </w:tcBorders>
            <w:noWrap w:val="0"/>
            <w:vAlign w:val="center"/>
          </w:tcPr>
          <w:p w14:paraId="381A2FBB">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val="0"/>
                <w:color w:val="auto"/>
                <w:sz w:val="20"/>
                <w:szCs w:val="20"/>
                <w:highlight w:val="none"/>
              </w:rPr>
            </w:pPr>
            <w:r>
              <w:rPr>
                <w:rFonts w:hint="eastAsia" w:ascii="宋体" w:hAnsi="宋体" w:eastAsia="宋体" w:cs="宋体"/>
                <w:b w:val="0"/>
                <w:bCs/>
                <w:color w:val="auto"/>
                <w:sz w:val="20"/>
                <w:szCs w:val="20"/>
                <w:highlight w:val="none"/>
                <w:lang w:val="en-US" w:eastAsia="zh-CN"/>
              </w:rPr>
              <w:t>安全管理</w:t>
            </w:r>
          </w:p>
        </w:tc>
        <w:tc>
          <w:tcPr>
            <w:tcW w:w="878" w:type="dxa"/>
            <w:vMerge w:val="restart"/>
            <w:tcBorders>
              <w:left w:val="nil"/>
              <w:right w:val="single" w:color="auto" w:sz="4" w:space="0"/>
            </w:tcBorders>
            <w:noWrap w:val="0"/>
            <w:vAlign w:val="center"/>
          </w:tcPr>
          <w:p w14:paraId="1D48F61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647E17C9">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服务商必须严格执行采购方的安全规定。每出现一次安全事故。</w:t>
            </w:r>
          </w:p>
        </w:tc>
        <w:tc>
          <w:tcPr>
            <w:tcW w:w="1215" w:type="dxa"/>
            <w:tcBorders>
              <w:top w:val="single" w:color="auto" w:sz="4" w:space="0"/>
              <w:left w:val="nil"/>
              <w:bottom w:val="single" w:color="auto" w:sz="4" w:space="0"/>
              <w:right w:val="single" w:color="auto" w:sz="4" w:space="0"/>
            </w:tcBorders>
            <w:noWrap w:val="0"/>
            <w:vAlign w:val="center"/>
          </w:tcPr>
          <w:p w14:paraId="3191D0B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75C86F8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64EEF3CA">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0BCB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continue"/>
            <w:tcBorders>
              <w:left w:val="single" w:color="auto" w:sz="4" w:space="0"/>
              <w:right w:val="single" w:color="auto" w:sz="4" w:space="0"/>
            </w:tcBorders>
            <w:noWrap w:val="0"/>
            <w:vAlign w:val="center"/>
          </w:tcPr>
          <w:p w14:paraId="7BED5AA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59B22688">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13237BF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7D888316">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服务商必须严格执行采购方的安全规定。每出现一次重大安全事故。</w:t>
            </w:r>
          </w:p>
        </w:tc>
        <w:tc>
          <w:tcPr>
            <w:tcW w:w="1215" w:type="dxa"/>
            <w:tcBorders>
              <w:top w:val="single" w:color="auto" w:sz="4" w:space="0"/>
              <w:left w:val="nil"/>
              <w:bottom w:val="single" w:color="auto" w:sz="4" w:space="0"/>
              <w:right w:val="single" w:color="auto" w:sz="4" w:space="0"/>
            </w:tcBorders>
            <w:noWrap w:val="0"/>
            <w:vAlign w:val="center"/>
          </w:tcPr>
          <w:p w14:paraId="176779B9">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54A9A2D3">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22F6C2F3">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08631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restart"/>
            <w:tcBorders>
              <w:left w:val="single" w:color="auto" w:sz="4" w:space="0"/>
              <w:right w:val="single" w:color="auto" w:sz="4" w:space="0"/>
            </w:tcBorders>
            <w:noWrap w:val="0"/>
            <w:vAlign w:val="center"/>
          </w:tcPr>
          <w:p w14:paraId="5BCB7307">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819" w:type="dxa"/>
            <w:vMerge w:val="restart"/>
            <w:tcBorders>
              <w:left w:val="nil"/>
              <w:right w:val="single" w:color="auto" w:sz="4" w:space="0"/>
            </w:tcBorders>
            <w:shd w:val="clear" w:color="auto" w:fill="auto"/>
            <w:noWrap w:val="0"/>
            <w:vAlign w:val="center"/>
          </w:tcPr>
          <w:p w14:paraId="0EE39BE2">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color w:val="auto"/>
                <w:sz w:val="20"/>
                <w:szCs w:val="20"/>
                <w:highlight w:val="none"/>
                <w:lang w:val="en-US" w:eastAsia="zh-CN"/>
              </w:rPr>
              <w:t>保密管理</w:t>
            </w:r>
          </w:p>
          <w:p w14:paraId="2396E9BA">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restart"/>
            <w:tcBorders>
              <w:left w:val="nil"/>
              <w:right w:val="single" w:color="auto" w:sz="4" w:space="0"/>
            </w:tcBorders>
            <w:shd w:val="clear" w:color="auto" w:fill="auto"/>
            <w:noWrap w:val="0"/>
            <w:vAlign w:val="center"/>
          </w:tcPr>
          <w:p w14:paraId="4B9F5E5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40C00A91">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服务人员未做好保密工作，造成了信息泄露。</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6AF203B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40016E54">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767BA52D">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06D16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continue"/>
            <w:tcBorders>
              <w:left w:val="single" w:color="auto" w:sz="4" w:space="0"/>
              <w:right w:val="single" w:color="auto" w:sz="4" w:space="0"/>
            </w:tcBorders>
            <w:noWrap w:val="0"/>
            <w:vAlign w:val="center"/>
          </w:tcPr>
          <w:p w14:paraId="0606E0E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73ACC022">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0FF4536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0C955DC9">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服务人员未做好保密工作，造成了信息泄露，信息泄露给采购方带来重大影响。</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31426AE7">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741" w:type="dxa"/>
            <w:tcBorders>
              <w:top w:val="single" w:color="auto" w:sz="4" w:space="0"/>
              <w:left w:val="nil"/>
              <w:bottom w:val="single" w:color="auto" w:sz="4" w:space="0"/>
              <w:right w:val="single" w:color="auto" w:sz="4" w:space="0"/>
            </w:tcBorders>
            <w:noWrap w:val="0"/>
            <w:vAlign w:val="top"/>
          </w:tcPr>
          <w:p w14:paraId="2615D5CB">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638" w:type="dxa"/>
            <w:tcBorders>
              <w:top w:val="single" w:color="auto" w:sz="4" w:space="0"/>
              <w:left w:val="nil"/>
              <w:bottom w:val="single" w:color="auto" w:sz="4" w:space="0"/>
              <w:right w:val="single" w:color="auto" w:sz="4" w:space="0"/>
            </w:tcBorders>
            <w:noWrap w:val="0"/>
            <w:vAlign w:val="center"/>
          </w:tcPr>
          <w:p w14:paraId="693211A0">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bookmarkEnd w:id="378"/>
      <w:bookmarkEnd w:id="379"/>
    </w:tbl>
    <w:tbl>
      <w:tblPr>
        <w:tblStyle w:val="16"/>
        <w:tblW w:w="9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8"/>
      </w:tblGrid>
      <w:tr w14:paraId="4D16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928" w:type="dxa"/>
            <w:vAlign w:val="center"/>
          </w:tcPr>
          <w:p w14:paraId="046C854F">
            <w:pPr>
              <w:pStyle w:val="18"/>
              <w:rPr>
                <w:rFonts w:hint="eastAsia" w:ascii="宋体" w:hAnsi="宋体" w:eastAsia="宋体" w:cs="宋体"/>
                <w:color w:val="auto"/>
                <w:sz w:val="20"/>
                <w:szCs w:val="20"/>
                <w:highlight w:val="none"/>
                <w:vertAlign w:val="baseline"/>
                <w:lang w:val="en-US" w:eastAsia="zh-CN"/>
              </w:rPr>
            </w:pPr>
            <w:bookmarkStart w:id="402" w:name="_Toc14374"/>
            <w:bookmarkStart w:id="403" w:name="_Toc17306"/>
            <w:bookmarkStart w:id="404" w:name="_Toc18789"/>
            <w:bookmarkStart w:id="405" w:name="_Toc16269"/>
            <w:bookmarkStart w:id="406" w:name="_Toc10557"/>
            <w:bookmarkStart w:id="407" w:name="_Toc7212"/>
            <w:r>
              <w:rPr>
                <w:rFonts w:hint="eastAsia" w:ascii="宋体" w:hAnsi="宋体" w:eastAsia="宋体" w:cs="宋体"/>
                <w:color w:val="auto"/>
                <w:sz w:val="20"/>
                <w:szCs w:val="20"/>
                <w:highlight w:val="none"/>
                <w:lang w:val="en-US" w:eastAsia="zh-CN"/>
              </w:rPr>
              <w:t xml:space="preserve">                                            考核得分：</w:t>
            </w:r>
          </w:p>
        </w:tc>
      </w:tr>
      <w:tr w14:paraId="6052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28" w:type="dxa"/>
            <w:vAlign w:val="center"/>
          </w:tcPr>
          <w:p w14:paraId="07F9097A">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75E3C0D9">
            <w:pPr>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w:t>
            </w:r>
            <w:r>
              <w:rPr>
                <w:rFonts w:hint="eastAsia" w:ascii="宋体" w:hAnsi="宋体" w:cs="宋体"/>
                <w:color w:val="auto"/>
                <w:sz w:val="20"/>
                <w:szCs w:val="20"/>
                <w:highlight w:val="none"/>
                <w:lang w:val="en-US" w:eastAsia="zh-CN"/>
              </w:rPr>
              <w:t>签名：</w:t>
            </w:r>
          </w:p>
          <w:p w14:paraId="46766EB4">
            <w:pPr>
              <w:rPr>
                <w:rFonts w:hint="eastAsia" w:ascii="宋体" w:hAnsi="宋体" w:eastAsia="宋体" w:cs="宋体"/>
                <w:color w:val="auto"/>
                <w:sz w:val="20"/>
                <w:szCs w:val="20"/>
                <w:highlight w:val="none"/>
                <w:vertAlign w:val="baseline"/>
                <w:lang w:val="en-US" w:eastAsia="zh-CN"/>
              </w:rPr>
            </w:pPr>
            <w:r>
              <w:rPr>
                <w:rFonts w:hint="eastAsia" w:ascii="宋体" w:hAnsi="宋体" w:cs="宋体"/>
                <w:color w:val="auto"/>
                <w:sz w:val="20"/>
                <w:szCs w:val="20"/>
                <w:highlight w:val="none"/>
                <w:lang w:val="en-US" w:eastAsia="zh-CN"/>
              </w:rPr>
              <w:t xml:space="preserve">                                                   日期：</w:t>
            </w:r>
          </w:p>
        </w:tc>
      </w:tr>
    </w:tbl>
    <w:p w14:paraId="1642BB18">
      <w:pPr>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br w:type="page"/>
      </w:r>
    </w:p>
    <w:p w14:paraId="270DAFDE">
      <w:pPr>
        <w:pStyle w:val="4"/>
        <w:keepNext/>
        <w:keepLines/>
        <w:pageBreakBefore w:val="0"/>
        <w:widowControl w:val="0"/>
        <w:numPr>
          <w:ilvl w:val="0"/>
          <w:numId w:val="0"/>
        </w:numPr>
        <w:kinsoku/>
        <w:wordWrap/>
        <w:overflowPunct/>
        <w:topLinePunct w:val="0"/>
        <w:autoSpaceDE/>
        <w:autoSpaceDN/>
        <w:bidi w:val="0"/>
        <w:adjustRightInd/>
        <w:snapToGrid/>
        <w:spacing w:before="0" w:after="0" w:line="580" w:lineRule="exact"/>
        <w:jc w:val="center"/>
        <w:textAlignment w:val="auto"/>
        <w:rPr>
          <w:rFonts w:hint="eastAsia" w:ascii="宋体" w:hAnsi="宋体" w:eastAsia="宋体" w:cs="宋体"/>
          <w:b/>
          <w:bCs w:val="0"/>
          <w:color w:val="auto"/>
          <w:sz w:val="20"/>
          <w:szCs w:val="20"/>
          <w:highlight w:val="none"/>
          <w:lang w:val="en-US" w:eastAsia="zh-CN"/>
        </w:rPr>
      </w:pPr>
      <w:bookmarkStart w:id="408" w:name="_Toc31450"/>
      <w:bookmarkStart w:id="409" w:name="_Toc26817"/>
      <w:r>
        <w:rPr>
          <w:rFonts w:hint="eastAsia" w:ascii="宋体" w:hAnsi="宋体" w:eastAsia="宋体" w:cs="宋体"/>
          <w:b/>
          <w:bCs w:val="0"/>
          <w:color w:val="auto"/>
          <w:sz w:val="20"/>
          <w:szCs w:val="20"/>
          <w:highlight w:val="none"/>
          <w:lang w:val="en-US" w:eastAsia="zh-CN"/>
        </w:rPr>
        <w:t>（十二）安防监控系统维保</w:t>
      </w:r>
      <w:bookmarkEnd w:id="402"/>
      <w:r>
        <w:rPr>
          <w:rFonts w:hint="eastAsia" w:ascii="宋体" w:hAnsi="宋体" w:eastAsia="宋体" w:cs="宋体"/>
          <w:b/>
          <w:bCs w:val="0"/>
          <w:color w:val="auto"/>
          <w:sz w:val="20"/>
          <w:szCs w:val="20"/>
          <w:highlight w:val="none"/>
          <w:lang w:val="en-US" w:eastAsia="zh-CN"/>
        </w:rPr>
        <w:t>服务项目</w:t>
      </w:r>
      <w:bookmarkEnd w:id="403"/>
      <w:bookmarkEnd w:id="404"/>
      <w:bookmarkEnd w:id="405"/>
      <w:bookmarkEnd w:id="406"/>
      <w:bookmarkEnd w:id="407"/>
      <w:bookmarkEnd w:id="408"/>
      <w:bookmarkEnd w:id="409"/>
    </w:p>
    <w:p w14:paraId="642B6DFA">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410" w:name="_Toc4422"/>
      <w:bookmarkStart w:id="411" w:name="_Toc11279"/>
      <w:bookmarkStart w:id="412" w:name="_Toc31009"/>
      <w:r>
        <w:rPr>
          <w:rFonts w:hint="eastAsia" w:ascii="宋体" w:hAnsi="宋体" w:eastAsia="宋体" w:cs="宋体"/>
          <w:b/>
          <w:bCs/>
          <w:color w:val="auto"/>
          <w:sz w:val="20"/>
          <w:szCs w:val="20"/>
          <w:highlight w:val="none"/>
          <w:lang w:val="en-US" w:eastAsia="zh-CN"/>
        </w:rPr>
        <w:t>1.项目服务标准及要求</w:t>
      </w:r>
      <w:bookmarkEnd w:id="410"/>
      <w:bookmarkEnd w:id="411"/>
      <w:bookmarkEnd w:id="412"/>
    </w:p>
    <w:p w14:paraId="732FCF08">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413" w:name="_Toc12460"/>
      <w:bookmarkStart w:id="414" w:name="_Toc12112"/>
      <w:bookmarkStart w:id="415" w:name="_Toc29322"/>
      <w:bookmarkStart w:id="416" w:name="_Toc25644"/>
      <w:bookmarkStart w:id="417" w:name="_Toc31822"/>
      <w:bookmarkStart w:id="418" w:name="_Toc21574"/>
      <w:bookmarkStart w:id="419" w:name="_Toc21552"/>
      <w:bookmarkStart w:id="420" w:name="_Toc6929"/>
      <w:r>
        <w:rPr>
          <w:rFonts w:hint="eastAsia" w:ascii="宋体" w:hAnsi="宋体" w:eastAsia="宋体" w:cs="宋体"/>
          <w:b/>
          <w:bCs/>
          <w:color w:val="auto"/>
          <w:sz w:val="20"/>
          <w:szCs w:val="20"/>
          <w:highlight w:val="none"/>
          <w:lang w:val="en-US" w:eastAsia="zh-CN"/>
        </w:rPr>
        <w:t>1.1项目服务标准</w:t>
      </w:r>
      <w:bookmarkEnd w:id="413"/>
      <w:bookmarkEnd w:id="414"/>
      <w:bookmarkEnd w:id="415"/>
      <w:bookmarkEnd w:id="416"/>
      <w:bookmarkEnd w:id="417"/>
      <w:bookmarkEnd w:id="418"/>
      <w:bookmarkEnd w:id="419"/>
      <w:bookmarkEnd w:id="420"/>
    </w:p>
    <w:p w14:paraId="0216DEF5">
      <w:pPr>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服务商在提供</w:t>
      </w:r>
      <w:r>
        <w:rPr>
          <w:rFonts w:hint="eastAsia" w:ascii="宋体" w:hAnsi="宋体" w:eastAsia="宋体" w:cs="宋体"/>
          <w:color w:val="auto"/>
          <w:sz w:val="20"/>
          <w:szCs w:val="20"/>
          <w:highlight w:val="none"/>
          <w:lang w:eastAsia="zh-CN"/>
        </w:rPr>
        <w:t>安防监控系统维保服务</w:t>
      </w:r>
      <w:r>
        <w:rPr>
          <w:rFonts w:hint="eastAsia" w:ascii="宋体" w:hAnsi="宋体" w:eastAsia="宋体" w:cs="宋体"/>
          <w:color w:val="auto"/>
          <w:sz w:val="20"/>
          <w:szCs w:val="20"/>
          <w:highlight w:val="none"/>
        </w:rPr>
        <w:t>时，需按照如下标准执行，如果在合同执行期间国家颁布新的标准时，应按最新的条款执行。</w:t>
      </w:r>
    </w:p>
    <w:tbl>
      <w:tblPr>
        <w:tblStyle w:val="16"/>
        <w:tblW w:w="8135"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7260"/>
      </w:tblGrid>
      <w:tr w14:paraId="762F7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trPr>
        <w:tc>
          <w:tcPr>
            <w:tcW w:w="875" w:type="dxa"/>
            <w:vAlign w:val="center"/>
          </w:tcPr>
          <w:p w14:paraId="16C98FC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序号</w:t>
            </w:r>
          </w:p>
        </w:tc>
        <w:tc>
          <w:tcPr>
            <w:tcW w:w="7260" w:type="dxa"/>
            <w:vAlign w:val="center"/>
          </w:tcPr>
          <w:p w14:paraId="7580F86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标准名称</w:t>
            </w:r>
          </w:p>
        </w:tc>
      </w:tr>
      <w:tr w14:paraId="0FC9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5D30823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w:t>
            </w:r>
          </w:p>
        </w:tc>
        <w:tc>
          <w:tcPr>
            <w:tcW w:w="7260" w:type="dxa"/>
            <w:vAlign w:val="center"/>
          </w:tcPr>
          <w:p w14:paraId="25DCFBF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rPr>
              <w:t>《中华人民共和国国家标准综合布线系统工程设计规范》</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GB 50311-2007</w:t>
            </w:r>
            <w:r>
              <w:rPr>
                <w:rFonts w:hint="eastAsia" w:ascii="宋体" w:hAnsi="宋体" w:eastAsia="宋体" w:cs="宋体"/>
                <w:color w:val="auto"/>
                <w:sz w:val="20"/>
                <w:szCs w:val="20"/>
                <w:highlight w:val="none"/>
                <w:lang w:eastAsia="zh-CN"/>
              </w:rPr>
              <w:t>）</w:t>
            </w:r>
          </w:p>
        </w:tc>
      </w:tr>
      <w:tr w14:paraId="4C18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56C3186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2</w:t>
            </w:r>
          </w:p>
        </w:tc>
        <w:tc>
          <w:tcPr>
            <w:tcW w:w="7260" w:type="dxa"/>
            <w:vAlign w:val="center"/>
          </w:tcPr>
          <w:p w14:paraId="2375421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《安全防范工程通用规范 》（GB 55029-2022 ）</w:t>
            </w:r>
          </w:p>
        </w:tc>
      </w:tr>
      <w:tr w14:paraId="333CD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34471CC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3</w:t>
            </w:r>
          </w:p>
        </w:tc>
        <w:tc>
          <w:tcPr>
            <w:tcW w:w="7260" w:type="dxa"/>
            <w:vAlign w:val="center"/>
          </w:tcPr>
          <w:p w14:paraId="20161C3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《建筑物电子信息系统防雷技术规范》</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GB 50343-2004</w:t>
            </w:r>
            <w:r>
              <w:rPr>
                <w:rFonts w:hint="eastAsia" w:ascii="宋体" w:hAnsi="宋体" w:eastAsia="宋体" w:cs="宋体"/>
                <w:color w:val="auto"/>
                <w:sz w:val="20"/>
                <w:szCs w:val="20"/>
                <w:highlight w:val="none"/>
                <w:lang w:eastAsia="zh-CN"/>
              </w:rPr>
              <w:t>）</w:t>
            </w:r>
          </w:p>
        </w:tc>
      </w:tr>
      <w:tr w14:paraId="11DC1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73BB5B5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4</w:t>
            </w:r>
          </w:p>
        </w:tc>
        <w:tc>
          <w:tcPr>
            <w:tcW w:w="7260" w:type="dxa"/>
            <w:vAlign w:val="center"/>
          </w:tcPr>
          <w:p w14:paraId="5046B9AD">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《电气装置安装工程接地装置施工及验收规范》</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GB50169-2006</w:t>
            </w:r>
            <w:r>
              <w:rPr>
                <w:rFonts w:hint="eastAsia" w:ascii="宋体" w:hAnsi="宋体" w:eastAsia="宋体" w:cs="宋体"/>
                <w:color w:val="auto"/>
                <w:sz w:val="20"/>
                <w:szCs w:val="20"/>
                <w:highlight w:val="none"/>
                <w:lang w:eastAsia="zh-CN"/>
              </w:rPr>
              <w:t>）</w:t>
            </w:r>
          </w:p>
        </w:tc>
      </w:tr>
      <w:tr w14:paraId="7D0E9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3AB6772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5</w:t>
            </w:r>
          </w:p>
        </w:tc>
        <w:tc>
          <w:tcPr>
            <w:tcW w:w="7260" w:type="dxa"/>
            <w:vAlign w:val="center"/>
          </w:tcPr>
          <w:p w14:paraId="6BF0369A">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lang w:eastAsia="zh-CN"/>
              </w:rPr>
              <w:t xml:space="preserve">《视频安防监控系统工程设计规范》（GB50395-2015） </w:t>
            </w:r>
          </w:p>
        </w:tc>
      </w:tr>
      <w:tr w14:paraId="3A309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4E45E4A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6</w:t>
            </w:r>
          </w:p>
        </w:tc>
        <w:tc>
          <w:tcPr>
            <w:tcW w:w="7260" w:type="dxa"/>
            <w:vAlign w:val="center"/>
          </w:tcPr>
          <w:p w14:paraId="24FB210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rPr>
              <w:t>《安全防范视频监控联网系统信息传输、交换、控制技术要求》</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GB/T28181-2016</w:t>
            </w:r>
            <w:r>
              <w:rPr>
                <w:rFonts w:hint="eastAsia" w:ascii="宋体" w:hAnsi="宋体" w:eastAsia="宋体" w:cs="宋体"/>
                <w:color w:val="auto"/>
                <w:sz w:val="20"/>
                <w:szCs w:val="20"/>
                <w:highlight w:val="none"/>
                <w:lang w:eastAsia="zh-CN"/>
              </w:rPr>
              <w:t>）</w:t>
            </w:r>
          </w:p>
        </w:tc>
      </w:tr>
      <w:tr w14:paraId="13826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14EE361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7</w:t>
            </w:r>
          </w:p>
        </w:tc>
        <w:tc>
          <w:tcPr>
            <w:tcW w:w="7260" w:type="dxa"/>
            <w:vAlign w:val="center"/>
          </w:tcPr>
          <w:p w14:paraId="49D95BB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rPr>
              <w:t>《民用闭路监视电视系统工程技术规范》</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GB 50198-2011</w:t>
            </w:r>
            <w:r>
              <w:rPr>
                <w:rFonts w:hint="eastAsia" w:ascii="宋体" w:hAnsi="宋体" w:eastAsia="宋体" w:cs="宋体"/>
                <w:color w:val="auto"/>
                <w:sz w:val="20"/>
                <w:szCs w:val="20"/>
                <w:highlight w:val="none"/>
                <w:lang w:eastAsia="zh-CN"/>
              </w:rPr>
              <w:t>）</w:t>
            </w:r>
          </w:p>
        </w:tc>
      </w:tr>
      <w:tr w14:paraId="475A9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32349B1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8</w:t>
            </w:r>
          </w:p>
        </w:tc>
        <w:tc>
          <w:tcPr>
            <w:tcW w:w="7260" w:type="dxa"/>
            <w:vAlign w:val="center"/>
          </w:tcPr>
          <w:p w14:paraId="346B52D8">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《智能建筑设计标准》 （GB/T 50314-2015）</w:t>
            </w:r>
          </w:p>
        </w:tc>
      </w:tr>
      <w:tr w14:paraId="2A5DA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1EAF993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kern w:val="2"/>
                <w:sz w:val="20"/>
                <w:szCs w:val="20"/>
                <w:highlight w:val="none"/>
                <w:vertAlign w:val="baseline"/>
                <w:lang w:val="en-US" w:eastAsia="zh-CN" w:bidi="ar-SA"/>
              </w:rPr>
              <w:t>9</w:t>
            </w:r>
          </w:p>
        </w:tc>
        <w:tc>
          <w:tcPr>
            <w:tcW w:w="7260" w:type="dxa"/>
            <w:vAlign w:val="center"/>
          </w:tcPr>
          <w:p w14:paraId="4B745AB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《安全防范工程技术规范》（GB50348-2018）</w:t>
            </w:r>
          </w:p>
        </w:tc>
      </w:tr>
      <w:tr w14:paraId="07A61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74591DD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10</w:t>
            </w:r>
          </w:p>
        </w:tc>
        <w:tc>
          <w:tcPr>
            <w:tcW w:w="7260" w:type="dxa"/>
            <w:vAlign w:val="center"/>
          </w:tcPr>
          <w:p w14:paraId="4C02B25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《安全防范系统维护保养规范》（GA/T 1081-2020 ）</w:t>
            </w:r>
          </w:p>
        </w:tc>
      </w:tr>
      <w:tr w14:paraId="50303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5EAFE84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11</w:t>
            </w:r>
          </w:p>
        </w:tc>
        <w:tc>
          <w:tcPr>
            <w:tcW w:w="7260" w:type="dxa"/>
            <w:vAlign w:val="center"/>
          </w:tcPr>
          <w:p w14:paraId="6D8F234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《安全防范系统通用图形符号》（GA/T74-2017）</w:t>
            </w:r>
          </w:p>
        </w:tc>
      </w:tr>
      <w:tr w14:paraId="3D3C5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6A39338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kern w:val="2"/>
                <w:sz w:val="20"/>
                <w:szCs w:val="20"/>
                <w:highlight w:val="none"/>
                <w:vertAlign w:val="baseline"/>
                <w:lang w:val="en-US" w:eastAsia="zh-CN" w:bidi="ar-SA"/>
              </w:rPr>
              <w:t>12</w:t>
            </w:r>
          </w:p>
        </w:tc>
        <w:tc>
          <w:tcPr>
            <w:tcW w:w="7260" w:type="dxa"/>
            <w:vAlign w:val="center"/>
          </w:tcPr>
          <w:p w14:paraId="434E0E08">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rPr>
              <w:t>《视频安防监视系统技术要求》</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GA/T 367－2001</w:t>
            </w:r>
            <w:r>
              <w:rPr>
                <w:rFonts w:hint="eastAsia" w:ascii="宋体" w:hAnsi="宋体" w:eastAsia="宋体" w:cs="宋体"/>
                <w:color w:val="auto"/>
                <w:sz w:val="20"/>
                <w:szCs w:val="20"/>
                <w:highlight w:val="none"/>
                <w:lang w:eastAsia="zh-CN"/>
              </w:rPr>
              <w:t>）</w:t>
            </w:r>
          </w:p>
        </w:tc>
      </w:tr>
      <w:tr w14:paraId="76EA2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04607A0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13</w:t>
            </w:r>
          </w:p>
        </w:tc>
        <w:tc>
          <w:tcPr>
            <w:tcW w:w="7260" w:type="dxa"/>
            <w:vAlign w:val="center"/>
          </w:tcPr>
          <w:p w14:paraId="4899A8E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rPr>
              <w:t>《安全防范系统验收规则》</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GA308-2016</w:t>
            </w:r>
            <w:r>
              <w:rPr>
                <w:rFonts w:hint="eastAsia" w:ascii="宋体" w:hAnsi="宋体" w:eastAsia="宋体" w:cs="宋体"/>
                <w:color w:val="auto"/>
                <w:sz w:val="20"/>
                <w:szCs w:val="20"/>
                <w:highlight w:val="none"/>
                <w:lang w:eastAsia="zh-CN"/>
              </w:rPr>
              <w:t>）</w:t>
            </w:r>
          </w:p>
        </w:tc>
      </w:tr>
      <w:tr w14:paraId="6743F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1467BBE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14</w:t>
            </w:r>
          </w:p>
        </w:tc>
        <w:tc>
          <w:tcPr>
            <w:tcW w:w="7260" w:type="dxa"/>
            <w:vAlign w:val="center"/>
          </w:tcPr>
          <w:p w14:paraId="58FC1CA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rPr>
              <w:t>《电力设施治安风险等级和安全防范要求》</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GA 1089-2013</w:t>
            </w:r>
            <w:r>
              <w:rPr>
                <w:rFonts w:hint="eastAsia" w:ascii="宋体" w:hAnsi="宋体" w:eastAsia="宋体" w:cs="宋体"/>
                <w:color w:val="auto"/>
                <w:sz w:val="20"/>
                <w:szCs w:val="20"/>
                <w:highlight w:val="none"/>
                <w:lang w:eastAsia="zh-CN"/>
              </w:rPr>
              <w:t>）</w:t>
            </w:r>
          </w:p>
        </w:tc>
      </w:tr>
      <w:tr w14:paraId="0F7FE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13FF4A9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15</w:t>
            </w:r>
          </w:p>
        </w:tc>
        <w:tc>
          <w:tcPr>
            <w:tcW w:w="7260" w:type="dxa"/>
            <w:vAlign w:val="center"/>
          </w:tcPr>
          <w:p w14:paraId="647457B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color w:val="auto"/>
                <w:sz w:val="20"/>
                <w:szCs w:val="20"/>
                <w:highlight w:val="none"/>
              </w:rPr>
              <w:t>《国际电工委员会制定的信息技术设备的标准》</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IEC 60950</w:t>
            </w:r>
            <w:r>
              <w:rPr>
                <w:rFonts w:hint="eastAsia" w:ascii="宋体" w:hAnsi="宋体" w:eastAsia="宋体" w:cs="宋体"/>
                <w:color w:val="auto"/>
                <w:sz w:val="20"/>
                <w:szCs w:val="20"/>
                <w:highlight w:val="none"/>
                <w:lang w:eastAsia="zh-CN"/>
              </w:rPr>
              <w:t>）</w:t>
            </w:r>
          </w:p>
        </w:tc>
      </w:tr>
      <w:tr w14:paraId="43CA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5" w:type="dxa"/>
            <w:vAlign w:val="center"/>
          </w:tcPr>
          <w:p w14:paraId="22115B6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16</w:t>
            </w:r>
          </w:p>
        </w:tc>
        <w:tc>
          <w:tcPr>
            <w:tcW w:w="7260" w:type="dxa"/>
            <w:vAlign w:val="center"/>
          </w:tcPr>
          <w:p w14:paraId="02DBC77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《电磁兼容性标准》</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IEC 62040-2</w:t>
            </w:r>
            <w:r>
              <w:rPr>
                <w:rFonts w:hint="eastAsia" w:ascii="宋体" w:hAnsi="宋体" w:eastAsia="宋体" w:cs="宋体"/>
                <w:color w:val="auto"/>
                <w:sz w:val="20"/>
                <w:szCs w:val="20"/>
                <w:highlight w:val="none"/>
                <w:lang w:eastAsia="zh-CN"/>
              </w:rPr>
              <w:t>）</w:t>
            </w:r>
          </w:p>
        </w:tc>
      </w:tr>
    </w:tbl>
    <w:p w14:paraId="5206703F">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421" w:name="_Toc27396"/>
      <w:bookmarkStart w:id="422" w:name="_Toc23292"/>
      <w:bookmarkStart w:id="423" w:name="_Toc28194"/>
      <w:bookmarkStart w:id="424" w:name="_Toc25879"/>
      <w:bookmarkStart w:id="425" w:name="_Toc32417"/>
      <w:bookmarkStart w:id="426" w:name="_Toc15066"/>
      <w:bookmarkStart w:id="427" w:name="_Toc19063"/>
      <w:bookmarkStart w:id="428" w:name="_Toc22169"/>
      <w:r>
        <w:rPr>
          <w:rFonts w:hint="eastAsia" w:ascii="宋体" w:hAnsi="宋体" w:eastAsia="宋体" w:cs="宋体"/>
          <w:b/>
          <w:bCs/>
          <w:color w:val="auto"/>
          <w:sz w:val="20"/>
          <w:szCs w:val="20"/>
          <w:highlight w:val="none"/>
          <w:lang w:val="en-US" w:eastAsia="zh-CN"/>
        </w:rPr>
        <w:t>1.2项目服务要求</w:t>
      </w:r>
      <w:bookmarkEnd w:id="421"/>
      <w:bookmarkEnd w:id="422"/>
      <w:bookmarkEnd w:id="423"/>
      <w:bookmarkEnd w:id="424"/>
      <w:bookmarkEnd w:id="425"/>
      <w:bookmarkEnd w:id="426"/>
      <w:bookmarkEnd w:id="427"/>
      <w:bookmarkEnd w:id="428"/>
    </w:p>
    <w:p w14:paraId="478DE08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1.2.1合同实施前，服务商需对采购方整体</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运行状况进行全面摸查，根据摸查情况，针对</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维保服务项目，需指派专人进行对接，熟悉和了解采购方</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构成，对系统内硬件、软件、线路走向等进行熟悉。</w:t>
      </w:r>
    </w:p>
    <w:p w14:paraId="6FBFAEDC">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1.2.2为保证</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正常有效运转，</w:t>
      </w:r>
      <w:r>
        <w:rPr>
          <w:rFonts w:hint="eastAsia" w:ascii="宋体" w:hAnsi="宋体" w:eastAsia="宋体" w:cs="宋体"/>
          <w:bCs/>
          <w:color w:val="auto"/>
          <w:sz w:val="20"/>
          <w:szCs w:val="20"/>
          <w:highlight w:val="none"/>
          <w:lang w:val="en-US" w:eastAsia="zh-CN"/>
        </w:rPr>
        <w:t>服务商必须按照采购方的要求执行，按时按质地提供相关服务。</w:t>
      </w:r>
    </w:p>
    <w:p w14:paraId="4F282386">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1.2.3服务商提供24小时的故障接受渠道（热线电话、微信、传真、电子邮件等）。服务商在接到</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故障报修电话后，必须在1小时内作出响应，并派出专业的技术人员按采购方的时间要求到达现场。在采购方规定的时间内，恢复故障，如果故障在检修24小时后仍无法排除，应与采购协商解决。</w:t>
      </w:r>
    </w:p>
    <w:p w14:paraId="3D2A7A7F">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1.2.4如遇到不能现场维修的故障，服务商在不影响采购方正常工作的前提下取机返公司维修。并视采购方的需求，提供备机供采购方先行使用，保证</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恢复正常运行。</w:t>
      </w:r>
    </w:p>
    <w:p w14:paraId="4E82DAD5">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1.2.5服务商在维修、保养过程中对发生损坏的特殊零配件不能及时更换时，服务商应及时向采购方通报，提出计划修复的时间（上述时间应经采购方认可），并严格按计划时间争取尽早修复。</w:t>
      </w:r>
    </w:p>
    <w:p w14:paraId="1AD60C3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1.2.6在服务过程中如发现相关设备设施自身存在危险状态的，服务商应尽快前往修复/维护，同时应作好基本的安全防护措施，以免发生或扩大损失。</w:t>
      </w:r>
    </w:p>
    <w:p w14:paraId="39B24B7B">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1.2.7服务商应自行配备工作所需的各种专业工具及设备，并在进场之前由相关专业人员检查合格后可在现场使用。此外，服务商在维修过程中所用零配件应为合格产品，其余辅助材料应符合国家相关技术规范及设备安全使用条例。</w:t>
      </w:r>
    </w:p>
    <w:p w14:paraId="61814147">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1.2.8服务商为维修及更换过的零配件提供的质保期为6个月，自服务商签署确认记录表之日计算。质保期内出现同一问题的，服务商应免费予以维修，且质保期自免费维修后重新计算。</w:t>
      </w:r>
    </w:p>
    <w:p w14:paraId="0BC80BA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1.2.9在每次巡检和故障维保时，服务商需填写《</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维护保养现场记录表》并经采购方值班人员或管理员核实签字认可,作为服务商进行设备维保的重要依据。此外，根据采购方的实际需求，提供</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异常情况分析报告。</w:t>
      </w:r>
    </w:p>
    <w:p w14:paraId="48075101">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1.2.10服务商负责制定服务范围内</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紧急事件的工作预案，经服务商和采购方双方审定后由服务商组织实施；在发生紧急事件或急迫性维修后，服务商须立即委派技术负责人到达现场妥善处理。</w:t>
      </w:r>
    </w:p>
    <w:p w14:paraId="7A029410">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1.2.11服务商应建立规范的档案管理制度，设立专人负责妥善保管和正确使用本合同范围内</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的档案资料，并负责及时记载有关变更、维修、保养情况。</w:t>
      </w:r>
    </w:p>
    <w:p w14:paraId="72E47600">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1.2.12服务商加强人员管理，合理安排人员，保障项目工作进度。确因不可抗力影响项目实施，需与采购人协商修订项目实施计划，达成一致后执行。</w:t>
      </w:r>
    </w:p>
    <w:p w14:paraId="3F9F11EB">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1.2.13采购方在举办各项大型活动及接待工作（各类会展、活动保障与服务等）时，服务商根据采购需要负责活动前对现场、设备设施进行检查，保证</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设备完好,运行正常，无安全隐患，确保设备、设施运行可靠性。活动期间，加强巡检力度，确保设备、设施安全可靠运行。</w:t>
      </w:r>
    </w:p>
    <w:p w14:paraId="2B801BB8">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1.2.14根据采购方的需求提供对应的培训。培训方式包括线上讲解、现场设备的实际操作、系统的实际操作。使采购方相关人员掌握有关监控硬件与平台的日常基础使用、维护和管理方法，达到能独立进行普通日常管理、故障排除、日常测试等基础工作。</w:t>
      </w:r>
    </w:p>
    <w:p w14:paraId="3852FCE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1.2.15服务商必须配备专业的维修人员完成本项目，维修人员具有设施设备维修经验并持有法定要求的职业资格证。</w:t>
      </w:r>
    </w:p>
    <w:p w14:paraId="3BD018D9">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1.2.16服务商应具备足够的可随时调遣的</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维保后备人员，以便随时响应采购方的临时工作安排，后备人员具备相应的沟通能力、业务能力和技术能力。</w:t>
      </w:r>
    </w:p>
    <w:p w14:paraId="57B68B01">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1.2.17服务商必须建立健全严格的安全管理制度，在开展</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维保服务工作中严格执行安全管理规定，深刻认识和领会采购方对安全工作的态度和要求，并给予相应的支持和配合。如因非采购方原因导致的安全问题，由服务商承担责任，并按国家法律法规及相关要求进行赔偿。</w:t>
      </w:r>
    </w:p>
    <w:p w14:paraId="52AB27C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1.2.18在</w:t>
      </w:r>
      <w:r>
        <w:rPr>
          <w:rFonts w:hint="eastAsia" w:ascii="宋体" w:hAnsi="宋体" w:eastAsia="宋体" w:cs="宋体"/>
          <w:color w:val="auto"/>
          <w:sz w:val="20"/>
          <w:szCs w:val="20"/>
          <w:highlight w:val="none"/>
        </w:rPr>
        <w:t>安防监控系统</w:t>
      </w:r>
      <w:r>
        <w:rPr>
          <w:rFonts w:hint="eastAsia" w:ascii="宋体" w:hAnsi="宋体" w:eastAsia="宋体" w:cs="宋体"/>
          <w:color w:val="auto"/>
          <w:sz w:val="20"/>
          <w:szCs w:val="20"/>
          <w:highlight w:val="none"/>
          <w:lang w:val="en-US" w:eastAsia="zh-CN"/>
        </w:rPr>
        <w:t>维保工作期间，服务商应负责落实现场安全防护措施，建立可靠的安全防护措施和明显标志，保证安全作业。而且必须遵循采购方的安全管理，并采取必要的措施保障安全。确保不发生信息安全事件；不发生轻伤及以上人身事故；不发生有责任的设备损坏事故；不发生重大质量事故。</w:t>
      </w:r>
    </w:p>
    <w:p w14:paraId="27F16D2A">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1.2.19服务商的维修人员应严格遵守有关法律法规和采购人内部规章制度，不得擅自翻阅、复制、传播所接触的资料或数据。并且，服务商须遵守采购方信息保密制度，禁止窥窃采购方任何信息。服务商应与采购方签署保密协议书，并负责约束有关员工的保密工作。如服务商泄露采购方的资料或数据，服务商应全额赔偿采购方的损失。</w:t>
      </w:r>
    </w:p>
    <w:p w14:paraId="41B621C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1.2.20服务商须建立健全的各项规章制度（包含但不限于安全生产责任及管理制度、质量安全及事故呈报与处理制度、回访制度等）。</w:t>
      </w:r>
    </w:p>
    <w:p w14:paraId="53CF882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429" w:name="_Toc15750"/>
      <w:bookmarkStart w:id="430" w:name="_Toc27650"/>
      <w:bookmarkStart w:id="431" w:name="_Toc15684"/>
      <w:r>
        <w:rPr>
          <w:rFonts w:hint="eastAsia" w:ascii="宋体" w:hAnsi="宋体" w:eastAsia="宋体" w:cs="宋体"/>
          <w:b/>
          <w:bCs/>
          <w:color w:val="auto"/>
          <w:sz w:val="20"/>
          <w:szCs w:val="20"/>
          <w:highlight w:val="none"/>
          <w:lang w:val="en-US" w:eastAsia="zh-CN"/>
        </w:rPr>
        <w:t>2.服务达标要求</w:t>
      </w:r>
      <w:bookmarkEnd w:id="429"/>
      <w:bookmarkEnd w:id="430"/>
      <w:bookmarkEnd w:id="431"/>
    </w:p>
    <w:p w14:paraId="06078FD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0" w:firstLineChars="200"/>
        <w:textAlignment w:val="auto"/>
        <w:outlineLvl w:val="0"/>
        <w:rPr>
          <w:rFonts w:hint="eastAsia" w:ascii="宋体" w:hAnsi="宋体" w:eastAsia="宋体" w:cs="宋体"/>
          <w:b/>
          <w:bCs/>
          <w:color w:val="auto"/>
          <w:sz w:val="20"/>
          <w:szCs w:val="20"/>
          <w:highlight w:val="none"/>
          <w:lang w:val="en-US" w:eastAsia="zh-CN"/>
        </w:rPr>
      </w:pPr>
      <w:bookmarkStart w:id="432" w:name="_Toc16112"/>
      <w:bookmarkStart w:id="433" w:name="_Toc7728"/>
      <w:bookmarkStart w:id="434" w:name="_Toc599"/>
      <w:bookmarkStart w:id="435" w:name="_Toc4655"/>
      <w:bookmarkStart w:id="436" w:name="_Toc28420"/>
      <w:bookmarkStart w:id="437" w:name="_Toc32421"/>
      <w:bookmarkStart w:id="438" w:name="_Toc27578"/>
      <w:bookmarkStart w:id="439" w:name="_Toc14196"/>
      <w:bookmarkStart w:id="440" w:name="_Toc7576"/>
      <w:r>
        <w:rPr>
          <w:rFonts w:hint="eastAsia" w:ascii="宋体" w:hAnsi="宋体" w:eastAsia="宋体" w:cs="宋体"/>
          <w:b w:val="0"/>
          <w:bCs w:val="0"/>
          <w:color w:val="auto"/>
          <w:sz w:val="20"/>
          <w:szCs w:val="20"/>
          <w:highlight w:val="none"/>
          <w:lang w:val="en-US" w:eastAsia="zh-CN"/>
        </w:rPr>
        <w:t>2.1安防监控系统维护保养服务达标要求</w:t>
      </w:r>
      <w:bookmarkEnd w:id="432"/>
      <w:bookmarkEnd w:id="433"/>
      <w:bookmarkEnd w:id="434"/>
      <w:bookmarkEnd w:id="435"/>
      <w:bookmarkEnd w:id="436"/>
      <w:bookmarkEnd w:id="437"/>
      <w:bookmarkEnd w:id="438"/>
      <w:bookmarkEnd w:id="439"/>
      <w:bookmarkEnd w:id="440"/>
    </w:p>
    <w:tbl>
      <w:tblPr>
        <w:tblStyle w:val="16"/>
        <w:tblW w:w="8263"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470"/>
        <w:gridCol w:w="5055"/>
        <w:gridCol w:w="940"/>
      </w:tblGrid>
      <w:tr w14:paraId="1D72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trPr>
        <w:tc>
          <w:tcPr>
            <w:tcW w:w="798" w:type="dxa"/>
            <w:vAlign w:val="center"/>
          </w:tcPr>
          <w:p w14:paraId="6A4945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序号</w:t>
            </w:r>
          </w:p>
        </w:tc>
        <w:tc>
          <w:tcPr>
            <w:tcW w:w="1470" w:type="dxa"/>
            <w:vAlign w:val="center"/>
          </w:tcPr>
          <w:p w14:paraId="7BB820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设备部位</w:t>
            </w:r>
          </w:p>
        </w:tc>
        <w:tc>
          <w:tcPr>
            <w:tcW w:w="5055" w:type="dxa"/>
            <w:vAlign w:val="center"/>
          </w:tcPr>
          <w:p w14:paraId="34453F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lang w:val="en-US" w:eastAsia="zh-CN"/>
              </w:rPr>
              <w:t>服务达标要求</w:t>
            </w:r>
          </w:p>
        </w:tc>
        <w:tc>
          <w:tcPr>
            <w:tcW w:w="940" w:type="dxa"/>
            <w:vAlign w:val="center"/>
          </w:tcPr>
          <w:p w14:paraId="02DE9F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周期</w:t>
            </w:r>
          </w:p>
        </w:tc>
      </w:tr>
      <w:tr w14:paraId="04820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451E26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w:t>
            </w:r>
          </w:p>
        </w:tc>
        <w:tc>
          <w:tcPr>
            <w:tcW w:w="1470" w:type="dxa"/>
            <w:vMerge w:val="restart"/>
            <w:vAlign w:val="center"/>
          </w:tcPr>
          <w:p w14:paraId="128182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前端摄像机</w:t>
            </w:r>
          </w:p>
        </w:tc>
        <w:tc>
          <w:tcPr>
            <w:tcW w:w="5055" w:type="dxa"/>
            <w:vAlign w:val="center"/>
          </w:tcPr>
          <w:p w14:paraId="56005B6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摄像枪部分检查：目测摄像机有无图像、干扰、清晰度如何、信号的强弱情况等。</w:t>
            </w:r>
          </w:p>
        </w:tc>
        <w:tc>
          <w:tcPr>
            <w:tcW w:w="940" w:type="dxa"/>
            <w:vAlign w:val="center"/>
          </w:tcPr>
          <w:p w14:paraId="4269D9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每日</w:t>
            </w:r>
          </w:p>
        </w:tc>
      </w:tr>
      <w:tr w14:paraId="0C8B6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48F3D3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2</w:t>
            </w:r>
          </w:p>
        </w:tc>
        <w:tc>
          <w:tcPr>
            <w:tcW w:w="1470" w:type="dxa"/>
            <w:vMerge w:val="continue"/>
            <w:vAlign w:val="center"/>
          </w:tcPr>
          <w:p w14:paraId="7F5350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71CCB19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云台部分检查：进行云台控制，检查水平、垂直方向的运作情况，包括上下、左右、自动。</w:t>
            </w:r>
          </w:p>
        </w:tc>
        <w:tc>
          <w:tcPr>
            <w:tcW w:w="940" w:type="dxa"/>
            <w:vAlign w:val="center"/>
          </w:tcPr>
          <w:p w14:paraId="688D8D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每日</w:t>
            </w:r>
          </w:p>
        </w:tc>
      </w:tr>
      <w:tr w14:paraId="2234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3699F0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3</w:t>
            </w:r>
          </w:p>
        </w:tc>
        <w:tc>
          <w:tcPr>
            <w:tcW w:w="1470" w:type="dxa"/>
            <w:vMerge w:val="continue"/>
            <w:vAlign w:val="center"/>
          </w:tcPr>
          <w:p w14:paraId="6F8777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29945F1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镜头部分检查：调试可变镜头伸缩情况，光圈开与闭，焦距的调整。</w:t>
            </w:r>
          </w:p>
        </w:tc>
        <w:tc>
          <w:tcPr>
            <w:tcW w:w="940" w:type="dxa"/>
            <w:vAlign w:val="center"/>
          </w:tcPr>
          <w:p w14:paraId="4AD9C2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每日</w:t>
            </w:r>
          </w:p>
        </w:tc>
      </w:tr>
      <w:tr w14:paraId="069C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5506BE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4</w:t>
            </w:r>
          </w:p>
        </w:tc>
        <w:tc>
          <w:tcPr>
            <w:tcW w:w="1470" w:type="dxa"/>
            <w:vMerge w:val="continue"/>
            <w:vAlign w:val="center"/>
          </w:tcPr>
          <w:p w14:paraId="5FCE4E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431C4D4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电源部分检查：用万用表检查电源的输出是否稳定，电源的发热情况是否正常。</w:t>
            </w:r>
          </w:p>
        </w:tc>
        <w:tc>
          <w:tcPr>
            <w:tcW w:w="940" w:type="dxa"/>
            <w:vAlign w:val="center"/>
          </w:tcPr>
          <w:p w14:paraId="75FD82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每月</w:t>
            </w:r>
          </w:p>
        </w:tc>
      </w:tr>
      <w:tr w14:paraId="2D5C1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40C75C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5</w:t>
            </w:r>
          </w:p>
        </w:tc>
        <w:tc>
          <w:tcPr>
            <w:tcW w:w="1470" w:type="dxa"/>
            <w:vMerge w:val="continue"/>
            <w:vAlign w:val="center"/>
          </w:tcPr>
          <w:p w14:paraId="31D18F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4EADE98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卫生状况检查：摄像机外罩是否清洁直接关系到摄像枪的图像清晰度。</w:t>
            </w:r>
          </w:p>
        </w:tc>
        <w:tc>
          <w:tcPr>
            <w:tcW w:w="940" w:type="dxa"/>
            <w:vAlign w:val="center"/>
          </w:tcPr>
          <w:p w14:paraId="5A336B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每季</w:t>
            </w:r>
          </w:p>
        </w:tc>
      </w:tr>
      <w:tr w14:paraId="6EB6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13F006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6</w:t>
            </w:r>
          </w:p>
        </w:tc>
        <w:tc>
          <w:tcPr>
            <w:tcW w:w="1470" w:type="dxa"/>
            <w:vMerge w:val="continue"/>
            <w:vAlign w:val="center"/>
          </w:tcPr>
          <w:p w14:paraId="7B2659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4B159DE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安全状况检查：检查摄像头的云台、支架间是否牢固。</w:t>
            </w:r>
          </w:p>
        </w:tc>
        <w:tc>
          <w:tcPr>
            <w:tcW w:w="940" w:type="dxa"/>
            <w:vAlign w:val="center"/>
          </w:tcPr>
          <w:p w14:paraId="7FA05B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每季</w:t>
            </w:r>
          </w:p>
        </w:tc>
      </w:tr>
      <w:tr w14:paraId="001F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255526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7</w:t>
            </w:r>
          </w:p>
        </w:tc>
        <w:tc>
          <w:tcPr>
            <w:tcW w:w="1470" w:type="dxa"/>
            <w:vMerge w:val="restart"/>
            <w:vAlign w:val="center"/>
          </w:tcPr>
          <w:p w14:paraId="7C0B18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后端视频平台、服务器及相关设备</w:t>
            </w:r>
          </w:p>
        </w:tc>
        <w:tc>
          <w:tcPr>
            <w:tcW w:w="5055" w:type="dxa"/>
            <w:vAlign w:val="center"/>
          </w:tcPr>
          <w:p w14:paraId="2DFA126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对软件平台、LED横屏的时间进行校对。</w:t>
            </w:r>
          </w:p>
        </w:tc>
        <w:tc>
          <w:tcPr>
            <w:tcW w:w="940" w:type="dxa"/>
            <w:vAlign w:val="center"/>
          </w:tcPr>
          <w:p w14:paraId="71BADA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每日</w:t>
            </w:r>
          </w:p>
        </w:tc>
      </w:tr>
      <w:tr w14:paraId="3E82B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4757E9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8</w:t>
            </w:r>
          </w:p>
        </w:tc>
        <w:tc>
          <w:tcPr>
            <w:tcW w:w="1470" w:type="dxa"/>
            <w:vMerge w:val="continue"/>
            <w:vAlign w:val="center"/>
          </w:tcPr>
          <w:p w14:paraId="62B882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787CF27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对本地软件平台进行视频丢失、丢帧检测，发现问题及时解决。</w:t>
            </w:r>
          </w:p>
        </w:tc>
        <w:tc>
          <w:tcPr>
            <w:tcW w:w="940" w:type="dxa"/>
            <w:vAlign w:val="center"/>
          </w:tcPr>
          <w:p w14:paraId="34E9F97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每周</w:t>
            </w:r>
          </w:p>
        </w:tc>
      </w:tr>
      <w:tr w14:paraId="78CC8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564032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9</w:t>
            </w:r>
          </w:p>
        </w:tc>
        <w:tc>
          <w:tcPr>
            <w:tcW w:w="1470" w:type="dxa"/>
            <w:vMerge w:val="continue"/>
            <w:vAlign w:val="center"/>
          </w:tcPr>
          <w:p w14:paraId="07947F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0224C5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对本地网络硬盘录像机的存储空间进行整理，发现不明文件进行清理，对重要文件进行特别备份。</w:t>
            </w:r>
          </w:p>
        </w:tc>
        <w:tc>
          <w:tcPr>
            <w:tcW w:w="940" w:type="dxa"/>
            <w:vAlign w:val="center"/>
          </w:tcPr>
          <w:p w14:paraId="6C5150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每月</w:t>
            </w:r>
          </w:p>
        </w:tc>
      </w:tr>
      <w:tr w14:paraId="7498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5205D1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10</w:t>
            </w:r>
          </w:p>
        </w:tc>
        <w:tc>
          <w:tcPr>
            <w:tcW w:w="1470" w:type="dxa"/>
            <w:vMerge w:val="continue"/>
            <w:vAlign w:val="center"/>
          </w:tcPr>
          <w:p w14:paraId="630DFE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63251D9B">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检查控制系统模块，并进行维护保养。</w:t>
            </w:r>
          </w:p>
        </w:tc>
        <w:tc>
          <w:tcPr>
            <w:tcW w:w="940" w:type="dxa"/>
            <w:vAlign w:val="center"/>
          </w:tcPr>
          <w:p w14:paraId="394396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每月</w:t>
            </w:r>
          </w:p>
        </w:tc>
      </w:tr>
      <w:tr w14:paraId="388D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465957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11</w:t>
            </w:r>
          </w:p>
        </w:tc>
        <w:tc>
          <w:tcPr>
            <w:tcW w:w="1470" w:type="dxa"/>
            <w:vMerge w:val="continue"/>
            <w:vAlign w:val="center"/>
          </w:tcPr>
          <w:p w14:paraId="030DBC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2D82365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一次对服务器设备的电源，风扇等基本硬件进行观察和检测，并进行维护保养。</w:t>
            </w:r>
          </w:p>
        </w:tc>
        <w:tc>
          <w:tcPr>
            <w:tcW w:w="940" w:type="dxa"/>
            <w:vAlign w:val="center"/>
          </w:tcPr>
          <w:p w14:paraId="75F86F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每月</w:t>
            </w:r>
          </w:p>
        </w:tc>
      </w:tr>
      <w:tr w14:paraId="68791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3D7094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12</w:t>
            </w:r>
          </w:p>
        </w:tc>
        <w:tc>
          <w:tcPr>
            <w:tcW w:w="1470" w:type="dxa"/>
            <w:vMerge w:val="continue"/>
            <w:vAlign w:val="center"/>
          </w:tcPr>
          <w:p w14:paraId="487C37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0BD4AAE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对解码器等硬件基本硬件进行观察和检测，并进行维护保养。</w:t>
            </w:r>
          </w:p>
        </w:tc>
        <w:tc>
          <w:tcPr>
            <w:tcW w:w="940" w:type="dxa"/>
            <w:vAlign w:val="center"/>
          </w:tcPr>
          <w:p w14:paraId="69384A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每月</w:t>
            </w:r>
          </w:p>
        </w:tc>
      </w:tr>
      <w:tr w14:paraId="1D805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186432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13</w:t>
            </w:r>
          </w:p>
        </w:tc>
        <w:tc>
          <w:tcPr>
            <w:tcW w:w="1470" w:type="dxa"/>
            <w:vMerge w:val="continue"/>
            <w:vAlign w:val="center"/>
          </w:tcPr>
          <w:p w14:paraId="3F64A9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53C85A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对控制平台等基本硬件进行观察和检测，并进行维护保养。</w:t>
            </w:r>
          </w:p>
        </w:tc>
        <w:tc>
          <w:tcPr>
            <w:tcW w:w="940" w:type="dxa"/>
            <w:vAlign w:val="center"/>
          </w:tcPr>
          <w:p w14:paraId="6FCE54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每月</w:t>
            </w:r>
          </w:p>
        </w:tc>
      </w:tr>
      <w:tr w14:paraId="4B5F0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14:paraId="1CEC4C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14</w:t>
            </w:r>
          </w:p>
        </w:tc>
        <w:tc>
          <w:tcPr>
            <w:tcW w:w="1470" w:type="dxa"/>
            <w:vMerge w:val="continue"/>
            <w:vAlign w:val="center"/>
          </w:tcPr>
          <w:p w14:paraId="377913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56B84831">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对拼接屏的图像显示情况进行观察，如发现拼接屏有损坏或工作不正常，要尽快解决或维修更换。</w:t>
            </w:r>
          </w:p>
        </w:tc>
        <w:tc>
          <w:tcPr>
            <w:tcW w:w="940" w:type="dxa"/>
            <w:vAlign w:val="center"/>
          </w:tcPr>
          <w:p w14:paraId="7ADC08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每月</w:t>
            </w:r>
          </w:p>
        </w:tc>
      </w:tr>
      <w:tr w14:paraId="006C5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0A0CE0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15</w:t>
            </w:r>
          </w:p>
        </w:tc>
        <w:tc>
          <w:tcPr>
            <w:tcW w:w="1470" w:type="dxa"/>
            <w:vMerge w:val="continue"/>
            <w:vAlign w:val="center"/>
          </w:tcPr>
          <w:p w14:paraId="592C1C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p>
        </w:tc>
        <w:tc>
          <w:tcPr>
            <w:tcW w:w="5055" w:type="dxa"/>
            <w:vAlign w:val="center"/>
          </w:tcPr>
          <w:p w14:paraId="6A477494">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对UPS的供电系统进行检测，如出现异常现象都要及时检修与维护。</w:t>
            </w:r>
          </w:p>
        </w:tc>
        <w:tc>
          <w:tcPr>
            <w:tcW w:w="940" w:type="dxa"/>
            <w:vAlign w:val="center"/>
          </w:tcPr>
          <w:p w14:paraId="30CCF0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每月</w:t>
            </w:r>
          </w:p>
        </w:tc>
      </w:tr>
      <w:tr w14:paraId="67AA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75DCFF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16</w:t>
            </w:r>
          </w:p>
        </w:tc>
        <w:tc>
          <w:tcPr>
            <w:tcW w:w="1470" w:type="dxa"/>
            <w:vMerge w:val="restart"/>
            <w:vAlign w:val="center"/>
          </w:tcPr>
          <w:p w14:paraId="124D079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传输</w:t>
            </w:r>
          </w:p>
          <w:p w14:paraId="346632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lang w:val="en-US" w:eastAsia="zh-CN"/>
              </w:rPr>
              <w:t>线路</w:t>
            </w:r>
          </w:p>
        </w:tc>
        <w:tc>
          <w:tcPr>
            <w:tcW w:w="5055" w:type="dxa"/>
            <w:vAlign w:val="center"/>
          </w:tcPr>
          <w:p w14:paraId="22D4B4B7">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对控制模块箱和配线进行吹扫清洁。</w:t>
            </w:r>
          </w:p>
        </w:tc>
        <w:tc>
          <w:tcPr>
            <w:tcW w:w="940" w:type="dxa"/>
            <w:vAlign w:val="center"/>
          </w:tcPr>
          <w:p w14:paraId="6CAF14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每季</w:t>
            </w:r>
          </w:p>
        </w:tc>
      </w:tr>
      <w:tr w14:paraId="5A34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3AAECF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17</w:t>
            </w:r>
          </w:p>
        </w:tc>
        <w:tc>
          <w:tcPr>
            <w:tcW w:w="1470" w:type="dxa"/>
            <w:vMerge w:val="continue"/>
            <w:vAlign w:val="center"/>
          </w:tcPr>
          <w:p w14:paraId="27E0C9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5055" w:type="dxa"/>
            <w:vAlign w:val="center"/>
          </w:tcPr>
          <w:p w14:paraId="41E67B5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对网络交换机进行维护与检测。</w:t>
            </w:r>
          </w:p>
        </w:tc>
        <w:tc>
          <w:tcPr>
            <w:tcW w:w="940" w:type="dxa"/>
            <w:vAlign w:val="center"/>
          </w:tcPr>
          <w:p w14:paraId="2F209C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每季</w:t>
            </w:r>
          </w:p>
        </w:tc>
      </w:tr>
      <w:tr w14:paraId="20D5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98" w:type="dxa"/>
            <w:vAlign w:val="center"/>
          </w:tcPr>
          <w:p w14:paraId="2B0BDB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18</w:t>
            </w:r>
          </w:p>
        </w:tc>
        <w:tc>
          <w:tcPr>
            <w:tcW w:w="1470" w:type="dxa"/>
            <w:vMerge w:val="continue"/>
            <w:vAlign w:val="center"/>
          </w:tcPr>
          <w:p w14:paraId="704060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5055" w:type="dxa"/>
            <w:vAlign w:val="center"/>
          </w:tcPr>
          <w:p w14:paraId="5C7CB82E">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对光纤与网络部分采用巡检的方式，查看有无鼠虫咬坏。</w:t>
            </w:r>
          </w:p>
        </w:tc>
        <w:tc>
          <w:tcPr>
            <w:tcW w:w="940" w:type="dxa"/>
            <w:vAlign w:val="center"/>
          </w:tcPr>
          <w:p w14:paraId="1824B0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每季</w:t>
            </w:r>
          </w:p>
        </w:tc>
      </w:tr>
      <w:tr w14:paraId="35B36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14:paraId="4472A9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vertAlign w:val="baseline"/>
                <w:lang w:val="en-US" w:eastAsia="zh-CN"/>
              </w:rPr>
            </w:pPr>
            <w:r>
              <w:rPr>
                <w:rFonts w:hint="eastAsia" w:ascii="宋体" w:hAnsi="宋体" w:eastAsia="宋体" w:cs="宋体"/>
                <w:b w:val="0"/>
                <w:bCs w:val="0"/>
                <w:color w:val="auto"/>
                <w:sz w:val="20"/>
                <w:szCs w:val="20"/>
                <w:highlight w:val="none"/>
                <w:vertAlign w:val="baseline"/>
                <w:lang w:val="en-US" w:eastAsia="zh-CN"/>
              </w:rPr>
              <w:t>19</w:t>
            </w:r>
          </w:p>
        </w:tc>
        <w:tc>
          <w:tcPr>
            <w:tcW w:w="1470" w:type="dxa"/>
            <w:vMerge w:val="continue"/>
            <w:vAlign w:val="center"/>
          </w:tcPr>
          <w:p w14:paraId="435892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5055" w:type="dxa"/>
            <w:vAlign w:val="center"/>
          </w:tcPr>
          <w:p w14:paraId="50D22F81">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系统线路的测试，检查线路是否有损伤或老化，接触是否良好，模块接线端子是否松动氧化，线路保护层是否完好无损，出现异常现象都要及时进行保养。</w:t>
            </w:r>
          </w:p>
        </w:tc>
        <w:tc>
          <w:tcPr>
            <w:tcW w:w="940" w:type="dxa"/>
            <w:vAlign w:val="center"/>
          </w:tcPr>
          <w:p w14:paraId="21D89D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每半年</w:t>
            </w:r>
          </w:p>
        </w:tc>
      </w:tr>
    </w:tbl>
    <w:p w14:paraId="6BABC7F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441" w:name="_Toc3062"/>
      <w:bookmarkStart w:id="442" w:name="_Toc5990"/>
      <w:bookmarkStart w:id="443" w:name="_Toc10906"/>
      <w:r>
        <w:rPr>
          <w:rFonts w:hint="eastAsia" w:ascii="宋体" w:hAnsi="宋体" w:eastAsia="宋体" w:cs="宋体"/>
          <w:b/>
          <w:bCs/>
          <w:color w:val="auto"/>
          <w:sz w:val="20"/>
          <w:szCs w:val="20"/>
          <w:highlight w:val="none"/>
          <w:lang w:val="en-US" w:eastAsia="zh-CN"/>
        </w:rPr>
        <w:t>3.服务履约考核</w:t>
      </w:r>
      <w:bookmarkEnd w:id="441"/>
      <w:bookmarkEnd w:id="442"/>
      <w:bookmarkEnd w:id="443"/>
    </w:p>
    <w:p w14:paraId="34BF66BB">
      <w:pPr>
        <w:keepNext w:val="0"/>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p w14:paraId="1D5E1D3C">
      <w:pPr>
        <w:keepNext w:val="0"/>
        <w:keepLines w:val="0"/>
        <w:pageBreakBefore w:val="0"/>
        <w:widowControl w:val="0"/>
        <w:kinsoku/>
        <w:wordWrap/>
        <w:overflowPunct/>
        <w:topLinePunct w:val="0"/>
        <w:autoSpaceDE/>
        <w:autoSpaceDN/>
        <w:bidi w:val="0"/>
        <w:adjustRightInd/>
        <w:snapToGrid/>
        <w:spacing w:line="560" w:lineRule="exact"/>
        <w:ind w:firstLine="402" w:firstLineChars="200"/>
        <w:jc w:val="both"/>
        <w:textAlignment w:val="auto"/>
        <w:outlineLvl w:val="9"/>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3.1服务履约考核</w:t>
      </w:r>
    </w:p>
    <w:tbl>
      <w:tblPr>
        <w:tblStyle w:val="15"/>
        <w:tblpPr w:leftFromText="180" w:rightFromText="180" w:vertAnchor="text" w:horzAnchor="page" w:tblpX="1075" w:tblpY="1197"/>
        <w:tblOverlap w:val="never"/>
        <w:tblW w:w="97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10"/>
        <w:gridCol w:w="827"/>
        <w:gridCol w:w="2580"/>
        <w:gridCol w:w="956"/>
        <w:gridCol w:w="2726"/>
        <w:gridCol w:w="990"/>
        <w:gridCol w:w="632"/>
        <w:gridCol w:w="575"/>
      </w:tblGrid>
      <w:tr w14:paraId="593E4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2" w:hRule="atLeast"/>
        </w:trPr>
        <w:tc>
          <w:tcPr>
            <w:tcW w:w="5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E37E8F">
            <w:pPr>
              <w:keepNext w:val="0"/>
              <w:keepLines w:val="0"/>
              <w:widowControl/>
              <w:suppressLineNumbers w:val="0"/>
              <w:spacing w:line="240" w:lineRule="auto"/>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序号</w:t>
            </w:r>
          </w:p>
        </w:tc>
        <w:tc>
          <w:tcPr>
            <w:tcW w:w="8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3144BC">
            <w:pPr>
              <w:keepNext w:val="0"/>
              <w:keepLines w:val="0"/>
              <w:widowControl/>
              <w:suppressLineNumbers w:val="0"/>
              <w:spacing w:line="240" w:lineRule="auto"/>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考核项目</w:t>
            </w:r>
          </w:p>
        </w:tc>
        <w:tc>
          <w:tcPr>
            <w:tcW w:w="25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7C8300">
            <w:pPr>
              <w:keepNext w:val="0"/>
              <w:keepLines w:val="0"/>
              <w:widowControl/>
              <w:suppressLineNumbers w:val="0"/>
              <w:spacing w:line="240" w:lineRule="auto"/>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服务内容及标准要求</w:t>
            </w:r>
          </w:p>
        </w:tc>
        <w:tc>
          <w:tcPr>
            <w:tcW w:w="9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CF9E1B">
            <w:pPr>
              <w:keepNext w:val="0"/>
              <w:keepLines w:val="0"/>
              <w:widowControl/>
              <w:suppressLineNumbers w:val="0"/>
              <w:spacing w:line="240" w:lineRule="auto"/>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标准分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D40E59">
            <w:pPr>
              <w:keepNext w:val="0"/>
              <w:keepLines w:val="0"/>
              <w:widowControl/>
              <w:suppressLineNumbers w:val="0"/>
              <w:spacing w:line="240" w:lineRule="auto"/>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检查内容</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994A7D">
            <w:pPr>
              <w:keepNext w:val="0"/>
              <w:keepLines w:val="0"/>
              <w:widowControl/>
              <w:suppressLineNumbers w:val="0"/>
              <w:spacing w:line="240" w:lineRule="auto"/>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扣分标准</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67765D">
            <w:pPr>
              <w:keepNext w:val="0"/>
              <w:keepLines w:val="0"/>
              <w:widowControl/>
              <w:suppressLineNumbers w:val="0"/>
              <w:spacing w:line="240" w:lineRule="auto"/>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实际扣分</w:t>
            </w:r>
          </w:p>
        </w:tc>
        <w:tc>
          <w:tcPr>
            <w:tcW w:w="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E638E3">
            <w:pPr>
              <w:keepNext w:val="0"/>
              <w:keepLines w:val="0"/>
              <w:widowControl/>
              <w:suppressLineNumbers w:val="0"/>
              <w:spacing w:line="240" w:lineRule="auto"/>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备注</w:t>
            </w:r>
          </w:p>
        </w:tc>
      </w:tr>
      <w:tr w14:paraId="4EF3E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2" w:hRule="atLeast"/>
        </w:trPr>
        <w:tc>
          <w:tcPr>
            <w:tcW w:w="51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12C2E0">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1</w:t>
            </w:r>
          </w:p>
        </w:tc>
        <w:tc>
          <w:tcPr>
            <w:tcW w:w="82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4C2E26">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人员管理</w:t>
            </w:r>
          </w:p>
        </w:tc>
        <w:tc>
          <w:tcPr>
            <w:tcW w:w="25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58D37B">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及时处理故障，排除隐患。</w:t>
            </w:r>
          </w:p>
        </w:tc>
        <w:tc>
          <w:tcPr>
            <w:tcW w:w="9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241A4F">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10分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172705">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4小时内无人反馈及处理故障。</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C37AD7">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-2分/次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6C9DF6">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535FC7">
            <w:pPr>
              <w:spacing w:line="240" w:lineRule="auto"/>
              <w:jc w:val="both"/>
              <w:rPr>
                <w:rFonts w:hint="eastAsia" w:ascii="宋体" w:hAnsi="宋体" w:eastAsia="宋体" w:cs="宋体"/>
                <w:b w:val="0"/>
                <w:bCs w:val="0"/>
                <w:i w:val="0"/>
                <w:color w:val="auto"/>
                <w:sz w:val="20"/>
                <w:szCs w:val="20"/>
                <w:highlight w:val="none"/>
                <w:u w:val="none"/>
              </w:rPr>
            </w:pPr>
          </w:p>
        </w:tc>
      </w:tr>
      <w:tr w14:paraId="25F5F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2" w:hRule="atLeast"/>
        </w:trPr>
        <w:tc>
          <w:tcPr>
            <w:tcW w:w="51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C4C26A">
            <w:pPr>
              <w:spacing w:line="240" w:lineRule="auto"/>
              <w:jc w:val="center"/>
              <w:rPr>
                <w:rFonts w:hint="eastAsia" w:ascii="宋体" w:hAnsi="宋体" w:eastAsia="宋体" w:cs="宋体"/>
                <w:b w:val="0"/>
                <w:bCs w:val="0"/>
                <w:i w:val="0"/>
                <w:color w:val="auto"/>
                <w:sz w:val="20"/>
                <w:szCs w:val="20"/>
                <w:highlight w:val="none"/>
                <w:u w:val="none"/>
              </w:rPr>
            </w:pPr>
          </w:p>
        </w:tc>
        <w:tc>
          <w:tcPr>
            <w:tcW w:w="82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B0EBB6">
            <w:pPr>
              <w:spacing w:line="240" w:lineRule="auto"/>
              <w:jc w:val="center"/>
              <w:rPr>
                <w:rFonts w:hint="eastAsia" w:ascii="宋体" w:hAnsi="宋体" w:eastAsia="宋体" w:cs="宋体"/>
                <w:b w:val="0"/>
                <w:bCs w:val="0"/>
                <w:i w:val="0"/>
                <w:color w:val="auto"/>
                <w:sz w:val="20"/>
                <w:szCs w:val="20"/>
                <w:highlight w:val="none"/>
                <w:u w:val="none"/>
              </w:rPr>
            </w:pPr>
          </w:p>
        </w:tc>
        <w:tc>
          <w:tcPr>
            <w:tcW w:w="25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FC4225">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保守秘密，不随意传播</w:t>
            </w:r>
            <w:r>
              <w:rPr>
                <w:rFonts w:hint="eastAsia" w:ascii="宋体" w:hAnsi="宋体" w:cs="宋体"/>
                <w:b w:val="0"/>
                <w:bCs w:val="0"/>
                <w:i w:val="0"/>
                <w:color w:val="auto"/>
                <w:kern w:val="0"/>
                <w:sz w:val="20"/>
                <w:szCs w:val="20"/>
                <w:highlight w:val="none"/>
                <w:u w:val="none"/>
                <w:lang w:val="en-US" w:eastAsia="zh-CN" w:bidi="ar"/>
              </w:rPr>
              <w:t>采购方</w:t>
            </w:r>
            <w:r>
              <w:rPr>
                <w:rFonts w:hint="eastAsia" w:ascii="宋体" w:hAnsi="宋体" w:eastAsia="宋体" w:cs="宋体"/>
                <w:b w:val="0"/>
                <w:bCs w:val="0"/>
                <w:i w:val="0"/>
                <w:color w:val="auto"/>
                <w:kern w:val="0"/>
                <w:sz w:val="20"/>
                <w:szCs w:val="20"/>
                <w:highlight w:val="none"/>
                <w:u w:val="none"/>
                <w:lang w:val="en-US" w:eastAsia="zh-CN" w:bidi="ar"/>
              </w:rPr>
              <w:t xml:space="preserve">场所的所见所闻及他人私人信息。                                              </w:t>
            </w:r>
          </w:p>
        </w:tc>
        <w:tc>
          <w:tcPr>
            <w:tcW w:w="9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450522">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10分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DAB09D">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随意传播谈论</w:t>
            </w:r>
            <w:r>
              <w:rPr>
                <w:rFonts w:hint="eastAsia" w:ascii="宋体" w:hAnsi="宋体" w:cs="宋体"/>
                <w:b w:val="0"/>
                <w:bCs w:val="0"/>
                <w:i w:val="0"/>
                <w:color w:val="auto"/>
                <w:kern w:val="0"/>
                <w:sz w:val="20"/>
                <w:szCs w:val="20"/>
                <w:highlight w:val="none"/>
                <w:u w:val="none"/>
                <w:lang w:val="en-US" w:eastAsia="zh-CN" w:bidi="ar"/>
              </w:rPr>
              <w:t>采购方</w:t>
            </w:r>
            <w:r>
              <w:rPr>
                <w:rFonts w:hint="eastAsia" w:ascii="宋体" w:hAnsi="宋体" w:eastAsia="宋体" w:cs="宋体"/>
                <w:b w:val="0"/>
                <w:bCs w:val="0"/>
                <w:i w:val="0"/>
                <w:color w:val="auto"/>
                <w:kern w:val="0"/>
                <w:sz w:val="20"/>
                <w:szCs w:val="20"/>
                <w:highlight w:val="none"/>
                <w:u w:val="none"/>
                <w:lang w:val="en-US" w:eastAsia="zh-CN" w:bidi="ar"/>
              </w:rPr>
              <w:t xml:space="preserve">工作场所工作及他人私人信息。                                            </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D0168E">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-2分/次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220060">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086F84">
            <w:pPr>
              <w:spacing w:line="240" w:lineRule="auto"/>
              <w:jc w:val="both"/>
              <w:rPr>
                <w:rFonts w:hint="eastAsia" w:ascii="宋体" w:hAnsi="宋体" w:eastAsia="宋体" w:cs="宋体"/>
                <w:b w:val="0"/>
                <w:bCs w:val="0"/>
                <w:i w:val="0"/>
                <w:color w:val="auto"/>
                <w:sz w:val="20"/>
                <w:szCs w:val="20"/>
                <w:highlight w:val="none"/>
                <w:u w:val="none"/>
              </w:rPr>
            </w:pPr>
          </w:p>
        </w:tc>
      </w:tr>
      <w:tr w14:paraId="5D00A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2" w:hRule="atLeast"/>
        </w:trPr>
        <w:tc>
          <w:tcPr>
            <w:tcW w:w="51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894E1F">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2</w:t>
            </w:r>
          </w:p>
        </w:tc>
        <w:tc>
          <w:tcPr>
            <w:tcW w:w="82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31AD14">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日常管理</w:t>
            </w:r>
          </w:p>
        </w:tc>
        <w:tc>
          <w:tcPr>
            <w:tcW w:w="25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DFB202">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每月检测安防系统功能，确保监控范围、监控画面切换、录像存储、录像回放、录像拷贝、红外警戒、语音收录等功能正常。</w:t>
            </w:r>
          </w:p>
        </w:tc>
        <w:tc>
          <w:tcPr>
            <w:tcW w:w="9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CFF2C4">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20分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9D2E0A">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每月未对安防系统功能进行检测。</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C985D8">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-5分/次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32F3A7">
            <w:pPr>
              <w:spacing w:line="240" w:lineRule="auto"/>
              <w:jc w:val="both"/>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EDC484">
            <w:pPr>
              <w:spacing w:line="240" w:lineRule="auto"/>
              <w:jc w:val="both"/>
              <w:rPr>
                <w:rFonts w:hint="eastAsia" w:ascii="宋体" w:hAnsi="宋体" w:eastAsia="宋体" w:cs="宋体"/>
                <w:b w:val="0"/>
                <w:bCs w:val="0"/>
                <w:i w:val="0"/>
                <w:color w:val="auto"/>
                <w:sz w:val="20"/>
                <w:szCs w:val="20"/>
                <w:highlight w:val="none"/>
                <w:u w:val="none"/>
              </w:rPr>
            </w:pPr>
          </w:p>
        </w:tc>
      </w:tr>
      <w:tr w14:paraId="2203B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2" w:hRule="atLeast"/>
        </w:trPr>
        <w:tc>
          <w:tcPr>
            <w:tcW w:w="51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372A33">
            <w:pPr>
              <w:spacing w:line="240" w:lineRule="auto"/>
              <w:jc w:val="center"/>
              <w:rPr>
                <w:rFonts w:hint="eastAsia" w:ascii="宋体" w:hAnsi="宋体" w:eastAsia="宋体" w:cs="宋体"/>
                <w:b w:val="0"/>
                <w:bCs w:val="0"/>
                <w:i w:val="0"/>
                <w:color w:val="auto"/>
                <w:sz w:val="20"/>
                <w:szCs w:val="20"/>
                <w:highlight w:val="none"/>
                <w:u w:val="none"/>
              </w:rPr>
            </w:pPr>
          </w:p>
        </w:tc>
        <w:tc>
          <w:tcPr>
            <w:tcW w:w="82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9C9F18">
            <w:pPr>
              <w:spacing w:line="240" w:lineRule="auto"/>
              <w:jc w:val="center"/>
              <w:rPr>
                <w:rFonts w:hint="eastAsia" w:ascii="宋体" w:hAnsi="宋体" w:eastAsia="宋体" w:cs="宋体"/>
                <w:b w:val="0"/>
                <w:bCs w:val="0"/>
                <w:i w:val="0"/>
                <w:color w:val="auto"/>
                <w:sz w:val="20"/>
                <w:szCs w:val="20"/>
                <w:highlight w:val="none"/>
                <w:u w:val="none"/>
              </w:rPr>
            </w:pPr>
          </w:p>
        </w:tc>
        <w:tc>
          <w:tcPr>
            <w:tcW w:w="25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208DE9">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线路维护、设备除尘。</w:t>
            </w:r>
          </w:p>
        </w:tc>
        <w:tc>
          <w:tcPr>
            <w:tcW w:w="9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0F501B">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10分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D52271">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每月未对安防系统线路进行维护、未对设备进行除尘。</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B9FAA4">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-1分/次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141FF5">
            <w:pPr>
              <w:spacing w:line="240" w:lineRule="auto"/>
              <w:jc w:val="both"/>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8CE87D">
            <w:pPr>
              <w:spacing w:line="240" w:lineRule="auto"/>
              <w:jc w:val="both"/>
              <w:rPr>
                <w:rFonts w:hint="eastAsia" w:ascii="宋体" w:hAnsi="宋体" w:eastAsia="宋体" w:cs="宋体"/>
                <w:b w:val="0"/>
                <w:bCs w:val="0"/>
                <w:i w:val="0"/>
                <w:color w:val="auto"/>
                <w:sz w:val="20"/>
                <w:szCs w:val="20"/>
                <w:highlight w:val="none"/>
                <w:u w:val="none"/>
              </w:rPr>
            </w:pPr>
          </w:p>
        </w:tc>
      </w:tr>
      <w:tr w14:paraId="56132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2" w:hRule="atLeast"/>
        </w:trPr>
        <w:tc>
          <w:tcPr>
            <w:tcW w:w="51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13DE09">
            <w:pPr>
              <w:spacing w:line="240" w:lineRule="auto"/>
              <w:jc w:val="center"/>
              <w:rPr>
                <w:rFonts w:hint="eastAsia" w:ascii="宋体" w:hAnsi="宋体" w:eastAsia="宋体" w:cs="宋体"/>
                <w:b w:val="0"/>
                <w:bCs w:val="0"/>
                <w:i w:val="0"/>
                <w:color w:val="auto"/>
                <w:sz w:val="20"/>
                <w:szCs w:val="20"/>
                <w:highlight w:val="none"/>
                <w:u w:val="none"/>
              </w:rPr>
            </w:pPr>
          </w:p>
        </w:tc>
        <w:tc>
          <w:tcPr>
            <w:tcW w:w="82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0E4180">
            <w:pPr>
              <w:spacing w:line="240" w:lineRule="auto"/>
              <w:jc w:val="center"/>
              <w:rPr>
                <w:rFonts w:hint="eastAsia" w:ascii="宋体" w:hAnsi="宋体" w:eastAsia="宋体" w:cs="宋体"/>
                <w:b w:val="0"/>
                <w:bCs w:val="0"/>
                <w:i w:val="0"/>
                <w:color w:val="auto"/>
                <w:sz w:val="20"/>
                <w:szCs w:val="20"/>
                <w:highlight w:val="none"/>
                <w:u w:val="none"/>
              </w:rPr>
            </w:pPr>
          </w:p>
        </w:tc>
        <w:tc>
          <w:tcPr>
            <w:tcW w:w="25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7710C9">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维保记录完整。</w:t>
            </w:r>
          </w:p>
        </w:tc>
        <w:tc>
          <w:tcPr>
            <w:tcW w:w="9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214F13">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5分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66D42B">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抽查发现维保记录不完整。</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82F57C">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-1分/次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895731">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4F3193">
            <w:pPr>
              <w:spacing w:line="240" w:lineRule="auto"/>
              <w:jc w:val="both"/>
              <w:rPr>
                <w:rFonts w:hint="eastAsia" w:ascii="宋体" w:hAnsi="宋体" w:eastAsia="宋体" w:cs="宋体"/>
                <w:b w:val="0"/>
                <w:bCs w:val="0"/>
                <w:i w:val="0"/>
                <w:color w:val="auto"/>
                <w:sz w:val="20"/>
                <w:szCs w:val="20"/>
                <w:highlight w:val="none"/>
                <w:u w:val="none"/>
              </w:rPr>
            </w:pPr>
          </w:p>
        </w:tc>
      </w:tr>
      <w:tr w14:paraId="31F8C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2" w:hRule="atLeast"/>
        </w:trPr>
        <w:tc>
          <w:tcPr>
            <w:tcW w:w="51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6B59BC4">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3</w:t>
            </w:r>
          </w:p>
        </w:tc>
        <w:tc>
          <w:tcPr>
            <w:tcW w:w="827"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487540A6">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安全管理</w:t>
            </w:r>
          </w:p>
        </w:tc>
        <w:tc>
          <w:tcPr>
            <w:tcW w:w="25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8D972F">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遵守安全操作规程。</w:t>
            </w:r>
          </w:p>
        </w:tc>
        <w:tc>
          <w:tcPr>
            <w:tcW w:w="9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5BDA6F">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10分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51EC99">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违反安全操作规程。</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27934D">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-2分/次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CC86E8">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A36C9F">
            <w:pPr>
              <w:spacing w:line="240" w:lineRule="auto"/>
              <w:jc w:val="both"/>
              <w:rPr>
                <w:rFonts w:hint="eastAsia" w:ascii="宋体" w:hAnsi="宋体" w:eastAsia="宋体" w:cs="宋体"/>
                <w:b w:val="0"/>
                <w:bCs w:val="0"/>
                <w:i w:val="0"/>
                <w:color w:val="auto"/>
                <w:sz w:val="20"/>
                <w:szCs w:val="20"/>
                <w:highlight w:val="none"/>
                <w:u w:val="none"/>
              </w:rPr>
            </w:pPr>
          </w:p>
        </w:tc>
      </w:tr>
      <w:tr w14:paraId="6EFBF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2" w:hRule="atLeast"/>
        </w:trPr>
        <w:tc>
          <w:tcPr>
            <w:tcW w:w="510" w:type="dxa"/>
            <w:vMerge w:val="continue"/>
            <w:tcBorders>
              <w:left w:val="single" w:color="000000" w:sz="4" w:space="0"/>
              <w:right w:val="single" w:color="000000" w:sz="4" w:space="0"/>
            </w:tcBorders>
            <w:noWrap w:val="0"/>
            <w:tcMar>
              <w:top w:w="15" w:type="dxa"/>
              <w:left w:w="15" w:type="dxa"/>
              <w:right w:w="15" w:type="dxa"/>
            </w:tcMar>
            <w:vAlign w:val="center"/>
          </w:tcPr>
          <w:p w14:paraId="2F14D674">
            <w:pPr>
              <w:spacing w:line="240" w:lineRule="auto"/>
              <w:jc w:val="center"/>
              <w:rPr>
                <w:rFonts w:hint="eastAsia" w:ascii="宋体" w:hAnsi="宋体" w:eastAsia="宋体" w:cs="宋体"/>
                <w:b w:val="0"/>
                <w:bCs w:val="0"/>
                <w:i w:val="0"/>
                <w:color w:val="auto"/>
                <w:sz w:val="20"/>
                <w:szCs w:val="20"/>
                <w:highlight w:val="none"/>
                <w:u w:val="none"/>
              </w:rPr>
            </w:pPr>
          </w:p>
        </w:tc>
        <w:tc>
          <w:tcPr>
            <w:tcW w:w="827" w:type="dxa"/>
            <w:vMerge w:val="continue"/>
            <w:tcBorders>
              <w:left w:val="single" w:color="000000" w:sz="4" w:space="0"/>
              <w:right w:val="single" w:color="000000" w:sz="4" w:space="0"/>
            </w:tcBorders>
            <w:noWrap w:val="0"/>
            <w:tcMar>
              <w:top w:w="15" w:type="dxa"/>
              <w:left w:w="15" w:type="dxa"/>
              <w:right w:w="15" w:type="dxa"/>
            </w:tcMar>
            <w:vAlign w:val="center"/>
          </w:tcPr>
          <w:p w14:paraId="3581DCD2">
            <w:pPr>
              <w:spacing w:line="240" w:lineRule="auto"/>
              <w:jc w:val="center"/>
              <w:rPr>
                <w:rFonts w:hint="eastAsia" w:ascii="宋体" w:hAnsi="宋体" w:eastAsia="宋体" w:cs="宋体"/>
                <w:b w:val="0"/>
                <w:bCs w:val="0"/>
                <w:i w:val="0"/>
                <w:color w:val="auto"/>
                <w:sz w:val="20"/>
                <w:szCs w:val="20"/>
                <w:highlight w:val="none"/>
                <w:u w:val="none"/>
              </w:rPr>
            </w:pPr>
          </w:p>
        </w:tc>
        <w:tc>
          <w:tcPr>
            <w:tcW w:w="25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28823E">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无发生安全事故。</w:t>
            </w:r>
          </w:p>
        </w:tc>
        <w:tc>
          <w:tcPr>
            <w:tcW w:w="9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E3525A">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10分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81AFB2">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工作时造成严重事故（火灾、触电、办公辖区大面积停电等）。</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D7607C">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-5分/次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9A4361">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E480B">
            <w:pPr>
              <w:spacing w:line="240" w:lineRule="auto"/>
              <w:jc w:val="both"/>
              <w:rPr>
                <w:rFonts w:hint="eastAsia" w:ascii="宋体" w:hAnsi="宋体" w:eastAsia="宋体" w:cs="宋体"/>
                <w:b w:val="0"/>
                <w:bCs w:val="0"/>
                <w:i w:val="0"/>
                <w:color w:val="auto"/>
                <w:sz w:val="20"/>
                <w:szCs w:val="20"/>
                <w:highlight w:val="none"/>
                <w:u w:val="none"/>
              </w:rPr>
            </w:pPr>
          </w:p>
        </w:tc>
      </w:tr>
      <w:tr w14:paraId="6A12C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 w:hRule="atLeast"/>
        </w:trPr>
        <w:tc>
          <w:tcPr>
            <w:tcW w:w="510" w:type="dxa"/>
            <w:vMerge w:val="continue"/>
            <w:tcBorders>
              <w:left w:val="single" w:color="000000" w:sz="4" w:space="0"/>
              <w:right w:val="single" w:color="000000" w:sz="4" w:space="0"/>
            </w:tcBorders>
            <w:noWrap w:val="0"/>
            <w:tcMar>
              <w:top w:w="15" w:type="dxa"/>
              <w:left w:w="15" w:type="dxa"/>
              <w:right w:w="15" w:type="dxa"/>
            </w:tcMar>
            <w:vAlign w:val="center"/>
          </w:tcPr>
          <w:p w14:paraId="11A75BDC">
            <w:pPr>
              <w:spacing w:line="240" w:lineRule="auto"/>
              <w:jc w:val="center"/>
              <w:rPr>
                <w:rFonts w:hint="eastAsia" w:ascii="宋体" w:hAnsi="宋体" w:eastAsia="宋体" w:cs="宋体"/>
                <w:b w:val="0"/>
                <w:bCs w:val="0"/>
                <w:i w:val="0"/>
                <w:color w:val="auto"/>
                <w:sz w:val="20"/>
                <w:szCs w:val="20"/>
                <w:highlight w:val="none"/>
                <w:u w:val="none"/>
              </w:rPr>
            </w:pPr>
          </w:p>
        </w:tc>
        <w:tc>
          <w:tcPr>
            <w:tcW w:w="827" w:type="dxa"/>
            <w:vMerge w:val="continue"/>
            <w:tcBorders>
              <w:left w:val="single" w:color="000000" w:sz="4" w:space="0"/>
              <w:right w:val="single" w:color="000000" w:sz="4" w:space="0"/>
            </w:tcBorders>
            <w:noWrap w:val="0"/>
            <w:tcMar>
              <w:top w:w="15" w:type="dxa"/>
              <w:left w:w="15" w:type="dxa"/>
              <w:right w:w="15" w:type="dxa"/>
            </w:tcMar>
            <w:vAlign w:val="center"/>
          </w:tcPr>
          <w:p w14:paraId="026FED9F">
            <w:pPr>
              <w:spacing w:line="240" w:lineRule="auto"/>
              <w:jc w:val="center"/>
              <w:rPr>
                <w:rFonts w:hint="eastAsia" w:ascii="宋体" w:hAnsi="宋体" w:eastAsia="宋体" w:cs="宋体"/>
                <w:b w:val="0"/>
                <w:bCs w:val="0"/>
                <w:i w:val="0"/>
                <w:color w:val="auto"/>
                <w:sz w:val="20"/>
                <w:szCs w:val="20"/>
                <w:highlight w:val="none"/>
                <w:u w:val="none"/>
              </w:rPr>
            </w:pPr>
          </w:p>
        </w:tc>
        <w:tc>
          <w:tcPr>
            <w:tcW w:w="258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1EE2A2CD">
            <w:pPr>
              <w:keepNext w:val="0"/>
              <w:keepLines w:val="0"/>
              <w:widowControl/>
              <w:suppressLineNumbers w:val="0"/>
              <w:spacing w:line="240" w:lineRule="auto"/>
              <w:jc w:val="left"/>
              <w:textAlignment w:val="center"/>
              <w:rPr>
                <w:rFonts w:hint="eastAsia" w:ascii="宋体" w:hAnsi="宋体" w:eastAsia="宋体" w:cs="宋体"/>
                <w:b w:val="0"/>
                <w:bCs w:val="0"/>
                <w:i w:val="0"/>
                <w:color w:val="auto"/>
                <w:kern w:val="0"/>
                <w:sz w:val="20"/>
                <w:szCs w:val="20"/>
                <w:highlight w:val="none"/>
                <w:u w:val="none"/>
                <w:lang w:val="en-US" w:eastAsia="zh-CN" w:bidi="ar"/>
              </w:rPr>
            </w:pPr>
            <w:r>
              <w:rPr>
                <w:rFonts w:hint="eastAsia" w:ascii="宋体" w:hAnsi="宋体" w:eastAsia="宋体" w:cs="宋体"/>
                <w:b w:val="0"/>
                <w:bCs w:val="0"/>
                <w:color w:val="auto"/>
                <w:sz w:val="20"/>
                <w:szCs w:val="20"/>
                <w:highlight w:val="none"/>
                <w:lang w:val="en-US" w:eastAsia="zh-CN"/>
              </w:rPr>
              <w:t>自行做好安全措施、现场防护措施及其他相关的安全管理工作。对服务人员进行安全教育培训不少于1次。</w:t>
            </w:r>
          </w:p>
        </w:tc>
        <w:tc>
          <w:tcPr>
            <w:tcW w:w="956"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0956006A">
            <w:pPr>
              <w:keepNext w:val="0"/>
              <w:keepLines w:val="0"/>
              <w:widowControl/>
              <w:suppressLineNumbers w:val="0"/>
              <w:spacing w:line="240" w:lineRule="auto"/>
              <w:jc w:val="center"/>
              <w:textAlignment w:val="center"/>
              <w:rPr>
                <w:rFonts w:hint="eastAsia" w:ascii="宋体" w:hAnsi="宋体" w:eastAsia="宋体" w:cs="宋体"/>
                <w:b w:val="0"/>
                <w:bCs w:val="0"/>
                <w:i w:val="0"/>
                <w:color w:val="auto"/>
                <w:kern w:val="0"/>
                <w:sz w:val="20"/>
                <w:szCs w:val="20"/>
                <w:highlight w:val="none"/>
                <w:u w:val="none"/>
                <w:lang w:val="en-US" w:eastAsia="zh-CN" w:bidi="ar"/>
              </w:rPr>
            </w:pPr>
            <w:r>
              <w:rPr>
                <w:rFonts w:hint="eastAsia" w:ascii="宋体" w:hAnsi="宋体" w:eastAsia="宋体" w:cs="宋体"/>
                <w:b w:val="0"/>
                <w:bCs w:val="0"/>
                <w:i w:val="0"/>
                <w:color w:val="auto"/>
                <w:kern w:val="0"/>
                <w:sz w:val="20"/>
                <w:szCs w:val="20"/>
                <w:highlight w:val="none"/>
                <w:u w:val="none"/>
                <w:lang w:val="en-US" w:eastAsia="zh-CN" w:bidi="ar"/>
              </w:rPr>
              <w:t>5分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8BD79B">
            <w:pPr>
              <w:keepNext w:val="0"/>
              <w:keepLines w:val="0"/>
              <w:widowControl/>
              <w:suppressLineNumbers w:val="0"/>
              <w:spacing w:line="240" w:lineRule="auto"/>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没有做好安全措施和现场防护措施。</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46DB98">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FCCC17">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E450BA">
            <w:pPr>
              <w:spacing w:line="240" w:lineRule="auto"/>
              <w:jc w:val="both"/>
              <w:rPr>
                <w:rFonts w:hint="eastAsia" w:ascii="宋体" w:hAnsi="宋体" w:eastAsia="宋体" w:cs="宋体"/>
                <w:b w:val="0"/>
                <w:bCs w:val="0"/>
                <w:i w:val="0"/>
                <w:color w:val="auto"/>
                <w:sz w:val="20"/>
                <w:szCs w:val="20"/>
                <w:highlight w:val="none"/>
                <w:u w:val="none"/>
              </w:rPr>
            </w:pPr>
          </w:p>
        </w:tc>
      </w:tr>
      <w:tr w14:paraId="1F385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62" w:hRule="atLeast"/>
        </w:trPr>
        <w:tc>
          <w:tcPr>
            <w:tcW w:w="51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A8C3199">
            <w:pPr>
              <w:spacing w:line="240" w:lineRule="auto"/>
              <w:jc w:val="center"/>
              <w:rPr>
                <w:rFonts w:hint="eastAsia" w:ascii="宋体" w:hAnsi="宋体" w:eastAsia="宋体" w:cs="宋体"/>
                <w:b w:val="0"/>
                <w:bCs w:val="0"/>
                <w:i w:val="0"/>
                <w:color w:val="auto"/>
                <w:sz w:val="20"/>
                <w:szCs w:val="20"/>
                <w:highlight w:val="none"/>
                <w:u w:val="none"/>
              </w:rPr>
            </w:pPr>
          </w:p>
        </w:tc>
        <w:tc>
          <w:tcPr>
            <w:tcW w:w="827"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5D34DD6A">
            <w:pPr>
              <w:spacing w:line="240" w:lineRule="auto"/>
              <w:jc w:val="center"/>
              <w:rPr>
                <w:rFonts w:hint="eastAsia" w:ascii="宋体" w:hAnsi="宋体" w:eastAsia="宋体" w:cs="宋体"/>
                <w:b w:val="0"/>
                <w:bCs w:val="0"/>
                <w:i w:val="0"/>
                <w:color w:val="auto"/>
                <w:sz w:val="20"/>
                <w:szCs w:val="20"/>
                <w:highlight w:val="none"/>
                <w:u w:val="none"/>
              </w:rPr>
            </w:pPr>
          </w:p>
        </w:tc>
        <w:tc>
          <w:tcPr>
            <w:tcW w:w="258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EB18598">
            <w:pPr>
              <w:keepNext w:val="0"/>
              <w:keepLines w:val="0"/>
              <w:widowControl/>
              <w:suppressLineNumbers w:val="0"/>
              <w:spacing w:line="240" w:lineRule="auto"/>
              <w:jc w:val="left"/>
              <w:textAlignment w:val="center"/>
              <w:rPr>
                <w:rFonts w:hint="eastAsia" w:ascii="宋体" w:hAnsi="宋体" w:eastAsia="宋体" w:cs="宋体"/>
                <w:b w:val="0"/>
                <w:bCs w:val="0"/>
                <w:i w:val="0"/>
                <w:color w:val="auto"/>
                <w:kern w:val="0"/>
                <w:sz w:val="20"/>
                <w:szCs w:val="20"/>
                <w:highlight w:val="none"/>
                <w:u w:val="none"/>
                <w:lang w:val="en-US" w:eastAsia="zh-CN" w:bidi="ar"/>
              </w:rPr>
            </w:pPr>
          </w:p>
        </w:tc>
        <w:tc>
          <w:tcPr>
            <w:tcW w:w="956"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FA38BF2">
            <w:pPr>
              <w:keepNext w:val="0"/>
              <w:keepLines w:val="0"/>
              <w:widowControl/>
              <w:suppressLineNumbers w:val="0"/>
              <w:spacing w:line="240" w:lineRule="auto"/>
              <w:jc w:val="center"/>
              <w:textAlignment w:val="center"/>
              <w:rPr>
                <w:rFonts w:hint="eastAsia" w:ascii="宋体" w:hAnsi="宋体" w:eastAsia="宋体" w:cs="宋体"/>
                <w:b w:val="0"/>
                <w:bCs w:val="0"/>
                <w:i w:val="0"/>
                <w:color w:val="auto"/>
                <w:kern w:val="0"/>
                <w:sz w:val="20"/>
                <w:szCs w:val="20"/>
                <w:highlight w:val="none"/>
                <w:u w:val="none"/>
                <w:lang w:val="en-US" w:eastAsia="zh-CN" w:bidi="ar"/>
              </w:rPr>
            </w:pP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27F6E0">
            <w:pPr>
              <w:keepNext w:val="0"/>
              <w:keepLines w:val="0"/>
              <w:widowControl/>
              <w:suppressLineNumbers w:val="0"/>
              <w:spacing w:line="240" w:lineRule="auto"/>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未按要求开展安全教育培训。</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444CEB">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512820">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CEE548">
            <w:pPr>
              <w:spacing w:line="240" w:lineRule="auto"/>
              <w:jc w:val="both"/>
              <w:rPr>
                <w:rFonts w:hint="eastAsia" w:ascii="宋体" w:hAnsi="宋体" w:eastAsia="宋体" w:cs="宋体"/>
                <w:b w:val="0"/>
                <w:bCs w:val="0"/>
                <w:i w:val="0"/>
                <w:color w:val="auto"/>
                <w:sz w:val="20"/>
                <w:szCs w:val="20"/>
                <w:highlight w:val="none"/>
                <w:u w:val="none"/>
              </w:rPr>
            </w:pPr>
          </w:p>
        </w:tc>
      </w:tr>
      <w:tr w14:paraId="0D727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93" w:hRule="atLeast"/>
        </w:trPr>
        <w:tc>
          <w:tcPr>
            <w:tcW w:w="51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B5D13A">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4</w:t>
            </w:r>
          </w:p>
        </w:tc>
        <w:tc>
          <w:tcPr>
            <w:tcW w:w="82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5B11A1">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优质服务</w:t>
            </w:r>
          </w:p>
        </w:tc>
        <w:tc>
          <w:tcPr>
            <w:tcW w:w="25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8F907F">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工作人员服务态度良好。</w:t>
            </w:r>
          </w:p>
        </w:tc>
        <w:tc>
          <w:tcPr>
            <w:tcW w:w="9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DC474F">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5分</w:t>
            </w:r>
          </w:p>
        </w:tc>
        <w:tc>
          <w:tcPr>
            <w:tcW w:w="27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0741E3">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工作人员服务态度恶劣。</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83C4B8">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-1分/次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397B91">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495420">
            <w:pPr>
              <w:spacing w:line="240" w:lineRule="auto"/>
              <w:jc w:val="both"/>
              <w:rPr>
                <w:rFonts w:hint="eastAsia" w:ascii="宋体" w:hAnsi="宋体" w:eastAsia="宋体" w:cs="宋体"/>
                <w:b w:val="0"/>
                <w:bCs w:val="0"/>
                <w:i w:val="0"/>
                <w:color w:val="auto"/>
                <w:sz w:val="20"/>
                <w:szCs w:val="20"/>
                <w:highlight w:val="none"/>
                <w:u w:val="none"/>
              </w:rPr>
            </w:pPr>
          </w:p>
        </w:tc>
      </w:tr>
      <w:tr w14:paraId="6EAE4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2" w:hRule="atLeast"/>
        </w:trPr>
        <w:tc>
          <w:tcPr>
            <w:tcW w:w="51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1AA871">
            <w:pPr>
              <w:spacing w:line="240" w:lineRule="auto"/>
              <w:jc w:val="center"/>
              <w:rPr>
                <w:rFonts w:hint="eastAsia" w:ascii="宋体" w:hAnsi="宋体" w:eastAsia="宋体" w:cs="宋体"/>
                <w:b w:val="0"/>
                <w:bCs w:val="0"/>
                <w:i w:val="0"/>
                <w:color w:val="auto"/>
                <w:sz w:val="20"/>
                <w:szCs w:val="20"/>
                <w:highlight w:val="none"/>
                <w:u w:val="none"/>
              </w:rPr>
            </w:pPr>
          </w:p>
        </w:tc>
        <w:tc>
          <w:tcPr>
            <w:tcW w:w="827" w:type="dxa"/>
            <w:vMerge w:val="continue"/>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C4AF54F">
            <w:pPr>
              <w:spacing w:line="240" w:lineRule="auto"/>
              <w:jc w:val="center"/>
              <w:rPr>
                <w:rFonts w:hint="eastAsia" w:ascii="宋体" w:hAnsi="宋体" w:eastAsia="宋体" w:cs="宋体"/>
                <w:b w:val="0"/>
                <w:bCs w:val="0"/>
                <w:i w:val="0"/>
                <w:color w:val="auto"/>
                <w:sz w:val="20"/>
                <w:szCs w:val="20"/>
                <w:highlight w:val="none"/>
                <w:u w:val="none"/>
              </w:rPr>
            </w:pPr>
          </w:p>
        </w:tc>
        <w:tc>
          <w:tcPr>
            <w:tcW w:w="258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4DB7D9A">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电话24小时保持开机状态，有电话立即接听，服从上级安排任务。</w:t>
            </w:r>
          </w:p>
        </w:tc>
        <w:tc>
          <w:tcPr>
            <w:tcW w:w="956"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6B47211">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5分</w:t>
            </w:r>
          </w:p>
        </w:tc>
        <w:tc>
          <w:tcPr>
            <w:tcW w:w="2726"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5E5C9EA">
            <w:pPr>
              <w:keepNext w:val="0"/>
              <w:keepLines w:val="0"/>
              <w:widowControl/>
              <w:suppressLineNumbers w:val="0"/>
              <w:spacing w:line="240" w:lineRule="auto"/>
              <w:jc w:val="left"/>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电话关机或无人接听，耽误工作任务。</w:t>
            </w:r>
          </w:p>
        </w:tc>
        <w:tc>
          <w:tcPr>
            <w:tcW w:w="9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30085B">
            <w:pPr>
              <w:keepNext w:val="0"/>
              <w:keepLines w:val="0"/>
              <w:widowControl/>
              <w:suppressLineNumbers w:val="0"/>
              <w:spacing w:line="240" w:lineRule="auto"/>
              <w:jc w:val="center"/>
              <w:textAlignment w:val="center"/>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i w:val="0"/>
                <w:color w:val="auto"/>
                <w:kern w:val="0"/>
                <w:sz w:val="20"/>
                <w:szCs w:val="20"/>
                <w:highlight w:val="none"/>
                <w:u w:val="none"/>
                <w:lang w:val="en-US" w:eastAsia="zh-CN" w:bidi="ar"/>
              </w:rPr>
              <w:t>-2分/次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4F378A">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B58D80">
            <w:pPr>
              <w:spacing w:line="240" w:lineRule="auto"/>
              <w:rPr>
                <w:rFonts w:hint="eastAsia" w:ascii="宋体" w:hAnsi="宋体" w:eastAsia="宋体" w:cs="宋体"/>
                <w:b w:val="0"/>
                <w:bCs w:val="0"/>
                <w:i w:val="0"/>
                <w:color w:val="auto"/>
                <w:sz w:val="20"/>
                <w:szCs w:val="20"/>
                <w:highlight w:val="none"/>
                <w:u w:val="none"/>
              </w:rPr>
            </w:pPr>
          </w:p>
        </w:tc>
      </w:tr>
      <w:tr w14:paraId="151BF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3" w:hRule="atLeast"/>
        </w:trPr>
        <w:tc>
          <w:tcPr>
            <w:tcW w:w="510" w:type="dxa"/>
            <w:vMerge w:val="restart"/>
            <w:tcBorders>
              <w:top w:val="single" w:color="000000" w:sz="4" w:space="0"/>
              <w:left w:val="single" w:color="000000" w:sz="4" w:space="0"/>
              <w:right w:val="single" w:color="auto" w:sz="4" w:space="0"/>
            </w:tcBorders>
            <w:noWrap w:val="0"/>
            <w:tcMar>
              <w:top w:w="15" w:type="dxa"/>
              <w:left w:w="15" w:type="dxa"/>
              <w:right w:w="15" w:type="dxa"/>
            </w:tcMar>
            <w:vAlign w:val="center"/>
          </w:tcPr>
          <w:p w14:paraId="6731802F">
            <w:pPr>
              <w:spacing w:line="240" w:lineRule="auto"/>
              <w:jc w:val="center"/>
              <w:rPr>
                <w:rFonts w:hint="eastAsia" w:ascii="宋体" w:hAnsi="宋体" w:eastAsia="宋体" w:cs="宋体"/>
                <w:b w:val="0"/>
                <w:bCs w:val="0"/>
                <w:i w:val="0"/>
                <w:color w:val="auto"/>
                <w:sz w:val="20"/>
                <w:szCs w:val="20"/>
                <w:highlight w:val="none"/>
                <w:u w:val="none"/>
                <w:lang w:val="en-US" w:eastAsia="zh-CN"/>
              </w:rPr>
            </w:pPr>
            <w:r>
              <w:rPr>
                <w:rFonts w:hint="eastAsia" w:ascii="宋体" w:hAnsi="宋体" w:eastAsia="宋体" w:cs="宋体"/>
                <w:b w:val="0"/>
                <w:bCs w:val="0"/>
                <w:i w:val="0"/>
                <w:color w:val="auto"/>
                <w:sz w:val="20"/>
                <w:szCs w:val="20"/>
                <w:highlight w:val="none"/>
                <w:u w:val="none"/>
                <w:lang w:val="en-US" w:eastAsia="zh-CN"/>
              </w:rPr>
              <w:t>5</w:t>
            </w:r>
          </w:p>
        </w:tc>
        <w:tc>
          <w:tcPr>
            <w:tcW w:w="827"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604169F">
            <w:pPr>
              <w:spacing w:line="240" w:lineRule="auto"/>
              <w:jc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服务质量响应</w:t>
            </w:r>
          </w:p>
        </w:tc>
        <w:tc>
          <w:tcPr>
            <w:tcW w:w="258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C18E351">
            <w:pPr>
              <w:keepNext w:val="0"/>
              <w:keepLines w:val="0"/>
              <w:widowControl/>
              <w:suppressLineNumbers w:val="0"/>
              <w:spacing w:line="240" w:lineRule="auto"/>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cs="宋体"/>
                <w:color w:val="auto"/>
                <w:sz w:val="20"/>
                <w:szCs w:val="20"/>
                <w:highlight w:val="none"/>
                <w:lang w:eastAsia="zh-CN"/>
              </w:rPr>
              <w:t>服务商</w:t>
            </w:r>
            <w:r>
              <w:rPr>
                <w:rFonts w:hint="eastAsia" w:ascii="宋体" w:hAnsi="宋体" w:eastAsia="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布置的工作要求、任务有落实，有反馈。</w:t>
            </w:r>
          </w:p>
        </w:tc>
        <w:tc>
          <w:tcPr>
            <w:tcW w:w="956"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5C860BF">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10分</w:t>
            </w:r>
          </w:p>
        </w:tc>
        <w:tc>
          <w:tcPr>
            <w:tcW w:w="2726" w:type="dxa"/>
            <w:tcBorders>
              <w:top w:val="single" w:color="auto" w:sz="4" w:space="0"/>
              <w:left w:val="single" w:color="auto" w:sz="4" w:space="0"/>
              <w:bottom w:val="single" w:color="auto" w:sz="4" w:space="0"/>
              <w:right w:val="single" w:color="auto" w:sz="4" w:space="0"/>
            </w:tcBorders>
            <w:shd w:val="clear" w:color="auto" w:fill="auto"/>
            <w:noWrap w:val="0"/>
            <w:tcMar>
              <w:top w:w="15" w:type="dxa"/>
              <w:left w:w="15" w:type="dxa"/>
              <w:right w:w="15" w:type="dxa"/>
            </w:tcMar>
            <w:vAlign w:val="center"/>
          </w:tcPr>
          <w:p w14:paraId="5E0C98A1">
            <w:pPr>
              <w:spacing w:line="240" w:lineRule="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不按时完成布置的工作</w:t>
            </w:r>
            <w:r>
              <w:rPr>
                <w:rFonts w:hint="eastAsia" w:ascii="宋体" w:hAnsi="宋体" w:eastAsia="宋体" w:cs="宋体"/>
                <w:color w:val="auto"/>
                <w:sz w:val="20"/>
                <w:szCs w:val="20"/>
                <w:highlight w:val="none"/>
                <w:lang w:eastAsia="zh-CN"/>
              </w:rPr>
              <w:t>。</w:t>
            </w:r>
          </w:p>
        </w:tc>
        <w:tc>
          <w:tcPr>
            <w:tcW w:w="990" w:type="dxa"/>
            <w:tcBorders>
              <w:top w:val="single" w:color="000000" w:sz="4" w:space="0"/>
              <w:left w:val="single" w:color="auto" w:sz="4" w:space="0"/>
              <w:bottom w:val="single" w:color="000000" w:sz="4" w:space="0"/>
              <w:right w:val="single" w:color="000000" w:sz="4" w:space="0"/>
            </w:tcBorders>
            <w:shd w:val="clear" w:color="auto" w:fill="auto"/>
            <w:noWrap w:val="0"/>
            <w:tcMar>
              <w:top w:w="15" w:type="dxa"/>
              <w:left w:w="15" w:type="dxa"/>
              <w:right w:w="15" w:type="dxa"/>
            </w:tcMar>
            <w:vAlign w:val="center"/>
          </w:tcPr>
          <w:p w14:paraId="6CC561C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-2分/次</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5DA48F">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F57A1E">
            <w:pPr>
              <w:spacing w:line="240" w:lineRule="auto"/>
              <w:rPr>
                <w:rFonts w:hint="eastAsia" w:ascii="宋体" w:hAnsi="宋体" w:eastAsia="宋体" w:cs="宋体"/>
                <w:b w:val="0"/>
                <w:bCs w:val="0"/>
                <w:i w:val="0"/>
                <w:color w:val="auto"/>
                <w:sz w:val="20"/>
                <w:szCs w:val="20"/>
                <w:highlight w:val="none"/>
                <w:u w:val="none"/>
              </w:rPr>
            </w:pPr>
          </w:p>
        </w:tc>
      </w:tr>
      <w:tr w14:paraId="2120E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62" w:hRule="atLeast"/>
        </w:trPr>
        <w:tc>
          <w:tcPr>
            <w:tcW w:w="510" w:type="dxa"/>
            <w:vMerge w:val="continue"/>
            <w:tcBorders>
              <w:left w:val="single" w:color="000000" w:sz="4" w:space="0"/>
              <w:right w:val="single" w:color="auto" w:sz="4" w:space="0"/>
            </w:tcBorders>
            <w:noWrap w:val="0"/>
            <w:tcMar>
              <w:top w:w="15" w:type="dxa"/>
              <w:left w:w="15" w:type="dxa"/>
              <w:right w:w="15" w:type="dxa"/>
            </w:tcMar>
            <w:vAlign w:val="center"/>
          </w:tcPr>
          <w:p w14:paraId="2FC48000">
            <w:pPr>
              <w:spacing w:line="240" w:lineRule="auto"/>
              <w:jc w:val="center"/>
              <w:rPr>
                <w:rFonts w:hint="eastAsia" w:ascii="宋体" w:hAnsi="宋体" w:eastAsia="宋体" w:cs="宋体"/>
                <w:b w:val="0"/>
                <w:bCs w:val="0"/>
                <w:i w:val="0"/>
                <w:color w:val="auto"/>
                <w:sz w:val="20"/>
                <w:szCs w:val="20"/>
                <w:highlight w:val="none"/>
                <w:u w:val="none"/>
              </w:rPr>
            </w:pPr>
          </w:p>
        </w:tc>
        <w:tc>
          <w:tcPr>
            <w:tcW w:w="827"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2FF8AC1">
            <w:pPr>
              <w:spacing w:line="240" w:lineRule="auto"/>
              <w:jc w:val="center"/>
              <w:rPr>
                <w:rFonts w:hint="eastAsia" w:ascii="宋体" w:hAnsi="宋体" w:eastAsia="宋体" w:cs="宋体"/>
                <w:b w:val="0"/>
                <w:bCs w:val="0"/>
                <w:i w:val="0"/>
                <w:color w:val="auto"/>
                <w:sz w:val="20"/>
                <w:szCs w:val="20"/>
                <w:highlight w:val="none"/>
                <w:u w:val="none"/>
              </w:rPr>
            </w:pPr>
          </w:p>
        </w:tc>
        <w:tc>
          <w:tcPr>
            <w:tcW w:w="2580"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DBEFA19">
            <w:pPr>
              <w:keepNext w:val="0"/>
              <w:keepLines w:val="0"/>
              <w:widowControl/>
              <w:suppressLineNumbers w:val="0"/>
              <w:spacing w:line="240" w:lineRule="auto"/>
              <w:jc w:val="left"/>
              <w:textAlignment w:val="center"/>
              <w:rPr>
                <w:rFonts w:hint="eastAsia" w:ascii="宋体" w:hAnsi="宋体" w:eastAsia="宋体" w:cs="宋体"/>
                <w:b w:val="0"/>
                <w:bCs w:val="0"/>
                <w:i w:val="0"/>
                <w:color w:val="auto"/>
                <w:kern w:val="0"/>
                <w:sz w:val="20"/>
                <w:szCs w:val="20"/>
                <w:highlight w:val="none"/>
                <w:u w:val="none"/>
                <w:lang w:val="en-US" w:eastAsia="zh-CN" w:bidi="ar"/>
              </w:rPr>
            </w:pPr>
          </w:p>
        </w:tc>
        <w:tc>
          <w:tcPr>
            <w:tcW w:w="956"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C4E7669">
            <w:pPr>
              <w:keepNext w:val="0"/>
              <w:keepLines w:val="0"/>
              <w:widowControl/>
              <w:suppressLineNumbers w:val="0"/>
              <w:spacing w:line="240" w:lineRule="auto"/>
              <w:jc w:val="center"/>
              <w:textAlignment w:val="center"/>
              <w:rPr>
                <w:rFonts w:hint="eastAsia" w:ascii="宋体" w:hAnsi="宋体" w:eastAsia="宋体" w:cs="宋体"/>
                <w:b w:val="0"/>
                <w:bCs w:val="0"/>
                <w:i w:val="0"/>
                <w:color w:val="auto"/>
                <w:kern w:val="0"/>
                <w:sz w:val="20"/>
                <w:szCs w:val="20"/>
                <w:highlight w:val="none"/>
                <w:u w:val="none"/>
                <w:lang w:val="en-US" w:eastAsia="zh-CN" w:bidi="ar"/>
              </w:rPr>
            </w:pPr>
          </w:p>
        </w:tc>
        <w:tc>
          <w:tcPr>
            <w:tcW w:w="2726" w:type="dxa"/>
            <w:tcBorders>
              <w:top w:val="single" w:color="auto" w:sz="4" w:space="0"/>
              <w:left w:val="single" w:color="auto" w:sz="4" w:space="0"/>
              <w:bottom w:val="single" w:color="auto" w:sz="4" w:space="0"/>
              <w:right w:val="single" w:color="auto" w:sz="4" w:space="0"/>
            </w:tcBorders>
            <w:shd w:val="clear" w:color="auto" w:fill="auto"/>
            <w:noWrap w:val="0"/>
            <w:tcMar>
              <w:top w:w="15" w:type="dxa"/>
              <w:left w:w="15" w:type="dxa"/>
              <w:right w:w="15" w:type="dxa"/>
            </w:tcMar>
            <w:vAlign w:val="center"/>
          </w:tcPr>
          <w:p w14:paraId="02C4FFAF">
            <w:pPr>
              <w:spacing w:line="240" w:lineRule="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因工作管理不到位，接收到</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发出的整改批示的文件（包括整改通知书、函件等），每发出一份</w:t>
            </w:r>
            <w:r>
              <w:rPr>
                <w:rFonts w:hint="eastAsia" w:ascii="宋体" w:hAnsi="宋体" w:eastAsia="宋体" w:cs="宋体"/>
                <w:color w:val="auto"/>
                <w:sz w:val="20"/>
                <w:szCs w:val="20"/>
                <w:highlight w:val="none"/>
                <w:lang w:eastAsia="zh-CN"/>
              </w:rPr>
              <w:t>。</w:t>
            </w:r>
          </w:p>
        </w:tc>
        <w:tc>
          <w:tcPr>
            <w:tcW w:w="990" w:type="dxa"/>
            <w:tcBorders>
              <w:top w:val="single" w:color="000000" w:sz="4" w:space="0"/>
              <w:left w:val="single" w:color="auto" w:sz="4" w:space="0"/>
              <w:bottom w:val="single" w:color="000000" w:sz="4" w:space="0"/>
              <w:right w:val="single" w:color="000000" w:sz="4" w:space="0"/>
            </w:tcBorders>
            <w:shd w:val="clear" w:color="auto" w:fill="auto"/>
            <w:noWrap w:val="0"/>
            <w:tcMar>
              <w:top w:w="15" w:type="dxa"/>
              <w:left w:w="15" w:type="dxa"/>
              <w:right w:w="15" w:type="dxa"/>
            </w:tcMar>
            <w:vAlign w:val="center"/>
          </w:tcPr>
          <w:p w14:paraId="090A23D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-5分/份</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3225B0">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20DB39">
            <w:pPr>
              <w:spacing w:line="240" w:lineRule="auto"/>
              <w:rPr>
                <w:rFonts w:hint="eastAsia" w:ascii="宋体" w:hAnsi="宋体" w:eastAsia="宋体" w:cs="宋体"/>
                <w:b w:val="0"/>
                <w:bCs w:val="0"/>
                <w:i w:val="0"/>
                <w:color w:val="auto"/>
                <w:sz w:val="20"/>
                <w:szCs w:val="20"/>
                <w:highlight w:val="none"/>
                <w:u w:val="none"/>
              </w:rPr>
            </w:pPr>
          </w:p>
        </w:tc>
      </w:tr>
      <w:tr w14:paraId="46C1D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2" w:hRule="atLeast"/>
        </w:trPr>
        <w:tc>
          <w:tcPr>
            <w:tcW w:w="510" w:type="dxa"/>
            <w:vMerge w:val="continue"/>
            <w:tcBorders>
              <w:left w:val="single" w:color="000000" w:sz="4" w:space="0"/>
              <w:bottom w:val="single" w:color="000000" w:sz="4" w:space="0"/>
              <w:right w:val="single" w:color="auto" w:sz="4" w:space="0"/>
            </w:tcBorders>
            <w:noWrap w:val="0"/>
            <w:tcMar>
              <w:top w:w="15" w:type="dxa"/>
              <w:left w:w="15" w:type="dxa"/>
              <w:right w:w="15" w:type="dxa"/>
            </w:tcMar>
            <w:vAlign w:val="center"/>
          </w:tcPr>
          <w:p w14:paraId="3F3A30D7">
            <w:pPr>
              <w:spacing w:line="240" w:lineRule="auto"/>
              <w:jc w:val="center"/>
              <w:rPr>
                <w:rFonts w:hint="eastAsia" w:ascii="宋体" w:hAnsi="宋体" w:eastAsia="宋体" w:cs="宋体"/>
                <w:b w:val="0"/>
                <w:bCs w:val="0"/>
                <w:i w:val="0"/>
                <w:color w:val="auto"/>
                <w:sz w:val="20"/>
                <w:szCs w:val="20"/>
                <w:highlight w:val="none"/>
                <w:u w:val="none"/>
              </w:rPr>
            </w:pPr>
          </w:p>
        </w:tc>
        <w:tc>
          <w:tcPr>
            <w:tcW w:w="827" w:type="dxa"/>
            <w:vMerge w:val="continue"/>
            <w:tcBorders>
              <w:top w:val="single" w:color="auto"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43661F3B">
            <w:pPr>
              <w:spacing w:line="240" w:lineRule="auto"/>
              <w:jc w:val="center"/>
              <w:rPr>
                <w:rFonts w:hint="eastAsia" w:ascii="宋体" w:hAnsi="宋体" w:eastAsia="宋体" w:cs="宋体"/>
                <w:b w:val="0"/>
                <w:bCs w:val="0"/>
                <w:i w:val="0"/>
                <w:color w:val="auto"/>
                <w:sz w:val="20"/>
                <w:szCs w:val="20"/>
                <w:highlight w:val="none"/>
                <w:u w:val="none"/>
              </w:rPr>
            </w:pPr>
          </w:p>
        </w:tc>
        <w:tc>
          <w:tcPr>
            <w:tcW w:w="2580" w:type="dxa"/>
            <w:vMerge w:val="continue"/>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26748B">
            <w:pPr>
              <w:keepNext w:val="0"/>
              <w:keepLines w:val="0"/>
              <w:widowControl/>
              <w:suppressLineNumbers w:val="0"/>
              <w:spacing w:line="240" w:lineRule="auto"/>
              <w:jc w:val="left"/>
              <w:textAlignment w:val="center"/>
              <w:rPr>
                <w:rFonts w:hint="eastAsia" w:ascii="宋体" w:hAnsi="宋体" w:eastAsia="宋体" w:cs="宋体"/>
                <w:b w:val="0"/>
                <w:bCs w:val="0"/>
                <w:i w:val="0"/>
                <w:color w:val="auto"/>
                <w:kern w:val="0"/>
                <w:sz w:val="20"/>
                <w:szCs w:val="20"/>
                <w:highlight w:val="none"/>
                <w:u w:val="none"/>
                <w:lang w:val="en-US" w:eastAsia="zh-CN" w:bidi="ar"/>
              </w:rPr>
            </w:pPr>
          </w:p>
        </w:tc>
        <w:tc>
          <w:tcPr>
            <w:tcW w:w="956" w:type="dxa"/>
            <w:vMerge w:val="continue"/>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D7884C">
            <w:pPr>
              <w:keepNext w:val="0"/>
              <w:keepLines w:val="0"/>
              <w:widowControl/>
              <w:suppressLineNumbers w:val="0"/>
              <w:spacing w:line="240" w:lineRule="auto"/>
              <w:jc w:val="center"/>
              <w:textAlignment w:val="center"/>
              <w:rPr>
                <w:rFonts w:hint="eastAsia" w:ascii="宋体" w:hAnsi="宋体" w:eastAsia="宋体" w:cs="宋体"/>
                <w:b w:val="0"/>
                <w:bCs w:val="0"/>
                <w:i w:val="0"/>
                <w:color w:val="auto"/>
                <w:kern w:val="0"/>
                <w:sz w:val="20"/>
                <w:szCs w:val="20"/>
                <w:highlight w:val="none"/>
                <w:u w:val="none"/>
                <w:lang w:val="en-US" w:eastAsia="zh-CN" w:bidi="ar"/>
              </w:rPr>
            </w:pPr>
          </w:p>
        </w:tc>
        <w:tc>
          <w:tcPr>
            <w:tcW w:w="2726" w:type="dxa"/>
            <w:tcBorders>
              <w:top w:val="single" w:color="auto"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473BA7D">
            <w:pPr>
              <w:spacing w:line="240" w:lineRule="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因工作执行不到位，对</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照成重大不良影响，每出现一项。</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BF8153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-5至-10分/项</w:t>
            </w:r>
          </w:p>
        </w:tc>
        <w:tc>
          <w:tcPr>
            <w:tcW w:w="6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35AA30">
            <w:pPr>
              <w:spacing w:line="240" w:lineRule="auto"/>
              <w:jc w:val="center"/>
              <w:rPr>
                <w:rFonts w:hint="eastAsia" w:ascii="宋体" w:hAnsi="宋体" w:eastAsia="宋体" w:cs="宋体"/>
                <w:b w:val="0"/>
                <w:bCs w:val="0"/>
                <w:i w:val="0"/>
                <w:color w:val="auto"/>
                <w:sz w:val="20"/>
                <w:szCs w:val="20"/>
                <w:highlight w:val="none"/>
                <w:u w:val="none"/>
              </w:rPr>
            </w:pPr>
          </w:p>
        </w:tc>
        <w:tc>
          <w:tcPr>
            <w:tcW w:w="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A08965">
            <w:pPr>
              <w:spacing w:line="240" w:lineRule="auto"/>
              <w:rPr>
                <w:rFonts w:hint="eastAsia" w:ascii="宋体" w:hAnsi="宋体" w:eastAsia="宋体" w:cs="宋体"/>
                <w:b w:val="0"/>
                <w:bCs w:val="0"/>
                <w:i w:val="0"/>
                <w:color w:val="auto"/>
                <w:sz w:val="20"/>
                <w:szCs w:val="20"/>
                <w:highlight w:val="none"/>
                <w:u w:val="none"/>
              </w:rPr>
            </w:pPr>
          </w:p>
        </w:tc>
      </w:tr>
      <w:tr w14:paraId="2DC77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7" w:hRule="atLeast"/>
        </w:trPr>
        <w:tc>
          <w:tcPr>
            <w:tcW w:w="9796" w:type="dxa"/>
            <w:gridSpan w:val="8"/>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3C818C">
            <w:pPr>
              <w:wordWrap w:val="0"/>
              <w:spacing w:line="240" w:lineRule="auto"/>
              <w:jc w:val="right"/>
              <w:rPr>
                <w:rFonts w:hint="eastAsia" w:ascii="宋体" w:hAnsi="宋体" w:eastAsia="宋体" w:cs="宋体"/>
                <w:b w:val="0"/>
                <w:bCs w:val="0"/>
                <w:i w:val="0"/>
                <w:color w:val="auto"/>
                <w:sz w:val="20"/>
                <w:szCs w:val="20"/>
                <w:highlight w:val="none"/>
                <w:u w:val="none"/>
                <w:lang w:val="en-US"/>
              </w:rPr>
            </w:pPr>
            <w:r>
              <w:rPr>
                <w:rFonts w:hint="eastAsia" w:ascii="宋体" w:hAnsi="宋体" w:eastAsia="宋体" w:cs="宋体"/>
                <w:b w:val="0"/>
                <w:bCs w:val="0"/>
                <w:i w:val="0"/>
                <w:iCs w:val="0"/>
                <w:color w:val="auto"/>
                <w:sz w:val="20"/>
                <w:szCs w:val="20"/>
                <w:highlight w:val="none"/>
                <w:u w:val="none"/>
                <w:lang w:val="en-US" w:eastAsia="zh-CN"/>
              </w:rPr>
              <w:t xml:space="preserve">考核得分：      </w:t>
            </w:r>
          </w:p>
        </w:tc>
      </w:tr>
      <w:tr w14:paraId="61E94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1" w:hRule="atLeast"/>
        </w:trPr>
        <w:tc>
          <w:tcPr>
            <w:tcW w:w="9796" w:type="dxa"/>
            <w:gridSpan w:val="8"/>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635D9B">
            <w:pPr>
              <w:spacing w:line="240" w:lineRule="auto"/>
              <w:jc w:val="both"/>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eastAsia="zh-CN"/>
              </w:rPr>
              <w:t>考核意见</w:t>
            </w:r>
          </w:p>
          <w:p w14:paraId="0375F800">
            <w:pPr>
              <w:spacing w:line="240" w:lineRule="auto"/>
              <w:jc w:val="left"/>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                                               </w:t>
            </w:r>
          </w:p>
          <w:p w14:paraId="45E3D77C">
            <w:pPr>
              <w:spacing w:line="240" w:lineRule="auto"/>
              <w:ind w:firstLine="5600" w:firstLineChars="2800"/>
              <w:jc w:val="left"/>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签名：</w:t>
            </w:r>
          </w:p>
          <w:p w14:paraId="15C74480">
            <w:pPr>
              <w:spacing w:line="240" w:lineRule="auto"/>
              <w:rPr>
                <w:rFonts w:hint="eastAsia" w:ascii="宋体" w:hAnsi="宋体" w:eastAsia="宋体" w:cs="宋体"/>
                <w:b w:val="0"/>
                <w:bCs w:val="0"/>
                <w:i w:val="0"/>
                <w:color w:val="auto"/>
                <w:sz w:val="20"/>
                <w:szCs w:val="20"/>
                <w:highlight w:val="none"/>
                <w:u w:val="none"/>
              </w:rPr>
            </w:pPr>
            <w:r>
              <w:rPr>
                <w:rFonts w:hint="eastAsia" w:ascii="宋体" w:hAnsi="宋体" w:eastAsia="宋体" w:cs="宋体"/>
                <w:b w:val="0"/>
                <w:bCs w:val="0"/>
                <w:color w:val="auto"/>
                <w:sz w:val="20"/>
                <w:szCs w:val="20"/>
                <w:highlight w:val="none"/>
                <w:lang w:val="en-US" w:eastAsia="zh-CN"/>
              </w:rPr>
              <w:t xml:space="preserve">                                                        日期：</w:t>
            </w:r>
          </w:p>
        </w:tc>
      </w:tr>
    </w:tbl>
    <w:p w14:paraId="3F463DD4">
      <w:pPr>
        <w:rPr>
          <w:rFonts w:hint="eastAsia" w:ascii="宋体" w:hAnsi="宋体" w:eastAsia="宋体" w:cs="宋体"/>
          <w:b/>
          <w:bCs w:val="0"/>
          <w:color w:val="auto"/>
          <w:sz w:val="28"/>
          <w:szCs w:val="28"/>
          <w:highlight w:val="none"/>
          <w:lang w:val="en-US" w:eastAsia="zh-CN"/>
        </w:rPr>
      </w:pPr>
      <w:bookmarkStart w:id="444" w:name="_Toc8742"/>
      <w:r>
        <w:rPr>
          <w:rFonts w:hint="eastAsia" w:ascii="宋体" w:hAnsi="宋体" w:eastAsia="宋体" w:cs="宋体"/>
          <w:b/>
          <w:bCs w:val="0"/>
          <w:color w:val="auto"/>
          <w:sz w:val="28"/>
          <w:szCs w:val="28"/>
          <w:highlight w:val="none"/>
          <w:lang w:val="en-US" w:eastAsia="zh-CN"/>
        </w:rPr>
        <w:br w:type="page"/>
      </w:r>
    </w:p>
    <w:p w14:paraId="2D03EC03">
      <w:pPr>
        <w:pStyle w:val="4"/>
        <w:keepNext/>
        <w:keepLines/>
        <w:pageBreakBefore w:val="0"/>
        <w:widowControl w:val="0"/>
        <w:numPr>
          <w:ilvl w:val="0"/>
          <w:numId w:val="0"/>
        </w:numPr>
        <w:kinsoku/>
        <w:wordWrap/>
        <w:overflowPunct/>
        <w:topLinePunct w:val="0"/>
        <w:autoSpaceDE/>
        <w:autoSpaceDN/>
        <w:bidi w:val="0"/>
        <w:adjustRightInd/>
        <w:snapToGrid/>
        <w:spacing w:before="0" w:after="0" w:line="580" w:lineRule="exact"/>
        <w:jc w:val="center"/>
        <w:textAlignment w:val="auto"/>
        <w:rPr>
          <w:rFonts w:hint="eastAsia" w:ascii="宋体" w:hAnsi="宋体" w:eastAsia="宋体" w:cs="宋体"/>
          <w:b/>
          <w:bCs w:val="0"/>
          <w:color w:val="auto"/>
          <w:sz w:val="20"/>
          <w:szCs w:val="20"/>
          <w:highlight w:val="none"/>
          <w:lang w:val="en-US" w:eastAsia="zh-CN"/>
        </w:rPr>
      </w:pPr>
      <w:bookmarkStart w:id="445" w:name="_Toc22395"/>
      <w:bookmarkStart w:id="446" w:name="_Toc16499"/>
      <w:r>
        <w:rPr>
          <w:rFonts w:hint="eastAsia" w:ascii="宋体" w:hAnsi="宋体" w:eastAsia="宋体" w:cs="宋体"/>
          <w:b/>
          <w:bCs w:val="0"/>
          <w:color w:val="auto"/>
          <w:sz w:val="20"/>
          <w:szCs w:val="20"/>
          <w:highlight w:val="none"/>
          <w:lang w:val="en-US" w:eastAsia="zh-CN"/>
        </w:rPr>
        <w:t>（十三）道闸门禁系统维保服务项目</w:t>
      </w:r>
      <w:bookmarkEnd w:id="444"/>
      <w:bookmarkEnd w:id="445"/>
      <w:bookmarkEnd w:id="446"/>
    </w:p>
    <w:p w14:paraId="2A5D7B25">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447" w:name="_Toc28861"/>
      <w:bookmarkStart w:id="448" w:name="_Toc22847"/>
      <w:bookmarkStart w:id="449" w:name="_Toc27450"/>
      <w:bookmarkStart w:id="450" w:name="_Toc246"/>
      <w:bookmarkStart w:id="451" w:name="_Toc15876"/>
      <w:bookmarkStart w:id="452" w:name="_Toc21655"/>
      <w:bookmarkStart w:id="453" w:name="_Toc31597"/>
      <w:bookmarkStart w:id="454" w:name="_Toc31629"/>
      <w:r>
        <w:rPr>
          <w:rFonts w:hint="eastAsia" w:ascii="宋体" w:hAnsi="宋体" w:eastAsia="宋体" w:cs="宋体"/>
          <w:b/>
          <w:bCs/>
          <w:color w:val="auto"/>
          <w:sz w:val="20"/>
          <w:szCs w:val="20"/>
          <w:highlight w:val="none"/>
          <w:lang w:val="en-US" w:eastAsia="zh-CN"/>
        </w:rPr>
        <w:t>1</w:t>
      </w:r>
      <w:bookmarkEnd w:id="447"/>
      <w:bookmarkEnd w:id="448"/>
      <w:bookmarkEnd w:id="449"/>
      <w:bookmarkEnd w:id="450"/>
      <w:bookmarkEnd w:id="451"/>
      <w:bookmarkStart w:id="455" w:name="_Toc9754"/>
      <w:bookmarkStart w:id="456" w:name="_Toc8899"/>
      <w:bookmarkStart w:id="457" w:name="_Toc30895"/>
      <w:bookmarkStart w:id="458" w:name="_Toc6024"/>
      <w:bookmarkStart w:id="459" w:name="_Toc21028"/>
      <w:r>
        <w:rPr>
          <w:rFonts w:hint="eastAsia" w:ascii="宋体" w:hAnsi="宋体" w:eastAsia="宋体" w:cs="宋体"/>
          <w:b/>
          <w:bCs/>
          <w:color w:val="auto"/>
          <w:sz w:val="20"/>
          <w:szCs w:val="20"/>
          <w:highlight w:val="none"/>
          <w:lang w:val="en-US" w:eastAsia="zh-CN"/>
        </w:rPr>
        <w:t>.项目服务标准及要求</w:t>
      </w:r>
      <w:bookmarkEnd w:id="452"/>
      <w:bookmarkEnd w:id="453"/>
      <w:bookmarkEnd w:id="454"/>
      <w:bookmarkEnd w:id="455"/>
      <w:bookmarkEnd w:id="456"/>
      <w:bookmarkEnd w:id="457"/>
      <w:bookmarkEnd w:id="458"/>
      <w:bookmarkEnd w:id="459"/>
    </w:p>
    <w:p w14:paraId="43142967">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460" w:name="_Toc5263"/>
      <w:bookmarkStart w:id="461" w:name="_Toc15364"/>
      <w:bookmarkStart w:id="462" w:name="_Toc3058"/>
      <w:bookmarkStart w:id="463" w:name="_Toc2537"/>
      <w:bookmarkStart w:id="464" w:name="_Toc9892"/>
      <w:bookmarkStart w:id="465" w:name="_Toc9622"/>
      <w:bookmarkStart w:id="466" w:name="_Toc26901"/>
      <w:bookmarkStart w:id="467" w:name="_Toc4083"/>
      <w:bookmarkStart w:id="468" w:name="_Toc761"/>
      <w:bookmarkStart w:id="469" w:name="_Toc30495"/>
      <w:bookmarkStart w:id="470" w:name="_Toc23534"/>
      <w:bookmarkStart w:id="471" w:name="_Toc2129"/>
      <w:bookmarkStart w:id="472" w:name="_Toc15784"/>
      <w:bookmarkStart w:id="473" w:name="_Toc9388"/>
      <w:bookmarkStart w:id="474" w:name="_Toc2954"/>
      <w:bookmarkStart w:id="475" w:name="_Toc6493"/>
      <w:bookmarkStart w:id="476" w:name="_Toc19332"/>
      <w:bookmarkStart w:id="477" w:name="_Toc16642"/>
      <w:bookmarkStart w:id="478" w:name="_Toc2528"/>
      <w:bookmarkStart w:id="479" w:name="_Toc1708"/>
      <w:bookmarkStart w:id="480" w:name="_Toc9809"/>
      <w:r>
        <w:rPr>
          <w:rFonts w:hint="eastAsia" w:ascii="宋体" w:hAnsi="宋体" w:eastAsia="宋体" w:cs="宋体"/>
          <w:b/>
          <w:bCs/>
          <w:color w:val="auto"/>
          <w:sz w:val="20"/>
          <w:szCs w:val="20"/>
          <w:highlight w:val="none"/>
          <w:lang w:val="en-US" w:eastAsia="zh-CN"/>
        </w:rPr>
        <w:t>1.1项目服务标准</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7F51E768">
      <w:pPr>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服务商在提供</w:t>
      </w:r>
      <w:r>
        <w:rPr>
          <w:rFonts w:hint="eastAsia" w:ascii="宋体" w:hAnsi="宋体" w:eastAsia="宋体" w:cs="宋体"/>
          <w:color w:val="auto"/>
          <w:sz w:val="20"/>
          <w:szCs w:val="20"/>
          <w:highlight w:val="none"/>
          <w:lang w:eastAsia="zh-CN"/>
        </w:rPr>
        <w:t>道</w:t>
      </w:r>
      <w:r>
        <w:rPr>
          <w:rFonts w:hint="eastAsia" w:ascii="宋体" w:hAnsi="宋体" w:eastAsia="宋体" w:cs="宋体"/>
          <w:color w:val="auto"/>
          <w:sz w:val="20"/>
          <w:szCs w:val="20"/>
          <w:highlight w:val="none"/>
          <w:lang w:val="en-US" w:eastAsia="zh-CN"/>
        </w:rPr>
        <w:t>闸门禁系统维保服务</w:t>
      </w:r>
      <w:r>
        <w:rPr>
          <w:rFonts w:hint="eastAsia" w:ascii="宋体" w:hAnsi="宋体" w:eastAsia="宋体" w:cs="宋体"/>
          <w:color w:val="auto"/>
          <w:sz w:val="20"/>
          <w:szCs w:val="20"/>
          <w:highlight w:val="none"/>
        </w:rPr>
        <w:t>时，需按照如下标准执行，如果在合同执行期间国家颁布新的标准时，应按最新的条款执行。</w:t>
      </w:r>
    </w:p>
    <w:tbl>
      <w:tblPr>
        <w:tblStyle w:val="16"/>
        <w:tblW w:w="8212"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7428"/>
      </w:tblGrid>
      <w:tr w14:paraId="6AB1D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84" w:type="dxa"/>
            <w:vAlign w:val="center"/>
          </w:tcPr>
          <w:p w14:paraId="066299B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序号</w:t>
            </w:r>
          </w:p>
        </w:tc>
        <w:tc>
          <w:tcPr>
            <w:tcW w:w="7428" w:type="dxa"/>
            <w:vAlign w:val="center"/>
          </w:tcPr>
          <w:p w14:paraId="402B5B7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相关标准</w:t>
            </w:r>
          </w:p>
        </w:tc>
      </w:tr>
      <w:tr w14:paraId="23438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784" w:type="dxa"/>
            <w:vAlign w:val="center"/>
          </w:tcPr>
          <w:p w14:paraId="1B9BD4D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1</w:t>
            </w:r>
          </w:p>
        </w:tc>
        <w:tc>
          <w:tcPr>
            <w:tcW w:w="7428" w:type="dxa"/>
            <w:vAlign w:val="center"/>
          </w:tcPr>
          <w:p w14:paraId="55F3393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《出入口工程系统工程设计规范</w:t>
            </w:r>
            <w:r>
              <w:rPr>
                <w:rFonts w:hint="eastAsia" w:ascii="宋体" w:hAnsi="宋体" w:eastAsia="宋体" w:cs="宋体"/>
                <w:color w:val="auto"/>
                <w:kern w:val="0"/>
                <w:sz w:val="20"/>
                <w:szCs w:val="20"/>
                <w:highlight w:val="none"/>
              </w:rPr>
              <w:t>》（GB 50396-2007 ）</w:t>
            </w:r>
          </w:p>
        </w:tc>
      </w:tr>
      <w:tr w14:paraId="3755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84" w:type="dxa"/>
            <w:vAlign w:val="center"/>
          </w:tcPr>
          <w:p w14:paraId="464F3DE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2</w:t>
            </w:r>
          </w:p>
        </w:tc>
        <w:tc>
          <w:tcPr>
            <w:tcW w:w="7428" w:type="dxa"/>
            <w:vAlign w:val="center"/>
          </w:tcPr>
          <w:p w14:paraId="24D99A29">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《防盗安全门通用技术条件》（GB 17565-2007 ）</w:t>
            </w:r>
          </w:p>
        </w:tc>
      </w:tr>
      <w:tr w14:paraId="1F32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784" w:type="dxa"/>
            <w:vAlign w:val="center"/>
          </w:tcPr>
          <w:p w14:paraId="1911748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3</w:t>
            </w:r>
          </w:p>
        </w:tc>
        <w:tc>
          <w:tcPr>
            <w:tcW w:w="7428" w:type="dxa"/>
            <w:vAlign w:val="center"/>
          </w:tcPr>
          <w:p w14:paraId="168B7557">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《水力发电厂门禁系统设计导则 》（NB/T 10607-2021 ）</w:t>
            </w:r>
          </w:p>
        </w:tc>
      </w:tr>
      <w:tr w14:paraId="297AB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84" w:type="dxa"/>
            <w:vAlign w:val="center"/>
          </w:tcPr>
          <w:p w14:paraId="3DD607E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4</w:t>
            </w:r>
          </w:p>
        </w:tc>
        <w:tc>
          <w:tcPr>
            <w:tcW w:w="7428" w:type="dxa"/>
            <w:vAlign w:val="center"/>
          </w:tcPr>
          <w:p w14:paraId="6E248032">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《出入口控制系统技术要求》（GA/T 394-2002 ）</w:t>
            </w:r>
          </w:p>
        </w:tc>
      </w:tr>
      <w:tr w14:paraId="6B85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784" w:type="dxa"/>
            <w:vAlign w:val="center"/>
          </w:tcPr>
          <w:p w14:paraId="40456CB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val="0"/>
                <w:color w:val="auto"/>
                <w:sz w:val="20"/>
                <w:szCs w:val="20"/>
                <w:highlight w:val="none"/>
                <w:vertAlign w:val="baseline"/>
                <w:lang w:val="en-US" w:eastAsia="zh-CN"/>
              </w:rPr>
              <w:t>5</w:t>
            </w:r>
          </w:p>
        </w:tc>
        <w:tc>
          <w:tcPr>
            <w:tcW w:w="7428" w:type="dxa"/>
            <w:vAlign w:val="center"/>
          </w:tcPr>
          <w:p w14:paraId="79A8B24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《安全防范系统维护保养规范 》（GA/T 1081-2020 ）</w:t>
            </w:r>
          </w:p>
        </w:tc>
      </w:tr>
      <w:tr w14:paraId="7494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84" w:type="dxa"/>
            <w:vAlign w:val="center"/>
          </w:tcPr>
          <w:p w14:paraId="4838B21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color w:val="auto"/>
                <w:sz w:val="20"/>
                <w:szCs w:val="20"/>
                <w:highlight w:val="none"/>
                <w:vertAlign w:val="baseline"/>
                <w:lang w:val="en-US" w:eastAsia="zh-CN"/>
              </w:rPr>
            </w:pPr>
            <w:bookmarkStart w:id="481" w:name="_Toc6003"/>
            <w:r>
              <w:rPr>
                <w:rFonts w:hint="eastAsia" w:ascii="宋体" w:hAnsi="宋体" w:eastAsia="宋体" w:cs="宋体"/>
                <w:b w:val="0"/>
                <w:bCs w:val="0"/>
                <w:color w:val="auto"/>
                <w:sz w:val="20"/>
                <w:szCs w:val="20"/>
                <w:highlight w:val="none"/>
                <w:vertAlign w:val="baseline"/>
                <w:lang w:val="en-US" w:eastAsia="zh-CN"/>
              </w:rPr>
              <w:t>6</w:t>
            </w:r>
          </w:p>
        </w:tc>
        <w:tc>
          <w:tcPr>
            <w:tcW w:w="7428" w:type="dxa"/>
            <w:vAlign w:val="center"/>
          </w:tcPr>
          <w:p w14:paraId="34C447B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color w:val="auto"/>
                <w:sz w:val="20"/>
                <w:szCs w:val="20"/>
                <w:highlight w:val="none"/>
              </w:rPr>
            </w:pPr>
            <w:r>
              <w:rPr>
                <w:rFonts w:hint="eastAsia" w:ascii="宋体" w:hAnsi="宋体" w:eastAsia="宋体" w:cs="宋体"/>
                <w:b w:val="0"/>
                <w:bCs w:val="0"/>
                <w:color w:val="auto"/>
                <w:kern w:val="2"/>
                <w:sz w:val="20"/>
                <w:szCs w:val="20"/>
                <w:highlight w:val="none"/>
                <w:vertAlign w:val="baseline"/>
                <w:lang w:val="en-US" w:eastAsia="zh-CN" w:bidi="ar-SA"/>
              </w:rPr>
              <w:t>《人行出入口电控通道闸通用技术要求》（GA/T 1260-2016）</w:t>
            </w:r>
          </w:p>
        </w:tc>
      </w:tr>
    </w:tbl>
    <w:p w14:paraId="64B1D79F">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482" w:name="_Toc17529"/>
      <w:bookmarkStart w:id="483" w:name="_Toc485"/>
      <w:bookmarkStart w:id="484" w:name="_Toc24974"/>
      <w:bookmarkStart w:id="485" w:name="_Toc7882"/>
      <w:bookmarkStart w:id="486" w:name="_Toc9300"/>
      <w:bookmarkStart w:id="487" w:name="_Toc4990"/>
      <w:bookmarkStart w:id="488" w:name="_Toc11345"/>
      <w:bookmarkStart w:id="489" w:name="_Toc20219"/>
      <w:bookmarkStart w:id="490" w:name="_Toc20042"/>
      <w:bookmarkStart w:id="491" w:name="_Toc4292"/>
      <w:bookmarkStart w:id="492" w:name="_Toc31053"/>
      <w:bookmarkStart w:id="493" w:name="_Toc24936"/>
      <w:bookmarkStart w:id="494" w:name="_Toc12628"/>
      <w:bookmarkStart w:id="495" w:name="_Toc18967"/>
      <w:bookmarkStart w:id="496" w:name="_Toc23341"/>
      <w:bookmarkStart w:id="497" w:name="_Toc23591"/>
      <w:bookmarkStart w:id="498" w:name="_Toc14118"/>
      <w:bookmarkStart w:id="499" w:name="_Toc14206"/>
      <w:bookmarkStart w:id="500" w:name="_Toc16313"/>
      <w:bookmarkStart w:id="501" w:name="_Toc23655"/>
      <w:r>
        <w:rPr>
          <w:rFonts w:hint="eastAsia" w:ascii="宋体" w:hAnsi="宋体" w:eastAsia="宋体" w:cs="宋体"/>
          <w:b/>
          <w:bCs/>
          <w:color w:val="auto"/>
          <w:sz w:val="20"/>
          <w:szCs w:val="20"/>
          <w:highlight w:val="none"/>
          <w:lang w:val="en-US" w:eastAsia="zh-CN"/>
        </w:rPr>
        <w:t>1.2项目服务要求</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201224C0">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合同实施前，服务商需对采购方整体道闸门禁系统运行状况进行全面摸查，根据摸查情况，针对道闸门禁系统维保服务项目，需指派专人进行对接，熟悉和了解采购方道闸门禁系统构成，对系统内硬件、线路走向等进行熟悉。</w:t>
      </w:r>
    </w:p>
    <w:p w14:paraId="47852798">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1.2.2为保证道闸门禁系统正常有效运转，</w:t>
      </w:r>
      <w:r>
        <w:rPr>
          <w:rFonts w:hint="eastAsia" w:ascii="宋体" w:hAnsi="宋体" w:eastAsia="宋体" w:cs="宋体"/>
          <w:bCs/>
          <w:color w:val="auto"/>
          <w:sz w:val="20"/>
          <w:szCs w:val="20"/>
          <w:highlight w:val="none"/>
          <w:lang w:val="en-US" w:eastAsia="zh-CN"/>
        </w:rPr>
        <w:t>服务商必须按照采购方的要求执行。</w:t>
      </w:r>
    </w:p>
    <w:p w14:paraId="72C710FA">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1.2.3服务商提供24小时的故障接受渠道（热线电话、微信、传真、电子邮件等）。服务商在接到道闸门禁系统故障报修电话后，必须在1小时内作出响应，并派出专业的技术人员按采购方的时间要求到达现场。</w:t>
      </w:r>
      <w:r>
        <w:rPr>
          <w:rFonts w:hint="eastAsia" w:ascii="宋体" w:hAnsi="宋体" w:eastAsia="宋体" w:cs="宋体"/>
          <w:color w:val="auto"/>
          <w:sz w:val="20"/>
          <w:szCs w:val="20"/>
          <w:highlight w:val="none"/>
          <w:lang w:val="en-US" w:eastAsia="zh-CN"/>
        </w:rPr>
        <w:t>在采购方规定的时间内，恢复故障，如果故障在检修24小时后仍无法排除，应与采购协商解决。</w:t>
      </w:r>
    </w:p>
    <w:p w14:paraId="0427FBDF">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1.2.4如遇到不能现场维修的故障，服务商在不影响采购方正常工作的前提下取机返公司维修。并视采购方的需求，提供备机供采购方先行使用，保证道闸门禁系统恢复正常运行。</w:t>
      </w:r>
    </w:p>
    <w:p w14:paraId="7BCC33D9">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1.2.5服务商在维修、保养过程中对发生损坏的特殊零配件不能及时更换时，服务商应及时向采购方通报，提出计划修复的时间（上述时间应经采购方认可），并严格按计划时间争取尽早修复。</w:t>
      </w:r>
    </w:p>
    <w:p w14:paraId="1A9E1A00">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1.2.6在服务过程中如发现相关设备设施自身存在危险状态的，服务商应尽快前往修复/维护，同时应作好基本的安全防护措施，以免发生或扩大损失。</w:t>
      </w:r>
    </w:p>
    <w:p w14:paraId="7DEF1BCF">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1.2.7服务商应自行配备工作所需的各种专业工具及设备，并在进场之前由相关专业人员检查合格后可在现场使用。此外，服务商在维修过程中所用零配件应为合格产品，其余辅助材料应符合国家相关技术规范及设备安全使用条例。</w:t>
      </w:r>
    </w:p>
    <w:p w14:paraId="31F44A2A">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1.2.8服务商为维修及更换过的零配件提供的质保期为6个月，自服务商签署确认记录表之日计算。质保期内出现同一问题的，服务商应免费予以维修，且质保期自免费维修后重新计算。</w:t>
      </w:r>
    </w:p>
    <w:p w14:paraId="21CAF626">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1.2.9在每次巡检和故障维保时，服务商需填写《门禁系统维护保养现场记录表》并经采购方值班人员或管理员核实签字认可,作为服务商进行设备维保的重要依据。此外，根据采购方的实际需求，提供道闸门禁系统异常情况分析报告。</w:t>
      </w:r>
    </w:p>
    <w:p w14:paraId="7D454CEA">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1.2.10服务商负责制定服务范围内道闸门禁系统紧急事件的工作预案，经服务商和采购方双方审定后由服务商组织实施；在发生紧急事件或急迫性维修后，服务商须立即委派技术负责人到达现场妥善处理。</w:t>
      </w:r>
    </w:p>
    <w:p w14:paraId="280FD795">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1.2.11服务商应建立规范的档案管理制度，设立专人负责妥善保管和正确使用本合同范围内道闸门禁系统的档案资料，并负责及时记载有关变更、维修、保养情况。</w:t>
      </w:r>
    </w:p>
    <w:p w14:paraId="359E3C07">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1.2.12服务商加强人员管理，合理安排人员，保障项目工作进度。确因不可抗力影响项目实施，需与采购人协商修订项目实施计划，达成一致后执行。</w:t>
      </w:r>
    </w:p>
    <w:p w14:paraId="780035E2">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1.2.13采购方在举办各项大型活动及接待工作（各类会展、活动保障与服务等）时，服务商根据采购需要负责活动前对现场、设备设施进行检查，保证道闸门禁系统设备完好,运行正常，无安全隐患，确保设备、设施运行可靠性。活动期间，加强巡检力度，确保设备、设施安全可靠运行。</w:t>
      </w:r>
    </w:p>
    <w:p w14:paraId="74654DCA">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1.2.14根据采购方的需求提供对应的培训。培训方式包括线上讲解、现场设备的实际操作、系统的实际操作。使采购方相关人员掌握有关监控硬件与平台的日常基础使用、维护和管理方法，达到能独立进行普通日常管理、故障排除、日常测试等基础工作。</w:t>
      </w:r>
    </w:p>
    <w:p w14:paraId="0DEFE5D2">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1.2.15服务商必须配备专业的维修人员完成本项目，维修人员具有设施设备维修经验并持有法定要求的职业资格证。</w:t>
      </w:r>
    </w:p>
    <w:p w14:paraId="2419D3A2">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1.2.16服务商应具备足够的可随时调遣的道闸门禁系统维保后备人员，以便随时响应采购方的临时工作安排，后备人员具备相应的沟通能力、业务能力和技术能力。</w:t>
      </w:r>
    </w:p>
    <w:p w14:paraId="0502B607">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1.2.17服务商必须建立健全严格的安全管理制度，在开展道闸门禁系统维保工作中严格执行安全管理规定，深刻认识和领会采购方对安全工作的态度和要求，并给予相应的支持和配合。如因非采购方原因导致的安全问题，由服务商承担责任，并按国家法律法规及相关要求进行赔偿。</w:t>
      </w:r>
    </w:p>
    <w:p w14:paraId="052D600D">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1.2.18在道闸门禁系统维保工作期间，服务商应负责落实现场安全防护措施，建立可靠的安全防护措施和明显标志，保证安全作业。而且必须遵循采购方的安全管理，并采取必要的措施保障安全。确保不发生信息安全事件；不发生轻伤及以上人身事故；不发生有责任的设备损坏事故；不发生重大质量事故。</w:t>
      </w:r>
    </w:p>
    <w:p w14:paraId="32C9BB88">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1.2.19服务商的维修人员应严格遵守有关法律法规和采购人内部规章制度，不得擅自翻阅、复制、传播所接触的资料或数据。并且，服务商须遵守采购方信息保密制度，禁止窥窃采购方任何信息。服务商应与采购方签署保密协议书，并负责约束有关员工的保密工作。如服务商泄露采购方的资料或数据，服务商应全额赔偿采购方的损失。</w:t>
      </w:r>
    </w:p>
    <w:p w14:paraId="4F1F1731">
      <w:pPr>
        <w:keepLines w:val="0"/>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1.2.20服务商须建立健全的各项规章制度（包含但不限于安全生产责任及管理制度、质量安全及事故呈报与处理制度、回访制度等）。</w:t>
      </w:r>
    </w:p>
    <w:p w14:paraId="77307EB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502" w:name="_Toc6727"/>
      <w:bookmarkStart w:id="503" w:name="_Toc5671"/>
      <w:bookmarkStart w:id="504" w:name="_Toc13520"/>
      <w:bookmarkStart w:id="505" w:name="_Toc14800"/>
      <w:bookmarkStart w:id="506" w:name="_Toc11259"/>
      <w:bookmarkStart w:id="507" w:name="_Toc6531"/>
      <w:bookmarkStart w:id="508" w:name="_Toc22916"/>
      <w:bookmarkStart w:id="509" w:name="_Toc20070"/>
      <w:r>
        <w:rPr>
          <w:rFonts w:hint="eastAsia" w:ascii="宋体" w:hAnsi="宋体" w:eastAsia="宋体" w:cs="宋体"/>
          <w:b/>
          <w:bCs/>
          <w:color w:val="auto"/>
          <w:sz w:val="20"/>
          <w:szCs w:val="20"/>
          <w:highlight w:val="none"/>
          <w:lang w:val="en-US" w:eastAsia="zh-CN"/>
        </w:rPr>
        <w:t>2.服务达标要求</w:t>
      </w:r>
      <w:bookmarkEnd w:id="502"/>
      <w:bookmarkEnd w:id="503"/>
      <w:bookmarkEnd w:id="504"/>
    </w:p>
    <w:p w14:paraId="4E710408">
      <w:pPr>
        <w:keepLines w:val="0"/>
        <w:pageBreakBefore w:val="0"/>
        <w:widowControl w:val="0"/>
        <w:kinsoku/>
        <w:wordWrap/>
        <w:overflowPunct/>
        <w:topLinePunct w:val="0"/>
        <w:autoSpaceDE/>
        <w:autoSpaceDN/>
        <w:bidi w:val="0"/>
        <w:adjustRightInd/>
        <w:snapToGrid/>
        <w:spacing w:line="560" w:lineRule="exact"/>
        <w:ind w:firstLine="400" w:firstLineChars="200"/>
        <w:jc w:val="both"/>
        <w:textAlignment w:val="auto"/>
        <w:outlineLvl w:val="9"/>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2.1道闸门禁系统维保服务达标要求</w:t>
      </w:r>
    </w:p>
    <w:tbl>
      <w:tblPr>
        <w:tblStyle w:val="15"/>
        <w:tblW w:w="8356"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6"/>
        <w:gridCol w:w="5238"/>
        <w:gridCol w:w="885"/>
      </w:tblGrid>
      <w:tr w14:paraId="5AA8F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817" w:type="dxa"/>
            <w:noWrap w:val="0"/>
            <w:vAlign w:val="center"/>
          </w:tcPr>
          <w:p w14:paraId="5A96BEE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序号</w:t>
            </w:r>
          </w:p>
        </w:tc>
        <w:tc>
          <w:tcPr>
            <w:tcW w:w="1416" w:type="dxa"/>
            <w:noWrap w:val="0"/>
            <w:vAlign w:val="center"/>
          </w:tcPr>
          <w:p w14:paraId="2AA5214C">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工作要求</w:t>
            </w:r>
          </w:p>
        </w:tc>
        <w:tc>
          <w:tcPr>
            <w:tcW w:w="5238" w:type="dxa"/>
            <w:noWrap w:val="0"/>
            <w:vAlign w:val="center"/>
          </w:tcPr>
          <w:p w14:paraId="39B0243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服务达标要求</w:t>
            </w:r>
          </w:p>
        </w:tc>
        <w:tc>
          <w:tcPr>
            <w:tcW w:w="885" w:type="dxa"/>
            <w:noWrap w:val="0"/>
            <w:vAlign w:val="center"/>
          </w:tcPr>
          <w:p w14:paraId="732E025E">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周期</w:t>
            </w:r>
          </w:p>
        </w:tc>
      </w:tr>
      <w:tr w14:paraId="3966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817" w:type="dxa"/>
            <w:noWrap w:val="0"/>
            <w:vAlign w:val="center"/>
          </w:tcPr>
          <w:p w14:paraId="718CA081">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1416" w:type="dxa"/>
            <w:noWrap w:val="0"/>
            <w:vAlign w:val="center"/>
          </w:tcPr>
          <w:p w14:paraId="3C8C3811">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状态检查</w:t>
            </w:r>
          </w:p>
        </w:tc>
        <w:tc>
          <w:tcPr>
            <w:tcW w:w="5238" w:type="dxa"/>
            <w:noWrap w:val="0"/>
            <w:vAlign w:val="center"/>
          </w:tcPr>
          <w:p w14:paraId="4A0B0506">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服务商应对硬件设备进行状态检查、错误信息收集及分析、诊断。</w:t>
            </w:r>
          </w:p>
        </w:tc>
        <w:tc>
          <w:tcPr>
            <w:tcW w:w="885" w:type="dxa"/>
            <w:noWrap w:val="0"/>
            <w:vAlign w:val="center"/>
          </w:tcPr>
          <w:p w14:paraId="16A8A0D4">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每月</w:t>
            </w:r>
          </w:p>
        </w:tc>
      </w:tr>
      <w:tr w14:paraId="0DE6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817" w:type="dxa"/>
            <w:noWrap w:val="0"/>
            <w:vAlign w:val="center"/>
          </w:tcPr>
          <w:p w14:paraId="50B46809">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1416" w:type="dxa"/>
            <w:noWrap w:val="0"/>
            <w:vAlign w:val="center"/>
          </w:tcPr>
          <w:p w14:paraId="02D89EFB">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安全检查</w:t>
            </w:r>
          </w:p>
        </w:tc>
        <w:tc>
          <w:tcPr>
            <w:tcW w:w="5238" w:type="dxa"/>
            <w:noWrap w:val="0"/>
            <w:vAlign w:val="center"/>
          </w:tcPr>
          <w:p w14:paraId="15FCB11E">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服务商应对开关操作控制箱进行清洁、牢固检查，道闸门禁系统是否运行正常，门锁吸合接触是否牢固。</w:t>
            </w:r>
          </w:p>
        </w:tc>
        <w:tc>
          <w:tcPr>
            <w:tcW w:w="885" w:type="dxa"/>
            <w:noWrap w:val="0"/>
            <w:vAlign w:val="center"/>
          </w:tcPr>
          <w:p w14:paraId="38E98214">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每月</w:t>
            </w:r>
          </w:p>
        </w:tc>
      </w:tr>
      <w:tr w14:paraId="6F03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817" w:type="dxa"/>
            <w:noWrap w:val="0"/>
            <w:vAlign w:val="center"/>
          </w:tcPr>
          <w:p w14:paraId="6F9A4B74">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c>
          <w:tcPr>
            <w:tcW w:w="1416" w:type="dxa"/>
            <w:noWrap w:val="0"/>
            <w:vAlign w:val="center"/>
          </w:tcPr>
          <w:p w14:paraId="775242FC">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传输检查</w:t>
            </w:r>
          </w:p>
        </w:tc>
        <w:tc>
          <w:tcPr>
            <w:tcW w:w="5238" w:type="dxa"/>
            <w:noWrap w:val="0"/>
            <w:vAlign w:val="center"/>
          </w:tcPr>
          <w:p w14:paraId="0FBADDE9">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服务商应对道闸门禁系统传输网络进行检查、测试。</w:t>
            </w:r>
          </w:p>
        </w:tc>
        <w:tc>
          <w:tcPr>
            <w:tcW w:w="885" w:type="dxa"/>
            <w:noWrap w:val="0"/>
            <w:vAlign w:val="center"/>
          </w:tcPr>
          <w:p w14:paraId="10F728A0">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每月</w:t>
            </w:r>
          </w:p>
        </w:tc>
      </w:tr>
      <w:tr w14:paraId="2FB26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817" w:type="dxa"/>
            <w:noWrap w:val="0"/>
            <w:vAlign w:val="center"/>
          </w:tcPr>
          <w:p w14:paraId="6EADECA6">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p>
        </w:tc>
        <w:tc>
          <w:tcPr>
            <w:tcW w:w="1416" w:type="dxa"/>
            <w:noWrap w:val="0"/>
            <w:vAlign w:val="center"/>
          </w:tcPr>
          <w:p w14:paraId="763BEBC3">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系统检查</w:t>
            </w:r>
          </w:p>
        </w:tc>
        <w:tc>
          <w:tcPr>
            <w:tcW w:w="5238" w:type="dxa"/>
            <w:noWrap w:val="0"/>
            <w:vAlign w:val="center"/>
          </w:tcPr>
          <w:p w14:paraId="68A60971">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服务商应对系统状态、日志及文件系统检查，错误信息收集及分析、诊断。</w:t>
            </w:r>
          </w:p>
        </w:tc>
        <w:tc>
          <w:tcPr>
            <w:tcW w:w="885" w:type="dxa"/>
            <w:noWrap w:val="0"/>
            <w:vAlign w:val="center"/>
          </w:tcPr>
          <w:p w14:paraId="3BD5401D">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每月</w:t>
            </w:r>
          </w:p>
        </w:tc>
      </w:tr>
      <w:tr w14:paraId="7860F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817" w:type="dxa"/>
            <w:noWrap w:val="0"/>
            <w:vAlign w:val="center"/>
          </w:tcPr>
          <w:p w14:paraId="19F11B87">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1416" w:type="dxa"/>
            <w:noWrap w:val="0"/>
            <w:vAlign w:val="center"/>
          </w:tcPr>
          <w:p w14:paraId="1A71713A">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数据巡检</w:t>
            </w:r>
          </w:p>
        </w:tc>
        <w:tc>
          <w:tcPr>
            <w:tcW w:w="5238" w:type="dxa"/>
            <w:noWrap w:val="0"/>
            <w:vAlign w:val="center"/>
          </w:tcPr>
          <w:p w14:paraId="7FF94CFB">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服务商应对道闸门禁进行巡检和数据备份，包括门锁、读卡器、出门按钮等门禁配件及所对应控制板、电源控制箱。</w:t>
            </w:r>
          </w:p>
        </w:tc>
        <w:tc>
          <w:tcPr>
            <w:tcW w:w="885" w:type="dxa"/>
            <w:noWrap w:val="0"/>
            <w:vAlign w:val="center"/>
          </w:tcPr>
          <w:p w14:paraId="0CC4A6A2">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每月</w:t>
            </w:r>
          </w:p>
        </w:tc>
      </w:tr>
      <w:tr w14:paraId="6D91A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817" w:type="dxa"/>
            <w:noWrap w:val="0"/>
            <w:vAlign w:val="center"/>
          </w:tcPr>
          <w:p w14:paraId="2CA889E8">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w:t>
            </w:r>
          </w:p>
        </w:tc>
        <w:tc>
          <w:tcPr>
            <w:tcW w:w="1416" w:type="dxa"/>
            <w:noWrap w:val="0"/>
            <w:vAlign w:val="center"/>
          </w:tcPr>
          <w:p w14:paraId="56BF1FAB">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门禁调优</w:t>
            </w:r>
          </w:p>
        </w:tc>
        <w:tc>
          <w:tcPr>
            <w:tcW w:w="5238" w:type="dxa"/>
            <w:noWrap w:val="0"/>
            <w:vAlign w:val="center"/>
          </w:tcPr>
          <w:p w14:paraId="53E2B638">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服务商应对道闸门禁进行调优，调优内容包括但不限于：服务器操作系统优化、系统配置优化、对门禁控制板通讯线路进行梳理优化等。</w:t>
            </w:r>
          </w:p>
        </w:tc>
        <w:tc>
          <w:tcPr>
            <w:tcW w:w="885" w:type="dxa"/>
            <w:noWrap w:val="0"/>
            <w:vAlign w:val="center"/>
          </w:tcPr>
          <w:p w14:paraId="6CE1209A">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每月</w:t>
            </w:r>
          </w:p>
        </w:tc>
      </w:tr>
      <w:tr w14:paraId="4FB0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817" w:type="dxa"/>
            <w:noWrap w:val="0"/>
            <w:vAlign w:val="center"/>
          </w:tcPr>
          <w:p w14:paraId="59247297">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w:t>
            </w:r>
          </w:p>
        </w:tc>
        <w:tc>
          <w:tcPr>
            <w:tcW w:w="1416" w:type="dxa"/>
            <w:noWrap w:val="0"/>
            <w:vAlign w:val="center"/>
          </w:tcPr>
          <w:p w14:paraId="2B294FDA">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巡检报告</w:t>
            </w:r>
          </w:p>
        </w:tc>
        <w:tc>
          <w:tcPr>
            <w:tcW w:w="5238" w:type="dxa"/>
            <w:noWrap w:val="0"/>
            <w:vAlign w:val="center"/>
          </w:tcPr>
          <w:p w14:paraId="74442E33">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服务商应提交详细的预防性巡检报告。</w:t>
            </w:r>
          </w:p>
        </w:tc>
        <w:tc>
          <w:tcPr>
            <w:tcW w:w="885" w:type="dxa"/>
            <w:noWrap w:val="0"/>
            <w:vAlign w:val="center"/>
          </w:tcPr>
          <w:p w14:paraId="794D4476">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每月</w:t>
            </w:r>
          </w:p>
        </w:tc>
      </w:tr>
    </w:tbl>
    <w:p w14:paraId="23D91E5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outlineLvl w:val="0"/>
        <w:rPr>
          <w:rFonts w:hint="eastAsia" w:ascii="宋体" w:hAnsi="宋体" w:eastAsia="宋体" w:cs="宋体"/>
          <w:b/>
          <w:bCs/>
          <w:color w:val="auto"/>
          <w:sz w:val="20"/>
          <w:szCs w:val="20"/>
          <w:highlight w:val="none"/>
          <w:lang w:val="en-US" w:eastAsia="zh-CN"/>
        </w:rPr>
      </w:pPr>
      <w:bookmarkStart w:id="510" w:name="_Toc31484"/>
      <w:bookmarkStart w:id="511" w:name="_Toc23831"/>
      <w:bookmarkStart w:id="512" w:name="_Toc9249"/>
      <w:r>
        <w:rPr>
          <w:rFonts w:hint="eastAsia" w:ascii="宋体" w:hAnsi="宋体" w:eastAsia="宋体" w:cs="宋体"/>
          <w:b/>
          <w:bCs/>
          <w:color w:val="auto"/>
          <w:sz w:val="20"/>
          <w:szCs w:val="20"/>
          <w:highlight w:val="none"/>
          <w:lang w:val="en-US" w:eastAsia="zh-CN"/>
        </w:rPr>
        <w:t>3.服务履约考核</w:t>
      </w:r>
      <w:bookmarkEnd w:id="505"/>
      <w:bookmarkEnd w:id="506"/>
      <w:bookmarkEnd w:id="507"/>
      <w:bookmarkEnd w:id="508"/>
      <w:bookmarkEnd w:id="509"/>
      <w:bookmarkEnd w:id="510"/>
      <w:bookmarkEnd w:id="511"/>
      <w:bookmarkEnd w:id="512"/>
    </w:p>
    <w:p w14:paraId="600C0D61">
      <w:pPr>
        <w:keepNext w:val="0"/>
        <w:keepLines w:val="0"/>
        <w:pageBreakBefore w:val="0"/>
        <w:widowControl w:val="0"/>
        <w:kinsoku/>
        <w:wordWrap/>
        <w:overflowPunct/>
        <w:topLinePunct w:val="0"/>
        <w:autoSpaceDE/>
        <w:autoSpaceDN/>
        <w:bidi w:val="0"/>
        <w:adjustRightInd/>
        <w:snapToGrid/>
        <w:spacing w:line="560" w:lineRule="exact"/>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p w14:paraId="17DB0F61">
      <w:pPr>
        <w:keepNext w:val="0"/>
        <w:keepLines w:val="0"/>
        <w:pageBreakBefore w:val="0"/>
        <w:widowControl w:val="0"/>
        <w:kinsoku/>
        <w:wordWrap/>
        <w:overflowPunct/>
        <w:topLinePunct w:val="0"/>
        <w:autoSpaceDE/>
        <w:autoSpaceDN/>
        <w:bidi w:val="0"/>
        <w:adjustRightInd/>
        <w:snapToGrid/>
        <w:spacing w:line="560" w:lineRule="exact"/>
        <w:ind w:firstLine="402" w:firstLineChars="200"/>
        <w:jc w:val="both"/>
        <w:outlineLvl w:val="9"/>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3.1</w:t>
      </w:r>
      <w:r>
        <w:rPr>
          <w:rFonts w:hint="eastAsia" w:ascii="宋体" w:hAnsi="宋体" w:eastAsia="宋体" w:cs="宋体"/>
          <w:b/>
          <w:bCs/>
          <w:color w:val="auto"/>
          <w:sz w:val="20"/>
          <w:szCs w:val="20"/>
          <w:highlight w:val="none"/>
        </w:rPr>
        <w:t>履约考核标准</w:t>
      </w:r>
    </w:p>
    <w:tbl>
      <w:tblPr>
        <w:tblStyle w:val="15"/>
        <w:tblW w:w="101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1"/>
        <w:gridCol w:w="758"/>
        <w:gridCol w:w="1976"/>
        <w:gridCol w:w="828"/>
        <w:gridCol w:w="3606"/>
        <w:gridCol w:w="860"/>
        <w:gridCol w:w="758"/>
        <w:gridCol w:w="608"/>
      </w:tblGrid>
      <w:tr w14:paraId="1838E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781" w:type="dxa"/>
            <w:tcBorders>
              <w:top w:val="single" w:color="000000" w:sz="8" w:space="0"/>
              <w:left w:val="single" w:color="000000" w:sz="8" w:space="0"/>
              <w:bottom w:val="single" w:color="auto" w:sz="4" w:space="0"/>
              <w:right w:val="single" w:color="000000" w:sz="8" w:space="0"/>
            </w:tcBorders>
            <w:noWrap w:val="0"/>
            <w:vAlign w:val="center"/>
          </w:tcPr>
          <w:p w14:paraId="49F8ADA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758" w:type="dxa"/>
            <w:tcBorders>
              <w:top w:val="single" w:color="000000" w:sz="8" w:space="0"/>
              <w:left w:val="single" w:color="000000" w:sz="8" w:space="0"/>
              <w:bottom w:val="single" w:color="auto" w:sz="4" w:space="0"/>
              <w:right w:val="single" w:color="000000" w:sz="8" w:space="0"/>
            </w:tcBorders>
            <w:noWrap w:val="0"/>
            <w:vAlign w:val="center"/>
          </w:tcPr>
          <w:p w14:paraId="5CF6F3A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考核项目</w:t>
            </w:r>
          </w:p>
        </w:tc>
        <w:tc>
          <w:tcPr>
            <w:tcW w:w="1976" w:type="dxa"/>
            <w:tcBorders>
              <w:top w:val="single" w:color="000000" w:sz="8" w:space="0"/>
              <w:left w:val="single" w:color="000000" w:sz="8" w:space="0"/>
              <w:bottom w:val="single" w:color="auto" w:sz="4" w:space="0"/>
              <w:right w:val="single" w:color="000000" w:sz="8" w:space="0"/>
            </w:tcBorders>
            <w:noWrap w:val="0"/>
            <w:vAlign w:val="center"/>
          </w:tcPr>
          <w:p w14:paraId="797E73C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服务内容及标准要求</w:t>
            </w:r>
          </w:p>
        </w:tc>
        <w:tc>
          <w:tcPr>
            <w:tcW w:w="828" w:type="dxa"/>
            <w:tcBorders>
              <w:top w:val="single" w:color="000000" w:sz="8" w:space="0"/>
              <w:left w:val="single" w:color="000000" w:sz="8" w:space="0"/>
              <w:bottom w:val="single" w:color="auto" w:sz="4" w:space="0"/>
              <w:right w:val="single" w:color="000000" w:sz="8" w:space="0"/>
            </w:tcBorders>
            <w:noWrap w:val="0"/>
            <w:vAlign w:val="center"/>
          </w:tcPr>
          <w:p w14:paraId="1DF233C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标准分</w:t>
            </w:r>
          </w:p>
        </w:tc>
        <w:tc>
          <w:tcPr>
            <w:tcW w:w="3606" w:type="dxa"/>
            <w:tcBorders>
              <w:top w:val="single" w:color="000000" w:sz="8" w:space="0"/>
              <w:left w:val="single" w:color="000000" w:sz="8" w:space="0"/>
              <w:bottom w:val="single" w:color="auto" w:sz="4" w:space="0"/>
              <w:right w:val="single" w:color="000000" w:sz="8" w:space="0"/>
            </w:tcBorders>
            <w:noWrap w:val="0"/>
            <w:vAlign w:val="center"/>
          </w:tcPr>
          <w:p w14:paraId="577927E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检查内容</w:t>
            </w:r>
          </w:p>
        </w:tc>
        <w:tc>
          <w:tcPr>
            <w:tcW w:w="860" w:type="dxa"/>
            <w:tcBorders>
              <w:top w:val="single" w:color="000000" w:sz="8" w:space="0"/>
              <w:left w:val="single" w:color="000000" w:sz="8" w:space="0"/>
              <w:bottom w:val="single" w:color="auto" w:sz="4" w:space="0"/>
              <w:right w:val="single" w:color="000000" w:sz="8" w:space="0"/>
            </w:tcBorders>
            <w:noWrap w:val="0"/>
            <w:vAlign w:val="center"/>
          </w:tcPr>
          <w:p w14:paraId="33B9448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扣分标准</w:t>
            </w:r>
          </w:p>
        </w:tc>
        <w:tc>
          <w:tcPr>
            <w:tcW w:w="758" w:type="dxa"/>
            <w:tcBorders>
              <w:top w:val="single" w:color="000000" w:sz="8" w:space="0"/>
              <w:left w:val="single" w:color="000000" w:sz="8" w:space="0"/>
              <w:bottom w:val="single" w:color="auto" w:sz="4" w:space="0"/>
              <w:right w:val="single" w:color="000000" w:sz="8" w:space="0"/>
            </w:tcBorders>
            <w:noWrap w:val="0"/>
            <w:vAlign w:val="center"/>
          </w:tcPr>
          <w:p w14:paraId="111FDC9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实际扣分</w:t>
            </w:r>
          </w:p>
        </w:tc>
        <w:tc>
          <w:tcPr>
            <w:tcW w:w="608" w:type="dxa"/>
            <w:tcBorders>
              <w:top w:val="single" w:color="000000" w:sz="8" w:space="0"/>
              <w:left w:val="single" w:color="000000" w:sz="8" w:space="0"/>
              <w:bottom w:val="single" w:color="auto" w:sz="4" w:space="0"/>
              <w:right w:val="single" w:color="000000" w:sz="8" w:space="0"/>
            </w:tcBorders>
            <w:noWrap w:val="0"/>
            <w:vAlign w:val="center"/>
          </w:tcPr>
          <w:p w14:paraId="241B0BB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4CE57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3892F1CB">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26695DF6">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highlight w:val="none"/>
                <w:u w:val="none"/>
                <w:lang w:eastAsia="zh-CN"/>
              </w:rPr>
            </w:pPr>
            <w:r>
              <w:rPr>
                <w:rFonts w:hint="eastAsia" w:ascii="宋体" w:hAnsi="宋体" w:eastAsia="宋体" w:cs="宋体"/>
                <w:b w:val="0"/>
                <w:bCs w:val="0"/>
                <w:i w:val="0"/>
                <w:iCs w:val="0"/>
                <w:color w:val="auto"/>
                <w:sz w:val="20"/>
                <w:szCs w:val="20"/>
                <w:highlight w:val="none"/>
                <w:u w:val="none"/>
                <w:lang w:eastAsia="zh-CN"/>
              </w:rPr>
              <w:t>服务响应</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32980DBD">
            <w:pPr>
              <w:keepNext w:val="0"/>
              <w:keepLines w:val="0"/>
              <w:widowControl/>
              <w:suppressLineNumbers w:val="0"/>
              <w:jc w:val="left"/>
              <w:textAlignment w:val="center"/>
              <w:rPr>
                <w:rFonts w:hint="eastAsia" w:ascii="宋体" w:hAnsi="宋体" w:eastAsia="宋体" w:cs="宋体"/>
                <w:b w:val="0"/>
                <w:bCs w:val="0"/>
                <w:i w:val="0"/>
                <w:iCs w:val="0"/>
                <w:color w:val="auto"/>
                <w:sz w:val="20"/>
                <w:szCs w:val="20"/>
                <w:highlight w:val="none"/>
                <w:u w:val="none"/>
                <w:lang w:eastAsia="zh-CN"/>
              </w:rPr>
            </w:pPr>
            <w:r>
              <w:rPr>
                <w:rFonts w:hint="eastAsia" w:ascii="宋体" w:hAnsi="宋体" w:eastAsia="宋体" w:cs="宋体"/>
                <w:b w:val="0"/>
                <w:bCs w:val="0"/>
                <w:i w:val="0"/>
                <w:iCs w:val="0"/>
                <w:color w:val="auto"/>
                <w:sz w:val="20"/>
                <w:szCs w:val="20"/>
                <w:highlight w:val="none"/>
                <w:u w:val="none"/>
              </w:rPr>
              <w:t>按合同约定实施</w:t>
            </w:r>
            <w:r>
              <w:rPr>
                <w:rFonts w:hint="eastAsia" w:ascii="宋体" w:hAnsi="宋体" w:eastAsia="宋体" w:cs="宋体"/>
                <w:b w:val="0"/>
                <w:bCs w:val="0"/>
                <w:i w:val="0"/>
                <w:iCs w:val="0"/>
                <w:color w:val="auto"/>
                <w:sz w:val="20"/>
                <w:szCs w:val="20"/>
                <w:highlight w:val="none"/>
                <w:u w:val="none"/>
                <w:lang w:eastAsia="zh-CN"/>
              </w:rPr>
              <w:t>道闸系统</w:t>
            </w:r>
            <w:r>
              <w:rPr>
                <w:rFonts w:hint="eastAsia" w:ascii="宋体" w:hAnsi="宋体" w:eastAsia="宋体" w:cs="宋体"/>
                <w:b w:val="0"/>
                <w:bCs w:val="0"/>
                <w:i w:val="0"/>
                <w:iCs w:val="0"/>
                <w:color w:val="auto"/>
                <w:sz w:val="20"/>
                <w:szCs w:val="20"/>
                <w:highlight w:val="none"/>
                <w:u w:val="none"/>
              </w:rPr>
              <w:t>维护保养服务工作</w:t>
            </w:r>
            <w:r>
              <w:rPr>
                <w:rFonts w:hint="eastAsia" w:ascii="宋体" w:hAnsi="宋体" w:eastAsia="宋体" w:cs="宋体"/>
                <w:b w:val="0"/>
                <w:bCs w:val="0"/>
                <w:i w:val="0"/>
                <w:iCs w:val="0"/>
                <w:color w:val="auto"/>
                <w:sz w:val="20"/>
                <w:szCs w:val="20"/>
                <w:highlight w:val="none"/>
                <w:u w:val="none"/>
                <w:lang w:eastAsia="zh-CN"/>
              </w:rPr>
              <w:t>。</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10CDFD5D">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20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065AD742">
            <w:pPr>
              <w:keepNext w:val="0"/>
              <w:keepLines w:val="0"/>
              <w:widowControl/>
              <w:suppressLineNumbers w:val="0"/>
              <w:jc w:val="both"/>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cs="宋体"/>
                <w:b w:val="0"/>
                <w:bCs w:val="0"/>
                <w:i w:val="0"/>
                <w:iCs w:val="0"/>
                <w:color w:val="auto"/>
                <w:sz w:val="20"/>
                <w:szCs w:val="20"/>
                <w:highlight w:val="none"/>
                <w:u w:val="none"/>
                <w:lang w:eastAsia="zh-CN"/>
              </w:rPr>
              <w:t>服务商</w:t>
            </w:r>
            <w:r>
              <w:rPr>
                <w:rFonts w:hint="eastAsia" w:ascii="宋体" w:hAnsi="宋体" w:eastAsia="宋体" w:cs="宋体"/>
                <w:b w:val="0"/>
                <w:bCs w:val="0"/>
                <w:i w:val="0"/>
                <w:iCs w:val="0"/>
                <w:color w:val="auto"/>
                <w:sz w:val="20"/>
                <w:szCs w:val="20"/>
                <w:highlight w:val="none"/>
                <w:u w:val="none"/>
              </w:rPr>
              <w:t>维护保养不到位，存在缺陷，</w:t>
            </w:r>
            <w:r>
              <w:rPr>
                <w:rFonts w:hint="eastAsia" w:ascii="宋体" w:hAnsi="宋体" w:cs="宋体"/>
                <w:b w:val="0"/>
                <w:bCs w:val="0"/>
                <w:i w:val="0"/>
                <w:iCs w:val="0"/>
                <w:color w:val="auto"/>
                <w:sz w:val="20"/>
                <w:szCs w:val="20"/>
                <w:highlight w:val="none"/>
                <w:u w:val="none"/>
                <w:lang w:eastAsia="zh-CN"/>
              </w:rPr>
              <w:t>采购方</w:t>
            </w:r>
            <w:r>
              <w:rPr>
                <w:rFonts w:hint="eastAsia" w:ascii="宋体" w:hAnsi="宋体" w:eastAsia="宋体" w:cs="宋体"/>
                <w:b w:val="0"/>
                <w:bCs w:val="0"/>
                <w:i w:val="0"/>
                <w:iCs w:val="0"/>
                <w:color w:val="auto"/>
                <w:sz w:val="20"/>
                <w:szCs w:val="20"/>
                <w:highlight w:val="none"/>
                <w:u w:val="none"/>
              </w:rPr>
              <w:t>口头或书面通知催促整改后，仍不能及时修复。</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B0C34FF">
            <w:pPr>
              <w:keepNext w:val="0"/>
              <w:keepLines w:val="0"/>
              <w:widowControl/>
              <w:suppressLineNumbers w:val="0"/>
              <w:jc w:val="both"/>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51E42A37">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2CEEC8F">
            <w:pPr>
              <w:jc w:val="center"/>
              <w:rPr>
                <w:rFonts w:hint="eastAsia" w:ascii="宋体" w:hAnsi="宋体" w:eastAsia="宋体" w:cs="宋体"/>
                <w:b w:val="0"/>
                <w:bCs w:val="0"/>
                <w:i w:val="0"/>
                <w:iCs w:val="0"/>
                <w:color w:val="auto"/>
                <w:sz w:val="20"/>
                <w:szCs w:val="20"/>
                <w:highlight w:val="none"/>
                <w:u w:val="none"/>
              </w:rPr>
            </w:pPr>
          </w:p>
        </w:tc>
      </w:tr>
      <w:tr w14:paraId="115A0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6274F324">
            <w:pPr>
              <w:jc w:val="center"/>
              <w:rPr>
                <w:rFonts w:hint="eastAsia" w:ascii="宋体" w:hAnsi="宋体" w:eastAsia="宋体" w:cs="宋体"/>
                <w:b w:val="0"/>
                <w:bCs w:val="0"/>
                <w:i w:val="0"/>
                <w:iCs w:val="0"/>
                <w:color w:val="auto"/>
                <w:sz w:val="20"/>
                <w:szCs w:val="20"/>
                <w:highlight w:val="none"/>
                <w:u w:val="none"/>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72AE0F8F">
            <w:pPr>
              <w:jc w:val="center"/>
              <w:rPr>
                <w:rFonts w:hint="eastAsia" w:ascii="宋体" w:hAnsi="宋体" w:eastAsia="宋体" w:cs="宋体"/>
                <w:b w:val="0"/>
                <w:bCs w:val="0"/>
                <w:i w:val="0"/>
                <w:iCs w:val="0"/>
                <w:color w:val="auto"/>
                <w:sz w:val="20"/>
                <w:szCs w:val="20"/>
                <w:highlight w:val="none"/>
                <w:u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4E5D39DA">
            <w:pPr>
              <w:keepNext w:val="0"/>
              <w:keepLines w:val="0"/>
              <w:widowControl/>
              <w:suppressLineNumbers w:val="0"/>
              <w:jc w:val="left"/>
              <w:textAlignment w:val="center"/>
              <w:rPr>
                <w:rFonts w:hint="eastAsia" w:ascii="宋体" w:hAnsi="宋体" w:eastAsia="宋体" w:cs="宋体"/>
                <w:b w:val="0"/>
                <w:bCs w:val="0"/>
                <w:i w:val="0"/>
                <w:iCs w:val="0"/>
                <w:color w:val="auto"/>
                <w:sz w:val="20"/>
                <w:szCs w:val="20"/>
                <w:highlight w:val="none"/>
                <w:u w:val="none"/>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2767199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highlight w:val="none"/>
                <w:u w:val="none"/>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35D073EC">
            <w:pPr>
              <w:keepNext w:val="0"/>
              <w:keepLines w:val="0"/>
              <w:widowControl/>
              <w:suppressLineNumbers w:val="0"/>
              <w:jc w:val="both"/>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sz w:val="20"/>
                <w:szCs w:val="20"/>
                <w:highlight w:val="none"/>
                <w:u w:val="none"/>
              </w:rPr>
              <w:t>合同期内发生两次以上不能按合同要求每月至少一次对</w:t>
            </w:r>
            <w:r>
              <w:rPr>
                <w:rFonts w:hint="eastAsia" w:ascii="宋体" w:hAnsi="宋体" w:eastAsia="宋体" w:cs="宋体"/>
                <w:b w:val="0"/>
                <w:bCs w:val="0"/>
                <w:i w:val="0"/>
                <w:iCs w:val="0"/>
                <w:color w:val="auto"/>
                <w:sz w:val="20"/>
                <w:szCs w:val="20"/>
                <w:highlight w:val="none"/>
                <w:u w:val="none"/>
                <w:lang w:eastAsia="zh-CN"/>
              </w:rPr>
              <w:t>道闸系统</w:t>
            </w:r>
            <w:r>
              <w:rPr>
                <w:rFonts w:hint="eastAsia" w:ascii="宋体" w:hAnsi="宋体" w:eastAsia="宋体" w:cs="宋体"/>
                <w:b w:val="0"/>
                <w:bCs w:val="0"/>
                <w:i w:val="0"/>
                <w:iCs w:val="0"/>
                <w:color w:val="auto"/>
                <w:sz w:val="20"/>
                <w:szCs w:val="20"/>
                <w:highlight w:val="none"/>
                <w:u w:val="none"/>
              </w:rPr>
              <w:t>履行维护保养责任，</w:t>
            </w:r>
            <w:r>
              <w:rPr>
                <w:rFonts w:hint="eastAsia" w:ascii="宋体" w:hAnsi="宋体" w:cs="宋体"/>
                <w:b w:val="0"/>
                <w:bCs w:val="0"/>
                <w:i w:val="0"/>
                <w:iCs w:val="0"/>
                <w:color w:val="auto"/>
                <w:sz w:val="20"/>
                <w:szCs w:val="20"/>
                <w:highlight w:val="none"/>
                <w:u w:val="none"/>
                <w:lang w:eastAsia="zh-CN"/>
              </w:rPr>
              <w:t>采购方</w:t>
            </w:r>
            <w:r>
              <w:rPr>
                <w:rFonts w:hint="eastAsia" w:ascii="宋体" w:hAnsi="宋体" w:eastAsia="宋体" w:cs="宋体"/>
                <w:b w:val="0"/>
                <w:bCs w:val="0"/>
                <w:i w:val="0"/>
                <w:iCs w:val="0"/>
                <w:color w:val="auto"/>
                <w:sz w:val="20"/>
                <w:szCs w:val="20"/>
                <w:highlight w:val="none"/>
                <w:u w:val="none"/>
              </w:rPr>
              <w:t>口头或书面通知催促整改后，仍不及时履行。</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371030EA">
            <w:pPr>
              <w:keepNext w:val="0"/>
              <w:keepLines w:val="0"/>
              <w:widowControl/>
              <w:suppressLineNumbers w:val="0"/>
              <w:jc w:val="both"/>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04BA3EED">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48BCC084">
            <w:pPr>
              <w:jc w:val="center"/>
              <w:rPr>
                <w:rFonts w:hint="eastAsia" w:ascii="宋体" w:hAnsi="宋体" w:eastAsia="宋体" w:cs="宋体"/>
                <w:b w:val="0"/>
                <w:bCs w:val="0"/>
                <w:i w:val="0"/>
                <w:iCs w:val="0"/>
                <w:color w:val="auto"/>
                <w:sz w:val="20"/>
                <w:szCs w:val="20"/>
                <w:highlight w:val="none"/>
                <w:u w:val="none"/>
              </w:rPr>
            </w:pPr>
          </w:p>
        </w:tc>
      </w:tr>
      <w:tr w14:paraId="10FF1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2ED8A91D">
            <w:pPr>
              <w:jc w:val="center"/>
              <w:rPr>
                <w:rFonts w:hint="eastAsia" w:ascii="宋体" w:hAnsi="宋体" w:eastAsia="宋体" w:cs="宋体"/>
                <w:b w:val="0"/>
                <w:bCs w:val="0"/>
                <w:i w:val="0"/>
                <w:iCs w:val="0"/>
                <w:color w:val="auto"/>
                <w:sz w:val="20"/>
                <w:szCs w:val="20"/>
                <w:highlight w:val="none"/>
                <w:u w:val="none"/>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3DCDB3BE">
            <w:pPr>
              <w:jc w:val="center"/>
              <w:rPr>
                <w:rFonts w:hint="eastAsia" w:ascii="宋体" w:hAnsi="宋体" w:eastAsia="宋体" w:cs="宋体"/>
                <w:b w:val="0"/>
                <w:bCs w:val="0"/>
                <w:i w:val="0"/>
                <w:iCs w:val="0"/>
                <w:color w:val="auto"/>
                <w:sz w:val="20"/>
                <w:szCs w:val="20"/>
                <w:highlight w:val="none"/>
                <w:u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0E2AB0A1">
            <w:pPr>
              <w:keepNext w:val="0"/>
              <w:keepLines w:val="0"/>
              <w:widowControl/>
              <w:suppressLineNumbers w:val="0"/>
              <w:jc w:val="left"/>
              <w:textAlignment w:val="center"/>
              <w:rPr>
                <w:rFonts w:hint="eastAsia" w:ascii="宋体" w:hAnsi="宋体" w:eastAsia="宋体" w:cs="宋体"/>
                <w:b w:val="0"/>
                <w:bCs w:val="0"/>
                <w:i w:val="0"/>
                <w:iCs w:val="0"/>
                <w:color w:val="auto"/>
                <w:sz w:val="20"/>
                <w:szCs w:val="20"/>
                <w:highlight w:val="none"/>
                <w:u w:val="none"/>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3656792F">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highlight w:val="none"/>
                <w:u w:val="none"/>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31B336B6">
            <w:pPr>
              <w:keepNext w:val="0"/>
              <w:keepLines w:val="0"/>
              <w:widowControl/>
              <w:suppressLineNumbers w:val="0"/>
              <w:jc w:val="both"/>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sz w:val="20"/>
                <w:szCs w:val="20"/>
                <w:highlight w:val="none"/>
                <w:u w:val="none"/>
              </w:rPr>
              <w:t>不能按要求认真填写</w:t>
            </w:r>
            <w:r>
              <w:rPr>
                <w:rFonts w:hint="eastAsia" w:ascii="宋体" w:hAnsi="宋体" w:eastAsia="宋体" w:cs="宋体"/>
                <w:b w:val="0"/>
                <w:bCs w:val="0"/>
                <w:i w:val="0"/>
                <w:iCs w:val="0"/>
                <w:color w:val="auto"/>
                <w:sz w:val="20"/>
                <w:szCs w:val="20"/>
                <w:highlight w:val="none"/>
                <w:u w:val="none"/>
                <w:lang w:eastAsia="zh-CN"/>
              </w:rPr>
              <w:t>道闸系统</w:t>
            </w:r>
            <w:r>
              <w:rPr>
                <w:rFonts w:hint="eastAsia" w:ascii="宋体" w:hAnsi="宋体" w:eastAsia="宋体" w:cs="宋体"/>
                <w:b w:val="0"/>
                <w:bCs w:val="0"/>
                <w:i w:val="0"/>
                <w:iCs w:val="0"/>
                <w:color w:val="auto"/>
                <w:sz w:val="20"/>
                <w:szCs w:val="20"/>
                <w:highlight w:val="none"/>
                <w:u w:val="none"/>
              </w:rPr>
              <w:t>维护保养记录，</w:t>
            </w:r>
            <w:r>
              <w:rPr>
                <w:rFonts w:hint="eastAsia" w:ascii="宋体" w:hAnsi="宋体" w:cs="宋体"/>
                <w:b w:val="0"/>
                <w:bCs w:val="0"/>
                <w:i w:val="0"/>
                <w:iCs w:val="0"/>
                <w:color w:val="auto"/>
                <w:sz w:val="20"/>
                <w:szCs w:val="20"/>
                <w:highlight w:val="none"/>
                <w:u w:val="none"/>
                <w:lang w:eastAsia="zh-CN"/>
              </w:rPr>
              <w:t>采购方</w:t>
            </w:r>
            <w:r>
              <w:rPr>
                <w:rFonts w:hint="eastAsia" w:ascii="宋体" w:hAnsi="宋体" w:eastAsia="宋体" w:cs="宋体"/>
                <w:b w:val="0"/>
                <w:bCs w:val="0"/>
                <w:i w:val="0"/>
                <w:iCs w:val="0"/>
                <w:color w:val="auto"/>
                <w:sz w:val="20"/>
                <w:szCs w:val="20"/>
                <w:highlight w:val="none"/>
                <w:u w:val="none"/>
              </w:rPr>
              <w:t>口头或书面通知催促整改后，仍不及时整改。</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5343B4DD">
            <w:pPr>
              <w:keepNext w:val="0"/>
              <w:keepLines w:val="0"/>
              <w:widowControl/>
              <w:suppressLineNumbers w:val="0"/>
              <w:jc w:val="both"/>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64268FED">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7981B9E4">
            <w:pPr>
              <w:jc w:val="center"/>
              <w:rPr>
                <w:rFonts w:hint="eastAsia" w:ascii="宋体" w:hAnsi="宋体" w:eastAsia="宋体" w:cs="宋体"/>
                <w:b w:val="0"/>
                <w:bCs w:val="0"/>
                <w:i w:val="0"/>
                <w:iCs w:val="0"/>
                <w:color w:val="auto"/>
                <w:sz w:val="20"/>
                <w:szCs w:val="20"/>
                <w:highlight w:val="none"/>
                <w:u w:val="none"/>
              </w:rPr>
            </w:pPr>
          </w:p>
        </w:tc>
      </w:tr>
      <w:tr w14:paraId="2C2B9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3904FBC8">
            <w:pPr>
              <w:jc w:val="center"/>
              <w:rPr>
                <w:rFonts w:hint="eastAsia" w:ascii="宋体" w:hAnsi="宋体" w:eastAsia="宋体" w:cs="宋体"/>
                <w:b w:val="0"/>
                <w:bCs w:val="0"/>
                <w:i w:val="0"/>
                <w:iCs w:val="0"/>
                <w:color w:val="auto"/>
                <w:sz w:val="20"/>
                <w:szCs w:val="20"/>
                <w:highlight w:val="none"/>
                <w:u w:val="none"/>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26F00E72">
            <w:pPr>
              <w:jc w:val="center"/>
              <w:rPr>
                <w:rFonts w:hint="eastAsia" w:ascii="宋体" w:hAnsi="宋体" w:eastAsia="宋体" w:cs="宋体"/>
                <w:b w:val="0"/>
                <w:bCs w:val="0"/>
                <w:i w:val="0"/>
                <w:iCs w:val="0"/>
                <w:color w:val="auto"/>
                <w:sz w:val="20"/>
                <w:szCs w:val="20"/>
                <w:highlight w:val="none"/>
                <w:u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2CC0C15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7117C906">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4AEBDD59">
            <w:pPr>
              <w:keepNext w:val="0"/>
              <w:keepLines w:val="0"/>
              <w:widowControl/>
              <w:suppressLineNumbers w:val="0"/>
              <w:jc w:val="both"/>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道闸系统维保存在缺陷，未能及时进行“消缺”处理。</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5A04958C">
            <w:pPr>
              <w:keepNext w:val="0"/>
              <w:keepLines w:val="0"/>
              <w:widowControl/>
              <w:suppressLineNumbers w:val="0"/>
              <w:jc w:val="both"/>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-2分/项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6E46508C">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2158FA3">
            <w:pPr>
              <w:jc w:val="center"/>
              <w:rPr>
                <w:rFonts w:hint="eastAsia" w:ascii="宋体" w:hAnsi="宋体" w:eastAsia="宋体" w:cs="宋体"/>
                <w:b w:val="0"/>
                <w:bCs w:val="0"/>
                <w:i w:val="0"/>
                <w:iCs w:val="0"/>
                <w:color w:val="auto"/>
                <w:sz w:val="20"/>
                <w:szCs w:val="20"/>
                <w:highlight w:val="none"/>
                <w:u w:val="none"/>
              </w:rPr>
            </w:pPr>
          </w:p>
        </w:tc>
      </w:tr>
      <w:tr w14:paraId="32AFA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4B048D91">
            <w:pPr>
              <w:jc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2</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19CB9416">
            <w:pPr>
              <w:jc w:val="center"/>
              <w:rPr>
                <w:rFonts w:hint="eastAsia" w:ascii="宋体" w:hAnsi="宋体" w:eastAsia="宋体" w:cs="宋体"/>
                <w:b w:val="0"/>
                <w:bCs w:val="0"/>
                <w:i w:val="0"/>
                <w:iCs w:val="0"/>
                <w:color w:val="auto"/>
                <w:sz w:val="20"/>
                <w:szCs w:val="20"/>
                <w:highlight w:val="none"/>
                <w:u w:val="none"/>
                <w:lang w:eastAsia="zh-CN"/>
              </w:rPr>
            </w:pPr>
            <w:r>
              <w:rPr>
                <w:rFonts w:hint="eastAsia" w:ascii="宋体" w:hAnsi="宋体" w:eastAsia="宋体" w:cs="宋体"/>
                <w:b w:val="0"/>
                <w:bCs w:val="0"/>
                <w:i w:val="0"/>
                <w:iCs w:val="0"/>
                <w:color w:val="auto"/>
                <w:sz w:val="20"/>
                <w:szCs w:val="20"/>
                <w:highlight w:val="none"/>
                <w:u w:val="none"/>
                <w:lang w:eastAsia="zh-CN"/>
              </w:rPr>
              <w:t>服务队伍响应</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1195633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color w:val="auto"/>
                <w:sz w:val="20"/>
                <w:szCs w:val="20"/>
                <w:highlight w:val="none"/>
              </w:rPr>
              <w:t>每次维护至少</w:t>
            </w:r>
            <w:r>
              <w:rPr>
                <w:rFonts w:hint="eastAsia" w:ascii="宋体" w:hAnsi="宋体" w:eastAsia="宋体" w:cs="宋体"/>
                <w:b w:val="0"/>
                <w:bCs w:val="0"/>
                <w:color w:val="auto"/>
                <w:sz w:val="20"/>
                <w:szCs w:val="20"/>
                <w:highlight w:val="none"/>
                <w:lang w:eastAsia="zh-CN"/>
              </w:rPr>
              <w:t>安排</w:t>
            </w:r>
            <w:r>
              <w:rPr>
                <w:rFonts w:hint="eastAsia" w:ascii="宋体" w:hAnsi="宋体" w:eastAsia="宋体" w:cs="宋体"/>
                <w:b w:val="0"/>
                <w:bCs w:val="0"/>
                <w:color w:val="auto"/>
                <w:sz w:val="20"/>
                <w:szCs w:val="20"/>
                <w:highlight w:val="none"/>
              </w:rPr>
              <w:t>2人</w:t>
            </w:r>
            <w:r>
              <w:rPr>
                <w:rFonts w:hint="eastAsia" w:ascii="宋体" w:hAnsi="宋体" w:eastAsia="宋体" w:cs="宋体"/>
                <w:b w:val="0"/>
                <w:bCs w:val="0"/>
                <w:color w:val="auto"/>
                <w:sz w:val="20"/>
                <w:szCs w:val="20"/>
                <w:highlight w:val="none"/>
                <w:lang w:eastAsia="zh-CN"/>
              </w:rPr>
              <w:t>，有</w:t>
            </w:r>
            <w:r>
              <w:rPr>
                <w:rFonts w:hint="eastAsia" w:ascii="宋体" w:hAnsi="宋体" w:eastAsia="宋体" w:cs="宋体"/>
                <w:b w:val="0"/>
                <w:bCs w:val="0"/>
                <w:color w:val="auto"/>
                <w:sz w:val="20"/>
                <w:szCs w:val="20"/>
                <w:highlight w:val="none"/>
              </w:rPr>
              <w:t>1年及以上</w:t>
            </w:r>
            <w:r>
              <w:rPr>
                <w:rFonts w:hint="eastAsia" w:ascii="宋体" w:hAnsi="宋体" w:eastAsia="宋体" w:cs="宋体"/>
                <w:b w:val="0"/>
                <w:bCs w:val="0"/>
                <w:color w:val="auto"/>
                <w:sz w:val="20"/>
                <w:szCs w:val="20"/>
                <w:highlight w:val="none"/>
                <w:lang w:eastAsia="zh-CN"/>
              </w:rPr>
              <w:t>工作经验。</w:t>
            </w:r>
          </w:p>
        </w:tc>
        <w:tc>
          <w:tcPr>
            <w:tcW w:w="828" w:type="dxa"/>
            <w:tcBorders>
              <w:top w:val="single" w:color="auto" w:sz="4" w:space="0"/>
              <w:left w:val="single" w:color="auto" w:sz="4" w:space="0"/>
              <w:bottom w:val="single" w:color="auto" w:sz="4" w:space="0"/>
              <w:right w:val="single" w:color="auto" w:sz="4" w:space="0"/>
            </w:tcBorders>
            <w:noWrap w:val="0"/>
            <w:vAlign w:val="center"/>
          </w:tcPr>
          <w:p w14:paraId="312E7EBB">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7E179853">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未按要求委派人员实施道闸系统维护保养服务。</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4354518C">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538135EE">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92BD752">
            <w:pPr>
              <w:jc w:val="center"/>
              <w:rPr>
                <w:rFonts w:hint="eastAsia" w:ascii="宋体" w:hAnsi="宋体" w:eastAsia="宋体" w:cs="宋体"/>
                <w:b w:val="0"/>
                <w:bCs w:val="0"/>
                <w:i w:val="0"/>
                <w:iCs w:val="0"/>
                <w:color w:val="auto"/>
                <w:sz w:val="20"/>
                <w:szCs w:val="20"/>
                <w:highlight w:val="none"/>
                <w:u w:val="none"/>
              </w:rPr>
            </w:pPr>
          </w:p>
        </w:tc>
      </w:tr>
      <w:tr w14:paraId="5AED6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restart"/>
            <w:tcBorders>
              <w:top w:val="single" w:color="auto" w:sz="4" w:space="0"/>
              <w:left w:val="single" w:color="auto" w:sz="4" w:space="0"/>
              <w:right w:val="single" w:color="auto" w:sz="4" w:space="0"/>
            </w:tcBorders>
            <w:noWrap w:val="0"/>
            <w:vAlign w:val="center"/>
          </w:tcPr>
          <w:p w14:paraId="36C27996">
            <w:pPr>
              <w:jc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3</w:t>
            </w:r>
          </w:p>
        </w:tc>
        <w:tc>
          <w:tcPr>
            <w:tcW w:w="758" w:type="dxa"/>
            <w:vMerge w:val="restart"/>
            <w:tcBorders>
              <w:top w:val="single" w:color="auto" w:sz="4" w:space="0"/>
              <w:left w:val="single" w:color="auto" w:sz="4" w:space="0"/>
              <w:right w:val="single" w:color="auto" w:sz="4" w:space="0"/>
            </w:tcBorders>
            <w:noWrap w:val="0"/>
            <w:vAlign w:val="center"/>
          </w:tcPr>
          <w:p w14:paraId="4496C4A7">
            <w:pPr>
              <w:jc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服务请求响应</w:t>
            </w:r>
          </w:p>
        </w:tc>
        <w:tc>
          <w:tcPr>
            <w:tcW w:w="1976" w:type="dxa"/>
            <w:vMerge w:val="restart"/>
            <w:tcBorders>
              <w:top w:val="single" w:color="auto" w:sz="4" w:space="0"/>
              <w:left w:val="single" w:color="auto" w:sz="4" w:space="0"/>
              <w:right w:val="single" w:color="auto" w:sz="4" w:space="0"/>
            </w:tcBorders>
            <w:noWrap w:val="0"/>
            <w:vAlign w:val="center"/>
          </w:tcPr>
          <w:p w14:paraId="61DE750B">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提供7天x24小时的故障/缺陷服务请求接受渠道；设立热线。</w:t>
            </w:r>
          </w:p>
        </w:tc>
        <w:tc>
          <w:tcPr>
            <w:tcW w:w="828" w:type="dxa"/>
            <w:vMerge w:val="restart"/>
            <w:tcBorders>
              <w:top w:val="single" w:color="auto" w:sz="4" w:space="0"/>
              <w:left w:val="single" w:color="auto" w:sz="4" w:space="0"/>
              <w:right w:val="single" w:color="auto" w:sz="4" w:space="0"/>
            </w:tcBorders>
            <w:noWrap w:val="0"/>
            <w:vAlign w:val="center"/>
          </w:tcPr>
          <w:p w14:paraId="0B4A7789">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10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306FEB7C">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未提供每周7天x24小时的故障/缺陷服务请求。</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4DEA930">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3CDC6012">
            <w:pPr>
              <w:jc w:val="center"/>
              <w:rPr>
                <w:rFonts w:hint="eastAsia" w:ascii="宋体" w:hAnsi="宋体" w:eastAsia="宋体" w:cs="宋体"/>
                <w:b w:val="0"/>
                <w:bCs w:val="0"/>
                <w:color w:val="auto"/>
                <w:kern w:val="2"/>
                <w:sz w:val="20"/>
                <w:szCs w:val="20"/>
                <w:highlight w:val="none"/>
                <w:lang w:val="en-US" w:eastAsia="zh-CN" w:bidi="ar-SA"/>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56EC23A9">
            <w:pPr>
              <w:jc w:val="center"/>
              <w:rPr>
                <w:rFonts w:hint="eastAsia" w:ascii="宋体" w:hAnsi="宋体" w:eastAsia="宋体" w:cs="宋体"/>
                <w:b w:val="0"/>
                <w:bCs w:val="0"/>
                <w:i w:val="0"/>
                <w:iCs w:val="0"/>
                <w:color w:val="auto"/>
                <w:sz w:val="20"/>
                <w:szCs w:val="20"/>
                <w:highlight w:val="none"/>
                <w:u w:val="none"/>
              </w:rPr>
            </w:pPr>
          </w:p>
        </w:tc>
      </w:tr>
      <w:tr w14:paraId="042CD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781" w:type="dxa"/>
            <w:vMerge w:val="continue"/>
            <w:tcBorders>
              <w:left w:val="single" w:color="auto" w:sz="4" w:space="0"/>
              <w:bottom w:val="single" w:color="auto" w:sz="4" w:space="0"/>
              <w:right w:val="single" w:color="auto" w:sz="4" w:space="0"/>
            </w:tcBorders>
            <w:noWrap w:val="0"/>
            <w:vAlign w:val="center"/>
          </w:tcPr>
          <w:p w14:paraId="7780C9EC">
            <w:pPr>
              <w:jc w:val="center"/>
              <w:rPr>
                <w:rFonts w:hint="eastAsia" w:ascii="宋体" w:hAnsi="宋体" w:eastAsia="宋体" w:cs="宋体"/>
                <w:b w:val="0"/>
                <w:bCs w:val="0"/>
                <w:color w:val="auto"/>
                <w:kern w:val="2"/>
                <w:sz w:val="20"/>
                <w:szCs w:val="20"/>
                <w:highlight w:val="none"/>
                <w:lang w:val="en-US" w:eastAsia="zh-CN" w:bidi="ar-SA"/>
              </w:rPr>
            </w:pPr>
          </w:p>
        </w:tc>
        <w:tc>
          <w:tcPr>
            <w:tcW w:w="758" w:type="dxa"/>
            <w:vMerge w:val="continue"/>
            <w:tcBorders>
              <w:left w:val="single" w:color="auto" w:sz="4" w:space="0"/>
              <w:bottom w:val="single" w:color="auto" w:sz="4" w:space="0"/>
              <w:right w:val="single" w:color="auto" w:sz="4" w:space="0"/>
            </w:tcBorders>
            <w:noWrap w:val="0"/>
            <w:vAlign w:val="center"/>
          </w:tcPr>
          <w:p w14:paraId="25F5AAE1">
            <w:pPr>
              <w:jc w:val="center"/>
              <w:rPr>
                <w:rFonts w:hint="eastAsia" w:ascii="宋体" w:hAnsi="宋体" w:eastAsia="宋体" w:cs="宋体"/>
                <w:b w:val="0"/>
                <w:bCs w:val="0"/>
                <w:color w:val="auto"/>
                <w:kern w:val="2"/>
                <w:sz w:val="20"/>
                <w:szCs w:val="20"/>
                <w:highlight w:val="none"/>
                <w:lang w:val="en-US" w:eastAsia="zh-CN" w:bidi="ar-SA"/>
              </w:rPr>
            </w:pPr>
          </w:p>
        </w:tc>
        <w:tc>
          <w:tcPr>
            <w:tcW w:w="1976" w:type="dxa"/>
            <w:vMerge w:val="continue"/>
            <w:tcBorders>
              <w:left w:val="single" w:color="auto" w:sz="4" w:space="0"/>
              <w:bottom w:val="single" w:color="auto" w:sz="4" w:space="0"/>
              <w:right w:val="single" w:color="auto" w:sz="4" w:space="0"/>
            </w:tcBorders>
            <w:noWrap w:val="0"/>
            <w:vAlign w:val="center"/>
          </w:tcPr>
          <w:p w14:paraId="73FE02A2">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p>
        </w:tc>
        <w:tc>
          <w:tcPr>
            <w:tcW w:w="828" w:type="dxa"/>
            <w:vMerge w:val="continue"/>
            <w:tcBorders>
              <w:left w:val="single" w:color="auto" w:sz="4" w:space="0"/>
              <w:bottom w:val="single" w:color="auto" w:sz="4" w:space="0"/>
              <w:right w:val="single" w:color="auto" w:sz="4" w:space="0"/>
            </w:tcBorders>
            <w:noWrap w:val="0"/>
            <w:vAlign w:val="center"/>
          </w:tcPr>
          <w:p w14:paraId="0EEAF1BE">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08E5B522">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未设立报修热线，无专人负责。</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56A80803">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-1分/项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34997F9B">
            <w:pPr>
              <w:jc w:val="center"/>
              <w:rPr>
                <w:rFonts w:hint="eastAsia" w:ascii="宋体" w:hAnsi="宋体" w:eastAsia="宋体" w:cs="宋体"/>
                <w:b w:val="0"/>
                <w:bCs w:val="0"/>
                <w:color w:val="auto"/>
                <w:kern w:val="2"/>
                <w:sz w:val="20"/>
                <w:szCs w:val="20"/>
                <w:highlight w:val="none"/>
                <w:lang w:val="en-US" w:eastAsia="zh-CN" w:bidi="ar-SA"/>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68995731">
            <w:pPr>
              <w:jc w:val="center"/>
              <w:rPr>
                <w:rFonts w:hint="eastAsia" w:ascii="宋体" w:hAnsi="宋体" w:eastAsia="宋体" w:cs="宋体"/>
                <w:b w:val="0"/>
                <w:bCs w:val="0"/>
                <w:i w:val="0"/>
                <w:iCs w:val="0"/>
                <w:color w:val="auto"/>
                <w:sz w:val="20"/>
                <w:szCs w:val="20"/>
                <w:highlight w:val="none"/>
                <w:u w:val="none"/>
              </w:rPr>
            </w:pPr>
          </w:p>
        </w:tc>
      </w:tr>
      <w:tr w14:paraId="738D2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531C5EB5">
            <w:pPr>
              <w:jc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4</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0C3E50A5">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安全目标</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7FC08ED0">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严格执行国家规范和标准，开展系统的运行维护工作。</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59612A39">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20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3918A024">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未按要求开展道闸系统的运行维护工作，发生安全责任事故。</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504EF6A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6DB98641">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63060E8B">
            <w:pPr>
              <w:jc w:val="center"/>
              <w:rPr>
                <w:rFonts w:hint="eastAsia" w:ascii="宋体" w:hAnsi="宋体" w:eastAsia="宋体" w:cs="宋体"/>
                <w:b w:val="0"/>
                <w:bCs w:val="0"/>
                <w:i w:val="0"/>
                <w:iCs w:val="0"/>
                <w:color w:val="auto"/>
                <w:sz w:val="20"/>
                <w:szCs w:val="20"/>
                <w:highlight w:val="none"/>
                <w:u w:val="none"/>
              </w:rPr>
            </w:pPr>
          </w:p>
        </w:tc>
      </w:tr>
      <w:tr w14:paraId="797DF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456D9350">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726A1498">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3A2AD39F">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56B97246">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6404B6FA">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因</w:t>
            </w:r>
            <w:r>
              <w:rPr>
                <w:rFonts w:hint="eastAsia" w:ascii="宋体" w:hAnsi="宋体" w:cs="宋体"/>
                <w:b w:val="0"/>
                <w:bCs w:val="0"/>
                <w:color w:val="auto"/>
                <w:kern w:val="2"/>
                <w:sz w:val="20"/>
                <w:szCs w:val="20"/>
                <w:highlight w:val="none"/>
                <w:lang w:val="en-US" w:eastAsia="zh-CN" w:bidi="ar-SA"/>
              </w:rPr>
              <w:t>服务商</w:t>
            </w:r>
            <w:r>
              <w:rPr>
                <w:rFonts w:hint="eastAsia" w:ascii="宋体" w:hAnsi="宋体" w:eastAsia="宋体" w:cs="宋体"/>
                <w:b w:val="0"/>
                <w:bCs w:val="0"/>
                <w:color w:val="auto"/>
                <w:kern w:val="2"/>
                <w:sz w:val="20"/>
                <w:szCs w:val="20"/>
                <w:highlight w:val="none"/>
                <w:lang w:val="en-US" w:eastAsia="zh-CN" w:bidi="ar-SA"/>
              </w:rPr>
              <w:t>原因造成的发生系统崩溃、业务数据丢失、系统数据泄密的安全事件。</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643D43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045B03F7">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F8544AD">
            <w:pPr>
              <w:jc w:val="center"/>
              <w:rPr>
                <w:rFonts w:hint="eastAsia" w:ascii="宋体" w:hAnsi="宋体" w:eastAsia="宋体" w:cs="宋体"/>
                <w:b w:val="0"/>
                <w:bCs w:val="0"/>
                <w:i w:val="0"/>
                <w:iCs w:val="0"/>
                <w:color w:val="auto"/>
                <w:sz w:val="20"/>
                <w:szCs w:val="20"/>
                <w:highlight w:val="none"/>
                <w:u w:val="none"/>
              </w:rPr>
            </w:pPr>
          </w:p>
        </w:tc>
      </w:tr>
      <w:tr w14:paraId="432A1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586DC8DE">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36BC4C79">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0956AAEB">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0EA70557">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26939A6C">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因</w:t>
            </w:r>
            <w:r>
              <w:rPr>
                <w:rFonts w:hint="eastAsia" w:ascii="宋体" w:hAnsi="宋体" w:cs="宋体"/>
                <w:b w:val="0"/>
                <w:bCs w:val="0"/>
                <w:color w:val="auto"/>
                <w:kern w:val="2"/>
                <w:sz w:val="20"/>
                <w:szCs w:val="20"/>
                <w:highlight w:val="none"/>
                <w:lang w:val="en-US" w:eastAsia="zh-CN" w:bidi="ar-SA"/>
              </w:rPr>
              <w:t>服务商</w:t>
            </w:r>
            <w:r>
              <w:rPr>
                <w:rFonts w:hint="eastAsia" w:ascii="宋体" w:hAnsi="宋体" w:eastAsia="宋体" w:cs="宋体"/>
                <w:b w:val="0"/>
                <w:bCs w:val="0"/>
                <w:color w:val="auto"/>
                <w:kern w:val="2"/>
                <w:sz w:val="20"/>
                <w:szCs w:val="20"/>
                <w:highlight w:val="none"/>
                <w:lang w:val="en-US" w:eastAsia="zh-CN" w:bidi="ar-SA"/>
              </w:rPr>
              <w:t>原因造成的发生</w:t>
            </w:r>
            <w:r>
              <w:rPr>
                <w:rFonts w:hint="eastAsia" w:ascii="宋体" w:hAnsi="宋体" w:cs="宋体"/>
                <w:b w:val="0"/>
                <w:bCs w:val="0"/>
                <w:color w:val="auto"/>
                <w:kern w:val="2"/>
                <w:sz w:val="20"/>
                <w:szCs w:val="20"/>
                <w:highlight w:val="none"/>
                <w:lang w:val="en-US" w:eastAsia="zh-CN" w:bidi="ar-SA"/>
              </w:rPr>
              <w:t>采购方</w:t>
            </w:r>
            <w:r>
              <w:rPr>
                <w:rFonts w:hint="eastAsia" w:ascii="宋体" w:hAnsi="宋体" w:eastAsia="宋体" w:cs="宋体"/>
                <w:b w:val="0"/>
                <w:bCs w:val="0"/>
                <w:color w:val="auto"/>
                <w:kern w:val="2"/>
                <w:sz w:val="20"/>
                <w:szCs w:val="20"/>
                <w:highlight w:val="none"/>
                <w:lang w:val="en-US" w:eastAsia="zh-CN" w:bidi="ar-SA"/>
              </w:rPr>
              <w:t>文档资料丢失事件。</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1FCF5DE">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516D53FF">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5170E01E">
            <w:pPr>
              <w:jc w:val="center"/>
              <w:rPr>
                <w:rFonts w:hint="eastAsia" w:ascii="宋体" w:hAnsi="宋体" w:eastAsia="宋体" w:cs="宋体"/>
                <w:b w:val="0"/>
                <w:bCs w:val="0"/>
                <w:i w:val="0"/>
                <w:iCs w:val="0"/>
                <w:color w:val="auto"/>
                <w:sz w:val="20"/>
                <w:szCs w:val="20"/>
                <w:highlight w:val="none"/>
                <w:u w:val="none"/>
              </w:rPr>
            </w:pPr>
          </w:p>
        </w:tc>
      </w:tr>
      <w:tr w14:paraId="40280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351A56F6">
            <w:pPr>
              <w:jc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5</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56760EAC">
            <w:pPr>
              <w:jc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color w:val="auto"/>
                <w:sz w:val="20"/>
                <w:szCs w:val="20"/>
                <w:highlight w:val="none"/>
              </w:rPr>
              <w:t>故障诊断及排除</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0929347E">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按合同约定对道闸系统的故障进行诊断和排除。</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3526E6EE">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6A3B11FF">
            <w:pPr>
              <w:keepNext w:val="0"/>
              <w:keepLines w:val="0"/>
              <w:widowControl/>
              <w:suppressLineNumbers w:val="0"/>
              <w:jc w:val="both"/>
              <w:textAlignment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eastAsia="zh-CN"/>
              </w:rPr>
              <w:t>未</w:t>
            </w:r>
            <w:r>
              <w:rPr>
                <w:rFonts w:hint="eastAsia" w:ascii="宋体" w:hAnsi="宋体" w:eastAsia="宋体" w:cs="宋体"/>
                <w:b w:val="0"/>
                <w:bCs w:val="0"/>
                <w:color w:val="auto"/>
                <w:sz w:val="20"/>
                <w:szCs w:val="20"/>
                <w:highlight w:val="none"/>
              </w:rPr>
              <w:t>要求对</w:t>
            </w:r>
            <w:r>
              <w:rPr>
                <w:rFonts w:hint="eastAsia" w:ascii="宋体" w:hAnsi="宋体" w:eastAsia="宋体" w:cs="宋体"/>
                <w:b w:val="0"/>
                <w:bCs w:val="0"/>
                <w:color w:val="auto"/>
                <w:sz w:val="20"/>
                <w:szCs w:val="20"/>
                <w:highlight w:val="none"/>
                <w:lang w:eastAsia="zh-CN"/>
              </w:rPr>
              <w:t>道闸</w:t>
            </w:r>
            <w:r>
              <w:rPr>
                <w:rFonts w:hint="eastAsia" w:ascii="宋体" w:hAnsi="宋体" w:eastAsia="宋体" w:cs="宋体"/>
                <w:b w:val="0"/>
                <w:bCs w:val="0"/>
                <w:color w:val="auto"/>
                <w:sz w:val="20"/>
                <w:szCs w:val="20"/>
                <w:highlight w:val="none"/>
              </w:rPr>
              <w:t>系统故障、缺陷、服务请求进行分析并处理。</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3C20E6F0">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1E926317">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309BFABA">
            <w:pPr>
              <w:jc w:val="center"/>
              <w:rPr>
                <w:rFonts w:hint="eastAsia" w:ascii="宋体" w:hAnsi="宋体" w:eastAsia="宋体" w:cs="宋体"/>
                <w:b w:val="0"/>
                <w:bCs w:val="0"/>
                <w:i w:val="0"/>
                <w:iCs w:val="0"/>
                <w:color w:val="auto"/>
                <w:sz w:val="20"/>
                <w:szCs w:val="20"/>
                <w:highlight w:val="none"/>
                <w:u w:val="none"/>
              </w:rPr>
            </w:pPr>
          </w:p>
        </w:tc>
      </w:tr>
      <w:tr w14:paraId="50DF2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5F804FB6">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3AAEF852">
            <w:pPr>
              <w:jc w:val="center"/>
              <w:rPr>
                <w:rFonts w:hint="eastAsia" w:ascii="宋体" w:hAnsi="宋体" w:eastAsia="宋体" w:cs="宋体"/>
                <w:b w:val="0"/>
                <w:bCs w:val="0"/>
                <w:color w:val="auto"/>
                <w:sz w:val="20"/>
                <w:szCs w:val="20"/>
                <w:highlight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502E7922">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5750DB1F">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3789DC18">
            <w:pPr>
              <w:keepNext w:val="0"/>
              <w:keepLines w:val="0"/>
              <w:widowControl/>
              <w:suppressLineNumbers w:val="0"/>
              <w:jc w:val="both"/>
              <w:textAlignment w:val="cente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未对</w:t>
            </w:r>
            <w:r>
              <w:rPr>
                <w:rFonts w:hint="eastAsia" w:ascii="宋体" w:hAnsi="宋体" w:eastAsia="宋体" w:cs="宋体"/>
                <w:b w:val="0"/>
                <w:bCs w:val="0"/>
                <w:color w:val="auto"/>
                <w:sz w:val="20"/>
                <w:szCs w:val="20"/>
                <w:highlight w:val="none"/>
              </w:rPr>
              <w:t>发生故障或者损坏的部件进行维修及更换</w:t>
            </w:r>
            <w:r>
              <w:rPr>
                <w:rFonts w:hint="eastAsia" w:ascii="宋体" w:hAnsi="宋体" w:eastAsia="宋体" w:cs="宋体"/>
                <w:b w:val="0"/>
                <w:bCs w:val="0"/>
                <w:color w:val="auto"/>
                <w:sz w:val="20"/>
                <w:szCs w:val="20"/>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5F6D82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349E8207">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71891AB2">
            <w:pPr>
              <w:jc w:val="center"/>
              <w:rPr>
                <w:rFonts w:hint="eastAsia" w:ascii="宋体" w:hAnsi="宋体" w:eastAsia="宋体" w:cs="宋体"/>
                <w:b w:val="0"/>
                <w:bCs w:val="0"/>
                <w:i w:val="0"/>
                <w:iCs w:val="0"/>
                <w:color w:val="auto"/>
                <w:sz w:val="20"/>
                <w:szCs w:val="20"/>
                <w:highlight w:val="none"/>
                <w:u w:val="none"/>
              </w:rPr>
            </w:pPr>
          </w:p>
        </w:tc>
      </w:tr>
      <w:tr w14:paraId="4FFB6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766236A3">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404822A2">
            <w:pPr>
              <w:jc w:val="center"/>
              <w:rPr>
                <w:rFonts w:hint="eastAsia" w:ascii="宋体" w:hAnsi="宋体" w:eastAsia="宋体" w:cs="宋体"/>
                <w:b w:val="0"/>
                <w:bCs w:val="0"/>
                <w:color w:val="auto"/>
                <w:sz w:val="20"/>
                <w:szCs w:val="20"/>
                <w:highlight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51A3985E">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20CB2359">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70BE46E9">
            <w:pPr>
              <w:keepNext w:val="0"/>
              <w:keepLines w:val="0"/>
              <w:widowControl/>
              <w:suppressLineNumbers w:val="0"/>
              <w:jc w:val="both"/>
              <w:textAlignment w:val="cente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更换零配件的维护时间</w:t>
            </w:r>
            <w:r>
              <w:rPr>
                <w:rFonts w:hint="eastAsia" w:ascii="宋体" w:hAnsi="宋体" w:eastAsia="宋体" w:cs="宋体"/>
                <w:b w:val="0"/>
                <w:bCs w:val="0"/>
                <w:color w:val="auto"/>
                <w:sz w:val="20"/>
                <w:szCs w:val="20"/>
                <w:highlight w:val="none"/>
                <w:lang w:eastAsia="zh-CN"/>
              </w:rPr>
              <w:t>超过约定时间，且未有合理的理由向</w:t>
            </w:r>
            <w:r>
              <w:rPr>
                <w:rFonts w:hint="eastAsia" w:ascii="宋体" w:hAnsi="宋体" w:cs="宋体"/>
                <w:b w:val="0"/>
                <w:bCs w:val="0"/>
                <w:color w:val="auto"/>
                <w:sz w:val="20"/>
                <w:szCs w:val="20"/>
                <w:highlight w:val="none"/>
                <w:lang w:eastAsia="zh-CN"/>
              </w:rPr>
              <w:t>采购方</w:t>
            </w:r>
            <w:r>
              <w:rPr>
                <w:rFonts w:hint="eastAsia" w:ascii="宋体" w:hAnsi="宋体" w:eastAsia="宋体" w:cs="宋体"/>
                <w:b w:val="0"/>
                <w:bCs w:val="0"/>
                <w:color w:val="auto"/>
                <w:sz w:val="20"/>
                <w:szCs w:val="20"/>
                <w:highlight w:val="none"/>
                <w:lang w:eastAsia="zh-CN"/>
              </w:rPr>
              <w:t>说明。</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4D984A9">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7BD4DF67">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E7A7872">
            <w:pPr>
              <w:jc w:val="center"/>
              <w:rPr>
                <w:rFonts w:hint="eastAsia" w:ascii="宋体" w:hAnsi="宋体" w:eastAsia="宋体" w:cs="宋体"/>
                <w:b w:val="0"/>
                <w:bCs w:val="0"/>
                <w:i w:val="0"/>
                <w:iCs w:val="0"/>
                <w:color w:val="auto"/>
                <w:sz w:val="20"/>
                <w:szCs w:val="20"/>
                <w:highlight w:val="none"/>
                <w:u w:val="none"/>
              </w:rPr>
            </w:pPr>
          </w:p>
        </w:tc>
      </w:tr>
      <w:tr w14:paraId="4B360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270387E2">
            <w:pPr>
              <w:jc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6</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1EFBD79D">
            <w:pPr>
              <w:jc w:val="cente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服务质量响应</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2514B8BF">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val="en-US" w:eastAsia="zh-CN"/>
              </w:rPr>
            </w:pPr>
            <w:r>
              <w:rPr>
                <w:rFonts w:hint="eastAsia" w:ascii="宋体" w:hAnsi="宋体" w:cs="宋体"/>
                <w:color w:val="auto"/>
                <w:sz w:val="20"/>
                <w:szCs w:val="20"/>
                <w:highlight w:val="none"/>
                <w:lang w:eastAsia="zh-CN"/>
              </w:rPr>
              <w:t>服务商</w:t>
            </w:r>
            <w:r>
              <w:rPr>
                <w:rFonts w:hint="eastAsia" w:ascii="宋体" w:hAnsi="宋体" w:eastAsia="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eastAsia="宋体" w:cs="宋体"/>
                <w:color w:val="auto"/>
                <w:sz w:val="20"/>
                <w:szCs w:val="20"/>
                <w:highlight w:val="none"/>
              </w:rPr>
              <w:t>布置的工作要求、任务有落实，有反馈。</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5D1EED32">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10</w:t>
            </w:r>
          </w:p>
        </w:tc>
        <w:tc>
          <w:tcPr>
            <w:tcW w:w="36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951FF9">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不按时完成布置的工作</w:t>
            </w:r>
            <w:r>
              <w:rPr>
                <w:rFonts w:hint="eastAsia" w:ascii="宋体" w:hAnsi="宋体" w:eastAsia="宋体" w:cs="宋体"/>
                <w:color w:val="auto"/>
                <w:sz w:val="20"/>
                <w:szCs w:val="20"/>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D5B6D4">
            <w:pPr>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3A4F121B">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B3655D0">
            <w:pPr>
              <w:jc w:val="center"/>
              <w:rPr>
                <w:rFonts w:hint="eastAsia" w:ascii="宋体" w:hAnsi="宋体" w:eastAsia="宋体" w:cs="宋体"/>
                <w:b w:val="0"/>
                <w:bCs w:val="0"/>
                <w:i w:val="0"/>
                <w:iCs w:val="0"/>
                <w:color w:val="auto"/>
                <w:sz w:val="20"/>
                <w:szCs w:val="20"/>
                <w:highlight w:val="none"/>
                <w:u w:val="none"/>
              </w:rPr>
            </w:pPr>
          </w:p>
        </w:tc>
      </w:tr>
      <w:tr w14:paraId="1B72B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continue"/>
            <w:tcBorders>
              <w:left w:val="single" w:color="auto" w:sz="4" w:space="0"/>
              <w:right w:val="single" w:color="auto" w:sz="4" w:space="0"/>
            </w:tcBorders>
            <w:noWrap w:val="0"/>
            <w:vAlign w:val="center"/>
          </w:tcPr>
          <w:p w14:paraId="298DAE15">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left w:val="single" w:color="auto" w:sz="4" w:space="0"/>
              <w:right w:val="single" w:color="auto" w:sz="4" w:space="0"/>
            </w:tcBorders>
            <w:noWrap w:val="0"/>
            <w:vAlign w:val="center"/>
          </w:tcPr>
          <w:p w14:paraId="51C41815">
            <w:pPr>
              <w:jc w:val="center"/>
              <w:rPr>
                <w:rFonts w:hint="eastAsia" w:ascii="宋体" w:hAnsi="宋体" w:eastAsia="宋体" w:cs="宋体"/>
                <w:b w:val="0"/>
                <w:bCs w:val="0"/>
                <w:color w:val="auto"/>
                <w:sz w:val="20"/>
                <w:szCs w:val="20"/>
                <w:highlight w:val="none"/>
                <w:lang w:val="en-US" w:eastAsia="zh-CN"/>
              </w:rPr>
            </w:pPr>
          </w:p>
        </w:tc>
        <w:tc>
          <w:tcPr>
            <w:tcW w:w="1976" w:type="dxa"/>
            <w:vMerge w:val="continue"/>
            <w:tcBorders>
              <w:left w:val="single" w:color="auto" w:sz="4" w:space="0"/>
              <w:right w:val="single" w:color="auto" w:sz="4" w:space="0"/>
            </w:tcBorders>
            <w:noWrap w:val="0"/>
            <w:vAlign w:val="center"/>
          </w:tcPr>
          <w:p w14:paraId="34B48A96">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left w:val="single" w:color="auto" w:sz="4" w:space="0"/>
              <w:right w:val="single" w:color="auto" w:sz="4" w:space="0"/>
            </w:tcBorders>
            <w:noWrap w:val="0"/>
            <w:vAlign w:val="center"/>
          </w:tcPr>
          <w:p w14:paraId="29BF3B5C">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54BBC5">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因工作管理不到位，接收到</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发出的整改批示的文件（包括整改通知书、函件等），每发出一份</w:t>
            </w:r>
            <w:r>
              <w:rPr>
                <w:rFonts w:hint="eastAsia" w:ascii="宋体" w:hAnsi="宋体" w:eastAsia="宋体" w:cs="宋体"/>
                <w:color w:val="auto"/>
                <w:sz w:val="20"/>
                <w:szCs w:val="20"/>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8BCC7F">
            <w:pPr>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份</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512853F5">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50273E10">
            <w:pPr>
              <w:jc w:val="center"/>
              <w:rPr>
                <w:rFonts w:hint="eastAsia" w:ascii="宋体" w:hAnsi="宋体" w:eastAsia="宋体" w:cs="宋体"/>
                <w:b w:val="0"/>
                <w:bCs w:val="0"/>
                <w:i w:val="0"/>
                <w:iCs w:val="0"/>
                <w:color w:val="auto"/>
                <w:sz w:val="20"/>
                <w:szCs w:val="20"/>
                <w:highlight w:val="none"/>
                <w:u w:val="none"/>
              </w:rPr>
            </w:pPr>
          </w:p>
        </w:tc>
      </w:tr>
      <w:tr w14:paraId="77698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2CFF60AE">
            <w:pPr>
              <w:jc w:val="center"/>
              <w:rPr>
                <w:rFonts w:hint="eastAsia" w:ascii="宋体" w:hAnsi="宋体" w:eastAsia="宋体" w:cs="宋体"/>
                <w:b w:val="0"/>
                <w:bCs w:val="0"/>
                <w:i w:val="0"/>
                <w:iCs w:val="0"/>
                <w:color w:val="auto"/>
                <w:sz w:val="20"/>
                <w:szCs w:val="20"/>
                <w:highlight w:val="none"/>
                <w:u w:val="none"/>
                <w:lang w:val="en-US" w:eastAsia="zh-CN"/>
              </w:rPr>
            </w:pPr>
            <w:bookmarkStart w:id="513" w:name="OLE_LINK252" w:colFirst="4" w:colLast="7"/>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0028118F">
            <w:pPr>
              <w:jc w:val="center"/>
              <w:rPr>
                <w:rFonts w:hint="eastAsia" w:ascii="宋体" w:hAnsi="宋体" w:eastAsia="宋体" w:cs="宋体"/>
                <w:b w:val="0"/>
                <w:bCs w:val="0"/>
                <w:color w:val="auto"/>
                <w:sz w:val="20"/>
                <w:szCs w:val="20"/>
                <w:highlight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14131D4F">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737BA998">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0B0BC5">
            <w:pP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因工作执行不到位，对</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照成重大不良影响，每出现一项。</w:t>
            </w:r>
          </w:p>
        </w:tc>
        <w:tc>
          <w:tcPr>
            <w:tcW w:w="8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DABEA6">
            <w:pPr>
              <w:jc w:val="left"/>
              <w:rPr>
                <w:rFonts w:hint="eastAsia" w:ascii="宋体" w:hAnsi="宋体" w:eastAsia="宋体" w:cs="宋体"/>
                <w:color w:val="auto"/>
                <w:kern w:val="2"/>
                <w:sz w:val="20"/>
                <w:szCs w:val="20"/>
                <w:highlight w:val="none"/>
                <w:lang w:val="en-US" w:eastAsia="zh-CN" w:bidi="ar-SA"/>
              </w:rPr>
            </w:pPr>
            <w:bookmarkStart w:id="514" w:name="OLE_LINK254"/>
            <w:bookmarkStart w:id="515" w:name="OLE_LINK253"/>
            <w:r>
              <w:rPr>
                <w:rFonts w:hint="eastAsia" w:ascii="宋体" w:hAnsi="宋体" w:eastAsia="宋体" w:cs="宋体"/>
                <w:color w:val="auto"/>
                <w:sz w:val="20"/>
                <w:szCs w:val="20"/>
                <w:highlight w:val="none"/>
                <w:lang w:val="en-US" w:eastAsia="zh-CN"/>
              </w:rPr>
              <w:t>-5至-10分</w:t>
            </w:r>
            <w:bookmarkEnd w:id="514"/>
            <w:r>
              <w:rPr>
                <w:rFonts w:hint="eastAsia" w:ascii="宋体" w:hAnsi="宋体" w:eastAsia="宋体" w:cs="宋体"/>
                <w:color w:val="auto"/>
                <w:sz w:val="20"/>
                <w:szCs w:val="20"/>
                <w:highlight w:val="none"/>
                <w:lang w:val="en-US" w:eastAsia="zh-CN"/>
              </w:rPr>
              <w:t>/项</w:t>
            </w:r>
            <w:bookmarkEnd w:id="515"/>
          </w:p>
        </w:tc>
        <w:tc>
          <w:tcPr>
            <w:tcW w:w="758" w:type="dxa"/>
            <w:tcBorders>
              <w:top w:val="single" w:color="auto" w:sz="4" w:space="0"/>
              <w:left w:val="single" w:color="auto" w:sz="4" w:space="0"/>
              <w:bottom w:val="single" w:color="auto" w:sz="4" w:space="0"/>
              <w:right w:val="single" w:color="auto" w:sz="4" w:space="0"/>
            </w:tcBorders>
            <w:noWrap w:val="0"/>
            <w:vAlign w:val="center"/>
          </w:tcPr>
          <w:p w14:paraId="0813BB59">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4A27F06D">
            <w:pPr>
              <w:jc w:val="center"/>
              <w:rPr>
                <w:rFonts w:hint="eastAsia" w:ascii="宋体" w:hAnsi="宋体" w:eastAsia="宋体" w:cs="宋体"/>
                <w:b w:val="0"/>
                <w:bCs w:val="0"/>
                <w:i w:val="0"/>
                <w:iCs w:val="0"/>
                <w:color w:val="auto"/>
                <w:sz w:val="20"/>
                <w:szCs w:val="20"/>
                <w:highlight w:val="none"/>
                <w:u w:val="none"/>
              </w:rPr>
            </w:pPr>
          </w:p>
        </w:tc>
      </w:tr>
      <w:bookmarkEnd w:id="513"/>
      <w:tr w14:paraId="799A0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65BEE6C9">
            <w:pPr>
              <w:jc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7</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4222EB2A">
            <w:pPr>
              <w:jc w:val="cente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安全管理</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2BACE9C9">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自行做好安全措施、现场防护措施及其他相关的安全管理工作。对服务人员进行安全教育培训不少于1次。</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3FD15AA7">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03627B7A">
            <w:pPr>
              <w:keepNext w:val="0"/>
              <w:keepLines w:val="0"/>
              <w:widowControl/>
              <w:suppressLineNumbers w:val="0"/>
              <w:jc w:val="both"/>
              <w:textAlignment w:val="center"/>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没有做好安全措施和现场防护措施。</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66C7551">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7AFE0310">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1831C2F6">
            <w:pPr>
              <w:jc w:val="center"/>
              <w:rPr>
                <w:rFonts w:hint="eastAsia" w:ascii="宋体" w:hAnsi="宋体" w:eastAsia="宋体" w:cs="宋体"/>
                <w:b w:val="0"/>
                <w:bCs w:val="0"/>
                <w:i w:val="0"/>
                <w:iCs w:val="0"/>
                <w:color w:val="auto"/>
                <w:sz w:val="20"/>
                <w:szCs w:val="20"/>
                <w:highlight w:val="none"/>
                <w:u w:val="none"/>
              </w:rPr>
            </w:pPr>
          </w:p>
        </w:tc>
      </w:tr>
      <w:tr w14:paraId="494D9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36B8B795">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131068AA">
            <w:pPr>
              <w:jc w:val="center"/>
              <w:rPr>
                <w:rFonts w:hint="eastAsia" w:ascii="宋体" w:hAnsi="宋体" w:eastAsia="宋体" w:cs="宋体"/>
                <w:b w:val="0"/>
                <w:bCs w:val="0"/>
                <w:color w:val="auto"/>
                <w:sz w:val="20"/>
                <w:szCs w:val="20"/>
                <w:highlight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5A605276">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7934F563">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51E6E893">
            <w:pPr>
              <w:keepNext w:val="0"/>
              <w:keepLines w:val="0"/>
              <w:widowControl/>
              <w:suppressLineNumbers w:val="0"/>
              <w:jc w:val="both"/>
              <w:textAlignment w:val="cente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val="en-US" w:eastAsia="zh-CN"/>
              </w:rPr>
              <w:t>未按要求开展安全教育培训。</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F78435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5AFD66B0">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5995797B">
            <w:pPr>
              <w:jc w:val="center"/>
              <w:rPr>
                <w:rFonts w:hint="eastAsia" w:ascii="宋体" w:hAnsi="宋体" w:eastAsia="宋体" w:cs="宋体"/>
                <w:b w:val="0"/>
                <w:bCs w:val="0"/>
                <w:i w:val="0"/>
                <w:iCs w:val="0"/>
                <w:color w:val="auto"/>
                <w:sz w:val="20"/>
                <w:szCs w:val="20"/>
                <w:highlight w:val="none"/>
                <w:u w:val="none"/>
              </w:rPr>
            </w:pPr>
          </w:p>
        </w:tc>
      </w:tr>
      <w:tr w14:paraId="71393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10175" w:type="dxa"/>
            <w:gridSpan w:val="8"/>
            <w:tcBorders>
              <w:top w:val="single" w:color="auto" w:sz="4" w:space="0"/>
              <w:left w:val="single" w:color="auto" w:sz="4" w:space="0"/>
              <w:bottom w:val="single" w:color="auto" w:sz="4" w:space="0"/>
              <w:right w:val="single" w:color="auto" w:sz="4" w:space="0"/>
            </w:tcBorders>
            <w:noWrap w:val="0"/>
            <w:vAlign w:val="center"/>
          </w:tcPr>
          <w:p w14:paraId="6F70D308">
            <w:pPr>
              <w:jc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 xml:space="preserve">                                      考核得分：</w:t>
            </w:r>
          </w:p>
        </w:tc>
      </w:tr>
      <w:tr w14:paraId="08F36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6" w:hRule="atLeast"/>
          <w:jc w:val="center"/>
        </w:trPr>
        <w:tc>
          <w:tcPr>
            <w:tcW w:w="10175" w:type="dxa"/>
            <w:gridSpan w:val="8"/>
            <w:tcBorders>
              <w:top w:val="single" w:color="auto" w:sz="4" w:space="0"/>
              <w:left w:val="single" w:color="auto" w:sz="4" w:space="0"/>
              <w:bottom w:val="single" w:color="auto" w:sz="4" w:space="0"/>
              <w:right w:val="single" w:color="auto" w:sz="4" w:space="0"/>
            </w:tcBorders>
            <w:noWrap w:val="0"/>
            <w:vAlign w:val="center"/>
          </w:tcPr>
          <w:p w14:paraId="3D8D8A37">
            <w:pPr>
              <w:jc w:val="both"/>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eastAsia="zh-CN"/>
              </w:rPr>
              <w:t>考核意见</w:t>
            </w:r>
          </w:p>
          <w:p w14:paraId="151058B6">
            <w:pPr>
              <w:ind w:left="7448" w:leftChars="3724" w:firstLine="0" w:firstLineChars="0"/>
              <w:jc w:val="left"/>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                                            签名：</w:t>
            </w:r>
          </w:p>
          <w:p w14:paraId="6296365D">
            <w:pPr>
              <w:pStyle w:val="18"/>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 xml:space="preserve">                                                    日期：</w:t>
            </w:r>
          </w:p>
        </w:tc>
      </w:tr>
    </w:tbl>
    <w:p w14:paraId="2B891AD7">
      <w:pPr>
        <w:rPr>
          <w:rFonts w:hint="eastAsia" w:ascii="宋体" w:hAnsi="宋体" w:eastAsia="宋体" w:cs="宋体"/>
          <w:b/>
          <w:bCs w:val="0"/>
          <w:color w:val="auto"/>
          <w:sz w:val="28"/>
          <w:szCs w:val="28"/>
          <w:highlight w:val="none"/>
          <w:lang w:val="en-US" w:eastAsia="zh-CN"/>
        </w:rPr>
      </w:pPr>
      <w:bookmarkStart w:id="516" w:name="_Toc17807"/>
      <w:r>
        <w:rPr>
          <w:rFonts w:hint="eastAsia" w:ascii="宋体" w:hAnsi="宋体" w:eastAsia="宋体" w:cs="宋体"/>
          <w:b/>
          <w:bCs w:val="0"/>
          <w:color w:val="auto"/>
          <w:sz w:val="28"/>
          <w:szCs w:val="28"/>
          <w:highlight w:val="none"/>
          <w:lang w:val="en-US" w:eastAsia="zh-CN"/>
        </w:rPr>
        <w:br w:type="page"/>
      </w:r>
    </w:p>
    <w:p w14:paraId="63213BE0">
      <w:pPr>
        <w:pStyle w:val="4"/>
        <w:keepNext/>
        <w:keepLines/>
        <w:pageBreakBefore w:val="0"/>
        <w:widowControl w:val="0"/>
        <w:numPr>
          <w:ilvl w:val="0"/>
          <w:numId w:val="0"/>
        </w:numPr>
        <w:kinsoku/>
        <w:wordWrap/>
        <w:overflowPunct/>
        <w:topLinePunct w:val="0"/>
        <w:autoSpaceDE/>
        <w:autoSpaceDN/>
        <w:bidi w:val="0"/>
        <w:adjustRightInd/>
        <w:snapToGrid/>
        <w:spacing w:before="0" w:after="0" w:line="580" w:lineRule="exact"/>
        <w:jc w:val="center"/>
        <w:textAlignment w:val="auto"/>
        <w:rPr>
          <w:rFonts w:hint="eastAsia" w:ascii="宋体" w:hAnsi="宋体" w:eastAsia="宋体" w:cs="宋体"/>
          <w:b/>
          <w:bCs w:val="0"/>
          <w:color w:val="auto"/>
          <w:sz w:val="20"/>
          <w:szCs w:val="20"/>
          <w:highlight w:val="none"/>
          <w:lang w:val="en-US" w:eastAsia="zh-CN"/>
        </w:rPr>
      </w:pPr>
      <w:bookmarkStart w:id="517" w:name="_Toc6612"/>
      <w:bookmarkStart w:id="518" w:name="_Toc639"/>
      <w:r>
        <w:rPr>
          <w:rFonts w:hint="eastAsia" w:ascii="宋体" w:hAnsi="宋体" w:eastAsia="宋体" w:cs="宋体"/>
          <w:b/>
          <w:bCs w:val="0"/>
          <w:color w:val="auto"/>
          <w:sz w:val="20"/>
          <w:szCs w:val="20"/>
          <w:highlight w:val="none"/>
          <w:lang w:val="en-US" w:eastAsia="zh-CN"/>
        </w:rPr>
        <w:t>（十四）消防系统维保服务项目</w:t>
      </w:r>
      <w:bookmarkEnd w:id="516"/>
      <w:bookmarkEnd w:id="517"/>
      <w:bookmarkEnd w:id="518"/>
    </w:p>
    <w:p w14:paraId="499CDCDC">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519" w:name="_Toc10469"/>
      <w:bookmarkStart w:id="520" w:name="_Toc10315"/>
      <w:bookmarkStart w:id="521" w:name="_Toc18675"/>
      <w:r>
        <w:rPr>
          <w:rFonts w:hint="eastAsia" w:ascii="宋体" w:hAnsi="宋体" w:eastAsia="宋体" w:cs="宋体"/>
          <w:b/>
          <w:bCs/>
          <w:color w:val="auto"/>
          <w:sz w:val="20"/>
          <w:szCs w:val="20"/>
          <w:highlight w:val="none"/>
          <w:lang w:val="en-US" w:eastAsia="zh-CN"/>
        </w:rPr>
        <w:t>1.项目服务标准及要求</w:t>
      </w:r>
      <w:bookmarkEnd w:id="519"/>
      <w:bookmarkEnd w:id="520"/>
      <w:bookmarkEnd w:id="521"/>
    </w:p>
    <w:p w14:paraId="410C7009">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522" w:name="_Toc371"/>
      <w:bookmarkStart w:id="523" w:name="_Toc1081"/>
      <w:bookmarkStart w:id="524" w:name="_Toc4017"/>
      <w:bookmarkStart w:id="525" w:name="_Toc27800"/>
      <w:bookmarkStart w:id="526" w:name="_Toc13636"/>
      <w:bookmarkStart w:id="527" w:name="_Toc28004"/>
      <w:bookmarkStart w:id="528" w:name="_Toc7565"/>
      <w:bookmarkStart w:id="529" w:name="_Toc22402"/>
      <w:r>
        <w:rPr>
          <w:rFonts w:hint="eastAsia" w:ascii="宋体" w:hAnsi="宋体" w:eastAsia="宋体" w:cs="宋体"/>
          <w:b/>
          <w:bCs/>
          <w:color w:val="auto"/>
          <w:sz w:val="20"/>
          <w:szCs w:val="20"/>
          <w:highlight w:val="none"/>
          <w:lang w:val="en-US" w:eastAsia="zh-CN"/>
        </w:rPr>
        <w:t>1.1项目服务标准</w:t>
      </w:r>
      <w:bookmarkEnd w:id="522"/>
      <w:bookmarkEnd w:id="523"/>
      <w:bookmarkEnd w:id="524"/>
      <w:bookmarkEnd w:id="525"/>
      <w:bookmarkEnd w:id="526"/>
      <w:bookmarkEnd w:id="527"/>
      <w:bookmarkEnd w:id="528"/>
      <w:bookmarkEnd w:id="529"/>
    </w:p>
    <w:p w14:paraId="3BFFE649">
      <w:pPr>
        <w:spacing w:line="560" w:lineRule="exact"/>
        <w:ind w:firstLine="400" w:firstLineChars="200"/>
        <w:rPr>
          <w:rFonts w:hint="default" w:eastAsiaTheme="minorEastAsia"/>
          <w:color w:val="auto"/>
          <w:sz w:val="20"/>
          <w:szCs w:val="20"/>
          <w:highlight w:val="none"/>
          <w:lang w:val="en-US" w:eastAsia="zh-CN"/>
        </w:rPr>
      </w:pPr>
      <w:r>
        <w:rPr>
          <w:rFonts w:hint="eastAsia"/>
          <w:color w:val="auto"/>
          <w:sz w:val="20"/>
          <w:szCs w:val="20"/>
          <w:highlight w:val="none"/>
        </w:rPr>
        <w:t>服务商在提供消防系统维保服务时，需按照如下标准执行，要求所用标准必须为最新版本，如果这些标准有矛盾时，应按最高标准的条款执行或按双方商定的标准执行。此外，如果在合同执行期间国家颁布新的标准时，应按最新的条款执行。</w:t>
      </w:r>
      <w:r>
        <w:rPr>
          <w:rFonts w:hint="eastAsia"/>
          <w:color w:val="auto"/>
          <w:sz w:val="20"/>
          <w:szCs w:val="20"/>
          <w:highlight w:val="none"/>
          <w:lang w:val="en-US" w:eastAsia="zh-CN"/>
        </w:rPr>
        <w:t>详细如下：</w:t>
      </w:r>
    </w:p>
    <w:tbl>
      <w:tblPr>
        <w:tblStyle w:val="15"/>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3"/>
        <w:gridCol w:w="7093"/>
      </w:tblGrid>
      <w:tr w14:paraId="7B67B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blHeader/>
          <w:jc w:val="center"/>
        </w:trPr>
        <w:tc>
          <w:tcPr>
            <w:tcW w:w="1243" w:type="dxa"/>
            <w:shd w:val="clear" w:color="auto" w:fill="auto"/>
            <w:noWrap/>
            <w:vAlign w:val="center"/>
          </w:tcPr>
          <w:p w14:paraId="623A22A2">
            <w:pPr>
              <w:widowControl/>
              <w:spacing w:line="240" w:lineRule="auto"/>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序号</w:t>
            </w:r>
          </w:p>
        </w:tc>
        <w:tc>
          <w:tcPr>
            <w:tcW w:w="7093" w:type="dxa"/>
            <w:shd w:val="clear" w:color="auto" w:fill="auto"/>
            <w:noWrap/>
            <w:vAlign w:val="center"/>
          </w:tcPr>
          <w:p w14:paraId="7CE917B9">
            <w:pPr>
              <w:widowControl/>
              <w:spacing w:line="240" w:lineRule="auto"/>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相关标准</w:t>
            </w:r>
          </w:p>
        </w:tc>
      </w:tr>
      <w:tr w14:paraId="4027D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7FFC5224">
            <w:pPr>
              <w:widowControl/>
              <w:spacing w:line="240" w:lineRule="auto"/>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7093" w:type="dxa"/>
            <w:shd w:val="clear" w:color="auto" w:fill="auto"/>
            <w:noWrap/>
            <w:vAlign w:val="center"/>
          </w:tcPr>
          <w:p w14:paraId="7F645612">
            <w:pPr>
              <w:widowControl/>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《中华人民共和国消防法》</w:t>
            </w:r>
          </w:p>
        </w:tc>
      </w:tr>
      <w:tr w14:paraId="0FFAD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30FD93AA">
            <w:pPr>
              <w:widowControl/>
              <w:spacing w:line="240"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w:t>
            </w:r>
          </w:p>
        </w:tc>
        <w:tc>
          <w:tcPr>
            <w:tcW w:w="7093" w:type="dxa"/>
            <w:shd w:val="clear" w:color="auto" w:fill="auto"/>
            <w:noWrap/>
            <w:vAlign w:val="center"/>
          </w:tcPr>
          <w:p w14:paraId="4C6F5C81">
            <w:pPr>
              <w:widowControl/>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《社会消防技术服务管理规定》</w:t>
            </w:r>
          </w:p>
        </w:tc>
      </w:tr>
      <w:tr w14:paraId="52FE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382D2CFF">
            <w:pPr>
              <w:widowControl/>
              <w:spacing w:line="240" w:lineRule="auto"/>
              <w:jc w:val="center"/>
              <w:textAlignment w:val="center"/>
              <w:rPr>
                <w:rFonts w:hint="eastAsia" w:ascii="宋体" w:hAnsi="宋体" w:eastAsia="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val="en-US" w:eastAsia="zh-CN" w:bidi="ar"/>
              </w:rPr>
              <w:t>3</w:t>
            </w:r>
          </w:p>
        </w:tc>
        <w:tc>
          <w:tcPr>
            <w:tcW w:w="7093" w:type="dxa"/>
            <w:shd w:val="clear" w:color="auto" w:fill="auto"/>
            <w:noWrap/>
            <w:vAlign w:val="center"/>
          </w:tcPr>
          <w:p w14:paraId="2A7A5C1F">
            <w:pPr>
              <w:widowControl/>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《广西消防技术服务机构临时资质管理暂行办法》桂公消 [2017] 19号</w:t>
            </w:r>
          </w:p>
        </w:tc>
      </w:tr>
      <w:tr w14:paraId="1812A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6C31B85C">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4</w:t>
            </w:r>
          </w:p>
        </w:tc>
        <w:tc>
          <w:tcPr>
            <w:tcW w:w="7093" w:type="dxa"/>
            <w:shd w:val="clear" w:color="auto" w:fill="auto"/>
            <w:noWrap/>
            <w:vAlign w:val="center"/>
          </w:tcPr>
          <w:p w14:paraId="25BF29E2">
            <w:pPr>
              <w:widowControl/>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GB25201-2010《建筑消防设施的维护管理》</w:t>
            </w:r>
          </w:p>
        </w:tc>
      </w:tr>
      <w:tr w14:paraId="32264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7FD3D9D1">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5</w:t>
            </w:r>
          </w:p>
        </w:tc>
        <w:tc>
          <w:tcPr>
            <w:tcW w:w="7093" w:type="dxa"/>
            <w:shd w:val="clear" w:color="auto" w:fill="auto"/>
            <w:noWrap/>
            <w:vAlign w:val="center"/>
          </w:tcPr>
          <w:p w14:paraId="28AD5A6D">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GB50166-2019《火灾自动报警系统施工及验收规范》</w:t>
            </w:r>
          </w:p>
        </w:tc>
      </w:tr>
      <w:tr w14:paraId="3F289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243" w:type="dxa"/>
            <w:shd w:val="clear" w:color="auto" w:fill="auto"/>
            <w:noWrap/>
            <w:vAlign w:val="center"/>
          </w:tcPr>
          <w:p w14:paraId="23D839FD">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6</w:t>
            </w:r>
          </w:p>
        </w:tc>
        <w:tc>
          <w:tcPr>
            <w:tcW w:w="7093" w:type="dxa"/>
            <w:shd w:val="clear" w:color="auto" w:fill="auto"/>
            <w:noWrap/>
            <w:vAlign w:val="center"/>
          </w:tcPr>
          <w:p w14:paraId="0B6D2A03">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GB50084-2017《自动喷水灭火系统设计规范》</w:t>
            </w:r>
          </w:p>
        </w:tc>
      </w:tr>
      <w:tr w14:paraId="06037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43" w:type="dxa"/>
            <w:shd w:val="clear" w:color="auto" w:fill="auto"/>
            <w:noWrap/>
            <w:vAlign w:val="center"/>
          </w:tcPr>
          <w:p w14:paraId="77B5A871">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7</w:t>
            </w:r>
          </w:p>
        </w:tc>
        <w:tc>
          <w:tcPr>
            <w:tcW w:w="7093" w:type="dxa"/>
            <w:shd w:val="clear" w:color="auto" w:fill="auto"/>
            <w:noWrap/>
            <w:vAlign w:val="center"/>
          </w:tcPr>
          <w:p w14:paraId="2DD9C7B3">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GB50261-2017《自动喷水灭火系统施工及验收规范》</w:t>
            </w:r>
          </w:p>
        </w:tc>
      </w:tr>
      <w:tr w14:paraId="59375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3A8B805B">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8</w:t>
            </w:r>
          </w:p>
        </w:tc>
        <w:tc>
          <w:tcPr>
            <w:tcW w:w="7093" w:type="dxa"/>
            <w:shd w:val="clear" w:color="auto" w:fill="auto"/>
            <w:noWrap/>
            <w:vAlign w:val="center"/>
          </w:tcPr>
          <w:p w14:paraId="592F2139">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GB50370-2005《气体灭火系统设计规范》</w:t>
            </w:r>
          </w:p>
        </w:tc>
      </w:tr>
      <w:tr w14:paraId="37F1D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213F8085">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9</w:t>
            </w:r>
          </w:p>
        </w:tc>
        <w:tc>
          <w:tcPr>
            <w:tcW w:w="7093" w:type="dxa"/>
            <w:shd w:val="clear" w:color="auto" w:fill="auto"/>
            <w:noWrap/>
            <w:vAlign w:val="center"/>
          </w:tcPr>
          <w:p w14:paraId="13BE433B">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GB50016-2014《建筑设计防火规范》</w:t>
            </w:r>
          </w:p>
        </w:tc>
      </w:tr>
      <w:tr w14:paraId="51CDF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204807AC">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10</w:t>
            </w:r>
          </w:p>
        </w:tc>
        <w:tc>
          <w:tcPr>
            <w:tcW w:w="7093" w:type="dxa"/>
            <w:shd w:val="clear" w:color="auto" w:fill="auto"/>
            <w:noWrap/>
            <w:vAlign w:val="center"/>
          </w:tcPr>
          <w:p w14:paraId="0CCD6F14">
            <w:pPr>
              <w:widowControl/>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GB51251-2017《建筑防烟排烟系统技术标准》</w:t>
            </w:r>
          </w:p>
        </w:tc>
      </w:tr>
      <w:tr w14:paraId="077A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12CDE9C1">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11</w:t>
            </w:r>
          </w:p>
        </w:tc>
        <w:tc>
          <w:tcPr>
            <w:tcW w:w="7093" w:type="dxa"/>
            <w:shd w:val="clear" w:color="auto" w:fill="auto"/>
            <w:noWrap/>
            <w:vAlign w:val="center"/>
          </w:tcPr>
          <w:p w14:paraId="3F799CCE">
            <w:pPr>
              <w:widowControl/>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GB50974-2014《消防给水及消火栓系统技术规范》</w:t>
            </w:r>
          </w:p>
        </w:tc>
      </w:tr>
      <w:tr w14:paraId="2086E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7A55E13E">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12</w:t>
            </w:r>
          </w:p>
        </w:tc>
        <w:tc>
          <w:tcPr>
            <w:tcW w:w="7093" w:type="dxa"/>
            <w:shd w:val="clear" w:color="auto" w:fill="auto"/>
            <w:noWrap/>
            <w:vAlign w:val="center"/>
          </w:tcPr>
          <w:p w14:paraId="57F437EF">
            <w:pPr>
              <w:widowControl/>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GB/T 14194-2017《压缩气体气瓶充装规定》</w:t>
            </w:r>
          </w:p>
        </w:tc>
      </w:tr>
      <w:tr w14:paraId="1948A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4001F0B3">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13</w:t>
            </w:r>
          </w:p>
        </w:tc>
        <w:tc>
          <w:tcPr>
            <w:tcW w:w="7093" w:type="dxa"/>
            <w:shd w:val="clear" w:color="auto" w:fill="auto"/>
            <w:noWrap/>
            <w:vAlign w:val="center"/>
          </w:tcPr>
          <w:p w14:paraId="638D0E02">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GB25972-2010《气体灭火系统及部件》</w:t>
            </w:r>
          </w:p>
        </w:tc>
      </w:tr>
      <w:tr w14:paraId="7096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48625A45">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14</w:t>
            </w:r>
          </w:p>
        </w:tc>
        <w:tc>
          <w:tcPr>
            <w:tcW w:w="7093" w:type="dxa"/>
            <w:shd w:val="clear" w:color="auto" w:fill="auto"/>
            <w:noWrap/>
            <w:vAlign w:val="center"/>
          </w:tcPr>
          <w:p w14:paraId="39BFC7C2">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TSG23-2021《气瓶安全技术规程》</w:t>
            </w:r>
          </w:p>
        </w:tc>
      </w:tr>
      <w:tr w14:paraId="0775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2B5B419A">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15</w:t>
            </w:r>
          </w:p>
        </w:tc>
        <w:tc>
          <w:tcPr>
            <w:tcW w:w="7093" w:type="dxa"/>
            <w:shd w:val="clear" w:color="auto" w:fill="auto"/>
            <w:noWrap/>
            <w:vAlign w:val="center"/>
          </w:tcPr>
          <w:p w14:paraId="7938FB09">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GB50263-2007《气体灭火系统施工及验收规范》</w:t>
            </w:r>
          </w:p>
        </w:tc>
      </w:tr>
      <w:tr w14:paraId="4DE3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55E01918">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16</w:t>
            </w:r>
          </w:p>
        </w:tc>
        <w:tc>
          <w:tcPr>
            <w:tcW w:w="7093" w:type="dxa"/>
            <w:shd w:val="clear" w:color="auto" w:fill="auto"/>
            <w:noWrap/>
            <w:vAlign w:val="center"/>
          </w:tcPr>
          <w:p w14:paraId="7680AEDD">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GB50444-2008《建筑灭火器配置验收及检查规范》</w:t>
            </w:r>
          </w:p>
        </w:tc>
      </w:tr>
      <w:tr w14:paraId="51581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2497669E">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17</w:t>
            </w:r>
          </w:p>
        </w:tc>
        <w:tc>
          <w:tcPr>
            <w:tcW w:w="7093" w:type="dxa"/>
            <w:shd w:val="clear" w:color="auto" w:fill="auto"/>
            <w:noWrap/>
            <w:vAlign w:val="center"/>
          </w:tcPr>
          <w:p w14:paraId="15C52DB0">
            <w:pPr>
              <w:widowControl/>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GB15630-1995《消防安全标志设置要求》</w:t>
            </w:r>
          </w:p>
        </w:tc>
      </w:tr>
      <w:tr w14:paraId="557E3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7E7C4492">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18</w:t>
            </w:r>
          </w:p>
        </w:tc>
        <w:tc>
          <w:tcPr>
            <w:tcW w:w="7093" w:type="dxa"/>
            <w:shd w:val="clear" w:color="auto" w:fill="auto"/>
            <w:noWrap/>
            <w:vAlign w:val="center"/>
          </w:tcPr>
          <w:p w14:paraId="7EB8EE17">
            <w:pPr>
              <w:widowControl/>
              <w:spacing w:line="240"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GA503-2004《建筑消防设施检测技术规程》</w:t>
            </w:r>
          </w:p>
        </w:tc>
      </w:tr>
      <w:tr w14:paraId="5034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5568DFAD">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19</w:t>
            </w:r>
          </w:p>
        </w:tc>
        <w:tc>
          <w:tcPr>
            <w:tcW w:w="7093" w:type="dxa"/>
            <w:shd w:val="clear" w:color="auto" w:fill="auto"/>
            <w:noWrap/>
            <w:vAlign w:val="center"/>
          </w:tcPr>
          <w:p w14:paraId="2EC1EC47">
            <w:pPr>
              <w:widowControl/>
              <w:spacing w:line="240" w:lineRule="auto"/>
              <w:jc w:val="left"/>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GB4717-2005《火灾报警控制器》</w:t>
            </w:r>
          </w:p>
        </w:tc>
      </w:tr>
      <w:tr w14:paraId="24B5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77F1EBAC">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20</w:t>
            </w:r>
          </w:p>
        </w:tc>
        <w:tc>
          <w:tcPr>
            <w:tcW w:w="7093" w:type="dxa"/>
            <w:shd w:val="clear" w:color="auto" w:fill="auto"/>
            <w:noWrap/>
            <w:vAlign w:val="center"/>
          </w:tcPr>
          <w:p w14:paraId="15233DB9">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GB16806-2006《消防联动控制系统》</w:t>
            </w:r>
          </w:p>
        </w:tc>
      </w:tr>
      <w:tr w14:paraId="2DFEC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28B09D78">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21</w:t>
            </w:r>
          </w:p>
        </w:tc>
        <w:tc>
          <w:tcPr>
            <w:tcW w:w="7093" w:type="dxa"/>
            <w:shd w:val="clear" w:color="auto" w:fill="auto"/>
            <w:noWrap/>
            <w:vAlign w:val="center"/>
          </w:tcPr>
          <w:p w14:paraId="7731252A">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GB17945-2010《消防应急照明和疏散指示系统》</w:t>
            </w:r>
          </w:p>
        </w:tc>
      </w:tr>
      <w:tr w14:paraId="6E32E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67068462">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22</w:t>
            </w:r>
          </w:p>
        </w:tc>
        <w:tc>
          <w:tcPr>
            <w:tcW w:w="7093" w:type="dxa"/>
            <w:shd w:val="clear" w:color="auto" w:fill="auto"/>
            <w:noWrap/>
            <w:vAlign w:val="center"/>
          </w:tcPr>
          <w:p w14:paraId="7A6AF549">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GB14102-2005《防火卷帘》</w:t>
            </w:r>
          </w:p>
        </w:tc>
      </w:tr>
      <w:tr w14:paraId="4EEB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0EB29218">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23</w:t>
            </w:r>
          </w:p>
        </w:tc>
        <w:tc>
          <w:tcPr>
            <w:tcW w:w="7093" w:type="dxa"/>
            <w:shd w:val="clear" w:color="auto" w:fill="auto"/>
            <w:noWrap/>
            <w:vAlign w:val="center"/>
          </w:tcPr>
          <w:p w14:paraId="437CD339">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GB50116-2013《火灾自动报警系统设计规范》</w:t>
            </w:r>
          </w:p>
        </w:tc>
      </w:tr>
      <w:tr w14:paraId="4713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780D1AF5">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24</w:t>
            </w:r>
          </w:p>
        </w:tc>
        <w:tc>
          <w:tcPr>
            <w:tcW w:w="7093" w:type="dxa"/>
            <w:shd w:val="clear" w:color="auto" w:fill="auto"/>
            <w:noWrap/>
            <w:vAlign w:val="center"/>
          </w:tcPr>
          <w:p w14:paraId="2797AA58">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GB50015-2019《建筑给水排水设计标准》</w:t>
            </w:r>
          </w:p>
        </w:tc>
      </w:tr>
      <w:tr w14:paraId="4433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17B2ED42">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25</w:t>
            </w:r>
          </w:p>
        </w:tc>
        <w:tc>
          <w:tcPr>
            <w:tcW w:w="7093" w:type="dxa"/>
            <w:shd w:val="clear" w:color="auto" w:fill="auto"/>
            <w:noWrap/>
            <w:vAlign w:val="center"/>
          </w:tcPr>
          <w:p w14:paraId="50D1125A">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GB50275-2010《风机、压缩机、泵安装工程施工及验收规范》</w:t>
            </w:r>
          </w:p>
        </w:tc>
      </w:tr>
      <w:tr w14:paraId="66AAA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6085F3BE">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26</w:t>
            </w:r>
          </w:p>
        </w:tc>
        <w:tc>
          <w:tcPr>
            <w:tcW w:w="7093" w:type="dxa"/>
            <w:shd w:val="clear" w:color="auto" w:fill="auto"/>
            <w:noWrap/>
            <w:vAlign w:val="center"/>
          </w:tcPr>
          <w:p w14:paraId="140EBF78">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GB50171-2012《电气装置安装工程盘、柜及二次回路接线施工及验收规范》</w:t>
            </w:r>
          </w:p>
        </w:tc>
      </w:tr>
      <w:tr w14:paraId="0335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0494BCF1">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27</w:t>
            </w:r>
          </w:p>
        </w:tc>
        <w:tc>
          <w:tcPr>
            <w:tcW w:w="7093" w:type="dxa"/>
            <w:shd w:val="clear" w:color="auto" w:fill="auto"/>
            <w:noWrap/>
            <w:vAlign w:val="center"/>
          </w:tcPr>
          <w:p w14:paraId="427CFACA">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2019最新《建筑给水排水及采暖工程施工质量验收规范》GB50242</w:t>
            </w:r>
          </w:p>
        </w:tc>
      </w:tr>
      <w:tr w14:paraId="4A34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3BE617CB">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28</w:t>
            </w:r>
          </w:p>
        </w:tc>
        <w:tc>
          <w:tcPr>
            <w:tcW w:w="7093" w:type="dxa"/>
            <w:shd w:val="clear" w:color="auto" w:fill="auto"/>
            <w:noWrap/>
            <w:vAlign w:val="center"/>
          </w:tcPr>
          <w:p w14:paraId="072E0C42">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GB50219-2014《水喷雾灭火系统设计规范》</w:t>
            </w:r>
          </w:p>
        </w:tc>
      </w:tr>
      <w:tr w14:paraId="3766D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33580548">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29</w:t>
            </w:r>
          </w:p>
        </w:tc>
        <w:tc>
          <w:tcPr>
            <w:tcW w:w="7093" w:type="dxa"/>
            <w:shd w:val="clear" w:color="auto" w:fill="auto"/>
            <w:noWrap/>
            <w:vAlign w:val="center"/>
          </w:tcPr>
          <w:p w14:paraId="2C1F2CED">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GB/T 25203-2010 《消防监督技术装备配备》</w:t>
            </w:r>
          </w:p>
        </w:tc>
      </w:tr>
      <w:tr w14:paraId="33DC5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11C802D3">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30</w:t>
            </w:r>
          </w:p>
        </w:tc>
        <w:tc>
          <w:tcPr>
            <w:tcW w:w="7093" w:type="dxa"/>
            <w:shd w:val="clear" w:color="auto" w:fill="auto"/>
            <w:noWrap/>
            <w:vAlign w:val="center"/>
          </w:tcPr>
          <w:p w14:paraId="16E5886E">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GB50229-2019《火力发电厂与变电站设计防火规范》</w:t>
            </w:r>
          </w:p>
        </w:tc>
      </w:tr>
      <w:tr w14:paraId="1645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43" w:type="dxa"/>
            <w:shd w:val="clear" w:color="auto" w:fill="auto"/>
            <w:noWrap/>
            <w:vAlign w:val="center"/>
          </w:tcPr>
          <w:p w14:paraId="3F761DF9">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31</w:t>
            </w:r>
          </w:p>
        </w:tc>
        <w:tc>
          <w:tcPr>
            <w:tcW w:w="7093" w:type="dxa"/>
            <w:shd w:val="clear" w:color="auto" w:fill="auto"/>
            <w:noWrap/>
            <w:vAlign w:val="center"/>
          </w:tcPr>
          <w:p w14:paraId="3ED4F2D4">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GB17429-2011《火灾显示盘》</w:t>
            </w:r>
          </w:p>
        </w:tc>
      </w:tr>
      <w:tr w14:paraId="168C7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474E7DC5">
            <w:pPr>
              <w:widowControl/>
              <w:spacing w:line="240" w:lineRule="auto"/>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32</w:t>
            </w:r>
          </w:p>
        </w:tc>
        <w:tc>
          <w:tcPr>
            <w:tcW w:w="7093" w:type="dxa"/>
            <w:shd w:val="clear" w:color="auto" w:fill="auto"/>
            <w:noWrap/>
            <w:vAlign w:val="center"/>
          </w:tcPr>
          <w:p w14:paraId="5D08DA4B">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GB50281-2006《泡沫灭火系统施工及验收规范》</w:t>
            </w:r>
          </w:p>
        </w:tc>
      </w:tr>
      <w:tr w14:paraId="2D7BF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1243" w:type="dxa"/>
            <w:shd w:val="clear" w:color="auto" w:fill="auto"/>
            <w:noWrap/>
            <w:vAlign w:val="center"/>
          </w:tcPr>
          <w:p w14:paraId="2ADEB4CC">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33</w:t>
            </w:r>
          </w:p>
        </w:tc>
        <w:tc>
          <w:tcPr>
            <w:tcW w:w="7093" w:type="dxa"/>
            <w:shd w:val="clear" w:color="auto" w:fill="auto"/>
            <w:noWrap/>
            <w:vAlign w:val="center"/>
          </w:tcPr>
          <w:p w14:paraId="0F764E02">
            <w:pPr>
              <w:widowControl/>
              <w:spacing w:line="240" w:lineRule="auto"/>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CECS187 2005《油浸变压器排油注氮灭火装置技术规程》</w:t>
            </w:r>
          </w:p>
        </w:tc>
      </w:tr>
      <w:tr w14:paraId="5A04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43" w:type="dxa"/>
            <w:shd w:val="clear" w:color="auto" w:fill="auto"/>
            <w:noWrap/>
            <w:vAlign w:val="center"/>
          </w:tcPr>
          <w:p w14:paraId="2D25BA8E">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34</w:t>
            </w:r>
          </w:p>
        </w:tc>
        <w:tc>
          <w:tcPr>
            <w:tcW w:w="7093" w:type="dxa"/>
            <w:shd w:val="clear" w:color="auto" w:fill="auto"/>
            <w:noWrap/>
            <w:vAlign w:val="center"/>
          </w:tcPr>
          <w:p w14:paraId="606C3345">
            <w:pPr>
              <w:pStyle w:val="4"/>
              <w:shd w:val="clear" w:color="auto" w:fill="FFFFFF"/>
              <w:spacing w:before="0" w:beforeAutospacing="0" w:after="0" w:afterAutospacing="0" w:line="240" w:lineRule="auto"/>
              <w:jc w:val="left"/>
              <w:rPr>
                <w:rFonts w:hint="eastAsia" w:ascii="宋体" w:hAnsi="宋体" w:eastAsia="宋体" w:cs="宋体"/>
                <w:b w:val="0"/>
                <w:bCs w:val="0"/>
                <w:color w:val="auto"/>
                <w:kern w:val="0"/>
                <w:sz w:val="20"/>
                <w:szCs w:val="20"/>
                <w:highlight w:val="none"/>
                <w:lang w:bidi="ar"/>
              </w:rPr>
            </w:pPr>
            <w:bookmarkStart w:id="530" w:name="_Toc32210"/>
            <w:bookmarkStart w:id="531" w:name="_Toc31507"/>
            <w:bookmarkStart w:id="532" w:name="_Toc16432"/>
            <w:bookmarkStart w:id="533" w:name="_Toc9931"/>
            <w:bookmarkStart w:id="534" w:name="_Toc19752"/>
            <w:bookmarkStart w:id="535" w:name="_Toc32672"/>
            <w:bookmarkStart w:id="536" w:name="_Toc29128"/>
            <w:bookmarkStart w:id="537" w:name="_Toc14160"/>
            <w:bookmarkStart w:id="538" w:name="_Toc17479"/>
            <w:r>
              <w:rPr>
                <w:rFonts w:hint="eastAsia" w:ascii="宋体" w:hAnsi="宋体" w:eastAsia="宋体" w:cs="宋体"/>
                <w:b w:val="0"/>
                <w:bCs w:val="0"/>
                <w:color w:val="auto"/>
                <w:kern w:val="0"/>
                <w:sz w:val="20"/>
                <w:szCs w:val="20"/>
                <w:highlight w:val="none"/>
                <w:lang w:bidi="ar"/>
              </w:rPr>
              <w:t>DL5027-2015 《电力设备典型消防规程》</w:t>
            </w:r>
            <w:bookmarkEnd w:id="530"/>
            <w:bookmarkEnd w:id="531"/>
            <w:bookmarkEnd w:id="532"/>
            <w:bookmarkEnd w:id="533"/>
            <w:bookmarkEnd w:id="534"/>
            <w:bookmarkEnd w:id="535"/>
            <w:bookmarkEnd w:id="536"/>
            <w:bookmarkEnd w:id="537"/>
            <w:bookmarkEnd w:id="538"/>
          </w:p>
        </w:tc>
      </w:tr>
    </w:tbl>
    <w:p w14:paraId="02859223">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lang w:val="en-US" w:eastAsia="zh-CN"/>
        </w:rPr>
      </w:pPr>
      <w:bookmarkStart w:id="539" w:name="_Toc2604"/>
      <w:bookmarkStart w:id="540" w:name="_Toc4493"/>
      <w:bookmarkStart w:id="541" w:name="_Toc9771"/>
      <w:bookmarkStart w:id="542" w:name="_Toc15781"/>
      <w:bookmarkStart w:id="543" w:name="_Toc13366"/>
      <w:bookmarkStart w:id="544" w:name="_Toc28198"/>
      <w:bookmarkStart w:id="545" w:name="_Toc28378"/>
      <w:bookmarkStart w:id="546" w:name="_Toc9600"/>
      <w:r>
        <w:rPr>
          <w:rFonts w:hint="eastAsia" w:ascii="宋体" w:hAnsi="宋体" w:eastAsia="宋体" w:cs="宋体"/>
          <w:b/>
          <w:bCs/>
          <w:color w:val="auto"/>
          <w:sz w:val="20"/>
          <w:szCs w:val="20"/>
          <w:highlight w:val="none"/>
          <w:lang w:val="en-US" w:eastAsia="zh-CN"/>
        </w:rPr>
        <w:t>1.2项目服务要求</w:t>
      </w:r>
      <w:bookmarkEnd w:id="539"/>
      <w:bookmarkEnd w:id="540"/>
      <w:bookmarkEnd w:id="541"/>
      <w:bookmarkEnd w:id="542"/>
      <w:bookmarkEnd w:id="543"/>
      <w:bookmarkEnd w:id="544"/>
      <w:bookmarkEnd w:id="545"/>
      <w:bookmarkEnd w:id="546"/>
    </w:p>
    <w:p w14:paraId="0265597B">
      <w:pPr>
        <w:spacing w:line="560" w:lineRule="exact"/>
        <w:ind w:firstLine="400" w:firstLineChars="200"/>
        <w:rPr>
          <w:rFonts w:ascii="宋体" w:hAnsi="宋体"/>
          <w:color w:val="auto"/>
          <w:sz w:val="20"/>
          <w:szCs w:val="20"/>
          <w:highlight w:val="none"/>
        </w:rPr>
      </w:pPr>
      <w:r>
        <w:rPr>
          <w:rFonts w:hint="eastAsia" w:ascii="宋体" w:hAnsi="宋体" w:eastAsia="宋体" w:cs="宋体"/>
          <w:b w:val="0"/>
          <w:bCs w:val="0"/>
          <w:color w:val="auto"/>
          <w:sz w:val="20"/>
          <w:szCs w:val="20"/>
          <w:highlight w:val="none"/>
          <w:lang w:val="en-US" w:eastAsia="zh-CN"/>
        </w:rPr>
        <w:t>1.2.1</w:t>
      </w:r>
      <w:r>
        <w:rPr>
          <w:rFonts w:hint="eastAsia" w:ascii="宋体" w:hAnsi="宋体"/>
          <w:color w:val="auto"/>
          <w:sz w:val="20"/>
          <w:szCs w:val="20"/>
          <w:highlight w:val="none"/>
        </w:rPr>
        <w:t>合同实施前，服务商需对采购方整体消防系统运行状况进行全面摸查，根据摸查情况，针对消防系统维保服务项目，需指派专人进行对接，熟悉和了解采购方消防系统构成。</w:t>
      </w:r>
    </w:p>
    <w:p w14:paraId="55C55A78">
      <w:pPr>
        <w:spacing w:line="560" w:lineRule="exact"/>
        <w:ind w:firstLine="400" w:firstLineChars="200"/>
        <w:rPr>
          <w:rFonts w:ascii="宋体" w:hAnsi="宋体"/>
          <w:color w:val="auto"/>
          <w:sz w:val="20"/>
          <w:szCs w:val="20"/>
          <w:highlight w:val="none"/>
        </w:rPr>
      </w:pPr>
      <w:r>
        <w:rPr>
          <w:rFonts w:hint="eastAsia" w:ascii="宋体" w:hAnsi="宋体"/>
          <w:color w:val="auto"/>
          <w:sz w:val="20"/>
          <w:szCs w:val="20"/>
          <w:highlight w:val="none"/>
          <w:lang w:val="en-US" w:eastAsia="zh-CN"/>
        </w:rPr>
        <w:t>1.2.2</w:t>
      </w:r>
      <w:r>
        <w:rPr>
          <w:rFonts w:hint="eastAsia" w:ascii="宋体" w:hAnsi="宋体"/>
          <w:color w:val="auto"/>
          <w:sz w:val="20"/>
          <w:szCs w:val="20"/>
          <w:highlight w:val="none"/>
        </w:rPr>
        <w:t>为保证消防系统正常有效运转，</w:t>
      </w:r>
      <w:r>
        <w:rPr>
          <w:rFonts w:hint="eastAsia" w:ascii="宋体" w:hAnsi="宋体" w:eastAsia="宋体" w:cs="宋体"/>
          <w:bCs/>
          <w:color w:val="auto"/>
          <w:sz w:val="20"/>
          <w:szCs w:val="20"/>
          <w:highlight w:val="none"/>
        </w:rPr>
        <w:t>服务商必须按照采购方的要求执行</w:t>
      </w:r>
      <w:r>
        <w:rPr>
          <w:rFonts w:hint="eastAsia" w:ascii="宋体" w:hAnsi="宋体"/>
          <w:color w:val="auto"/>
          <w:sz w:val="20"/>
          <w:szCs w:val="20"/>
          <w:highlight w:val="none"/>
        </w:rPr>
        <w:t>，消防系统维保的周期由双方共同约定。</w:t>
      </w:r>
    </w:p>
    <w:p w14:paraId="7ED79F03">
      <w:pPr>
        <w:spacing w:line="560" w:lineRule="exact"/>
        <w:ind w:firstLine="400" w:firstLineChars="200"/>
        <w:rPr>
          <w:rFonts w:ascii="宋体" w:hAnsi="宋体"/>
          <w:color w:val="auto"/>
          <w:sz w:val="20"/>
          <w:szCs w:val="20"/>
          <w:highlight w:val="none"/>
        </w:rPr>
      </w:pPr>
      <w:r>
        <w:rPr>
          <w:rFonts w:hint="eastAsia" w:ascii="宋体" w:hAnsi="宋体"/>
          <w:color w:val="auto"/>
          <w:sz w:val="20"/>
          <w:szCs w:val="20"/>
          <w:highlight w:val="none"/>
          <w:lang w:val="en-US" w:eastAsia="zh-CN"/>
        </w:rPr>
        <w:t>1.2.3</w:t>
      </w:r>
      <w:r>
        <w:rPr>
          <w:rFonts w:hint="eastAsia" w:ascii="宋体" w:hAnsi="宋体" w:eastAsia="宋体" w:cs="宋体"/>
          <w:color w:val="auto"/>
          <w:sz w:val="20"/>
          <w:szCs w:val="20"/>
          <w:highlight w:val="none"/>
        </w:rPr>
        <w:t>服务商在日常开展保养发现故障隐患时，应向采购方报告并提出专业整改建议和意见。并且，服务商必须根据维护保养内容的要求，制定具体量化计划，严格按照计划组织实施，并作好设备检查记录，列明系统设施设备的运行情况、故障原因、处理结果。每月底向采购方提供盖有服务商公章的建筑消防设施维护保养报告。</w:t>
      </w:r>
    </w:p>
    <w:p w14:paraId="5010A7BE">
      <w:pPr>
        <w:spacing w:line="560" w:lineRule="exact"/>
        <w:ind w:firstLine="400" w:firstLineChars="200"/>
        <w:rPr>
          <w:rFonts w:ascii="宋体" w:hAnsi="宋体"/>
          <w:color w:val="auto"/>
          <w:sz w:val="20"/>
          <w:szCs w:val="20"/>
          <w:highlight w:val="none"/>
        </w:rPr>
      </w:pPr>
      <w:r>
        <w:rPr>
          <w:rFonts w:hint="eastAsia" w:ascii="宋体" w:hAnsi="宋体"/>
          <w:color w:val="auto"/>
          <w:sz w:val="20"/>
          <w:szCs w:val="20"/>
          <w:highlight w:val="none"/>
          <w:lang w:val="en-US" w:eastAsia="zh-CN"/>
        </w:rPr>
        <w:t>1.2.4</w:t>
      </w:r>
      <w:r>
        <w:rPr>
          <w:rFonts w:hint="eastAsia" w:ascii="宋体" w:hAnsi="宋体"/>
          <w:color w:val="auto"/>
          <w:sz w:val="20"/>
          <w:szCs w:val="20"/>
          <w:highlight w:val="none"/>
        </w:rPr>
        <w:t>服务商</w:t>
      </w:r>
      <w:r>
        <w:rPr>
          <w:rFonts w:hint="eastAsia" w:ascii="宋体" w:hAnsi="宋体" w:eastAsia="宋体" w:cs="宋体"/>
          <w:color w:val="auto"/>
          <w:sz w:val="20"/>
          <w:szCs w:val="20"/>
          <w:highlight w:val="none"/>
        </w:rPr>
        <w:t>在保养时发现</w:t>
      </w:r>
      <w:r>
        <w:rPr>
          <w:rFonts w:hint="eastAsia" w:ascii="宋体" w:hAnsi="宋体"/>
          <w:color w:val="auto"/>
          <w:sz w:val="20"/>
          <w:szCs w:val="20"/>
          <w:highlight w:val="none"/>
        </w:rPr>
        <w:t>消防设备、管道、阀门出现了污染、腐蚀生锈等现象，根据采购方要求进行清洁、除锈、润滑、油漆。</w:t>
      </w:r>
    </w:p>
    <w:p w14:paraId="659F2E79">
      <w:pPr>
        <w:spacing w:line="560" w:lineRule="exact"/>
        <w:ind w:firstLine="400" w:firstLineChars="200"/>
        <w:rPr>
          <w:rFonts w:ascii="宋体" w:hAnsi="宋体"/>
          <w:color w:val="auto"/>
          <w:sz w:val="20"/>
          <w:szCs w:val="20"/>
          <w:highlight w:val="none"/>
        </w:rPr>
      </w:pPr>
      <w:r>
        <w:rPr>
          <w:rFonts w:hint="eastAsia" w:ascii="宋体" w:hAnsi="宋体"/>
          <w:color w:val="auto"/>
          <w:sz w:val="20"/>
          <w:szCs w:val="20"/>
          <w:highlight w:val="none"/>
          <w:lang w:val="en-US" w:eastAsia="zh-CN"/>
        </w:rPr>
        <w:t>1.2.5</w:t>
      </w:r>
      <w:r>
        <w:rPr>
          <w:rFonts w:hint="eastAsia" w:ascii="宋体" w:hAnsi="宋体"/>
          <w:color w:val="auto"/>
          <w:sz w:val="20"/>
          <w:szCs w:val="20"/>
          <w:highlight w:val="none"/>
        </w:rPr>
        <w:t>服务商提供24小时的故障接受渠道（热线电话、微信、传真、电子邮件等）。服务商在接到故障报修电话后，必须在1小时内作出响应，并派出专业的技术人员按采购方的时间要求到达现场。在采购方规定的时间内，恢复故障，如果故障在检修24小时后仍无法排除，应与采购协商解决。</w:t>
      </w:r>
    </w:p>
    <w:p w14:paraId="1A43DABF">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1.2.6</w:t>
      </w:r>
      <w:r>
        <w:rPr>
          <w:rFonts w:hint="eastAsia" w:ascii="宋体" w:hAnsi="宋体" w:eastAsia="宋体" w:cs="宋体"/>
          <w:color w:val="auto"/>
          <w:sz w:val="20"/>
          <w:szCs w:val="20"/>
          <w:highlight w:val="none"/>
        </w:rPr>
        <w:t>服务商在提供服务时，不能擅自关停消防设施。检测时发现故障，应及时组织修复。因故障维修等原因需要暂时停用消防系统，应有确保消防安全的有效措施，并经采购方主管部门确认。</w:t>
      </w:r>
    </w:p>
    <w:p w14:paraId="57255965">
      <w:pPr>
        <w:spacing w:line="560" w:lineRule="exact"/>
        <w:ind w:firstLine="400" w:firstLineChars="200"/>
        <w:rPr>
          <w:rFonts w:ascii="宋体" w:hAnsi="宋体" w:eastAsia="宋体" w:cs="宋体"/>
          <w:color w:val="auto"/>
          <w:sz w:val="20"/>
          <w:szCs w:val="20"/>
          <w:highlight w:val="none"/>
        </w:rPr>
      </w:pPr>
      <w:r>
        <w:rPr>
          <w:rFonts w:hint="eastAsia" w:ascii="宋体" w:hAnsi="宋体"/>
          <w:color w:val="auto"/>
          <w:sz w:val="20"/>
          <w:szCs w:val="20"/>
          <w:highlight w:val="none"/>
          <w:lang w:val="en-US" w:eastAsia="zh-CN"/>
        </w:rPr>
        <w:t>1.2.7</w:t>
      </w:r>
      <w:r>
        <w:rPr>
          <w:rFonts w:hint="eastAsia" w:ascii="宋体" w:hAnsi="宋体" w:eastAsia="宋体" w:cs="宋体"/>
          <w:color w:val="auto"/>
          <w:sz w:val="20"/>
          <w:szCs w:val="20"/>
          <w:highlight w:val="none"/>
        </w:rPr>
        <w:t>服务商在维修、保养过程中对发生损坏的特殊零配件不能及时更换时，服务商应及时向采购方通报，提出计划修复的时间（上述时间应经采购方认可），并严格按计划时间争取尽早修复。</w:t>
      </w:r>
    </w:p>
    <w:p w14:paraId="660B38C7">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1.2.8</w:t>
      </w:r>
      <w:r>
        <w:rPr>
          <w:rFonts w:hint="eastAsia" w:ascii="宋体" w:hAnsi="宋体" w:eastAsia="宋体" w:cs="宋体"/>
          <w:color w:val="auto"/>
          <w:sz w:val="20"/>
          <w:szCs w:val="20"/>
          <w:highlight w:val="none"/>
        </w:rPr>
        <w:t>在服务过程中如发现相关设备设施自身存在危险状态的，服务商应尽快前往修复/维护，同时应作好基本的安全防护措施，以免发生或扩大损失。</w:t>
      </w:r>
    </w:p>
    <w:p w14:paraId="63E3190C">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1.2.9</w:t>
      </w:r>
      <w:r>
        <w:rPr>
          <w:rFonts w:hint="eastAsia" w:ascii="宋体" w:hAnsi="宋体" w:eastAsia="宋体" w:cs="宋体"/>
          <w:color w:val="auto"/>
          <w:sz w:val="20"/>
          <w:szCs w:val="20"/>
          <w:highlight w:val="none"/>
        </w:rPr>
        <w:t>服务商应自行配备工作所需的各种专业工具及设备，并在进场之前由相关专业人员检查合格后可在现场使用。此外，服务商在维修过程中所用零配件应为合格产品，其余辅助材料应符合国家相关技术规范及设备安全使用条例。</w:t>
      </w:r>
    </w:p>
    <w:p w14:paraId="03350C06">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0服务商为维修及更换过的零配件提供的质保期为12个月，自服务商签署确认记录表之日计算。质保期内出现同一问题的，服务商应免费予以维修，且质保期自免费维修后重新计算。</w:t>
      </w:r>
    </w:p>
    <w:p w14:paraId="5496E956">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1在每次巡检和故障维保时，服务商需填写《消防系统维护保养现场记录表》并经采购方值班人员或管理员核实签字认可,作为服务商进行设备维保的重要依据。此外，根据采购方的实际需求，提供消防系统异常情况分析报告。</w:t>
      </w:r>
    </w:p>
    <w:p w14:paraId="4FAFE863">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2服务商负责制定服务范围内消防系统紧急事件的工作预案，经服务商和采购方双方审定后由服务商组织实施；在发生紧急事件或急迫性维修后，服务商须立即委派技术负责人到达现场妥善处理。</w:t>
      </w:r>
    </w:p>
    <w:p w14:paraId="7AD89504">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3服务商应建立规范的档案管理制度，设立专人负责妥善保管和正确使用本合同范围内消防系统的档案资料，并负责及时记载有关变更、维修、保养情况。</w:t>
      </w:r>
    </w:p>
    <w:p w14:paraId="58EEF006">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4服务商加强人员管理，合理安排人员，保障项目工作进度。确因不可抗力影响项目实施，需与采购人协商修订项目实施计划，达成一致后执行。</w:t>
      </w:r>
    </w:p>
    <w:p w14:paraId="02A85B0E">
      <w:pPr>
        <w:spacing w:line="560" w:lineRule="exact"/>
        <w:ind w:firstLine="400" w:firstLineChars="200"/>
        <w:rPr>
          <w:rFonts w:ascii="宋体" w:hAnsi="宋体" w:eastAsia="宋体" w:cs="宋体"/>
          <w:color w:val="auto"/>
          <w:sz w:val="20"/>
          <w:szCs w:val="20"/>
          <w:highlight w:val="none"/>
        </w:rPr>
      </w:pPr>
      <w:r>
        <w:rPr>
          <w:rFonts w:hint="eastAsia" w:ascii="宋体" w:hAnsi="宋体"/>
          <w:color w:val="auto"/>
          <w:sz w:val="20"/>
          <w:szCs w:val="20"/>
          <w:highlight w:val="none"/>
          <w:lang w:val="en-US" w:eastAsia="zh-CN"/>
        </w:rPr>
        <w:t>1.2.1</w:t>
      </w:r>
      <w:r>
        <w:rPr>
          <w:rFonts w:hint="eastAsia" w:ascii="宋体" w:hAnsi="宋体"/>
          <w:color w:val="auto"/>
          <w:sz w:val="20"/>
          <w:szCs w:val="20"/>
          <w:highlight w:val="none"/>
        </w:rPr>
        <w:t>5服务商须配合采购方的专项防火检查、消防安全检查、各单位、相关消防验收并按相关规范提出意见或建议。</w:t>
      </w:r>
    </w:p>
    <w:p w14:paraId="388DB8C6">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6采购方在举办国家重大会议</w:t>
      </w:r>
      <w:r>
        <w:rPr>
          <w:rFonts w:hint="eastAsia" w:ascii="宋体" w:hAnsi="宋体"/>
          <w:color w:val="auto"/>
          <w:sz w:val="20"/>
          <w:szCs w:val="20"/>
          <w:highlight w:val="none"/>
        </w:rPr>
        <w:t>以及特殊保供电、安全演练等重要系统活动时</w:t>
      </w:r>
      <w:r>
        <w:rPr>
          <w:rFonts w:hint="eastAsia" w:ascii="宋体" w:hAnsi="宋体" w:eastAsia="宋体" w:cs="宋体"/>
          <w:color w:val="auto"/>
          <w:sz w:val="20"/>
          <w:szCs w:val="20"/>
          <w:highlight w:val="none"/>
        </w:rPr>
        <w:t>，服务商根据采购需要负责活动前对现场、设备设施进行检查，保证消防系统设备完好,运行正常，无安全隐患，确保设备、设施运行可靠性。活动期间，加强巡检力度，确保设备、设施安全可靠运行。</w:t>
      </w:r>
    </w:p>
    <w:p w14:paraId="6D51CFA8">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7根据采购方的需求提供对应的培训。培训方式包括线上讲解、现场设备的实际操作、系统的实际操作。使采购方相关人员掌握有关监控硬件与平台的日常基础使用、维护和管理方法，达到能独立进行普通日常管理、故障排除、日常测试等基础工作。</w:t>
      </w:r>
    </w:p>
    <w:p w14:paraId="0C11AB3C">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8服务商必须配备专业的维修人员完成本项目，维修人员具有设施设备维修经验并持有法定要求的职业资格证，如一级注册消防工程师证、特种作业操作证（电工）、建（构）筑物消防员证等。</w:t>
      </w:r>
    </w:p>
    <w:p w14:paraId="1870B952">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9服务商应具备足够的可随时调遣的消防系统维保后备人员，以便随时响应采购方的临时工作安排，后备人员具备相应的沟通能力、业务能力和技术能力。</w:t>
      </w:r>
    </w:p>
    <w:p w14:paraId="78AFB50C">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color w:val="auto"/>
          <w:sz w:val="20"/>
          <w:szCs w:val="20"/>
          <w:highlight w:val="none"/>
        </w:rPr>
        <w:t>0服务商必须建立健全严格的安全管理制度，在开展消防系统维保服务工作中严格执行安全管理规定，深刻认识和领会采购方对安全工作的态度和要求，并给予相应的支持和配合。如因非采购方原因导致的安全问题，由服务商承担责任，并按国家法律法规及相关要求进行赔偿。</w:t>
      </w:r>
    </w:p>
    <w:p w14:paraId="64BC6626">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color w:val="auto"/>
          <w:sz w:val="20"/>
          <w:szCs w:val="20"/>
          <w:highlight w:val="none"/>
        </w:rPr>
        <w:t>1在消防系统维保工作期间，服务商应负责落实现场安全防护措施，建立可靠的安全防护措施和明显标志，保证安全作业。而且必须遵循采购方的安全管理，并采取必要的措施保障安全。确保不发生信息安全事件；不发生轻伤及以上人身事故；不发生有责任的设备损坏事故；不发生重大质量事故。</w:t>
      </w:r>
    </w:p>
    <w:p w14:paraId="56E120C3">
      <w:pPr>
        <w:spacing w:line="560" w:lineRule="exact"/>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color w:val="auto"/>
          <w:sz w:val="20"/>
          <w:szCs w:val="20"/>
          <w:highlight w:val="none"/>
        </w:rPr>
        <w:t>2服务商的维修人员应严格遵守有关法律法规和采购人内部规章制度，不得擅自翻阅、复制、传播所接触的资料或数据。并且，服务商须遵守采购方信息保密制度，禁止窥窃采购方任何信息。服务商应与采购方签署保密协议书，并负责约束有关员工的保密工作。如服务商泄露采购方的资料或数据，服务商应全额赔偿采购方的损失。</w:t>
      </w:r>
    </w:p>
    <w:p w14:paraId="53225B99">
      <w:pPr>
        <w:keepNext w:val="0"/>
        <w:spacing w:line="560" w:lineRule="exact"/>
        <w:ind w:firstLine="400" w:firstLineChars="200"/>
        <w:rPr>
          <w:rFonts w:ascii="宋体" w:hAnsi="宋体" w:eastAsia="宋体" w:cs="宋体"/>
          <w:color w:val="auto"/>
          <w:sz w:val="20"/>
          <w:szCs w:val="20"/>
          <w:highlight w:val="yellow"/>
        </w:rPr>
      </w:pPr>
      <w:r>
        <w:rPr>
          <w:rFonts w:hint="eastAsia" w:ascii="宋体" w:hAnsi="宋体" w:eastAsia="宋体" w:cs="宋体"/>
          <w:color w:val="auto"/>
          <w:sz w:val="20"/>
          <w:szCs w:val="20"/>
          <w:highlight w:val="yellow"/>
          <w:lang w:val="en-US" w:eastAsia="zh-CN"/>
        </w:rPr>
        <w:t>1.2.2</w:t>
      </w:r>
      <w:r>
        <w:rPr>
          <w:rFonts w:hint="eastAsia" w:ascii="宋体" w:hAnsi="宋体" w:eastAsia="宋体" w:cs="宋体"/>
          <w:color w:val="auto"/>
          <w:sz w:val="20"/>
          <w:szCs w:val="20"/>
          <w:highlight w:val="yellow"/>
        </w:rPr>
        <w:t>3服务商须建立健全的各项规章制度（包含但不限于安全生产责任及管理制度、质量安全及事故呈报与处理制度、回访制度等）。</w:t>
      </w:r>
    </w:p>
    <w:p w14:paraId="5601B9C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2" w:firstLineChars="200"/>
        <w:textAlignment w:val="auto"/>
        <w:outlineLvl w:val="0"/>
        <w:rPr>
          <w:rFonts w:hint="default" w:ascii="宋体" w:hAnsi="宋体" w:eastAsia="宋体" w:cs="宋体"/>
          <w:b w:val="0"/>
          <w:bCs w:val="0"/>
          <w:color w:val="auto"/>
          <w:sz w:val="20"/>
          <w:szCs w:val="20"/>
          <w:highlight w:val="yellow"/>
          <w:lang w:val="en-US" w:eastAsia="zh-CN"/>
        </w:rPr>
      </w:pPr>
      <w:bookmarkStart w:id="547" w:name="_Toc13171"/>
      <w:bookmarkStart w:id="548" w:name="_Toc4554"/>
      <w:bookmarkStart w:id="549" w:name="_Toc1485"/>
      <w:r>
        <w:rPr>
          <w:rFonts w:hint="eastAsia" w:ascii="宋体" w:hAnsi="宋体" w:eastAsia="宋体" w:cs="宋体"/>
          <w:b/>
          <w:bCs/>
          <w:color w:val="auto"/>
          <w:sz w:val="20"/>
          <w:szCs w:val="20"/>
          <w:highlight w:val="yellow"/>
          <w:lang w:val="en-US" w:eastAsia="zh-CN"/>
        </w:rPr>
        <w:t>2.服务达标要求</w:t>
      </w:r>
      <w:bookmarkEnd w:id="547"/>
      <w:bookmarkEnd w:id="548"/>
      <w:bookmarkEnd w:id="549"/>
    </w:p>
    <w:p w14:paraId="5F7B7D98">
      <w:pPr>
        <w:pStyle w:val="2"/>
        <w:keepNext w:val="0"/>
        <w:keepLines w:val="0"/>
        <w:pageBreakBefore w:val="0"/>
        <w:widowControl w:val="0"/>
        <w:kinsoku/>
        <w:wordWrap/>
        <w:overflowPunct/>
        <w:topLinePunct w:val="0"/>
        <w:autoSpaceDE/>
        <w:autoSpaceDN/>
        <w:bidi w:val="0"/>
        <w:adjustRightInd/>
        <w:snapToGrid/>
        <w:spacing w:before="0" w:beforeLines="0" w:after="0" w:afterLines="0"/>
        <w:ind w:firstLine="400" w:firstLineChars="200"/>
        <w:textAlignment w:val="auto"/>
        <w:rPr>
          <w:rFonts w:hint="default" w:ascii="宋体" w:hAnsi="宋体"/>
          <w:b w:val="0"/>
          <w:bCs w:val="0"/>
          <w:color w:val="auto"/>
          <w:sz w:val="20"/>
          <w:szCs w:val="20"/>
          <w:highlight w:val="none"/>
          <w:lang w:val="en-US" w:eastAsia="zh-CN"/>
        </w:rPr>
      </w:pPr>
      <w:bookmarkStart w:id="550" w:name="_Toc21012"/>
      <w:bookmarkStart w:id="551" w:name="_Toc19531"/>
      <w:bookmarkStart w:id="552" w:name="_Toc6836"/>
      <w:bookmarkStart w:id="553" w:name="_Toc14643"/>
      <w:bookmarkStart w:id="554" w:name="_Toc20694"/>
      <w:bookmarkStart w:id="555" w:name="_Toc24919"/>
      <w:bookmarkStart w:id="556" w:name="_Toc641"/>
      <w:bookmarkStart w:id="557" w:name="_Toc3133"/>
      <w:bookmarkStart w:id="558" w:name="_Toc24430"/>
      <w:r>
        <w:rPr>
          <w:rFonts w:hint="eastAsia" w:ascii="宋体" w:hAnsi="宋体" w:eastAsia="宋体" w:cs="宋体"/>
          <w:b w:val="0"/>
          <w:bCs w:val="0"/>
          <w:color w:val="auto"/>
          <w:sz w:val="20"/>
          <w:szCs w:val="20"/>
          <w:highlight w:val="none"/>
          <w:lang w:val="en-US" w:eastAsia="zh-CN"/>
        </w:rPr>
        <w:t>2.1</w:t>
      </w:r>
      <w:r>
        <w:rPr>
          <w:rFonts w:hint="eastAsia" w:ascii="宋体" w:hAnsi="宋体"/>
          <w:b w:val="0"/>
          <w:bCs w:val="0"/>
          <w:color w:val="auto"/>
          <w:sz w:val="20"/>
          <w:szCs w:val="20"/>
          <w:highlight w:val="none"/>
        </w:rPr>
        <w:t>消防系统维保</w:t>
      </w:r>
      <w:r>
        <w:rPr>
          <w:rFonts w:hint="eastAsia" w:ascii="宋体" w:hAnsi="宋体" w:eastAsia="宋体" w:cs="宋体"/>
          <w:b w:val="0"/>
          <w:bCs w:val="0"/>
          <w:color w:val="auto"/>
          <w:sz w:val="20"/>
          <w:szCs w:val="20"/>
          <w:highlight w:val="none"/>
          <w:lang w:val="en-US" w:eastAsia="zh-CN"/>
        </w:rPr>
        <w:t>服务达标</w:t>
      </w:r>
      <w:r>
        <w:rPr>
          <w:rFonts w:hint="eastAsia" w:ascii="宋体" w:hAnsi="宋体" w:cs="宋体"/>
          <w:b w:val="0"/>
          <w:bCs w:val="0"/>
          <w:color w:val="auto"/>
          <w:sz w:val="20"/>
          <w:szCs w:val="20"/>
          <w:highlight w:val="none"/>
          <w:lang w:val="en-US" w:eastAsia="zh-CN"/>
        </w:rPr>
        <w:t>要求</w:t>
      </w:r>
      <w:bookmarkEnd w:id="550"/>
      <w:bookmarkEnd w:id="551"/>
      <w:bookmarkEnd w:id="552"/>
      <w:bookmarkEnd w:id="553"/>
      <w:bookmarkEnd w:id="554"/>
      <w:bookmarkEnd w:id="555"/>
      <w:bookmarkEnd w:id="556"/>
      <w:bookmarkEnd w:id="557"/>
      <w:bookmarkEnd w:id="558"/>
    </w:p>
    <w:tbl>
      <w:tblPr>
        <w:tblStyle w:val="15"/>
        <w:tblW w:w="9900" w:type="dxa"/>
        <w:tblInd w:w="-503" w:type="dxa"/>
        <w:tblLayout w:type="fixed"/>
        <w:tblCellMar>
          <w:top w:w="0" w:type="dxa"/>
          <w:left w:w="108" w:type="dxa"/>
          <w:bottom w:w="0" w:type="dxa"/>
          <w:right w:w="108" w:type="dxa"/>
        </w:tblCellMar>
      </w:tblPr>
      <w:tblGrid>
        <w:gridCol w:w="943"/>
        <w:gridCol w:w="1735"/>
        <w:gridCol w:w="7222"/>
      </w:tblGrid>
      <w:tr w14:paraId="7EAD501F">
        <w:tblPrEx>
          <w:tblCellMar>
            <w:top w:w="0" w:type="dxa"/>
            <w:left w:w="108" w:type="dxa"/>
            <w:bottom w:w="0" w:type="dxa"/>
            <w:right w:w="108" w:type="dxa"/>
          </w:tblCellMar>
        </w:tblPrEx>
        <w:trPr>
          <w:trHeight w:val="736" w:hRule="atLeast"/>
          <w:tblHeader/>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B82BC">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序号</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E5FB5">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消防系统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70FB">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服务达标要求</w:t>
            </w:r>
          </w:p>
        </w:tc>
      </w:tr>
      <w:tr w14:paraId="71F7CD7E">
        <w:tblPrEx>
          <w:tblCellMar>
            <w:top w:w="0" w:type="dxa"/>
            <w:left w:w="108" w:type="dxa"/>
            <w:bottom w:w="0" w:type="dxa"/>
            <w:right w:w="108" w:type="dxa"/>
          </w:tblCellMar>
        </w:tblPrEx>
        <w:trPr>
          <w:trHeight w:val="5475"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C45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C2E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消防配电</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2B3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（1）低压配电箱（柜）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①检查消防配电柜（箱）盘面的仪表、指示灯及控制按钮、消防配电设备标志等。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②进行主备电切换功能、主备电源供电能力检查测试。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③对箱（柜）内各配件、端子进行温度测试及牢固检查。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（2）应急电源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①检查应急电源的工作状态，仪表、开关和控制按钮。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②对主电源和备用电源进行自动、手动切换实验并对电池进行充放电测试。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③对箱（柜）内清洁并对各接线端子进行牢固检查。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（3）自备发电机组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①检查备用发电机组的工作状态，发电机组的铭牌、仪表、指示灯及控制按钮等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②对发电机组启动电池进行充放电测试，对油箱的储油量进行核对。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③测试发电机组手动、自动启动功能。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（4）消防配电线路防护</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①对进、出配电线路进行绝缘测试、接地测试。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②对配电线路防护进行检查，穿金属导管或封闭式金属槽盒的防火保护措施应有效。</w:t>
            </w:r>
          </w:p>
        </w:tc>
      </w:tr>
      <w:tr w14:paraId="53449EFA">
        <w:tblPrEx>
          <w:tblCellMar>
            <w:top w:w="0" w:type="dxa"/>
            <w:left w:w="108" w:type="dxa"/>
            <w:bottom w:w="0" w:type="dxa"/>
            <w:right w:w="108" w:type="dxa"/>
          </w:tblCellMar>
        </w:tblPrEx>
        <w:trPr>
          <w:trHeight w:val="3707"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AE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C7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消防供水设施系统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E56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（1）检查补水情况，水位。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（2）检查与水池、水箱连接的法兰、防水套管的螺栓，不应出现锈蚀和渗漏现象，结构材料完好，无破损、渗漏。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确保水泵进出口阀门常开，水泵和阀门的标志清晰正确，压力表、试水阀及防超压装置等正常；水泵控制柜注明所属系统及编号的标志清晰，按钮、指示灯及仪表正常，控制柜转换开关处于自动状态；通过水泵控制柜按钮、消防控制室远程能正常启停水泵；消防控制室能显示消防水泵的启动、停止和故障状态，能显示消防水泵的电源工作状态；主泵不能投入正常运行时，能自动切换启动备用水泵。</w:t>
            </w:r>
          </w:p>
        </w:tc>
      </w:tr>
      <w:tr w14:paraId="2392ED7F">
        <w:tblPrEx>
          <w:tblCellMar>
            <w:top w:w="0" w:type="dxa"/>
            <w:left w:w="108" w:type="dxa"/>
            <w:bottom w:w="0" w:type="dxa"/>
            <w:right w:w="108" w:type="dxa"/>
          </w:tblCellMar>
        </w:tblPrEx>
        <w:trPr>
          <w:trHeight w:val="1147"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C1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58E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火灾自动报警系统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C4E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检查火灾报警控制器自检功能、消音复位功能、故障报警功能、火灾优先功能、报警记忆功能和主、备电源自动转换功能（该项工作由消防控制室值班人员完成）。</w:t>
            </w:r>
          </w:p>
        </w:tc>
      </w:tr>
      <w:tr w14:paraId="505F9FB0">
        <w:tblPrEx>
          <w:tblCellMar>
            <w:top w:w="0" w:type="dxa"/>
            <w:left w:w="108" w:type="dxa"/>
            <w:bottom w:w="0" w:type="dxa"/>
            <w:right w:w="108" w:type="dxa"/>
          </w:tblCellMar>
        </w:tblPrEx>
        <w:trPr>
          <w:trHeight w:val="863"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B7ACD">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D067A">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2506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检查消防控制室或消防值班工作环境以及火灾报警控制、联动控制器、层显（或区域控制器）、手动报警按钮等是否处于正常完好状态。</w:t>
            </w:r>
          </w:p>
        </w:tc>
      </w:tr>
      <w:tr w14:paraId="650F4A7C">
        <w:tblPrEx>
          <w:tblCellMar>
            <w:top w:w="0" w:type="dxa"/>
            <w:left w:w="108" w:type="dxa"/>
            <w:bottom w:w="0" w:type="dxa"/>
            <w:right w:w="108" w:type="dxa"/>
          </w:tblCellMar>
        </w:tblPrEx>
        <w:trPr>
          <w:trHeight w:val="2000"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58151">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153D3">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734A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（1）采用检测设备分期分批试验探测器的工作情况，检测数量不少于总数的30%。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（2）试验手动报警按钮报警功能，抽检数量 不少于总数的30%。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（3）对主机备用电源进行充放电试验。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（4）自动或手动试验相关消防联动控制设备的控制和显示功能。</w:t>
            </w:r>
          </w:p>
        </w:tc>
      </w:tr>
      <w:tr w14:paraId="17A261A6">
        <w:tblPrEx>
          <w:tblCellMar>
            <w:top w:w="0" w:type="dxa"/>
            <w:left w:w="108" w:type="dxa"/>
            <w:bottom w:w="0" w:type="dxa"/>
            <w:right w:w="108" w:type="dxa"/>
          </w:tblCellMar>
        </w:tblPrEx>
        <w:trPr>
          <w:trHeight w:val="3138"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E2F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362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自动喷水灭火系统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3598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（1）检查消防泵房工作环境及消防泵、稳压设备、电源控制柜、湿式报警阀、管网阀门、喷头、水泵接合器、储水设施等是否处于正常完好状态。试验内燃机驱动的消防泵能否正常工作。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（2)启动消防泵，当消防泵为自动控制启动时，应模拟自动控制的条件进行启动。设备用泵时，应同时试验主、备泵的切换功能。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（3）利用报警阀上的放水阀试验系统的供水情况。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（4）利用末端放水装置放水，验证水流指示器和压力开关的报警功能、自动启泵功能和信号显示，抽查数量不少于总数的20%。</w:t>
            </w:r>
          </w:p>
        </w:tc>
      </w:tr>
      <w:tr w14:paraId="1970E8EB">
        <w:tblPrEx>
          <w:tblCellMar>
            <w:top w:w="0" w:type="dxa"/>
            <w:left w:w="108" w:type="dxa"/>
            <w:bottom w:w="0" w:type="dxa"/>
            <w:right w:w="108" w:type="dxa"/>
          </w:tblCellMar>
        </w:tblPrEx>
        <w:trPr>
          <w:trHeight w:val="28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674D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7E30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消火栓灭火系统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D46D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（1）检查消防泵工作环境及消防泵、稳压设备、电源控制柜、管网、阀门、水泵接合器、室内外消火栓、储水设施等是否处于正常完好的状态。试验内燃机驱动的消防泵能否正常工作。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（2）启动消防泵，当消防水泵为自动控制启动时，应模拟自动控制条件进行启动。设备用泵时，应同时试验主、备泵的切换功能。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（3）试验远距离启泵按钮启动消防泵，抽检数量不得少于总数的20%。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（4）屋顶消火栓出水，检查管网压力和水质。</w:t>
            </w:r>
          </w:p>
        </w:tc>
      </w:tr>
      <w:tr w14:paraId="0B8682E6">
        <w:tblPrEx>
          <w:tblCellMar>
            <w:top w:w="0" w:type="dxa"/>
            <w:left w:w="108" w:type="dxa"/>
            <w:bottom w:w="0" w:type="dxa"/>
            <w:right w:w="108" w:type="dxa"/>
          </w:tblCellMar>
        </w:tblPrEx>
        <w:trPr>
          <w:trHeight w:val="2569"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3119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87B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喷淋灭火系统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7BB9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（1）每月检查消防泵房工作环境及消防、稳压设备、电源控制柜、管网、阀门、水泵接合器、喷头、储水设施是否处于正常完好状态，试验内燃机驱动的消防泵是否正常工作。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（2）启动消防泵、当消防泵为自动控制启动时，应模拟自动控制的条件进行启动。设备用泵时，应同时试验主、备的切换功能。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（3）模拟喷淋动作试验，检查喷淋动作情况，抽检贮藏数量不少于总数的30%。</w:t>
            </w:r>
          </w:p>
        </w:tc>
      </w:tr>
      <w:tr w14:paraId="273A2539">
        <w:tblPrEx>
          <w:tblCellMar>
            <w:top w:w="0" w:type="dxa"/>
            <w:left w:w="108" w:type="dxa"/>
            <w:bottom w:w="0" w:type="dxa"/>
            <w:right w:w="108" w:type="dxa"/>
          </w:tblCellMar>
        </w:tblPrEx>
        <w:trPr>
          <w:trHeight w:val="2000"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F65D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2A0F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泡沫灭火系统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F96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（1）检查消防泵房泡沫液装置间工作环境及消防泵、电源控制柜、管网、阀门、水泵接合器、储水设施、泡沫混合器、泡沫发生器、泡沫栓等是否处于正常完好状态。试验内燃机驱动的消防泵能否正常工作。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（2）启动消防泵，设备用泵时，应同时试验主、备泵的切换功能。</w:t>
            </w:r>
          </w:p>
        </w:tc>
      </w:tr>
      <w:tr w14:paraId="0A5215A7">
        <w:tblPrEx>
          <w:tblCellMar>
            <w:top w:w="0" w:type="dxa"/>
            <w:left w:w="108" w:type="dxa"/>
            <w:bottom w:w="0" w:type="dxa"/>
            <w:right w:w="108" w:type="dxa"/>
          </w:tblCellMar>
        </w:tblPrEx>
        <w:trPr>
          <w:trHeight w:val="356"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F436">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F8713">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F8A4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年检时用泡沫栓检查泡沫质量。</w:t>
            </w:r>
          </w:p>
        </w:tc>
      </w:tr>
      <w:tr w14:paraId="2FC2CF23">
        <w:trPr>
          <w:trHeight w:val="1147"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8A9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851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气体灭火系统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6A2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检查贮瓶间及防护区的工作环境以及贮气瓶、选择阀、液体单向阀、高压软管、集流管、阀驱动装置、管网、喷嘴、紧急启动按钮、声光报警装置等是否处于正常完好状态。</w:t>
            </w:r>
          </w:p>
        </w:tc>
      </w:tr>
      <w:tr w14:paraId="724AC6B1">
        <w:tblPrEx>
          <w:tblCellMar>
            <w:top w:w="0" w:type="dxa"/>
            <w:left w:w="108" w:type="dxa"/>
            <w:bottom w:w="0" w:type="dxa"/>
            <w:right w:w="108" w:type="dxa"/>
          </w:tblCellMar>
        </w:tblPrEx>
        <w:trPr>
          <w:trHeight w:val="1432"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EC6AE">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FB44C">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7ED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（1）对灭火器剂贮存器进行秤重检查，灭火剂净重不得小于设计量的95%。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（2）对每个防护区进行一次模拟自动启动试验，如有问题，则应对相关防护区进行一次模拟喷气试验。</w:t>
            </w:r>
          </w:p>
        </w:tc>
      </w:tr>
      <w:tr w14:paraId="7B6BFAC2">
        <w:tblPrEx>
          <w:tblCellMar>
            <w:top w:w="0" w:type="dxa"/>
            <w:left w:w="108" w:type="dxa"/>
            <w:bottom w:w="0" w:type="dxa"/>
            <w:right w:w="108" w:type="dxa"/>
          </w:tblCellMar>
        </w:tblPrEx>
        <w:trPr>
          <w:trHeight w:val="3415"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31F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075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防火分隔系统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4BE4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（1）防火卷帘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①防火卷帘底部应无阻挡物，“防火卷帘下禁放物品”警示类标识齐全，确保防火卷帘运行下降时的安全。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②维保应重点对防火卷帘功能的检查，保证防火卷帘系统正常运行。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③检查防火卷帘的完整性和整体封隔。防火卷帘上部、周围的缝隙应采用相同耐火极限的不燃材料填充、封隔。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④测试防火卷帘在火灾模式下时的联动功能。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（2）防火门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①维保应重点对防火门系统功能的检查，保持防火门功能完整。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②定期检查“常闭式防火门，请保持关闭”等警示类标识的齐全。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③定期检查区间风井内防烟楼梯间前室和联络通道处的防火门。设置区间的联络通道内的防火门以及设置在区间风井内防烟楼梯间前室的防火门，要采取措施使防火门在过往列车及隧道通风的正、负压力作用下不会被打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④对于易腐蚀生锈的防火门部件应定期清洁、除锈、加注润滑油。</w:t>
            </w:r>
          </w:p>
        </w:tc>
      </w:tr>
      <w:tr w14:paraId="60C9C655">
        <w:tblPrEx>
          <w:tblCellMar>
            <w:top w:w="0" w:type="dxa"/>
            <w:left w:w="108" w:type="dxa"/>
            <w:bottom w:w="0" w:type="dxa"/>
            <w:right w:w="108" w:type="dxa"/>
          </w:tblCellMar>
        </w:tblPrEx>
        <w:trPr>
          <w:trHeight w:val="1147"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C27A1">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FBB50">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C977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（1）试验自动方式启动防火门。抽检数量不少于总数的30%。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（2）用手动接钮启动防火卷帘门。抽检数不少于总数的30%。</w:t>
            </w:r>
          </w:p>
        </w:tc>
      </w:tr>
      <w:tr w14:paraId="23AA6FDB">
        <w:tblPrEx>
          <w:tblCellMar>
            <w:top w:w="0" w:type="dxa"/>
            <w:left w:w="108" w:type="dxa"/>
            <w:bottom w:w="0" w:type="dxa"/>
            <w:right w:w="108" w:type="dxa"/>
          </w:tblCellMar>
        </w:tblPrEx>
        <w:trPr>
          <w:trHeight w:val="863"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B49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ECF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防排烟系统</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E04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检查送风、排烟机房工作环境以及送风机、排烟机、电源控制柜、送风口、排烟口、防火阀等是否处于正常完好状态。</w:t>
            </w:r>
          </w:p>
        </w:tc>
      </w:tr>
      <w:tr w14:paraId="613C1F54">
        <w:tblPrEx>
          <w:tblCellMar>
            <w:top w:w="0" w:type="dxa"/>
            <w:left w:w="108" w:type="dxa"/>
            <w:bottom w:w="0" w:type="dxa"/>
            <w:right w:w="108" w:type="dxa"/>
          </w:tblCellMar>
        </w:tblPrEx>
        <w:trPr>
          <w:trHeight w:val="1432"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25944">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73CF">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014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（1）试验自动方式打开排烟口、启动送风机、排烟机。抽检楼层数量不少于总数50%。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（2）试验自动方式关闭空调系统、电动防火阀。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（3）试验手动方式关闭防火阀，抽检数量不少于总数的20%。</w:t>
            </w:r>
          </w:p>
        </w:tc>
      </w:tr>
      <w:tr w14:paraId="4B066D1C">
        <w:tblPrEx>
          <w:tblCellMar>
            <w:top w:w="0" w:type="dxa"/>
            <w:left w:w="108" w:type="dxa"/>
            <w:bottom w:w="0" w:type="dxa"/>
            <w:right w:w="108" w:type="dxa"/>
          </w:tblCellMar>
        </w:tblPrEx>
        <w:trPr>
          <w:trHeight w:val="2569"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4646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w:t>
            </w:r>
          </w:p>
        </w:tc>
        <w:tc>
          <w:tcPr>
            <w:tcW w:w="1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8EA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应急照明疏散指示</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311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（1）检查安全出口、疏散通道、重要场所的应急照明和疏散指示标志是否处于正常完好状态。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（2）对自带蓄电池供电式消防应急照明灯具放电测试。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（3）定期检查应急照明控制器、应急照明配电箱、应急照明分配电装置的指示灯及控制按钮等的外观状态指示、标识及各接线端子。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（4）试验应急照明和疏散指示灯的工作照度和疏散照度。检查数量为总数的100%。</w:t>
            </w:r>
          </w:p>
        </w:tc>
      </w:tr>
      <w:tr w14:paraId="4EC4F2BA">
        <w:tblPrEx>
          <w:tblCellMar>
            <w:top w:w="0" w:type="dxa"/>
            <w:left w:w="108" w:type="dxa"/>
            <w:bottom w:w="0" w:type="dxa"/>
            <w:right w:w="108" w:type="dxa"/>
          </w:tblCellMar>
        </w:tblPrEx>
        <w:trPr>
          <w:trHeight w:val="578"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24A0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54F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消防通讯事故广播</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DA8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检查电话插孔、重要场所的对讲电话、播音设备、扬声器是否处于正常完好状态。</w:t>
            </w:r>
          </w:p>
        </w:tc>
      </w:tr>
      <w:tr w14:paraId="1352D0F2">
        <w:tblPrEx>
          <w:tblCellMar>
            <w:top w:w="0" w:type="dxa"/>
            <w:left w:w="108" w:type="dxa"/>
            <w:bottom w:w="0" w:type="dxa"/>
            <w:right w:w="108" w:type="dxa"/>
          </w:tblCellMar>
        </w:tblPrEx>
        <w:trPr>
          <w:trHeight w:val="1432"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27F0A">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E2860">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057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（1）试验电话插孔和对讲电话的通话质量，抽检数量为总数的100%。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（2）试验选层广播。抽检数量为总数的100%。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（3）试验从背景音乐状态下强切至事故应急广播状态的功能。</w:t>
            </w:r>
          </w:p>
        </w:tc>
      </w:tr>
      <w:tr w14:paraId="760B73CF">
        <w:trPr>
          <w:trHeight w:val="764"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15F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AA3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移动灭火器材</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61E0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检查灭火器种类、数量、设置位置、标志等是否符合要求。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（1）服务商对不符合要求的消防器材进行统计并报采购方归口管理部门。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（2）采购方负责提供符合标准要求的消防器材，由服务商负责更换。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（3）服务商负责收回不符合要求的消防器材，运送到采购方指定的场所存放。</w:t>
            </w:r>
          </w:p>
        </w:tc>
      </w:tr>
      <w:tr w14:paraId="1771F5FF">
        <w:tblPrEx>
          <w:tblCellMar>
            <w:top w:w="0" w:type="dxa"/>
            <w:left w:w="108" w:type="dxa"/>
            <w:bottom w:w="0" w:type="dxa"/>
            <w:right w:w="108" w:type="dxa"/>
          </w:tblCellMar>
        </w:tblPrEx>
        <w:trPr>
          <w:trHeight w:val="578"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D367B">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FF96A">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0BFF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检查灭火器压力、重量、有效期等必要时做喷射试验。抽检数量不少于总数的30%。</w:t>
            </w:r>
          </w:p>
        </w:tc>
      </w:tr>
      <w:tr w14:paraId="68D86981">
        <w:tblPrEx>
          <w:tblCellMar>
            <w:top w:w="0" w:type="dxa"/>
            <w:left w:w="108" w:type="dxa"/>
            <w:bottom w:w="0" w:type="dxa"/>
            <w:right w:w="108" w:type="dxa"/>
          </w:tblCellMar>
        </w:tblPrEx>
        <w:trPr>
          <w:trHeight w:val="863" w:hRule="atLeast"/>
        </w:trPr>
        <w:tc>
          <w:tcPr>
            <w:tcW w:w="9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563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w:t>
            </w:r>
          </w:p>
        </w:tc>
        <w:tc>
          <w:tcPr>
            <w:tcW w:w="17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8197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其他设施</w:t>
            </w: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78E7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检查消防电梯迫降按钮、缓降器、自救逃生设备，消防电源及切换设备是否处于正常完好状态。试验自备发电设施能否正常发电。</w:t>
            </w:r>
          </w:p>
        </w:tc>
      </w:tr>
      <w:tr w14:paraId="3FAEAC0F">
        <w:tblPrEx>
          <w:tblCellMar>
            <w:top w:w="0" w:type="dxa"/>
            <w:left w:w="108" w:type="dxa"/>
            <w:bottom w:w="0" w:type="dxa"/>
            <w:right w:w="108" w:type="dxa"/>
          </w:tblCellMar>
        </w:tblPrEx>
        <w:trPr>
          <w:trHeight w:val="863"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B07A8">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32AB">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9121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（1）试验消防电源的末端切换功能。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（2）切断非消防电源功能。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（3）试验消防电梯的紧急迫降功能。</w:t>
            </w:r>
          </w:p>
        </w:tc>
      </w:tr>
      <w:tr w14:paraId="39024D7F">
        <w:tblPrEx>
          <w:tblCellMar>
            <w:top w:w="0" w:type="dxa"/>
            <w:left w:w="108" w:type="dxa"/>
            <w:bottom w:w="0" w:type="dxa"/>
            <w:right w:w="108" w:type="dxa"/>
          </w:tblCellMar>
        </w:tblPrEx>
        <w:trPr>
          <w:trHeight w:val="294" w:hRule="atLeast"/>
        </w:trPr>
        <w:tc>
          <w:tcPr>
            <w:tcW w:w="9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6484A">
            <w:pPr>
              <w:jc w:val="center"/>
              <w:rPr>
                <w:rFonts w:hint="eastAsia" w:ascii="宋体" w:hAnsi="宋体" w:eastAsia="宋体" w:cs="宋体"/>
                <w:color w:val="auto"/>
                <w:sz w:val="20"/>
                <w:szCs w:val="20"/>
                <w:highlight w:val="none"/>
              </w:rPr>
            </w:pPr>
          </w:p>
        </w:tc>
        <w:tc>
          <w:tcPr>
            <w:tcW w:w="17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43E3E">
            <w:pPr>
              <w:jc w:val="center"/>
              <w:rPr>
                <w:rFonts w:hint="eastAsia" w:ascii="宋体" w:hAnsi="宋体" w:eastAsia="宋体" w:cs="宋体"/>
                <w:color w:val="auto"/>
                <w:sz w:val="20"/>
                <w:szCs w:val="20"/>
                <w:highlight w:val="none"/>
              </w:rPr>
            </w:pPr>
          </w:p>
        </w:tc>
        <w:tc>
          <w:tcPr>
            <w:tcW w:w="7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C02D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检测防雷防静电及电器接地电阻。</w:t>
            </w:r>
          </w:p>
        </w:tc>
      </w:tr>
      <w:tr w14:paraId="74DBC579">
        <w:tblPrEx>
          <w:tblCellMar>
            <w:top w:w="0" w:type="dxa"/>
            <w:left w:w="108" w:type="dxa"/>
            <w:bottom w:w="0" w:type="dxa"/>
            <w:right w:w="108" w:type="dxa"/>
          </w:tblCellMar>
        </w:tblPrEx>
        <w:trPr>
          <w:trHeight w:val="588" w:hRule="atLeast"/>
        </w:trPr>
        <w:tc>
          <w:tcPr>
            <w:tcW w:w="99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977E7">
            <w:pPr>
              <w:keepNex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备注：</w:t>
            </w:r>
          </w:p>
          <w:p w14:paraId="5783BF21">
            <w:pPr>
              <w:keepNex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本表所列消防设施是常规配置设施，各单位具体设施配置以实际为准。各单位设备维保要求以合同签订时的约定为准。</w:t>
            </w:r>
          </w:p>
        </w:tc>
      </w:tr>
    </w:tbl>
    <w:p w14:paraId="5CA5EFCC">
      <w:pPr>
        <w:spacing w:line="560" w:lineRule="exact"/>
        <w:ind w:firstLine="402" w:firstLineChars="200"/>
        <w:outlineLvl w:val="0"/>
        <w:rPr>
          <w:b/>
          <w:bCs/>
          <w:color w:val="auto"/>
          <w:sz w:val="20"/>
          <w:szCs w:val="20"/>
          <w:highlight w:val="none"/>
        </w:rPr>
      </w:pPr>
      <w:bookmarkStart w:id="559" w:name="_Toc14964"/>
      <w:bookmarkStart w:id="560" w:name="_Toc20834"/>
      <w:bookmarkStart w:id="561" w:name="_Toc16877"/>
      <w:r>
        <w:rPr>
          <w:rFonts w:hint="eastAsia"/>
          <w:b/>
          <w:bCs/>
          <w:color w:val="auto"/>
          <w:sz w:val="20"/>
          <w:szCs w:val="20"/>
          <w:highlight w:val="none"/>
          <w:lang w:val="en-US" w:eastAsia="zh-CN"/>
        </w:rPr>
        <w:t>3.</w:t>
      </w:r>
      <w:r>
        <w:rPr>
          <w:rFonts w:hint="eastAsia"/>
          <w:b/>
          <w:bCs/>
          <w:color w:val="auto"/>
          <w:sz w:val="20"/>
          <w:szCs w:val="20"/>
          <w:highlight w:val="none"/>
        </w:rPr>
        <w:t>服务履约考核</w:t>
      </w:r>
      <w:bookmarkEnd w:id="559"/>
      <w:bookmarkEnd w:id="560"/>
      <w:bookmarkEnd w:id="561"/>
    </w:p>
    <w:p w14:paraId="026B8DFD">
      <w:pPr>
        <w:keepNext w:val="0"/>
        <w:keepLines w:val="0"/>
        <w:pageBreakBefore w:val="0"/>
        <w:widowControl w:val="0"/>
        <w:kinsoku/>
        <w:wordWrap/>
        <w:overflowPunct/>
        <w:topLinePunct w:val="0"/>
        <w:autoSpaceDE/>
        <w:autoSpaceDN/>
        <w:bidi w:val="0"/>
        <w:adjustRightInd/>
        <w:snapToGrid/>
        <w:spacing w:line="560" w:lineRule="exact"/>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820"/>
        <w:gridCol w:w="878"/>
        <w:gridCol w:w="2941"/>
        <w:gridCol w:w="1215"/>
        <w:gridCol w:w="782"/>
        <w:gridCol w:w="597"/>
      </w:tblGrid>
      <w:tr w14:paraId="6C51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7A71D809">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2820" w:type="dxa"/>
            <w:tcBorders>
              <w:top w:val="single" w:color="auto" w:sz="4" w:space="0"/>
              <w:left w:val="nil"/>
              <w:bottom w:val="single" w:color="auto" w:sz="4" w:space="0"/>
              <w:right w:val="single" w:color="auto" w:sz="4" w:space="0"/>
            </w:tcBorders>
            <w:noWrap w:val="0"/>
            <w:vAlign w:val="center"/>
          </w:tcPr>
          <w:p w14:paraId="6B284EA3">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878" w:type="dxa"/>
            <w:tcBorders>
              <w:top w:val="single" w:color="auto" w:sz="4" w:space="0"/>
              <w:left w:val="nil"/>
              <w:bottom w:val="single" w:color="auto" w:sz="4" w:space="0"/>
              <w:right w:val="single" w:color="auto" w:sz="4" w:space="0"/>
            </w:tcBorders>
            <w:noWrap w:val="0"/>
            <w:vAlign w:val="center"/>
          </w:tcPr>
          <w:p w14:paraId="053A539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941" w:type="dxa"/>
            <w:tcBorders>
              <w:top w:val="single" w:color="auto" w:sz="4" w:space="0"/>
              <w:left w:val="nil"/>
              <w:bottom w:val="single" w:color="auto" w:sz="4" w:space="0"/>
              <w:right w:val="single" w:color="auto" w:sz="4" w:space="0"/>
            </w:tcBorders>
            <w:noWrap w:val="0"/>
            <w:vAlign w:val="center"/>
          </w:tcPr>
          <w:p w14:paraId="32269809">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215" w:type="dxa"/>
            <w:tcBorders>
              <w:top w:val="single" w:color="auto" w:sz="4" w:space="0"/>
              <w:left w:val="nil"/>
              <w:bottom w:val="single" w:color="auto" w:sz="4" w:space="0"/>
              <w:right w:val="single" w:color="auto" w:sz="4" w:space="0"/>
            </w:tcBorders>
            <w:noWrap w:val="0"/>
            <w:vAlign w:val="center"/>
          </w:tcPr>
          <w:p w14:paraId="7FE7EBD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5CC0208B">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782" w:type="dxa"/>
            <w:tcBorders>
              <w:top w:val="single" w:color="auto" w:sz="4" w:space="0"/>
              <w:left w:val="nil"/>
              <w:bottom w:val="single" w:color="auto" w:sz="4" w:space="0"/>
              <w:right w:val="single" w:color="auto" w:sz="4" w:space="0"/>
            </w:tcBorders>
            <w:noWrap w:val="0"/>
            <w:vAlign w:val="center"/>
          </w:tcPr>
          <w:p w14:paraId="4B12FCE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08D2350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597" w:type="dxa"/>
            <w:tcBorders>
              <w:top w:val="single" w:color="auto" w:sz="4" w:space="0"/>
              <w:left w:val="nil"/>
              <w:bottom w:val="single" w:color="auto" w:sz="4" w:space="0"/>
              <w:right w:val="single" w:color="auto" w:sz="4" w:space="0"/>
            </w:tcBorders>
            <w:noWrap w:val="0"/>
            <w:vAlign w:val="center"/>
          </w:tcPr>
          <w:p w14:paraId="6B5489C6">
            <w:pPr>
              <w:keepNext w:val="0"/>
              <w:keepLines w:val="0"/>
              <w:pageBreakBefore w:val="0"/>
              <w:widowControl w:val="0"/>
              <w:kinsoku/>
              <w:wordWrap/>
              <w:overflowPunct/>
              <w:topLinePunct w:val="0"/>
              <w:autoSpaceDE/>
              <w:autoSpaceDN/>
              <w:bidi w:val="0"/>
              <w:spacing w:line="240" w:lineRule="auto"/>
              <w:ind w:firstLine="201" w:firstLineChars="10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298CB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6"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1B85B21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2820" w:type="dxa"/>
            <w:vMerge w:val="restart"/>
            <w:tcBorders>
              <w:top w:val="single" w:color="auto" w:sz="4" w:space="0"/>
              <w:left w:val="nil"/>
              <w:right w:val="single" w:color="auto" w:sz="4" w:space="0"/>
            </w:tcBorders>
            <w:noWrap w:val="0"/>
            <w:vAlign w:val="center"/>
          </w:tcPr>
          <w:p w14:paraId="249458E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lang w:val="en-US"/>
              </w:rPr>
            </w:pPr>
            <w:r>
              <w:rPr>
                <w:rFonts w:hint="eastAsia" w:ascii="宋体" w:hAnsi="宋体" w:eastAsia="宋体" w:cs="宋体"/>
                <w:b w:val="0"/>
                <w:bCs w:val="0"/>
                <w:color w:val="auto"/>
                <w:sz w:val="20"/>
                <w:szCs w:val="20"/>
                <w:highlight w:val="none"/>
                <w:vertAlign w:val="baseline"/>
                <w:lang w:val="en-US" w:eastAsia="zh-CN"/>
              </w:rPr>
              <w:t>按时按质按量完成采购方的消防系统维保服务工作任务，及时响应采购方的需求（含临时或紧急需求），积极与采购方沟通，使用的零部件符合相关标准，维保记录齐全，制定有应急预案。</w:t>
            </w:r>
          </w:p>
        </w:tc>
        <w:tc>
          <w:tcPr>
            <w:tcW w:w="878" w:type="dxa"/>
            <w:vMerge w:val="restart"/>
            <w:tcBorders>
              <w:top w:val="single" w:color="auto" w:sz="4" w:space="0"/>
              <w:left w:val="nil"/>
              <w:right w:val="single" w:color="auto" w:sz="4" w:space="0"/>
            </w:tcBorders>
            <w:noWrap w:val="0"/>
            <w:vAlign w:val="center"/>
          </w:tcPr>
          <w:p w14:paraId="101BBDF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40</w:t>
            </w:r>
          </w:p>
        </w:tc>
        <w:tc>
          <w:tcPr>
            <w:tcW w:w="2941" w:type="dxa"/>
            <w:tcBorders>
              <w:top w:val="single" w:color="auto" w:sz="4" w:space="0"/>
              <w:left w:val="nil"/>
              <w:bottom w:val="single" w:color="auto" w:sz="4" w:space="0"/>
              <w:right w:val="single" w:color="auto" w:sz="4" w:space="0"/>
            </w:tcBorders>
            <w:noWrap w:val="0"/>
            <w:vAlign w:val="center"/>
          </w:tcPr>
          <w:p w14:paraId="73BBA5BD">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u w:val="single"/>
              </w:rPr>
            </w:pPr>
            <w:r>
              <w:rPr>
                <w:rFonts w:hint="eastAsia" w:ascii="宋体" w:hAnsi="宋体" w:eastAsia="宋体" w:cs="宋体"/>
                <w:b w:val="0"/>
                <w:bCs/>
                <w:color w:val="auto"/>
                <w:sz w:val="20"/>
                <w:szCs w:val="20"/>
                <w:highlight w:val="none"/>
                <w:lang w:val="en-US" w:eastAsia="zh-CN"/>
              </w:rPr>
              <w:t>未按采购方要求，按时按质提供服务，存在怠于响应、迟到、敷衍开展工作等现象。</w:t>
            </w:r>
          </w:p>
        </w:tc>
        <w:tc>
          <w:tcPr>
            <w:tcW w:w="1215" w:type="dxa"/>
            <w:tcBorders>
              <w:top w:val="single" w:color="auto" w:sz="4" w:space="0"/>
              <w:left w:val="nil"/>
              <w:bottom w:val="single" w:color="auto" w:sz="4" w:space="0"/>
              <w:right w:val="single" w:color="auto" w:sz="4" w:space="0"/>
            </w:tcBorders>
            <w:noWrap w:val="0"/>
            <w:vAlign w:val="center"/>
          </w:tcPr>
          <w:p w14:paraId="469ADC1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204C188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4656CCC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r>
      <w:tr w14:paraId="5219A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6" w:hRule="atLeast"/>
          <w:jc w:val="center"/>
        </w:trPr>
        <w:tc>
          <w:tcPr>
            <w:tcW w:w="645" w:type="dxa"/>
            <w:vMerge w:val="continue"/>
            <w:tcBorders>
              <w:left w:val="single" w:color="auto" w:sz="4" w:space="0"/>
              <w:right w:val="single" w:color="auto" w:sz="4" w:space="0"/>
            </w:tcBorders>
            <w:noWrap w:val="0"/>
            <w:vAlign w:val="center"/>
          </w:tcPr>
          <w:p w14:paraId="1EC438E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20" w:type="dxa"/>
            <w:vMerge w:val="continue"/>
            <w:tcBorders>
              <w:left w:val="nil"/>
              <w:right w:val="single" w:color="auto" w:sz="4" w:space="0"/>
            </w:tcBorders>
            <w:noWrap w:val="0"/>
            <w:vAlign w:val="center"/>
          </w:tcPr>
          <w:p w14:paraId="203A32D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472FC16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1" w:type="dxa"/>
            <w:tcBorders>
              <w:top w:val="single" w:color="auto" w:sz="4" w:space="0"/>
              <w:left w:val="nil"/>
              <w:bottom w:val="single" w:color="auto" w:sz="4" w:space="0"/>
              <w:right w:val="single" w:color="auto" w:sz="4" w:space="0"/>
            </w:tcBorders>
            <w:noWrap w:val="0"/>
            <w:vAlign w:val="center"/>
          </w:tcPr>
          <w:p w14:paraId="4FF0B3AF">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color w:val="auto"/>
                <w:sz w:val="20"/>
                <w:szCs w:val="20"/>
                <w:highlight w:val="none"/>
                <w:lang w:val="en-US" w:eastAsia="zh-CN"/>
              </w:rPr>
              <w:t>在故障发生后，未按采购方要求及时响应和到达现场开展故障修复。</w:t>
            </w:r>
          </w:p>
        </w:tc>
        <w:tc>
          <w:tcPr>
            <w:tcW w:w="1215" w:type="dxa"/>
            <w:tcBorders>
              <w:top w:val="single" w:color="auto" w:sz="4" w:space="0"/>
              <w:left w:val="nil"/>
              <w:bottom w:val="single" w:color="auto" w:sz="4" w:space="0"/>
              <w:right w:val="single" w:color="auto" w:sz="4" w:space="0"/>
            </w:tcBorders>
            <w:noWrap w:val="0"/>
            <w:vAlign w:val="center"/>
          </w:tcPr>
          <w:p w14:paraId="68B2A75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5606D45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7EDDE5F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7B76F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4" w:hRule="atLeast"/>
          <w:jc w:val="center"/>
        </w:trPr>
        <w:tc>
          <w:tcPr>
            <w:tcW w:w="645" w:type="dxa"/>
            <w:vMerge w:val="continue"/>
            <w:tcBorders>
              <w:left w:val="single" w:color="auto" w:sz="4" w:space="0"/>
              <w:right w:val="single" w:color="auto" w:sz="4" w:space="0"/>
            </w:tcBorders>
            <w:noWrap w:val="0"/>
            <w:vAlign w:val="center"/>
          </w:tcPr>
          <w:p w14:paraId="07ED7474">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20" w:type="dxa"/>
            <w:vMerge w:val="continue"/>
            <w:tcBorders>
              <w:left w:val="nil"/>
              <w:right w:val="single" w:color="auto" w:sz="4" w:space="0"/>
            </w:tcBorders>
            <w:noWrap w:val="0"/>
            <w:vAlign w:val="center"/>
          </w:tcPr>
          <w:p w14:paraId="6265BA5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1C3CF584">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25201155">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非因采购方和不可抗力因素，服务商提供日常维保和故障维保后，五个工作日内出现同一个问题。</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7231696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6EBA18B1">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3D87C26F">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DE30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12" w:hRule="atLeast"/>
          <w:jc w:val="center"/>
        </w:trPr>
        <w:tc>
          <w:tcPr>
            <w:tcW w:w="645" w:type="dxa"/>
            <w:vMerge w:val="continue"/>
            <w:tcBorders>
              <w:left w:val="single" w:color="auto" w:sz="4" w:space="0"/>
              <w:right w:val="single" w:color="auto" w:sz="4" w:space="0"/>
            </w:tcBorders>
            <w:noWrap w:val="0"/>
            <w:vAlign w:val="center"/>
          </w:tcPr>
          <w:p w14:paraId="2B151AC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20" w:type="dxa"/>
            <w:vMerge w:val="continue"/>
            <w:tcBorders>
              <w:left w:val="nil"/>
              <w:right w:val="single" w:color="auto" w:sz="4" w:space="0"/>
            </w:tcBorders>
            <w:noWrap w:val="0"/>
            <w:vAlign w:val="center"/>
          </w:tcPr>
          <w:p w14:paraId="72F2F12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2CBAE994">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3D8DA480">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color w:val="auto"/>
                <w:kern w:val="0"/>
                <w:sz w:val="20"/>
                <w:szCs w:val="20"/>
                <w:highlight w:val="none"/>
                <w:lang w:eastAsia="zh-CN" w:bidi="ar"/>
              </w:rPr>
              <w:t>在日常和故障维保的过程中，使用无生产合格证产品的零部件，</w:t>
            </w:r>
            <w:r>
              <w:rPr>
                <w:rFonts w:hint="eastAsia" w:ascii="宋体" w:hAnsi="宋体" w:eastAsia="宋体" w:cs="宋体"/>
                <w:color w:val="auto"/>
                <w:kern w:val="0"/>
                <w:sz w:val="20"/>
                <w:szCs w:val="20"/>
                <w:highlight w:val="none"/>
                <w:lang w:bidi="ar"/>
              </w:rPr>
              <w:t>如因为使用</w:t>
            </w:r>
            <w:r>
              <w:rPr>
                <w:rFonts w:hint="eastAsia" w:ascii="宋体" w:hAnsi="宋体" w:eastAsia="宋体" w:cs="宋体"/>
                <w:color w:val="auto"/>
                <w:kern w:val="0"/>
                <w:sz w:val="20"/>
                <w:szCs w:val="20"/>
                <w:highlight w:val="none"/>
                <w:lang w:eastAsia="zh-CN" w:bidi="ar"/>
              </w:rPr>
              <w:t>无生产合格证产品的零部件</w:t>
            </w:r>
            <w:r>
              <w:rPr>
                <w:rFonts w:hint="eastAsia" w:ascii="宋体" w:hAnsi="宋体" w:eastAsia="宋体" w:cs="宋体"/>
                <w:color w:val="auto"/>
                <w:kern w:val="0"/>
                <w:sz w:val="20"/>
                <w:szCs w:val="20"/>
                <w:highlight w:val="none"/>
                <w:lang w:bidi="ar"/>
              </w:rPr>
              <w:t>造成了重大损失</w:t>
            </w:r>
            <w:r>
              <w:rPr>
                <w:rFonts w:hint="eastAsia" w:ascii="宋体" w:hAnsi="宋体" w:eastAsia="宋体" w:cs="宋体"/>
                <w:color w:val="auto"/>
                <w:kern w:val="0"/>
                <w:sz w:val="20"/>
                <w:szCs w:val="20"/>
                <w:highlight w:val="none"/>
                <w:lang w:eastAsia="zh-CN" w:bidi="ar"/>
              </w:rPr>
              <w:t>。</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5E8F0DC9">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2-4</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52BE4FAD">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2BFB78B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0D321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jc w:val="center"/>
        </w:trPr>
        <w:tc>
          <w:tcPr>
            <w:tcW w:w="645" w:type="dxa"/>
            <w:vMerge w:val="continue"/>
            <w:tcBorders>
              <w:left w:val="single" w:color="auto" w:sz="4" w:space="0"/>
              <w:right w:val="single" w:color="auto" w:sz="4" w:space="0"/>
            </w:tcBorders>
            <w:noWrap w:val="0"/>
            <w:vAlign w:val="center"/>
          </w:tcPr>
          <w:p w14:paraId="268ABC84">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20" w:type="dxa"/>
            <w:vMerge w:val="continue"/>
            <w:tcBorders>
              <w:left w:val="nil"/>
              <w:right w:val="single" w:color="auto" w:sz="4" w:space="0"/>
            </w:tcBorders>
            <w:noWrap w:val="0"/>
            <w:vAlign w:val="center"/>
          </w:tcPr>
          <w:p w14:paraId="589A7F9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3D951CE7">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0DEC95A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color w:val="auto"/>
                <w:kern w:val="0"/>
                <w:sz w:val="20"/>
                <w:szCs w:val="20"/>
                <w:highlight w:val="none"/>
                <w:lang w:bidi="ar"/>
              </w:rPr>
              <w:t>未按采购方要求做好</w:t>
            </w:r>
            <w:r>
              <w:rPr>
                <w:rFonts w:hint="eastAsia" w:ascii="宋体" w:hAnsi="宋体" w:eastAsia="宋体" w:cs="宋体"/>
                <w:color w:val="auto"/>
                <w:kern w:val="0"/>
                <w:sz w:val="20"/>
                <w:szCs w:val="20"/>
                <w:highlight w:val="none"/>
                <w:lang w:eastAsia="zh-CN" w:bidi="ar"/>
              </w:rPr>
              <w:t>维修保养</w:t>
            </w:r>
            <w:r>
              <w:rPr>
                <w:rFonts w:hint="eastAsia" w:ascii="宋体" w:hAnsi="宋体" w:eastAsia="宋体" w:cs="宋体"/>
                <w:color w:val="auto"/>
                <w:kern w:val="0"/>
                <w:sz w:val="20"/>
                <w:szCs w:val="20"/>
                <w:highlight w:val="none"/>
                <w:lang w:bidi="ar"/>
              </w:rPr>
              <w:t>记录和档案管理工作</w:t>
            </w:r>
            <w:r>
              <w:rPr>
                <w:rFonts w:hint="eastAsia" w:ascii="宋体" w:hAnsi="宋体" w:eastAsia="宋体" w:cs="宋体"/>
                <w:b w:val="0"/>
                <w:bCs/>
                <w:color w:val="auto"/>
                <w:sz w:val="20"/>
                <w:szCs w:val="20"/>
                <w:highlight w:val="none"/>
                <w:lang w:val="en-US" w:eastAsia="zh-CN"/>
              </w:rPr>
              <w:t>。</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0C878B6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2A94A15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08A8E5C2">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6FE77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jc w:val="center"/>
        </w:trPr>
        <w:tc>
          <w:tcPr>
            <w:tcW w:w="645" w:type="dxa"/>
            <w:vMerge w:val="continue"/>
            <w:tcBorders>
              <w:left w:val="single" w:color="auto" w:sz="4" w:space="0"/>
              <w:right w:val="single" w:color="auto" w:sz="4" w:space="0"/>
            </w:tcBorders>
            <w:noWrap w:val="0"/>
            <w:vAlign w:val="center"/>
          </w:tcPr>
          <w:p w14:paraId="7F96E8D5">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20" w:type="dxa"/>
            <w:vMerge w:val="continue"/>
            <w:tcBorders>
              <w:left w:val="nil"/>
              <w:right w:val="single" w:color="auto" w:sz="4" w:space="0"/>
            </w:tcBorders>
            <w:noWrap w:val="0"/>
            <w:vAlign w:val="center"/>
          </w:tcPr>
          <w:p w14:paraId="72BDB35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4DE9FB5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1" w:type="dxa"/>
            <w:tcBorders>
              <w:top w:val="single" w:color="auto" w:sz="4" w:space="0"/>
              <w:left w:val="nil"/>
              <w:bottom w:val="single" w:color="auto" w:sz="4" w:space="0"/>
              <w:right w:val="single" w:color="auto" w:sz="4" w:space="0"/>
            </w:tcBorders>
            <w:noWrap w:val="0"/>
            <w:vAlign w:val="center"/>
          </w:tcPr>
          <w:p w14:paraId="601BDADF">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未配合采购方临时或紧急需求。</w:t>
            </w:r>
          </w:p>
        </w:tc>
        <w:tc>
          <w:tcPr>
            <w:tcW w:w="1215" w:type="dxa"/>
            <w:tcBorders>
              <w:top w:val="single" w:color="auto" w:sz="4" w:space="0"/>
              <w:left w:val="nil"/>
              <w:bottom w:val="single" w:color="auto" w:sz="4" w:space="0"/>
              <w:right w:val="single" w:color="auto" w:sz="4" w:space="0"/>
            </w:tcBorders>
            <w:noWrap w:val="0"/>
            <w:vAlign w:val="center"/>
          </w:tcPr>
          <w:p w14:paraId="470FB1E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15326C56">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757E0CF4">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43C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6" w:hRule="atLeast"/>
          <w:jc w:val="center"/>
        </w:trPr>
        <w:tc>
          <w:tcPr>
            <w:tcW w:w="645" w:type="dxa"/>
            <w:vMerge w:val="continue"/>
            <w:tcBorders>
              <w:left w:val="single" w:color="auto" w:sz="4" w:space="0"/>
              <w:right w:val="single" w:color="auto" w:sz="4" w:space="0"/>
            </w:tcBorders>
            <w:noWrap w:val="0"/>
            <w:vAlign w:val="center"/>
          </w:tcPr>
          <w:p w14:paraId="36F6893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20" w:type="dxa"/>
            <w:vMerge w:val="continue"/>
            <w:tcBorders>
              <w:left w:val="nil"/>
              <w:right w:val="single" w:color="auto" w:sz="4" w:space="0"/>
            </w:tcBorders>
            <w:noWrap w:val="0"/>
            <w:vAlign w:val="center"/>
          </w:tcPr>
          <w:p w14:paraId="40B63E6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1EE920BB">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1" w:type="dxa"/>
            <w:tcBorders>
              <w:top w:val="single" w:color="auto" w:sz="4" w:space="0"/>
              <w:left w:val="nil"/>
              <w:bottom w:val="single" w:color="auto" w:sz="4" w:space="0"/>
              <w:right w:val="single" w:color="auto" w:sz="4" w:space="0"/>
            </w:tcBorders>
            <w:noWrap w:val="0"/>
            <w:vAlign w:val="center"/>
          </w:tcPr>
          <w:p w14:paraId="1D467EA8">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未制定应急方案，且在紧急事件发生时，不能及时处理，给采购方带来损失。</w:t>
            </w:r>
          </w:p>
        </w:tc>
        <w:tc>
          <w:tcPr>
            <w:tcW w:w="1215" w:type="dxa"/>
            <w:tcBorders>
              <w:top w:val="single" w:color="auto" w:sz="4" w:space="0"/>
              <w:left w:val="nil"/>
              <w:bottom w:val="single" w:color="auto" w:sz="4" w:space="0"/>
              <w:right w:val="single" w:color="auto" w:sz="4" w:space="0"/>
            </w:tcBorders>
            <w:noWrap w:val="0"/>
            <w:vAlign w:val="center"/>
          </w:tcPr>
          <w:p w14:paraId="58992D1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1D910B8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385694BA">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2869F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0" w:hRule="atLeast"/>
          <w:jc w:val="center"/>
        </w:trPr>
        <w:tc>
          <w:tcPr>
            <w:tcW w:w="645" w:type="dxa"/>
            <w:vMerge w:val="restart"/>
            <w:tcBorders>
              <w:left w:val="single" w:color="auto" w:sz="4" w:space="0"/>
              <w:right w:val="single" w:color="auto" w:sz="4" w:space="0"/>
            </w:tcBorders>
            <w:noWrap w:val="0"/>
            <w:vAlign w:val="center"/>
          </w:tcPr>
          <w:p w14:paraId="6DE4405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820" w:type="dxa"/>
            <w:vMerge w:val="restart"/>
            <w:tcBorders>
              <w:left w:val="nil"/>
              <w:right w:val="single" w:color="auto" w:sz="4" w:space="0"/>
            </w:tcBorders>
            <w:shd w:val="clear" w:color="auto" w:fill="auto"/>
            <w:noWrap w:val="0"/>
            <w:vAlign w:val="center"/>
          </w:tcPr>
          <w:p w14:paraId="1989A85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人员持证上岗、工作经验丰富，服务态度良好，处理问题及反馈及时。</w:t>
            </w:r>
          </w:p>
          <w:p w14:paraId="0D85B37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p>
        </w:tc>
        <w:tc>
          <w:tcPr>
            <w:tcW w:w="878" w:type="dxa"/>
            <w:vMerge w:val="restart"/>
            <w:tcBorders>
              <w:left w:val="nil"/>
              <w:right w:val="single" w:color="auto" w:sz="4" w:space="0"/>
            </w:tcBorders>
            <w:shd w:val="clear" w:color="auto" w:fill="auto"/>
            <w:noWrap w:val="0"/>
            <w:vAlign w:val="center"/>
          </w:tcPr>
          <w:p w14:paraId="421D8B8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30</w:t>
            </w: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346D848F">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相关法规要求的服务人员必须持证上岗，包括国家法规要求、行业要求、特种岗位要求、从业资格证等。如发现服务人员存在没有持证上岗的情况。</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2F09BFA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4</w:t>
            </w:r>
            <w:r>
              <w:rPr>
                <w:rFonts w:hint="eastAsia" w:ascii="宋体" w:hAnsi="宋体" w:eastAsia="宋体" w:cs="宋体"/>
                <w:b w:val="0"/>
                <w:bCs w:val="0"/>
                <w:color w:val="auto"/>
                <w:sz w:val="20"/>
                <w:szCs w:val="20"/>
                <w:highlight w:val="none"/>
              </w:rPr>
              <w:t>分/</w:t>
            </w:r>
            <w:r>
              <w:rPr>
                <w:rFonts w:hint="eastAsia" w:ascii="宋体" w:hAnsi="宋体" w:eastAsia="宋体" w:cs="宋体"/>
                <w:b w:val="0"/>
                <w:bCs w:val="0"/>
                <w:color w:val="auto"/>
                <w:sz w:val="20"/>
                <w:szCs w:val="20"/>
                <w:highlight w:val="none"/>
                <w:lang w:val="en-US" w:eastAsia="zh-CN"/>
              </w:rPr>
              <w:t>人</w:t>
            </w:r>
          </w:p>
        </w:tc>
        <w:tc>
          <w:tcPr>
            <w:tcW w:w="782" w:type="dxa"/>
            <w:tcBorders>
              <w:top w:val="single" w:color="auto" w:sz="4" w:space="0"/>
              <w:left w:val="nil"/>
              <w:bottom w:val="single" w:color="auto" w:sz="4" w:space="0"/>
              <w:right w:val="single" w:color="auto" w:sz="4" w:space="0"/>
            </w:tcBorders>
            <w:noWrap w:val="0"/>
            <w:vAlign w:val="top"/>
          </w:tcPr>
          <w:p w14:paraId="573809B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604E6171">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0E54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1" w:hRule="atLeast"/>
          <w:jc w:val="center"/>
        </w:trPr>
        <w:tc>
          <w:tcPr>
            <w:tcW w:w="645" w:type="dxa"/>
            <w:vMerge w:val="continue"/>
            <w:tcBorders>
              <w:left w:val="single" w:color="auto" w:sz="4" w:space="0"/>
              <w:right w:val="single" w:color="auto" w:sz="4" w:space="0"/>
            </w:tcBorders>
            <w:noWrap w:val="0"/>
            <w:vAlign w:val="center"/>
          </w:tcPr>
          <w:p w14:paraId="6593B9B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820" w:type="dxa"/>
            <w:vMerge w:val="continue"/>
            <w:tcBorders>
              <w:left w:val="nil"/>
              <w:right w:val="single" w:color="auto" w:sz="4" w:space="0"/>
            </w:tcBorders>
            <w:noWrap w:val="0"/>
            <w:vAlign w:val="center"/>
          </w:tcPr>
          <w:p w14:paraId="74357AD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5739E3B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73FCA3E8">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服务人员应具备丰富的相关经验和专业判断能力。服务商派出的人员如</w:t>
            </w:r>
            <w:r>
              <w:rPr>
                <w:rFonts w:hint="eastAsia" w:ascii="宋体" w:hAnsi="宋体" w:eastAsia="宋体" w:cs="宋体"/>
                <w:color w:val="auto"/>
                <w:kern w:val="0"/>
                <w:sz w:val="20"/>
                <w:szCs w:val="20"/>
                <w:highlight w:val="none"/>
                <w:lang w:bidi="ar"/>
              </w:rPr>
              <w:t>无法对</w:t>
            </w:r>
            <w:r>
              <w:rPr>
                <w:rFonts w:hint="eastAsia" w:ascii="宋体" w:hAnsi="宋体" w:eastAsia="宋体" w:cs="宋体"/>
                <w:color w:val="auto"/>
                <w:kern w:val="0"/>
                <w:sz w:val="20"/>
                <w:szCs w:val="20"/>
                <w:highlight w:val="none"/>
                <w:lang w:val="en-US" w:eastAsia="zh-CN" w:bidi="ar"/>
              </w:rPr>
              <w:t>消防系统</w:t>
            </w:r>
            <w:r>
              <w:rPr>
                <w:rFonts w:hint="eastAsia" w:ascii="宋体" w:hAnsi="宋体" w:eastAsia="宋体" w:cs="宋体"/>
                <w:color w:val="auto"/>
                <w:kern w:val="0"/>
                <w:sz w:val="20"/>
                <w:szCs w:val="20"/>
                <w:highlight w:val="none"/>
                <w:lang w:eastAsia="zh-CN" w:bidi="ar"/>
              </w:rPr>
              <w:t>出现的</w:t>
            </w:r>
            <w:r>
              <w:rPr>
                <w:rFonts w:hint="eastAsia" w:ascii="宋体" w:hAnsi="宋体" w:eastAsia="宋体" w:cs="宋体"/>
                <w:color w:val="auto"/>
                <w:kern w:val="0"/>
                <w:sz w:val="20"/>
                <w:szCs w:val="20"/>
                <w:highlight w:val="none"/>
                <w:lang w:bidi="ar"/>
              </w:rPr>
              <w:t>问题能够作出专业判断、诊断和</w:t>
            </w:r>
            <w:r>
              <w:rPr>
                <w:rFonts w:hint="eastAsia" w:ascii="宋体" w:hAnsi="宋体" w:eastAsia="宋体" w:cs="宋体"/>
                <w:color w:val="auto"/>
                <w:kern w:val="0"/>
                <w:sz w:val="20"/>
                <w:szCs w:val="20"/>
                <w:highlight w:val="none"/>
                <w:lang w:eastAsia="zh-CN" w:bidi="ar"/>
              </w:rPr>
              <w:t>维修提出</w:t>
            </w:r>
            <w:r>
              <w:rPr>
                <w:rFonts w:hint="eastAsia" w:ascii="宋体" w:hAnsi="宋体" w:eastAsia="宋体" w:cs="宋体"/>
                <w:color w:val="auto"/>
                <w:kern w:val="0"/>
                <w:sz w:val="20"/>
                <w:szCs w:val="20"/>
                <w:highlight w:val="none"/>
                <w:lang w:bidi="ar"/>
              </w:rPr>
              <w:t>处理方案</w:t>
            </w:r>
            <w:r>
              <w:rPr>
                <w:rFonts w:hint="eastAsia" w:ascii="宋体" w:hAnsi="宋体" w:eastAsia="宋体" w:cs="宋体"/>
                <w:b w:val="0"/>
                <w:bCs/>
                <w:color w:val="auto"/>
                <w:sz w:val="20"/>
                <w:szCs w:val="20"/>
                <w:highlight w:val="none"/>
                <w:lang w:val="en-US" w:eastAsia="zh-CN"/>
              </w:rPr>
              <w:t>。</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1C68391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0E83BEE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6527DD0A">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1080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1" w:hRule="atLeast"/>
          <w:jc w:val="center"/>
        </w:trPr>
        <w:tc>
          <w:tcPr>
            <w:tcW w:w="645" w:type="dxa"/>
            <w:vMerge w:val="continue"/>
            <w:tcBorders>
              <w:left w:val="single" w:color="auto" w:sz="4" w:space="0"/>
              <w:right w:val="single" w:color="auto" w:sz="4" w:space="0"/>
            </w:tcBorders>
            <w:noWrap w:val="0"/>
            <w:vAlign w:val="center"/>
          </w:tcPr>
          <w:p w14:paraId="4F25257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820" w:type="dxa"/>
            <w:vMerge w:val="continue"/>
            <w:tcBorders>
              <w:left w:val="nil"/>
              <w:right w:val="single" w:color="auto" w:sz="4" w:space="0"/>
            </w:tcBorders>
            <w:noWrap w:val="0"/>
            <w:vAlign w:val="center"/>
          </w:tcPr>
          <w:p w14:paraId="51A6A6E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1DAB739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5C87E9E9">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服务人员服务态度良好，应对采购方提出的问题耐心解答，对反馈的问题及时跟进。如服务人员态度恶劣，消极怠工。</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71B7BF0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6B710814">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040B119F">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B4B7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2" w:hRule="atLeast"/>
          <w:jc w:val="center"/>
        </w:trPr>
        <w:tc>
          <w:tcPr>
            <w:tcW w:w="645" w:type="dxa"/>
            <w:vMerge w:val="restart"/>
            <w:tcBorders>
              <w:left w:val="single" w:color="auto" w:sz="4" w:space="0"/>
              <w:right w:val="single" w:color="auto" w:sz="4" w:space="0"/>
            </w:tcBorders>
            <w:noWrap w:val="0"/>
            <w:vAlign w:val="center"/>
          </w:tcPr>
          <w:p w14:paraId="260BF62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820" w:type="dxa"/>
            <w:vMerge w:val="restart"/>
            <w:tcBorders>
              <w:left w:val="nil"/>
              <w:right w:val="single" w:color="auto" w:sz="4" w:space="0"/>
            </w:tcBorders>
            <w:noWrap w:val="0"/>
            <w:vAlign w:val="center"/>
          </w:tcPr>
          <w:p w14:paraId="406804ED">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val="0"/>
                <w:color w:val="auto"/>
                <w:sz w:val="20"/>
                <w:szCs w:val="20"/>
                <w:highlight w:val="none"/>
              </w:rPr>
            </w:pPr>
            <w:r>
              <w:rPr>
                <w:rFonts w:hint="eastAsia" w:ascii="宋体" w:hAnsi="宋体" w:eastAsia="宋体" w:cs="宋体"/>
                <w:b w:val="0"/>
                <w:bCs/>
                <w:color w:val="auto"/>
                <w:sz w:val="20"/>
                <w:szCs w:val="20"/>
                <w:highlight w:val="none"/>
                <w:lang w:val="en-US" w:eastAsia="zh-CN"/>
              </w:rPr>
              <w:t>安全管理</w:t>
            </w:r>
          </w:p>
        </w:tc>
        <w:tc>
          <w:tcPr>
            <w:tcW w:w="878" w:type="dxa"/>
            <w:vMerge w:val="restart"/>
            <w:tcBorders>
              <w:left w:val="nil"/>
              <w:right w:val="single" w:color="auto" w:sz="4" w:space="0"/>
            </w:tcBorders>
            <w:noWrap w:val="0"/>
            <w:vAlign w:val="center"/>
          </w:tcPr>
          <w:p w14:paraId="7C569FC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64AD0B23">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服务商必须严格执行采购方的安全规定。每出现一次安全事故。</w:t>
            </w:r>
          </w:p>
        </w:tc>
        <w:tc>
          <w:tcPr>
            <w:tcW w:w="1215" w:type="dxa"/>
            <w:tcBorders>
              <w:top w:val="single" w:color="auto" w:sz="4" w:space="0"/>
              <w:left w:val="nil"/>
              <w:bottom w:val="single" w:color="auto" w:sz="4" w:space="0"/>
              <w:right w:val="single" w:color="auto" w:sz="4" w:space="0"/>
            </w:tcBorders>
            <w:noWrap w:val="0"/>
            <w:vAlign w:val="center"/>
          </w:tcPr>
          <w:p w14:paraId="2FC8693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47EC55F4">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466D5617">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809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2" w:hRule="atLeast"/>
          <w:jc w:val="center"/>
        </w:trPr>
        <w:tc>
          <w:tcPr>
            <w:tcW w:w="645" w:type="dxa"/>
            <w:vMerge w:val="continue"/>
            <w:tcBorders>
              <w:left w:val="single" w:color="auto" w:sz="4" w:space="0"/>
              <w:right w:val="single" w:color="auto" w:sz="4" w:space="0"/>
            </w:tcBorders>
            <w:noWrap w:val="0"/>
            <w:vAlign w:val="center"/>
          </w:tcPr>
          <w:p w14:paraId="691D44A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820" w:type="dxa"/>
            <w:vMerge w:val="continue"/>
            <w:tcBorders>
              <w:left w:val="nil"/>
              <w:right w:val="single" w:color="auto" w:sz="4" w:space="0"/>
            </w:tcBorders>
            <w:noWrap w:val="0"/>
            <w:vAlign w:val="center"/>
          </w:tcPr>
          <w:p w14:paraId="39DA0EF9">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30B0E95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359E1715">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服务商必须严格执行采购方的安全规定。每出现一次重大安全事故。</w:t>
            </w:r>
          </w:p>
        </w:tc>
        <w:tc>
          <w:tcPr>
            <w:tcW w:w="1215" w:type="dxa"/>
            <w:tcBorders>
              <w:top w:val="single" w:color="auto" w:sz="4" w:space="0"/>
              <w:left w:val="nil"/>
              <w:bottom w:val="single" w:color="auto" w:sz="4" w:space="0"/>
              <w:right w:val="single" w:color="auto" w:sz="4" w:space="0"/>
            </w:tcBorders>
            <w:noWrap w:val="0"/>
            <w:vAlign w:val="center"/>
          </w:tcPr>
          <w:p w14:paraId="1FED407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074995A5">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7899A4B3">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083D0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0" w:hRule="atLeast"/>
          <w:jc w:val="center"/>
        </w:trPr>
        <w:tc>
          <w:tcPr>
            <w:tcW w:w="645" w:type="dxa"/>
            <w:vMerge w:val="restart"/>
            <w:tcBorders>
              <w:left w:val="single" w:color="auto" w:sz="4" w:space="0"/>
              <w:right w:val="single" w:color="auto" w:sz="4" w:space="0"/>
            </w:tcBorders>
            <w:noWrap w:val="0"/>
            <w:vAlign w:val="center"/>
          </w:tcPr>
          <w:p w14:paraId="2A550A4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820" w:type="dxa"/>
            <w:vMerge w:val="restart"/>
            <w:tcBorders>
              <w:left w:val="nil"/>
              <w:right w:val="single" w:color="auto" w:sz="4" w:space="0"/>
            </w:tcBorders>
            <w:shd w:val="clear" w:color="auto" w:fill="auto"/>
            <w:noWrap w:val="0"/>
            <w:vAlign w:val="center"/>
          </w:tcPr>
          <w:p w14:paraId="01C72281">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保密管理</w:t>
            </w:r>
          </w:p>
        </w:tc>
        <w:tc>
          <w:tcPr>
            <w:tcW w:w="878" w:type="dxa"/>
            <w:vMerge w:val="restart"/>
            <w:tcBorders>
              <w:left w:val="nil"/>
              <w:right w:val="single" w:color="auto" w:sz="4" w:space="0"/>
            </w:tcBorders>
            <w:shd w:val="clear" w:color="auto" w:fill="auto"/>
            <w:noWrap w:val="0"/>
            <w:vAlign w:val="center"/>
          </w:tcPr>
          <w:p w14:paraId="7CBA149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64C8380E">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服务人员未做好保密工作，造成了信息泄露。</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28A2418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4B881BEA">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2CE117B1">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1E6CE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5" w:hRule="atLeast"/>
          <w:jc w:val="center"/>
        </w:trPr>
        <w:tc>
          <w:tcPr>
            <w:tcW w:w="645" w:type="dxa"/>
            <w:vMerge w:val="continue"/>
            <w:tcBorders>
              <w:left w:val="single" w:color="auto" w:sz="4" w:space="0"/>
              <w:right w:val="single" w:color="auto" w:sz="4" w:space="0"/>
            </w:tcBorders>
            <w:noWrap w:val="0"/>
            <w:vAlign w:val="center"/>
          </w:tcPr>
          <w:p w14:paraId="36A3CCE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820" w:type="dxa"/>
            <w:vMerge w:val="continue"/>
            <w:tcBorders>
              <w:left w:val="nil"/>
              <w:right w:val="single" w:color="auto" w:sz="4" w:space="0"/>
            </w:tcBorders>
            <w:noWrap w:val="0"/>
            <w:vAlign w:val="center"/>
          </w:tcPr>
          <w:p w14:paraId="4BBE0007">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514E5DA3">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1" w:type="dxa"/>
            <w:tcBorders>
              <w:top w:val="single" w:color="auto" w:sz="4" w:space="0"/>
              <w:left w:val="nil"/>
              <w:bottom w:val="single" w:color="auto" w:sz="4" w:space="0"/>
              <w:right w:val="single" w:color="auto" w:sz="4" w:space="0"/>
            </w:tcBorders>
            <w:shd w:val="clear" w:color="auto" w:fill="auto"/>
            <w:noWrap w:val="0"/>
            <w:vAlign w:val="center"/>
          </w:tcPr>
          <w:p w14:paraId="4C1DE198">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服务人员未做好保密工作，造成了信息泄露，信息泄露给采购方带来重大影响。</w:t>
            </w:r>
          </w:p>
        </w:tc>
        <w:tc>
          <w:tcPr>
            <w:tcW w:w="1215" w:type="dxa"/>
            <w:tcBorders>
              <w:top w:val="single" w:color="auto" w:sz="4" w:space="0"/>
              <w:left w:val="nil"/>
              <w:bottom w:val="single" w:color="auto" w:sz="4" w:space="0"/>
              <w:right w:val="single" w:color="auto" w:sz="4" w:space="0"/>
            </w:tcBorders>
            <w:shd w:val="clear" w:color="auto" w:fill="auto"/>
            <w:noWrap w:val="0"/>
            <w:vAlign w:val="center"/>
          </w:tcPr>
          <w:p w14:paraId="4EC1B58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782" w:type="dxa"/>
            <w:tcBorders>
              <w:top w:val="single" w:color="auto" w:sz="4" w:space="0"/>
              <w:left w:val="nil"/>
              <w:bottom w:val="single" w:color="auto" w:sz="4" w:space="0"/>
              <w:right w:val="single" w:color="auto" w:sz="4" w:space="0"/>
            </w:tcBorders>
            <w:noWrap w:val="0"/>
            <w:vAlign w:val="top"/>
          </w:tcPr>
          <w:p w14:paraId="275BD935">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597" w:type="dxa"/>
            <w:tcBorders>
              <w:top w:val="single" w:color="auto" w:sz="4" w:space="0"/>
              <w:left w:val="nil"/>
              <w:bottom w:val="single" w:color="auto" w:sz="4" w:space="0"/>
              <w:right w:val="single" w:color="auto" w:sz="4" w:space="0"/>
            </w:tcBorders>
            <w:noWrap w:val="0"/>
            <w:vAlign w:val="center"/>
          </w:tcPr>
          <w:p w14:paraId="4780048E">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bl>
    <w:tbl>
      <w:tblPr>
        <w:tblStyle w:val="16"/>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9"/>
      </w:tblGrid>
      <w:tr w14:paraId="1085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859" w:type="dxa"/>
            <w:vAlign w:val="center"/>
          </w:tcPr>
          <w:p w14:paraId="4DA4A1E4">
            <w:pPr>
              <w:pStyle w:val="18"/>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lang w:val="en-US" w:eastAsia="zh-CN"/>
              </w:rPr>
              <w:t xml:space="preserve">                                            考核得分：</w:t>
            </w:r>
          </w:p>
        </w:tc>
      </w:tr>
      <w:tr w14:paraId="07DC5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9" w:type="dxa"/>
            <w:vAlign w:val="center"/>
          </w:tcPr>
          <w:p w14:paraId="080AE7FF">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13A4848C">
            <w:pPr>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w:t>
            </w:r>
            <w:r>
              <w:rPr>
                <w:rFonts w:hint="eastAsia" w:ascii="宋体" w:hAnsi="宋体" w:cs="宋体"/>
                <w:color w:val="auto"/>
                <w:sz w:val="20"/>
                <w:szCs w:val="20"/>
                <w:highlight w:val="none"/>
                <w:lang w:val="en-US" w:eastAsia="zh-CN"/>
              </w:rPr>
              <w:t>签名：</w:t>
            </w:r>
          </w:p>
          <w:p w14:paraId="2C0E457D">
            <w:pPr>
              <w:rPr>
                <w:rFonts w:hint="eastAsia" w:ascii="宋体" w:hAnsi="宋体" w:eastAsia="宋体" w:cs="宋体"/>
                <w:color w:val="auto"/>
                <w:sz w:val="20"/>
                <w:szCs w:val="20"/>
                <w:highlight w:val="none"/>
                <w:vertAlign w:val="baseline"/>
                <w:lang w:val="en-US" w:eastAsia="zh-CN"/>
              </w:rPr>
            </w:pPr>
            <w:r>
              <w:rPr>
                <w:rFonts w:hint="eastAsia" w:ascii="宋体" w:hAnsi="宋体" w:cs="宋体"/>
                <w:color w:val="auto"/>
                <w:sz w:val="20"/>
                <w:szCs w:val="20"/>
                <w:highlight w:val="none"/>
                <w:lang w:val="en-US" w:eastAsia="zh-CN"/>
              </w:rPr>
              <w:t xml:space="preserve">                                                   日期：</w:t>
            </w:r>
          </w:p>
        </w:tc>
      </w:tr>
    </w:tbl>
    <w:p w14:paraId="18513132">
      <w:pPr>
        <w:rPr>
          <w:rFonts w:hint="eastAsia"/>
          <w:highlight w:val="none"/>
          <w:lang w:val="en-US" w:eastAsia="zh-CN"/>
        </w:rPr>
      </w:pPr>
      <w:r>
        <w:rPr>
          <w:rFonts w:hint="eastAsia"/>
          <w:highlight w:val="none"/>
          <w:lang w:val="en-US" w:eastAsia="zh-CN"/>
        </w:rPr>
        <w:br w:type="page"/>
      </w:r>
    </w:p>
    <w:p w14:paraId="10244B02">
      <w:pPr>
        <w:pStyle w:val="4"/>
        <w:bidi w:val="0"/>
        <w:jc w:val="center"/>
        <w:rPr>
          <w:rFonts w:hint="eastAsia"/>
          <w:highlight w:val="none"/>
          <w:lang w:val="en-US" w:eastAsia="zh-CN"/>
        </w:rPr>
      </w:pPr>
      <w:bookmarkStart w:id="562" w:name="_Toc26472"/>
      <w:bookmarkStart w:id="563" w:name="_Toc24359"/>
      <w:r>
        <w:rPr>
          <w:rFonts w:hint="eastAsia"/>
          <w:highlight w:val="none"/>
          <w:lang w:val="en-US" w:eastAsia="zh-CN"/>
        </w:rPr>
        <w:t>（十五）电梯维保服务项目</w:t>
      </w:r>
      <w:bookmarkEnd w:id="562"/>
      <w:bookmarkEnd w:id="563"/>
    </w:p>
    <w:p w14:paraId="2A3EA3A3">
      <w:pPr>
        <w:bidi w:val="0"/>
        <w:rPr>
          <w:rFonts w:hint="eastAsia" w:ascii="宋体" w:hAnsi="宋体" w:eastAsia="宋体" w:cs="宋体"/>
          <w:b/>
          <w:bCs/>
          <w:highlight w:val="none"/>
        </w:rPr>
      </w:pPr>
      <w:r>
        <w:rPr>
          <w:rFonts w:hint="eastAsia" w:ascii="宋体" w:hAnsi="宋体" w:eastAsia="宋体" w:cs="宋体"/>
          <w:b/>
          <w:bCs/>
          <w:highlight w:val="none"/>
          <w:lang w:val="en-US" w:eastAsia="zh-CN"/>
        </w:rPr>
        <w:t>1.</w:t>
      </w:r>
      <w:r>
        <w:rPr>
          <w:rFonts w:hint="eastAsia" w:ascii="宋体" w:hAnsi="宋体" w:eastAsia="宋体" w:cs="宋体"/>
          <w:b/>
          <w:bCs/>
          <w:highlight w:val="none"/>
        </w:rPr>
        <w:t>项目服务标准及要求</w:t>
      </w:r>
    </w:p>
    <w:p w14:paraId="7D9E7D80">
      <w:pPr>
        <w:bidi w:val="0"/>
        <w:ind w:firstLine="402" w:firstLineChars="200"/>
        <w:rPr>
          <w:rFonts w:hint="eastAsia" w:ascii="宋体" w:hAnsi="宋体" w:eastAsia="宋体" w:cs="宋体"/>
          <w:b/>
          <w:bCs/>
          <w:highlight w:val="none"/>
        </w:rPr>
      </w:pPr>
      <w:bookmarkStart w:id="564" w:name="_Toc31603"/>
      <w:bookmarkStart w:id="565" w:name="_Toc10799"/>
      <w:bookmarkStart w:id="566" w:name="_Toc32319"/>
      <w:r>
        <w:rPr>
          <w:rFonts w:hint="eastAsia" w:ascii="宋体" w:hAnsi="宋体" w:eastAsia="宋体" w:cs="宋体"/>
          <w:b/>
          <w:bCs/>
          <w:highlight w:val="none"/>
          <w:lang w:val="en-US" w:eastAsia="zh-CN"/>
        </w:rPr>
        <w:t>1.1</w:t>
      </w:r>
      <w:r>
        <w:rPr>
          <w:rFonts w:hint="eastAsia" w:ascii="宋体" w:hAnsi="宋体" w:eastAsia="宋体" w:cs="宋体"/>
          <w:b/>
          <w:bCs/>
          <w:highlight w:val="none"/>
        </w:rPr>
        <w:t>项目服务标准</w:t>
      </w:r>
      <w:bookmarkEnd w:id="564"/>
      <w:bookmarkEnd w:id="565"/>
      <w:bookmarkEnd w:id="566"/>
    </w:p>
    <w:p w14:paraId="0F9CCB7D">
      <w:pPr>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b w:val="0"/>
          <w:bCs w:val="0"/>
          <w:sz w:val="20"/>
          <w:szCs w:val="20"/>
          <w:highlight w:val="none"/>
          <w:lang w:val="en-US" w:eastAsia="zh-CN"/>
        </w:rPr>
        <w:t>服务商在提供电梯维保服务时，需按照如下标准执行，要求所用标准必须为最新版本，如果这些标准有矛盾时，应按最高标准的条款执行或按双方商定的标准执行。此外，如果在合同执行期间国家颁布新的标准时，应按最新的条款执行。</w:t>
      </w:r>
    </w:p>
    <w:tbl>
      <w:tblPr>
        <w:tblStyle w:val="16"/>
        <w:tblW w:w="9132" w:type="dxa"/>
        <w:tblInd w:w="-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8261"/>
      </w:tblGrid>
      <w:tr w14:paraId="3A00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blHeader/>
        </w:trPr>
        <w:tc>
          <w:tcPr>
            <w:tcW w:w="871" w:type="dxa"/>
            <w:vAlign w:val="center"/>
          </w:tcPr>
          <w:p w14:paraId="6D2BB07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sz w:val="20"/>
                <w:szCs w:val="20"/>
                <w:highlight w:val="none"/>
                <w:vertAlign w:val="baseline"/>
                <w:lang w:val="en-US" w:eastAsia="zh-CN"/>
              </w:rPr>
            </w:pPr>
            <w:r>
              <w:rPr>
                <w:rFonts w:hint="eastAsia" w:ascii="宋体" w:hAnsi="宋体" w:eastAsia="宋体" w:cs="宋体"/>
                <w:b/>
                <w:bCs/>
                <w:sz w:val="20"/>
                <w:szCs w:val="20"/>
                <w:highlight w:val="none"/>
                <w:vertAlign w:val="baseline"/>
                <w:lang w:val="en-US" w:eastAsia="zh-CN"/>
              </w:rPr>
              <w:t>序号</w:t>
            </w:r>
          </w:p>
        </w:tc>
        <w:tc>
          <w:tcPr>
            <w:tcW w:w="8261" w:type="dxa"/>
            <w:vAlign w:val="center"/>
          </w:tcPr>
          <w:p w14:paraId="3B48BD9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sz w:val="20"/>
                <w:szCs w:val="20"/>
                <w:highlight w:val="none"/>
                <w:vertAlign w:val="baseline"/>
                <w:lang w:val="en-US" w:eastAsia="zh-CN"/>
              </w:rPr>
            </w:pPr>
            <w:r>
              <w:rPr>
                <w:rFonts w:hint="eastAsia" w:ascii="宋体" w:hAnsi="宋体" w:eastAsia="宋体" w:cs="宋体"/>
                <w:b/>
                <w:bCs/>
                <w:sz w:val="20"/>
                <w:szCs w:val="20"/>
                <w:highlight w:val="none"/>
                <w:vertAlign w:val="baseline"/>
                <w:lang w:val="en-US" w:eastAsia="zh-CN"/>
              </w:rPr>
              <w:t>相关标准</w:t>
            </w:r>
          </w:p>
        </w:tc>
      </w:tr>
      <w:tr w14:paraId="49984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71" w:type="dxa"/>
            <w:vAlign w:val="center"/>
          </w:tcPr>
          <w:p w14:paraId="2C2DADB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w:t>
            </w:r>
          </w:p>
        </w:tc>
        <w:tc>
          <w:tcPr>
            <w:tcW w:w="8261" w:type="dxa"/>
            <w:vAlign w:val="center"/>
          </w:tcPr>
          <w:p w14:paraId="4DD601D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sz w:val="20"/>
                <w:szCs w:val="20"/>
                <w:highlight w:val="none"/>
              </w:rPr>
            </w:pPr>
            <w:r>
              <w:rPr>
                <w:rFonts w:hint="eastAsia" w:ascii="宋体" w:hAnsi="宋体" w:eastAsia="宋体" w:cs="宋体"/>
                <w:sz w:val="20"/>
                <w:szCs w:val="20"/>
                <w:highlight w:val="none"/>
              </w:rPr>
              <w:t>《中华人民共和国特种设备安全法》</w:t>
            </w:r>
          </w:p>
        </w:tc>
      </w:tr>
      <w:tr w14:paraId="09236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71" w:type="dxa"/>
            <w:vAlign w:val="center"/>
          </w:tcPr>
          <w:p w14:paraId="77C9AB2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2</w:t>
            </w:r>
          </w:p>
        </w:tc>
        <w:tc>
          <w:tcPr>
            <w:tcW w:w="8261" w:type="dxa"/>
            <w:vAlign w:val="center"/>
          </w:tcPr>
          <w:p w14:paraId="1D099C49">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sz w:val="20"/>
                <w:szCs w:val="20"/>
                <w:highlight w:val="none"/>
              </w:rPr>
            </w:pPr>
            <w:r>
              <w:rPr>
                <w:rFonts w:hint="eastAsia" w:ascii="宋体" w:hAnsi="宋体" w:eastAsia="宋体" w:cs="宋体"/>
                <w:color w:val="auto"/>
                <w:kern w:val="0"/>
                <w:sz w:val="20"/>
                <w:szCs w:val="20"/>
                <w:highlight w:val="none"/>
              </w:rPr>
              <w:t>《特种设备安全监察条例》</w:t>
            </w:r>
          </w:p>
        </w:tc>
      </w:tr>
      <w:tr w14:paraId="00C0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71" w:type="dxa"/>
            <w:vAlign w:val="center"/>
          </w:tcPr>
          <w:p w14:paraId="2C2CEF1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3</w:t>
            </w:r>
          </w:p>
        </w:tc>
        <w:tc>
          <w:tcPr>
            <w:tcW w:w="8261" w:type="dxa"/>
            <w:vAlign w:val="center"/>
          </w:tcPr>
          <w:p w14:paraId="1FB9E009">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10"/>
                <w:sz w:val="20"/>
                <w:szCs w:val="20"/>
                <w:highlight w:val="none"/>
              </w:rPr>
              <w:t>《广西壮族自治区电梯安全条例》</w:t>
            </w:r>
          </w:p>
        </w:tc>
      </w:tr>
      <w:tr w14:paraId="2521B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71" w:type="dxa"/>
            <w:vAlign w:val="center"/>
          </w:tcPr>
          <w:p w14:paraId="47167EB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4</w:t>
            </w:r>
          </w:p>
        </w:tc>
        <w:tc>
          <w:tcPr>
            <w:tcW w:w="8261" w:type="dxa"/>
            <w:vAlign w:val="center"/>
          </w:tcPr>
          <w:p w14:paraId="5A761395">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sz w:val="20"/>
                <w:szCs w:val="20"/>
                <w:highlight w:val="none"/>
              </w:rPr>
            </w:pPr>
            <w:r>
              <w:rPr>
                <w:rFonts w:hint="eastAsia" w:ascii="宋体" w:hAnsi="宋体" w:eastAsia="宋体" w:cs="宋体"/>
                <w:sz w:val="20"/>
                <w:szCs w:val="20"/>
                <w:highlight w:val="none"/>
              </w:rPr>
              <w:t>《电梯制造与安装安全规范》（GB 7588）</w:t>
            </w:r>
          </w:p>
        </w:tc>
      </w:tr>
      <w:tr w14:paraId="48D91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71" w:type="dxa"/>
            <w:vAlign w:val="center"/>
          </w:tcPr>
          <w:p w14:paraId="66FE979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5</w:t>
            </w:r>
          </w:p>
        </w:tc>
        <w:tc>
          <w:tcPr>
            <w:tcW w:w="8261" w:type="dxa"/>
            <w:vAlign w:val="center"/>
          </w:tcPr>
          <w:p w14:paraId="72E182C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sz w:val="20"/>
                <w:szCs w:val="20"/>
                <w:highlight w:val="none"/>
              </w:rPr>
            </w:pPr>
            <w:r>
              <w:rPr>
                <w:rFonts w:hint="eastAsia" w:ascii="宋体" w:hAnsi="宋体" w:eastAsia="宋体" w:cs="宋体"/>
                <w:sz w:val="20"/>
                <w:szCs w:val="20"/>
                <w:highlight w:val="none"/>
              </w:rPr>
              <w:t>《电梯维修规范》（GB/T18775-2002）</w:t>
            </w:r>
          </w:p>
        </w:tc>
      </w:tr>
      <w:tr w14:paraId="3845A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71" w:type="dxa"/>
            <w:vAlign w:val="center"/>
          </w:tcPr>
          <w:p w14:paraId="0EE4764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6</w:t>
            </w:r>
          </w:p>
        </w:tc>
        <w:tc>
          <w:tcPr>
            <w:tcW w:w="8261" w:type="dxa"/>
            <w:vAlign w:val="center"/>
          </w:tcPr>
          <w:p w14:paraId="7541C51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sz w:val="20"/>
                <w:szCs w:val="20"/>
                <w:highlight w:val="none"/>
              </w:rPr>
            </w:pPr>
            <w:r>
              <w:rPr>
                <w:rFonts w:hint="eastAsia" w:ascii="宋体" w:hAnsi="宋体" w:eastAsia="宋体" w:cs="宋体"/>
                <w:sz w:val="20"/>
                <w:szCs w:val="20"/>
                <w:highlight w:val="none"/>
              </w:rPr>
              <w:t>《电梯制造与安装安全规范》（GB7588</w:t>
            </w:r>
            <w:r>
              <w:rPr>
                <w:rFonts w:hint="eastAsia" w:ascii="宋体" w:hAnsi="宋体" w:eastAsia="宋体" w:cs="宋体"/>
                <w:sz w:val="20"/>
                <w:szCs w:val="20"/>
                <w:highlight w:val="none"/>
                <w:lang w:val="en-US" w:eastAsia="zh-CN"/>
              </w:rPr>
              <w:t>.1-2020</w:t>
            </w:r>
            <w:r>
              <w:rPr>
                <w:rFonts w:hint="eastAsia" w:ascii="宋体" w:hAnsi="宋体" w:eastAsia="宋体" w:cs="宋体"/>
                <w:sz w:val="20"/>
                <w:szCs w:val="20"/>
                <w:highlight w:val="none"/>
              </w:rPr>
              <w:t>）</w:t>
            </w:r>
          </w:p>
        </w:tc>
      </w:tr>
      <w:tr w14:paraId="47984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71" w:type="dxa"/>
            <w:vAlign w:val="center"/>
          </w:tcPr>
          <w:p w14:paraId="63BCE78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7</w:t>
            </w:r>
          </w:p>
        </w:tc>
        <w:tc>
          <w:tcPr>
            <w:tcW w:w="8261" w:type="dxa"/>
            <w:vAlign w:val="center"/>
          </w:tcPr>
          <w:p w14:paraId="57CB030E">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rPr>
              <w:t>《电梯制造与安装安全规范》</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GB7588—2003</w:t>
            </w:r>
            <w:r>
              <w:rPr>
                <w:rFonts w:hint="eastAsia" w:ascii="宋体" w:hAnsi="宋体" w:eastAsia="宋体" w:cs="宋体"/>
                <w:sz w:val="20"/>
                <w:szCs w:val="20"/>
                <w:highlight w:val="none"/>
                <w:lang w:eastAsia="zh-CN"/>
              </w:rPr>
              <w:t>）</w:t>
            </w:r>
          </w:p>
        </w:tc>
      </w:tr>
      <w:tr w14:paraId="73E0A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71" w:type="dxa"/>
            <w:vAlign w:val="center"/>
          </w:tcPr>
          <w:p w14:paraId="0802124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8</w:t>
            </w:r>
          </w:p>
        </w:tc>
        <w:tc>
          <w:tcPr>
            <w:tcW w:w="8261" w:type="dxa"/>
            <w:vAlign w:val="center"/>
          </w:tcPr>
          <w:p w14:paraId="4AFE263A">
            <w:pPr>
              <w:pStyle w:val="26"/>
              <w:numPr>
                <w:ilvl w:val="0"/>
                <w:numId w:val="0"/>
              </w:numPr>
              <w:tabs>
                <w:tab w:val="left" w:pos="593"/>
              </w:tabs>
              <w:spacing w:before="129" w:after="0" w:line="240" w:lineRule="auto"/>
              <w:ind w:right="0" w:rightChars="0"/>
              <w:jc w:val="left"/>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rPr>
              <w:t>《杂物电梯制造与安装安全规范》</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GB25194-2010</w:t>
            </w:r>
            <w:r>
              <w:rPr>
                <w:rFonts w:hint="eastAsia" w:ascii="宋体" w:hAnsi="宋体" w:eastAsia="宋体" w:cs="宋体"/>
                <w:sz w:val="20"/>
                <w:szCs w:val="20"/>
                <w:highlight w:val="none"/>
                <w:lang w:eastAsia="zh-CN"/>
              </w:rPr>
              <w:t>）</w:t>
            </w:r>
          </w:p>
        </w:tc>
      </w:tr>
      <w:tr w14:paraId="23841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871" w:type="dxa"/>
            <w:vAlign w:val="center"/>
          </w:tcPr>
          <w:p w14:paraId="3EC6A7E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9</w:t>
            </w:r>
          </w:p>
        </w:tc>
        <w:tc>
          <w:tcPr>
            <w:tcW w:w="8261" w:type="dxa"/>
            <w:vAlign w:val="center"/>
          </w:tcPr>
          <w:p w14:paraId="0ADE2127">
            <w:pPr>
              <w:pStyle w:val="26"/>
              <w:numPr>
                <w:ilvl w:val="0"/>
                <w:numId w:val="0"/>
              </w:numPr>
              <w:tabs>
                <w:tab w:val="left" w:pos="593"/>
              </w:tabs>
              <w:spacing w:before="129" w:after="0" w:line="240" w:lineRule="auto"/>
              <w:ind w:right="0" w:rightChars="0"/>
              <w:jc w:val="left"/>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rPr>
              <w:t>《电梯技术条件》</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GB/T10058－2009</w:t>
            </w:r>
            <w:r>
              <w:rPr>
                <w:rFonts w:hint="eastAsia" w:ascii="宋体" w:hAnsi="宋体" w:eastAsia="宋体" w:cs="宋体"/>
                <w:sz w:val="20"/>
                <w:szCs w:val="20"/>
                <w:highlight w:val="none"/>
                <w:lang w:eastAsia="zh-CN"/>
              </w:rPr>
              <w:t>）</w:t>
            </w:r>
          </w:p>
        </w:tc>
      </w:tr>
      <w:tr w14:paraId="082DC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71" w:type="dxa"/>
            <w:vAlign w:val="center"/>
          </w:tcPr>
          <w:p w14:paraId="708E249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10</w:t>
            </w:r>
          </w:p>
        </w:tc>
        <w:tc>
          <w:tcPr>
            <w:tcW w:w="8261" w:type="dxa"/>
            <w:vAlign w:val="center"/>
          </w:tcPr>
          <w:p w14:paraId="0C90F85F">
            <w:pPr>
              <w:pStyle w:val="26"/>
              <w:numPr>
                <w:ilvl w:val="0"/>
                <w:numId w:val="0"/>
              </w:numPr>
              <w:tabs>
                <w:tab w:val="left" w:pos="593"/>
              </w:tabs>
              <w:spacing w:before="130" w:after="0" w:line="240" w:lineRule="auto"/>
              <w:ind w:right="0" w:rightChars="0"/>
              <w:jc w:val="left"/>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rPr>
              <w:t>《电梯、自动扶梯、自动人行道术语》</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GB/T7024－2008</w:t>
            </w:r>
            <w:r>
              <w:rPr>
                <w:rFonts w:hint="eastAsia" w:ascii="宋体" w:hAnsi="宋体" w:eastAsia="宋体" w:cs="宋体"/>
                <w:sz w:val="20"/>
                <w:szCs w:val="20"/>
                <w:highlight w:val="none"/>
                <w:lang w:eastAsia="zh-CN"/>
              </w:rPr>
              <w:t>）</w:t>
            </w:r>
          </w:p>
        </w:tc>
      </w:tr>
      <w:tr w14:paraId="2BD5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71" w:type="dxa"/>
            <w:vAlign w:val="center"/>
          </w:tcPr>
          <w:p w14:paraId="6367BEC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11</w:t>
            </w:r>
          </w:p>
        </w:tc>
        <w:tc>
          <w:tcPr>
            <w:tcW w:w="8261" w:type="dxa"/>
            <w:vAlign w:val="center"/>
          </w:tcPr>
          <w:p w14:paraId="311979A9">
            <w:pPr>
              <w:pStyle w:val="26"/>
              <w:numPr>
                <w:ilvl w:val="0"/>
                <w:numId w:val="0"/>
              </w:numPr>
              <w:tabs>
                <w:tab w:val="left" w:pos="593"/>
              </w:tabs>
              <w:spacing w:before="129" w:after="0" w:line="240" w:lineRule="auto"/>
              <w:ind w:right="0" w:rightChars="0"/>
              <w:jc w:val="left"/>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rPr>
              <w:t>《电梯、自动扶梯、自动人行道维修规范》</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GB/T18775-2009</w:t>
            </w:r>
            <w:r>
              <w:rPr>
                <w:rFonts w:hint="eastAsia" w:ascii="宋体" w:hAnsi="宋体" w:eastAsia="宋体" w:cs="宋体"/>
                <w:sz w:val="20"/>
                <w:szCs w:val="20"/>
                <w:highlight w:val="none"/>
                <w:lang w:eastAsia="zh-CN"/>
              </w:rPr>
              <w:t>）</w:t>
            </w:r>
          </w:p>
        </w:tc>
      </w:tr>
      <w:tr w14:paraId="2993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71" w:type="dxa"/>
            <w:vAlign w:val="center"/>
          </w:tcPr>
          <w:p w14:paraId="32E7E48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12</w:t>
            </w:r>
          </w:p>
        </w:tc>
        <w:tc>
          <w:tcPr>
            <w:tcW w:w="8261" w:type="dxa"/>
            <w:vAlign w:val="center"/>
          </w:tcPr>
          <w:p w14:paraId="5F4DF4CC">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rPr>
              <w:t>《电梯维修规范》</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GB/T18775-200</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lang w:eastAsia="zh-CN"/>
              </w:rPr>
              <w:t>）</w:t>
            </w:r>
          </w:p>
        </w:tc>
      </w:tr>
      <w:tr w14:paraId="1B12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71" w:type="dxa"/>
            <w:vAlign w:val="center"/>
          </w:tcPr>
          <w:p w14:paraId="2AF52BF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13</w:t>
            </w:r>
          </w:p>
        </w:tc>
        <w:tc>
          <w:tcPr>
            <w:tcW w:w="8261" w:type="dxa"/>
            <w:vAlign w:val="center"/>
          </w:tcPr>
          <w:p w14:paraId="36324246">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sz w:val="20"/>
                <w:szCs w:val="20"/>
                <w:highlight w:val="none"/>
              </w:rPr>
            </w:pPr>
            <w:r>
              <w:rPr>
                <w:rFonts w:hint="eastAsia" w:ascii="宋体" w:hAnsi="宋体" w:eastAsia="宋体" w:cs="宋体"/>
                <w:sz w:val="20"/>
                <w:szCs w:val="20"/>
                <w:highlight w:val="none"/>
              </w:rPr>
              <w:t>《电梯维护保养规则》（TSG T5002-2017)</w:t>
            </w:r>
          </w:p>
        </w:tc>
      </w:tr>
      <w:tr w14:paraId="3B3A2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71" w:type="dxa"/>
            <w:vAlign w:val="center"/>
          </w:tcPr>
          <w:p w14:paraId="3072DCC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14</w:t>
            </w:r>
          </w:p>
        </w:tc>
        <w:tc>
          <w:tcPr>
            <w:tcW w:w="8261" w:type="dxa"/>
            <w:vAlign w:val="center"/>
          </w:tcPr>
          <w:p w14:paraId="69A4E1F6">
            <w:pPr>
              <w:pStyle w:val="26"/>
              <w:numPr>
                <w:ilvl w:val="0"/>
                <w:numId w:val="0"/>
              </w:numPr>
              <w:tabs>
                <w:tab w:val="left" w:pos="593"/>
              </w:tabs>
              <w:spacing w:before="129" w:after="0" w:line="240" w:lineRule="auto"/>
              <w:ind w:right="0" w:rightChars="0"/>
              <w:jc w:val="left"/>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rPr>
              <w:t>《电梯监督检验和定期检验规则—曳引与强制驱动电梯》</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TSG T7001－20</w:t>
            </w:r>
            <w:r>
              <w:rPr>
                <w:rFonts w:hint="eastAsia" w:ascii="宋体" w:hAnsi="宋体" w:eastAsia="宋体" w:cs="宋体"/>
                <w:sz w:val="20"/>
                <w:szCs w:val="20"/>
                <w:highlight w:val="none"/>
                <w:lang w:val="en-US" w:eastAsia="zh-CN"/>
              </w:rPr>
              <w:t>23</w:t>
            </w:r>
            <w:r>
              <w:rPr>
                <w:rFonts w:hint="eastAsia" w:ascii="宋体" w:hAnsi="宋体" w:eastAsia="宋体" w:cs="宋体"/>
                <w:sz w:val="20"/>
                <w:szCs w:val="20"/>
                <w:highlight w:val="none"/>
                <w:lang w:eastAsia="zh-CN"/>
              </w:rPr>
              <w:t>）</w:t>
            </w:r>
          </w:p>
        </w:tc>
      </w:tr>
      <w:tr w14:paraId="737E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71" w:type="dxa"/>
            <w:vAlign w:val="center"/>
          </w:tcPr>
          <w:p w14:paraId="57BAC7E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15</w:t>
            </w:r>
          </w:p>
        </w:tc>
        <w:tc>
          <w:tcPr>
            <w:tcW w:w="8261" w:type="dxa"/>
            <w:vAlign w:val="center"/>
          </w:tcPr>
          <w:p w14:paraId="725A74BA">
            <w:pPr>
              <w:pStyle w:val="26"/>
              <w:numPr>
                <w:ilvl w:val="0"/>
                <w:numId w:val="0"/>
              </w:numPr>
              <w:tabs>
                <w:tab w:val="left" w:pos="593"/>
              </w:tabs>
              <w:spacing w:before="129" w:after="0" w:line="240" w:lineRule="auto"/>
              <w:ind w:right="0" w:rightChars="0"/>
              <w:jc w:val="left"/>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lang w:eastAsia="zh-CN"/>
              </w:rPr>
              <w:t>《电梯使用管理与维护保养规则》</w:t>
            </w:r>
            <w:r>
              <w:rPr>
                <w:rFonts w:hint="eastAsia" w:ascii="宋体" w:hAnsi="宋体" w:eastAsia="宋体" w:cs="宋体"/>
                <w:sz w:val="20"/>
                <w:szCs w:val="20"/>
                <w:highlight w:val="none"/>
                <w:lang w:val="en-US" w:eastAsia="zh-CN"/>
              </w:rPr>
              <w:t>TSG5001-2023</w:t>
            </w:r>
          </w:p>
        </w:tc>
      </w:tr>
      <w:tr w14:paraId="593C1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71" w:type="dxa"/>
            <w:vAlign w:val="center"/>
          </w:tcPr>
          <w:p w14:paraId="17E6358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16</w:t>
            </w:r>
          </w:p>
        </w:tc>
        <w:tc>
          <w:tcPr>
            <w:tcW w:w="8261" w:type="dxa"/>
            <w:vAlign w:val="center"/>
          </w:tcPr>
          <w:p w14:paraId="06ED6476">
            <w:pPr>
              <w:pStyle w:val="26"/>
              <w:numPr>
                <w:ilvl w:val="0"/>
                <w:numId w:val="0"/>
              </w:numPr>
              <w:tabs>
                <w:tab w:val="left" w:pos="593"/>
              </w:tabs>
              <w:spacing w:before="129" w:after="0" w:line="240" w:lineRule="auto"/>
              <w:ind w:right="0" w:rightChars="0"/>
              <w:jc w:val="both"/>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rPr>
              <w:t>《电梯监督检验和定期检验规则—杂物电梯》</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TSG T7006-2012</w:t>
            </w:r>
            <w:r>
              <w:rPr>
                <w:rFonts w:hint="eastAsia" w:ascii="宋体" w:hAnsi="宋体" w:eastAsia="宋体" w:cs="宋体"/>
                <w:sz w:val="20"/>
                <w:szCs w:val="20"/>
                <w:highlight w:val="none"/>
                <w:lang w:eastAsia="zh-CN"/>
              </w:rPr>
              <w:t>）</w:t>
            </w:r>
          </w:p>
        </w:tc>
      </w:tr>
      <w:tr w14:paraId="6A2C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71" w:type="dxa"/>
            <w:vAlign w:val="center"/>
          </w:tcPr>
          <w:p w14:paraId="1F989B6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17</w:t>
            </w:r>
          </w:p>
        </w:tc>
        <w:tc>
          <w:tcPr>
            <w:tcW w:w="8261" w:type="dxa"/>
            <w:vAlign w:val="center"/>
          </w:tcPr>
          <w:p w14:paraId="01FBFFF3">
            <w:pPr>
              <w:pStyle w:val="26"/>
              <w:numPr>
                <w:ilvl w:val="0"/>
                <w:numId w:val="0"/>
              </w:numPr>
              <w:tabs>
                <w:tab w:val="left" w:pos="593"/>
              </w:tabs>
              <w:spacing w:before="129" w:after="0" w:line="240" w:lineRule="auto"/>
              <w:ind w:right="0" w:rightChars="0"/>
              <w:jc w:val="both"/>
              <w:rPr>
                <w:rFonts w:hint="eastAsia" w:ascii="宋体" w:hAnsi="宋体" w:eastAsia="宋体" w:cs="宋体"/>
                <w:sz w:val="20"/>
                <w:szCs w:val="20"/>
                <w:highlight w:val="none"/>
              </w:rPr>
            </w:pPr>
            <w:r>
              <w:rPr>
                <w:rFonts w:hint="eastAsia" w:ascii="宋体" w:hAnsi="宋体" w:eastAsia="宋体" w:cs="宋体"/>
                <w:color w:val="auto"/>
                <w:spacing w:val="-8"/>
                <w:sz w:val="20"/>
                <w:szCs w:val="20"/>
                <w:highlight w:val="none"/>
              </w:rPr>
              <w:t>《特种设备使用管理规则》</w:t>
            </w:r>
            <w:r>
              <w:rPr>
                <w:rFonts w:hint="eastAsia" w:ascii="宋体" w:hAnsi="宋体" w:eastAsia="宋体" w:cs="宋体"/>
                <w:color w:val="auto"/>
                <w:spacing w:val="-8"/>
                <w:sz w:val="20"/>
                <w:szCs w:val="20"/>
                <w:highlight w:val="none"/>
                <w:lang w:eastAsia="zh-CN"/>
              </w:rPr>
              <w:t>（</w:t>
            </w:r>
            <w:r>
              <w:rPr>
                <w:rFonts w:hint="eastAsia" w:ascii="宋体" w:hAnsi="宋体" w:eastAsia="宋体" w:cs="宋体"/>
                <w:color w:val="auto"/>
                <w:spacing w:val="-8"/>
                <w:sz w:val="20"/>
                <w:szCs w:val="20"/>
                <w:highlight w:val="none"/>
              </w:rPr>
              <w:t>TSG08-2017</w:t>
            </w:r>
            <w:r>
              <w:rPr>
                <w:rFonts w:hint="eastAsia" w:ascii="宋体" w:hAnsi="宋体" w:eastAsia="宋体" w:cs="宋体"/>
                <w:color w:val="auto"/>
                <w:spacing w:val="-8"/>
                <w:sz w:val="20"/>
                <w:szCs w:val="20"/>
                <w:highlight w:val="none"/>
                <w:lang w:eastAsia="zh-CN"/>
              </w:rPr>
              <w:t>）</w:t>
            </w:r>
          </w:p>
        </w:tc>
      </w:tr>
      <w:tr w14:paraId="589AB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71" w:type="dxa"/>
            <w:vAlign w:val="center"/>
          </w:tcPr>
          <w:p w14:paraId="00494BD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kern w:val="2"/>
                <w:sz w:val="20"/>
                <w:szCs w:val="20"/>
                <w:highlight w:val="none"/>
                <w:vertAlign w:val="baseline"/>
                <w:lang w:val="en-US" w:eastAsia="zh-CN" w:bidi="ar-SA"/>
              </w:rPr>
            </w:pPr>
            <w:r>
              <w:rPr>
                <w:rFonts w:hint="eastAsia" w:ascii="宋体" w:hAnsi="宋体" w:eastAsia="宋体" w:cs="宋体"/>
                <w:b w:val="0"/>
                <w:bCs w:val="0"/>
                <w:sz w:val="20"/>
                <w:szCs w:val="20"/>
                <w:highlight w:val="none"/>
                <w:vertAlign w:val="baseline"/>
                <w:lang w:val="en-US" w:eastAsia="zh-CN"/>
              </w:rPr>
              <w:t>18</w:t>
            </w:r>
          </w:p>
        </w:tc>
        <w:tc>
          <w:tcPr>
            <w:tcW w:w="8261" w:type="dxa"/>
            <w:vAlign w:val="center"/>
          </w:tcPr>
          <w:p w14:paraId="2861991C">
            <w:pPr>
              <w:keepNext w:val="0"/>
              <w:keepLines w:val="0"/>
              <w:widowControl/>
              <w:suppressLineNumbers w:val="0"/>
              <w:jc w:val="both"/>
              <w:rPr>
                <w:rFonts w:hint="eastAsia" w:ascii="宋体" w:hAnsi="宋体" w:eastAsia="宋体" w:cs="宋体"/>
                <w:sz w:val="20"/>
                <w:szCs w:val="20"/>
                <w:highlight w:val="none"/>
              </w:rPr>
            </w:pPr>
            <w:r>
              <w:rPr>
                <w:rFonts w:hint="eastAsia" w:ascii="宋体" w:hAnsi="宋体" w:eastAsia="宋体" w:cs="宋体"/>
                <w:color w:val="000000"/>
                <w:kern w:val="0"/>
                <w:sz w:val="20"/>
                <w:szCs w:val="20"/>
                <w:highlight w:val="none"/>
                <w:lang w:val="en-US" w:eastAsia="zh-CN" w:bidi="ar"/>
              </w:rPr>
              <w:t>《电梯维护保养要求》 (DB37/722-2007)</w:t>
            </w:r>
          </w:p>
        </w:tc>
      </w:tr>
      <w:tr w14:paraId="6B94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71" w:type="dxa"/>
            <w:vAlign w:val="center"/>
          </w:tcPr>
          <w:p w14:paraId="2B8AAEE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19</w:t>
            </w:r>
          </w:p>
        </w:tc>
        <w:tc>
          <w:tcPr>
            <w:tcW w:w="8261" w:type="dxa"/>
            <w:vAlign w:val="center"/>
          </w:tcPr>
          <w:p w14:paraId="6A01A2F0">
            <w:pPr>
              <w:pStyle w:val="26"/>
              <w:numPr>
                <w:ilvl w:val="0"/>
                <w:numId w:val="0"/>
              </w:numPr>
              <w:tabs>
                <w:tab w:val="left" w:pos="593"/>
              </w:tabs>
              <w:spacing w:before="129" w:after="0" w:line="240" w:lineRule="auto"/>
              <w:ind w:right="0" w:rightChars="0"/>
              <w:jc w:val="both"/>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sz w:val="20"/>
                <w:szCs w:val="20"/>
                <w:highlight w:val="none"/>
              </w:rPr>
              <w:t>《电梯日常维护保养规范》</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DB45/681-2010</w:t>
            </w:r>
            <w:r>
              <w:rPr>
                <w:rFonts w:hint="eastAsia" w:ascii="宋体" w:hAnsi="宋体" w:eastAsia="宋体" w:cs="宋体"/>
                <w:sz w:val="20"/>
                <w:szCs w:val="20"/>
                <w:highlight w:val="none"/>
                <w:lang w:eastAsia="zh-CN"/>
              </w:rPr>
              <w:t>）</w:t>
            </w:r>
          </w:p>
        </w:tc>
      </w:tr>
      <w:tr w14:paraId="1CDDA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71" w:type="dxa"/>
            <w:vAlign w:val="center"/>
          </w:tcPr>
          <w:p w14:paraId="197E245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20</w:t>
            </w:r>
          </w:p>
        </w:tc>
        <w:tc>
          <w:tcPr>
            <w:tcW w:w="8261" w:type="dxa"/>
            <w:vAlign w:val="center"/>
          </w:tcPr>
          <w:p w14:paraId="03635DEF">
            <w:pPr>
              <w:pStyle w:val="26"/>
              <w:numPr>
                <w:ilvl w:val="0"/>
                <w:numId w:val="0"/>
              </w:numPr>
              <w:tabs>
                <w:tab w:val="left" w:pos="593"/>
              </w:tabs>
              <w:spacing w:before="129" w:after="0" w:line="240" w:lineRule="auto"/>
              <w:ind w:right="0" w:rightChars="0"/>
              <w:jc w:val="both"/>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《电梯安装维修作业安全规范》（DB11/419-2007）</w:t>
            </w:r>
          </w:p>
        </w:tc>
      </w:tr>
      <w:tr w14:paraId="121B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71" w:type="dxa"/>
            <w:vAlign w:val="center"/>
          </w:tcPr>
          <w:p w14:paraId="40093E1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21</w:t>
            </w:r>
          </w:p>
        </w:tc>
        <w:tc>
          <w:tcPr>
            <w:tcW w:w="8261" w:type="dxa"/>
            <w:vAlign w:val="center"/>
          </w:tcPr>
          <w:p w14:paraId="7BA32D92">
            <w:pPr>
              <w:pStyle w:val="26"/>
              <w:numPr>
                <w:ilvl w:val="0"/>
                <w:numId w:val="0"/>
              </w:numPr>
              <w:tabs>
                <w:tab w:val="left" w:pos="593"/>
              </w:tabs>
              <w:spacing w:before="129" w:after="0" w:line="240" w:lineRule="auto"/>
              <w:ind w:right="0" w:rightChars="0"/>
              <w:jc w:val="both"/>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《电梯安装改造重大维修和维护保养自检规则》（DB11/420-2007）</w:t>
            </w:r>
          </w:p>
        </w:tc>
      </w:tr>
      <w:tr w14:paraId="4E37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71" w:type="dxa"/>
            <w:vAlign w:val="center"/>
          </w:tcPr>
          <w:p w14:paraId="0AE7C3E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22</w:t>
            </w:r>
          </w:p>
        </w:tc>
        <w:tc>
          <w:tcPr>
            <w:tcW w:w="8261" w:type="dxa"/>
            <w:vAlign w:val="center"/>
          </w:tcPr>
          <w:p w14:paraId="276FEDE9">
            <w:pPr>
              <w:pStyle w:val="26"/>
              <w:numPr>
                <w:ilvl w:val="0"/>
                <w:numId w:val="0"/>
              </w:numPr>
              <w:tabs>
                <w:tab w:val="left" w:pos="593"/>
              </w:tabs>
              <w:spacing w:before="129" w:after="0" w:line="240" w:lineRule="auto"/>
              <w:ind w:right="0" w:rightChars="0"/>
              <w:jc w:val="both"/>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《电梯维护保养要求》（DB37/722-2007）</w:t>
            </w:r>
          </w:p>
        </w:tc>
      </w:tr>
      <w:tr w14:paraId="689CC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71" w:type="dxa"/>
            <w:vAlign w:val="center"/>
          </w:tcPr>
          <w:p w14:paraId="6A72233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23</w:t>
            </w:r>
          </w:p>
        </w:tc>
        <w:tc>
          <w:tcPr>
            <w:tcW w:w="8261" w:type="dxa"/>
            <w:vAlign w:val="center"/>
          </w:tcPr>
          <w:p w14:paraId="29661972">
            <w:pPr>
              <w:pStyle w:val="26"/>
              <w:numPr>
                <w:ilvl w:val="0"/>
                <w:numId w:val="0"/>
              </w:numPr>
              <w:tabs>
                <w:tab w:val="left" w:pos="593"/>
              </w:tabs>
              <w:spacing w:before="129" w:after="0" w:line="240" w:lineRule="auto"/>
              <w:ind w:right="0" w:rightChars="0"/>
              <w:jc w:val="both"/>
              <w:rPr>
                <w:rFonts w:hint="eastAsia" w:ascii="宋体" w:hAnsi="宋体" w:eastAsia="宋体" w:cs="宋体"/>
                <w:sz w:val="20"/>
                <w:szCs w:val="20"/>
                <w:highlight w:val="none"/>
              </w:rPr>
            </w:pPr>
            <w:r>
              <w:rPr>
                <w:rFonts w:hint="eastAsia" w:ascii="宋体" w:hAnsi="宋体" w:eastAsia="宋体" w:cs="宋体"/>
                <w:sz w:val="20"/>
                <w:szCs w:val="20"/>
                <w:highlight w:val="none"/>
              </w:rPr>
              <w:t>《电梯使用维护说明书》和《电梯维修规范》的</w:t>
            </w:r>
            <w:r>
              <w:rPr>
                <w:rFonts w:hint="eastAsia" w:ascii="宋体" w:hAnsi="宋体" w:eastAsia="宋体" w:cs="宋体"/>
                <w:sz w:val="20"/>
                <w:szCs w:val="20"/>
                <w:highlight w:val="none"/>
                <w:lang w:val="en-US" w:eastAsia="zh-CN"/>
              </w:rPr>
              <w:t>相关要求</w:t>
            </w:r>
          </w:p>
        </w:tc>
      </w:tr>
      <w:tr w14:paraId="0BE3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71" w:type="dxa"/>
            <w:vAlign w:val="center"/>
          </w:tcPr>
          <w:p w14:paraId="7D109FE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24</w:t>
            </w:r>
          </w:p>
        </w:tc>
        <w:tc>
          <w:tcPr>
            <w:tcW w:w="8261" w:type="dxa"/>
            <w:vAlign w:val="center"/>
          </w:tcPr>
          <w:p w14:paraId="7F36528A">
            <w:pPr>
              <w:pStyle w:val="26"/>
              <w:numPr>
                <w:ilvl w:val="0"/>
                <w:numId w:val="0"/>
              </w:numPr>
              <w:tabs>
                <w:tab w:val="left" w:pos="593"/>
              </w:tabs>
              <w:spacing w:before="129" w:after="0" w:line="240" w:lineRule="auto"/>
              <w:ind w:right="0" w:rightChars="0"/>
              <w:jc w:val="both"/>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《液压电梯制造与安全规范》（GB21240-2007）</w:t>
            </w:r>
          </w:p>
        </w:tc>
      </w:tr>
      <w:tr w14:paraId="11C78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71" w:type="dxa"/>
            <w:vAlign w:val="center"/>
          </w:tcPr>
          <w:p w14:paraId="1C9AA97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val="0"/>
                <w:bCs w:val="0"/>
                <w:sz w:val="20"/>
                <w:szCs w:val="20"/>
                <w:highlight w:val="none"/>
                <w:vertAlign w:val="baseline"/>
                <w:lang w:val="en-US" w:eastAsia="zh-CN"/>
              </w:rPr>
            </w:pPr>
            <w:r>
              <w:rPr>
                <w:rFonts w:hint="eastAsia" w:ascii="宋体" w:hAnsi="宋体" w:eastAsia="宋体" w:cs="宋体"/>
                <w:b w:val="0"/>
                <w:bCs w:val="0"/>
                <w:sz w:val="20"/>
                <w:szCs w:val="20"/>
                <w:highlight w:val="none"/>
                <w:vertAlign w:val="baseline"/>
                <w:lang w:val="en-US" w:eastAsia="zh-CN"/>
              </w:rPr>
              <w:t>25</w:t>
            </w:r>
          </w:p>
        </w:tc>
        <w:tc>
          <w:tcPr>
            <w:tcW w:w="8261" w:type="dxa"/>
            <w:vAlign w:val="center"/>
          </w:tcPr>
          <w:p w14:paraId="60E56D44">
            <w:pPr>
              <w:pStyle w:val="26"/>
              <w:numPr>
                <w:ilvl w:val="0"/>
                <w:numId w:val="0"/>
              </w:numPr>
              <w:tabs>
                <w:tab w:val="left" w:pos="593"/>
              </w:tabs>
              <w:spacing w:before="129" w:after="0" w:line="240" w:lineRule="auto"/>
              <w:ind w:right="0" w:rightChars="0"/>
              <w:jc w:val="both"/>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《电梯、自动扶梯和自动人行道维护保养质量规范》</w:t>
            </w:r>
          </w:p>
        </w:tc>
      </w:tr>
    </w:tbl>
    <w:p w14:paraId="51B846EC">
      <w:pPr>
        <w:bidi w:val="0"/>
        <w:rPr>
          <w:rFonts w:hint="eastAsia" w:ascii="宋体" w:hAnsi="宋体" w:eastAsia="宋体" w:cs="宋体"/>
          <w:b/>
          <w:bCs/>
          <w:highlight w:val="none"/>
          <w:lang w:val="en-US" w:eastAsia="zh-CN"/>
        </w:rPr>
      </w:pPr>
      <w:bookmarkStart w:id="567" w:name="_Toc20033"/>
      <w:bookmarkStart w:id="568" w:name="_Toc7741"/>
      <w:bookmarkStart w:id="569" w:name="_Toc32223"/>
    </w:p>
    <w:p w14:paraId="28405A28">
      <w:pPr>
        <w:bidi w:val="0"/>
        <w:ind w:firstLine="402" w:firstLineChars="200"/>
        <w:rPr>
          <w:rFonts w:hint="eastAsia" w:ascii="宋体" w:hAnsi="宋体" w:eastAsia="宋体" w:cs="宋体"/>
          <w:b/>
          <w:bCs/>
          <w:highlight w:val="none"/>
        </w:rPr>
      </w:pPr>
      <w:r>
        <w:rPr>
          <w:rFonts w:hint="eastAsia" w:ascii="宋体" w:hAnsi="宋体" w:eastAsia="宋体" w:cs="宋体"/>
          <w:b/>
          <w:bCs/>
          <w:highlight w:val="none"/>
          <w:lang w:val="en-US" w:eastAsia="zh-CN"/>
        </w:rPr>
        <w:t>1.2</w:t>
      </w:r>
      <w:r>
        <w:rPr>
          <w:rFonts w:hint="eastAsia" w:ascii="宋体" w:hAnsi="宋体" w:eastAsia="宋体" w:cs="宋体"/>
          <w:b/>
          <w:bCs/>
          <w:highlight w:val="none"/>
        </w:rPr>
        <w:t>项目服务要求</w:t>
      </w:r>
      <w:bookmarkEnd w:id="567"/>
      <w:bookmarkEnd w:id="568"/>
      <w:bookmarkEnd w:id="569"/>
    </w:p>
    <w:p w14:paraId="12920FD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1.2.1</w:t>
      </w:r>
      <w:r>
        <w:rPr>
          <w:rFonts w:hint="eastAsia" w:ascii="宋体" w:hAnsi="宋体" w:eastAsia="宋体" w:cs="宋体"/>
          <w:sz w:val="20"/>
          <w:szCs w:val="20"/>
          <w:highlight w:val="none"/>
        </w:rPr>
        <w:t>合同实施前，服务商需对采购方整体</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运行状况进行全面摸查，根据摸查情况，针对</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维保服务项目，需指派专人进行对接，熟悉和了解采购方</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构成。</w:t>
      </w:r>
    </w:p>
    <w:p w14:paraId="30A5C3D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w:t>
      </w:r>
      <w:r>
        <w:rPr>
          <w:rFonts w:hint="eastAsia" w:ascii="宋体" w:hAnsi="宋体" w:eastAsia="宋体" w:cs="宋体"/>
          <w:sz w:val="20"/>
          <w:szCs w:val="20"/>
          <w:highlight w:val="none"/>
          <w:lang w:eastAsia="zh-CN"/>
        </w:rPr>
        <w:t>2</w:t>
      </w:r>
      <w:r>
        <w:rPr>
          <w:rFonts w:hint="eastAsia" w:ascii="宋体" w:hAnsi="宋体" w:eastAsia="宋体" w:cs="宋体"/>
          <w:sz w:val="20"/>
          <w:szCs w:val="20"/>
          <w:highlight w:val="none"/>
          <w:lang w:val="en-US" w:eastAsia="zh-CN"/>
        </w:rPr>
        <w:t>.2</w:t>
      </w:r>
      <w:r>
        <w:rPr>
          <w:rFonts w:hint="eastAsia" w:ascii="宋体" w:hAnsi="宋体" w:eastAsia="宋体" w:cs="宋体"/>
          <w:sz w:val="20"/>
          <w:szCs w:val="20"/>
          <w:highlight w:val="none"/>
        </w:rPr>
        <w:t>为保证</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正常有效运转，</w:t>
      </w:r>
      <w:r>
        <w:rPr>
          <w:rFonts w:hint="eastAsia" w:ascii="宋体" w:hAnsi="宋体" w:eastAsia="宋体" w:cs="宋体"/>
          <w:bCs/>
          <w:color w:val="auto"/>
          <w:sz w:val="20"/>
          <w:szCs w:val="20"/>
          <w:highlight w:val="none"/>
          <w:lang w:val="en-US" w:eastAsia="zh-CN"/>
        </w:rPr>
        <w:t>服务商必须按照采购方的要求执行</w:t>
      </w:r>
      <w:r>
        <w:rPr>
          <w:rFonts w:hint="eastAsia" w:ascii="宋体" w:hAnsi="宋体" w:eastAsia="宋体" w:cs="宋体"/>
          <w:sz w:val="20"/>
          <w:szCs w:val="20"/>
          <w:highlight w:val="none"/>
        </w:rPr>
        <w:t>。</w:t>
      </w:r>
    </w:p>
    <w:p w14:paraId="5170DCF8">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3</w:t>
      </w:r>
      <w:r>
        <w:rPr>
          <w:rFonts w:hint="eastAsia" w:ascii="宋体" w:hAnsi="宋体" w:eastAsia="宋体" w:cs="宋体"/>
          <w:sz w:val="20"/>
          <w:szCs w:val="20"/>
          <w:highlight w:val="none"/>
        </w:rPr>
        <w:t>服务商提供24小时的故障接受渠道（热线电话、微信、传真、电子邮件等）。服务商在接到</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故障报修电话后，必须在1小时内作出响应，并派出专业的技术人员按采购方的时间要求到达现场。在采购方规定的时间内，恢复故障，如果故障在检修24小时后仍无法排除，应与采购协商解决。</w:t>
      </w:r>
    </w:p>
    <w:p w14:paraId="513FFED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4</w:t>
      </w:r>
      <w:r>
        <w:rPr>
          <w:rFonts w:hint="eastAsia" w:ascii="宋体" w:hAnsi="宋体" w:eastAsia="宋体" w:cs="宋体"/>
          <w:sz w:val="20"/>
          <w:szCs w:val="20"/>
          <w:highlight w:val="none"/>
        </w:rPr>
        <w:t>如遇到不能现场维修的故障，服务商在不影响采购方正常工作的前提下取机返公司维修。并视采购方的需求，提供备机供采购方先行使用，保证</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恢复正常运行。</w:t>
      </w:r>
    </w:p>
    <w:p w14:paraId="5ECB75B8">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5</w:t>
      </w:r>
      <w:r>
        <w:rPr>
          <w:rFonts w:hint="eastAsia" w:ascii="宋体" w:hAnsi="宋体" w:eastAsia="宋体" w:cs="宋体"/>
          <w:sz w:val="20"/>
          <w:szCs w:val="20"/>
          <w:highlight w:val="none"/>
        </w:rPr>
        <w:t>服务商在维修、保养过程中对发生损坏的特殊零配件不能及时更换时，服务商应及时向采购方通报，提出计划修复的时间（上述时间应经采购方认可），并严格按计划时间争取尽早修复。</w:t>
      </w:r>
    </w:p>
    <w:p w14:paraId="47AF40A9">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6</w:t>
      </w:r>
      <w:r>
        <w:rPr>
          <w:rFonts w:hint="eastAsia" w:ascii="宋体" w:hAnsi="宋体" w:eastAsia="宋体" w:cs="宋体"/>
          <w:sz w:val="20"/>
          <w:szCs w:val="20"/>
          <w:highlight w:val="none"/>
        </w:rPr>
        <w:t>在服务过程中如发现相关设备设施自身存在危险状态的，服务商应尽快前往修复/维护，同时应作好基本的安全防护措施，以免发生或扩大损失。</w:t>
      </w:r>
    </w:p>
    <w:p w14:paraId="0B123A8F">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7</w:t>
      </w:r>
      <w:r>
        <w:rPr>
          <w:rFonts w:hint="eastAsia" w:ascii="宋体" w:hAnsi="宋体" w:eastAsia="宋体" w:cs="宋体"/>
          <w:sz w:val="20"/>
          <w:szCs w:val="20"/>
          <w:highlight w:val="none"/>
        </w:rPr>
        <w:t>服务商应自行配备工作所需的各种专业工具及设备，并在进场之前由相关专业人员检查合格后可在现场使用。此外，服务商在维修过程中所用零配件应为合格产品，其余辅助材料应符合国家相关技术规范及设备安全使用条例。</w:t>
      </w:r>
    </w:p>
    <w:p w14:paraId="362CDE95">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8</w:t>
      </w:r>
      <w:r>
        <w:rPr>
          <w:rFonts w:hint="eastAsia" w:ascii="宋体" w:hAnsi="宋体" w:eastAsia="宋体" w:cs="宋体"/>
          <w:sz w:val="20"/>
          <w:szCs w:val="20"/>
          <w:highlight w:val="none"/>
        </w:rPr>
        <w:t>服务商为维修及更换过的零配件提供的质保期为</w:t>
      </w:r>
      <w:r>
        <w:rPr>
          <w:rFonts w:hint="eastAsia" w:ascii="宋体" w:hAnsi="宋体" w:eastAsia="宋体" w:cs="宋体"/>
          <w:sz w:val="20"/>
          <w:szCs w:val="20"/>
          <w:highlight w:val="none"/>
          <w:lang w:eastAsia="zh-CN"/>
        </w:rPr>
        <w:t>1</w:t>
      </w:r>
      <w:r>
        <w:rPr>
          <w:rFonts w:hint="eastAsia" w:ascii="宋体" w:hAnsi="宋体" w:eastAsia="宋体" w:cs="宋体"/>
          <w:sz w:val="20"/>
          <w:szCs w:val="20"/>
          <w:highlight w:val="none"/>
          <w:lang w:val="en-US" w:eastAsia="zh-CN"/>
        </w:rPr>
        <w:t>2</w:t>
      </w:r>
      <w:r>
        <w:rPr>
          <w:rFonts w:hint="eastAsia" w:ascii="宋体" w:hAnsi="宋体" w:eastAsia="宋体" w:cs="宋体"/>
          <w:sz w:val="20"/>
          <w:szCs w:val="20"/>
          <w:highlight w:val="none"/>
        </w:rPr>
        <w:t>个月，自服务商签署确认记录表之日计算。质保期内出现同一问题的，服务商应免费予以维修，且质保期自免费维修后重新计算。</w:t>
      </w:r>
    </w:p>
    <w:p w14:paraId="034377B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1.2.9</w:t>
      </w:r>
      <w:r>
        <w:rPr>
          <w:rFonts w:hint="eastAsia" w:ascii="宋体" w:hAnsi="宋体" w:eastAsia="宋体" w:cs="宋体"/>
          <w:sz w:val="20"/>
          <w:szCs w:val="20"/>
          <w:highlight w:val="none"/>
        </w:rPr>
        <w:t>在每次巡检和故障维保时，服务商需填写《</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维护保养现场记录表》并经采购方值班人员或管理员核实签字认可,作为服务商进行设备维保的重要依据。此外，根据采购方的实际需求，提供</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异常情况分析报告。</w:t>
      </w:r>
    </w:p>
    <w:p w14:paraId="4ABACB4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1.2.10</w:t>
      </w:r>
      <w:r>
        <w:rPr>
          <w:rFonts w:hint="eastAsia" w:ascii="宋体" w:hAnsi="宋体" w:eastAsia="宋体" w:cs="宋体"/>
          <w:sz w:val="20"/>
          <w:szCs w:val="20"/>
          <w:highlight w:val="none"/>
        </w:rPr>
        <w:t>服务商负责制定服务范围内</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紧急事件的工作预案，经服务商和采购方双方审定后由服务商组织实施；在发生紧急事件或急迫性维修后，服务商须立即委派技术负责人到达现场妥善处理。</w:t>
      </w:r>
    </w:p>
    <w:p w14:paraId="23A59006">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1.2.11</w:t>
      </w:r>
      <w:r>
        <w:rPr>
          <w:rFonts w:hint="eastAsia" w:ascii="宋体" w:hAnsi="宋体" w:eastAsia="宋体" w:cs="宋体"/>
          <w:sz w:val="20"/>
          <w:szCs w:val="20"/>
          <w:highlight w:val="none"/>
        </w:rPr>
        <w:t>服务商应建立规范的档案管理制度，设立专人负责妥善保管和正确使用本合同范围内</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的档案资料，并负责及时记载有关变更、维修、保养情况。</w:t>
      </w:r>
    </w:p>
    <w:p w14:paraId="61E869F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1.2.12</w:t>
      </w:r>
      <w:r>
        <w:rPr>
          <w:rFonts w:hint="eastAsia" w:ascii="宋体" w:hAnsi="宋体" w:eastAsia="宋体" w:cs="宋体"/>
          <w:sz w:val="20"/>
          <w:szCs w:val="20"/>
          <w:highlight w:val="none"/>
        </w:rPr>
        <w:t>服务商加强人员管理，合理安排人员，保障项目工作进度。确因不可抗力影响项目实施，需与采购人协商修订项目实施计划，达成一致后执行。</w:t>
      </w:r>
    </w:p>
    <w:p w14:paraId="454EE1CB">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1.2.13服务商协助办理上述电梯使用证的年检手续和申报服务。做好每台电梯的年审工作计划，提前2个月进行准备，至少提前1个月向质监部门提出申请约检。</w:t>
      </w:r>
    </w:p>
    <w:p w14:paraId="2A213C10">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1</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采购方在举办各项大型活动及接待工作（各类会展、活动保障与服务等）时，服务商根据采购需要负责活动前对现场、设备设施进行检查，保证</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设备完好,运行正常，无安全隐患，确保设备、设施运行可靠性。活动期间，加强巡检力度，确保设备、设施安全可靠运行。</w:t>
      </w:r>
    </w:p>
    <w:p w14:paraId="5E06AAC5">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1</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根据采购方的需求提供对应的培训。培训方式包括线上讲解、现场设备的实际操作、系统的实际操作。使采购方相关人员掌握有关监控硬件与平台的日常基础使用、维护和管理方法，达到能独立进行普通日常管理、故障排除、日常测试等基础工作。</w:t>
      </w:r>
    </w:p>
    <w:p w14:paraId="63CD8805">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rPr>
        <w:t>1</w:t>
      </w:r>
      <w:r>
        <w:rPr>
          <w:rFonts w:hint="eastAsia" w:ascii="宋体" w:hAnsi="宋体" w:eastAsia="宋体" w:cs="宋体"/>
          <w:sz w:val="20"/>
          <w:szCs w:val="20"/>
          <w:highlight w:val="none"/>
          <w:lang w:val="en-US" w:eastAsia="zh-CN"/>
        </w:rPr>
        <w:t>6</w:t>
      </w:r>
      <w:r>
        <w:rPr>
          <w:rFonts w:hint="eastAsia" w:ascii="宋体" w:hAnsi="宋体" w:eastAsia="宋体" w:cs="宋体"/>
          <w:sz w:val="20"/>
          <w:szCs w:val="20"/>
          <w:highlight w:val="none"/>
        </w:rPr>
        <w:t>服务商必须配备专业的维修人员完成本项目，维修人员具有设施设备维修经验并持有法定要求的职业资格证，如特种设备安全管理和作业人员证</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特种设备作业人员证等。</w:t>
      </w:r>
    </w:p>
    <w:p w14:paraId="57013F81">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1</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服务商应具备足够的可随时调遣的</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维保后备人员，以便随时响应采购方的临时工作安排，后备人员具备相应的沟通能力、业务能力和技术能力。</w:t>
      </w:r>
    </w:p>
    <w:p w14:paraId="1066E740">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rPr>
        <w:t>1</w:t>
      </w:r>
      <w:r>
        <w:rPr>
          <w:rFonts w:hint="eastAsia" w:ascii="宋体" w:hAnsi="宋体" w:eastAsia="宋体" w:cs="宋体"/>
          <w:sz w:val="20"/>
          <w:szCs w:val="20"/>
          <w:highlight w:val="none"/>
          <w:lang w:val="en-US" w:eastAsia="zh-CN"/>
        </w:rPr>
        <w:t>8</w:t>
      </w:r>
      <w:r>
        <w:rPr>
          <w:rFonts w:hint="eastAsia" w:ascii="宋体" w:hAnsi="宋体" w:eastAsia="宋体" w:cs="宋体"/>
          <w:sz w:val="20"/>
          <w:szCs w:val="20"/>
          <w:highlight w:val="none"/>
        </w:rPr>
        <w:t>服务商必须建立健全严格的安全管理制度，在开展</w:t>
      </w:r>
      <w:r>
        <w:rPr>
          <w:rFonts w:hint="eastAsia" w:ascii="宋体" w:hAnsi="宋体" w:eastAsia="宋体" w:cs="宋体"/>
          <w:sz w:val="20"/>
          <w:szCs w:val="20"/>
          <w:highlight w:val="none"/>
          <w:lang w:val="en-US" w:eastAsia="zh-CN"/>
        </w:rPr>
        <w:t>电梯维保</w:t>
      </w:r>
      <w:r>
        <w:rPr>
          <w:rFonts w:hint="eastAsia" w:ascii="宋体" w:hAnsi="宋体" w:eastAsia="宋体" w:cs="宋体"/>
          <w:sz w:val="20"/>
          <w:szCs w:val="20"/>
          <w:highlight w:val="none"/>
        </w:rPr>
        <w:t>服务工作中严格执行安全管理规定，深刻认识和领会采购方对安全工作的态度和要求，并给予相应的支持和配合。如因非采购方原因导致的安全问题，由服务商承担责任，并按国家法律法规及相关要求进行赔偿。</w:t>
      </w:r>
    </w:p>
    <w:p w14:paraId="66599820">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w:t>
      </w:r>
      <w:r>
        <w:rPr>
          <w:rFonts w:hint="eastAsia" w:ascii="宋体" w:hAnsi="宋体" w:eastAsia="宋体" w:cs="宋体"/>
          <w:sz w:val="20"/>
          <w:szCs w:val="20"/>
          <w:highlight w:val="none"/>
          <w:lang w:eastAsia="zh-CN"/>
        </w:rPr>
        <w:t>1</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在</w:t>
      </w:r>
      <w:r>
        <w:rPr>
          <w:rFonts w:hint="eastAsia" w:ascii="宋体" w:hAnsi="宋体" w:eastAsia="宋体" w:cs="宋体"/>
          <w:sz w:val="20"/>
          <w:szCs w:val="20"/>
          <w:highlight w:val="none"/>
          <w:lang w:val="en-US" w:eastAsia="zh-CN"/>
        </w:rPr>
        <w:t>电梯</w:t>
      </w:r>
      <w:r>
        <w:rPr>
          <w:rFonts w:hint="eastAsia" w:ascii="宋体" w:hAnsi="宋体" w:eastAsia="宋体" w:cs="宋体"/>
          <w:sz w:val="20"/>
          <w:szCs w:val="20"/>
          <w:highlight w:val="none"/>
        </w:rPr>
        <w:t>维保工作期间，服务商应负责落实现场安全防护措施，建立可靠的安全防护措施和明显标志，保证安全作业。而且必须遵循采购方的安全管理，并采取必要的措施保障安全。确保不发生信息安全事件；不发生轻伤及以上人身事故；不发生有责任的设备损坏事故；不发生重大质量事故。</w:t>
      </w:r>
    </w:p>
    <w:p w14:paraId="18E8EE09">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1.2.20</w:t>
      </w:r>
      <w:r>
        <w:rPr>
          <w:rFonts w:hint="eastAsia" w:ascii="宋体" w:hAnsi="宋体" w:eastAsia="宋体" w:cs="宋体"/>
          <w:sz w:val="20"/>
          <w:szCs w:val="20"/>
          <w:highlight w:val="none"/>
        </w:rPr>
        <w:t>服务商的维修人员应严格遵守有关法律法规和采购人内部规章制度，不得擅自翻阅、复制、传播所接触的资料或数据。并且，服务商须遵守采购方信息保密制度，禁止窥窃采购方任何信息。服务商应与采购方签署保密协议书，并负责约束有关员工的保密工作。如服务商泄露采购方的资料或数据，服务商应全额赔偿采购方的损失。</w:t>
      </w:r>
    </w:p>
    <w:p w14:paraId="3326241B">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1.2.21</w:t>
      </w:r>
      <w:r>
        <w:rPr>
          <w:rFonts w:hint="eastAsia" w:ascii="宋体" w:hAnsi="宋体" w:eastAsia="宋体" w:cs="宋体"/>
          <w:sz w:val="20"/>
          <w:szCs w:val="20"/>
          <w:highlight w:val="none"/>
        </w:rPr>
        <w:t>服务商须建立健全的各项规章制度（包含但不限于安全生产责任及管理制度、质量安全及事故呈报与处理制度、回访制度等）。</w:t>
      </w:r>
      <w:r>
        <w:rPr>
          <w:rFonts w:hint="eastAsia" w:ascii="宋体" w:hAnsi="宋体" w:eastAsia="宋体" w:cs="宋体"/>
          <w:sz w:val="20"/>
          <w:szCs w:val="20"/>
          <w:highlight w:val="none"/>
          <w:lang w:val="en-US" w:eastAsia="zh-CN"/>
        </w:rPr>
        <w:t xml:space="preserve">  </w:t>
      </w:r>
    </w:p>
    <w:p w14:paraId="54A01DCB">
      <w:pPr>
        <w:bidi w:val="0"/>
        <w:rPr>
          <w:rFonts w:hint="eastAsia" w:ascii="宋体" w:hAnsi="宋体" w:eastAsia="宋体" w:cs="宋体"/>
          <w:b/>
          <w:bCs/>
          <w:highlight w:val="none"/>
          <w:lang w:val="en-US" w:eastAsia="zh-CN"/>
        </w:rPr>
      </w:pPr>
    </w:p>
    <w:p w14:paraId="5CC96004">
      <w:pPr>
        <w:bidi w:val="0"/>
        <w:ind w:firstLine="402" w:firstLineChars="20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2.服务达标要求</w:t>
      </w:r>
    </w:p>
    <w:p w14:paraId="20EFECE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default" w:ascii="宋体" w:hAnsi="宋体" w:eastAsia="宋体" w:cs="宋体"/>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2.1</w:t>
      </w:r>
      <w:r>
        <w:rPr>
          <w:rFonts w:hint="eastAsia" w:ascii="宋体" w:hAnsi="宋体" w:eastAsia="宋体" w:cs="宋体"/>
          <w:sz w:val="20"/>
          <w:szCs w:val="20"/>
          <w:highlight w:val="none"/>
          <w:lang w:val="en-US" w:eastAsia="zh-CN"/>
        </w:rPr>
        <w:t>维保管理服务达标要求</w:t>
      </w:r>
    </w:p>
    <w:p w14:paraId="5CB82C46">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（1）进行电梯维修保养必须落实相应的安全措施，每个维修保养人员必须使用个人劳动安全防护用品，进入现场必须两个人以上。维修保养人员必须熟悉该台电梯的机械结构和电气原理。</w:t>
      </w:r>
    </w:p>
    <w:p w14:paraId="135B34AF">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在电梯房内进行检修和清洁工作时，应首先切断电梯总电源，并挫上“有人工作，请勿合闸”的警示牌。如必须带电操作或检修设备时，操作者应穿好绝缘防护用品和使用绝缘工具，同时应有人在旁边监护。在清理控制柜等电气设备时，不得用金属工具去清理，应用绝缘工具进行操作，登高作业应系好安全带，其挂钩处应安全可靠，人员站立处应安全稳固。</w:t>
      </w:r>
    </w:p>
    <w:p w14:paraId="0A8C977D">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在轿顶检修或进行保养时，应用正确的方法进入轿顶。用三角钥匙打开厅门时应小心，看清轿厢位置，开亮轿顶照明灯，断开轿顶安全开关和轿顶检修开关后才能进入轿顶。当要退出轿顶时，维修人员应先退出轿顶，然后合上安全开关和检修开关。在关上厅门后，应检查确认门厅锁是否已经可靠合上。</w:t>
      </w:r>
    </w:p>
    <w:p w14:paraId="2D193965">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在轿顶检修操作电梯运行时，严禁开快车，运行前检修人员应密切配合。互相呼应后方可启动电梯。运行中人员和工具均不得超出轿厢外沿，以防发生危险。停车后，立即断开安全开关或急停按纽，以保证安全。在观光梯轿顶工作时，更应精神集中所使用工具必须轻拿轻放，防止掉落外场伤人。</w:t>
      </w:r>
    </w:p>
    <w:p w14:paraId="71B11D98">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（5）进入底坑工作前，打开厅门后，应先开亮底坑照明灯，断开底坑安全开关。用梯子进入底坑，不准攀附轿厢随行电缆进入底坑。若发现底坑有积水，应及时排清待干燥后，再开始底坑维修工作。</w:t>
      </w:r>
    </w:p>
    <w:p w14:paraId="5636FE3C">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（6）在施工中严禁站在电梯轿门地坎与厅门地坎之间，并且严禁站在分隔井道用的工字钢或槽钢与轿顶之间，进行操作或检修，以防电梯失控发生危险。</w:t>
      </w:r>
    </w:p>
    <w:p w14:paraId="4BA9DE5C">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（7）在维修保养检查时，必须使用36伏以下的安全电压照明。使用的电工工具和移动式电动工具，必须绝缘良好，绝缘电阻必须大于2兆欧。移动式电动工具必须有良好接地，引线外皮不能破损，长度不超过5米。</w:t>
      </w:r>
    </w:p>
    <w:p w14:paraId="38431399">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（8）在未切断有关电源前，不得更换一切电器元件和插拔电子线路板。更换的电路元件必须与原器件的规格相同。</w:t>
      </w:r>
    </w:p>
    <w:p w14:paraId="793DECBF">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（9）检修需要断、送电时，应通知到每一个参加检修的人员，待有回答后，全部撤离至安全处后，方可实施。</w:t>
      </w:r>
    </w:p>
    <w:p w14:paraId="6AEBF0CA">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（10）检修时无关人员不准擅自进入现场，检修人员离开控制柜时必须随时锁住控制柜。施工过程中轿厢必须切断电源，关上厅门和轿门，并且挂上“禁止使用”的警示牌，以防他人开用电梯。</w:t>
      </w:r>
    </w:p>
    <w:p w14:paraId="4B1862F8">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（11）严禁井道上下方同时进行维修作业。在井道或底坑有人作业时，作业人员上方不得进行任何其他操作。</w:t>
      </w:r>
    </w:p>
    <w:p w14:paraId="319E5FCD">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（12）停机检修时，必须在各层厅门口和轿厢操纵盘处挂贴“维修中，暂停使用”的字样标牌。维修结束，可以恢复使用时，应将所挂标牌全部取回。</w:t>
      </w:r>
    </w:p>
    <w:p w14:paraId="022528B5">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（13）需要动用明火时，必须征得有关安全部门同意，并做好消防准备工作。</w:t>
      </w:r>
    </w:p>
    <w:p w14:paraId="7FA53BBB">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14）当需要更换拽引钢丝绳、曳引机时，应将轿厢升到顶层，对重装置用足够强度的木柱在底部顶住，轿厢用抗强度大于空轿厢自重量的钢丝绳和合格的手拉葫芦，将轿厢吊在承重梁上，并且人为将安全钳卡住导轨。这一操作需周密慎重。否则，将发生轿厢坠落的严重恶性事故。</w:t>
      </w:r>
    </w:p>
    <w:p w14:paraId="3E7C20AB">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15）在做起重吊装工作前，必须仔细检查起吊工具的承载能力和完好性。手控葫芦传动部分是否灵活，链体和钩是否有裂缝，手拉小链是否会跑链或掉链。起吊钢丝绳不能有断股和严重断丝现象，不能严重锈蚀。</w:t>
      </w:r>
    </w:p>
    <w:p w14:paraId="42E0AFA3">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16）用绳卡头做绳索的钢丝绳与钢丝绳卡头的规格必须匹配，卡头压板应装在钢丝绳受力的一边，对直径16毫米以下的钢丝绳，所使用的钢丝绳卡头不少于三个，被夹绳的长度应大于钢丝绳直径的15倍，且最短长度不小于300毫米，每个卡头间的间距应大于钢丝绳直径的6倍。而且只准将两根相同规格的钢丝绳用卡头卡住，严禁三根或不同规格的钢丝绳用卡观卡在一起。</w:t>
      </w:r>
    </w:p>
    <w:p w14:paraId="2C94DB3F">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（17）电梯外厅拆除后或安装前，必须在厅门口处设置牢固可靠的安全护栏，并挂有醒目的标志“门已拆除，小心坠落”的警示牌。</w:t>
      </w:r>
    </w:p>
    <w:p w14:paraId="10925F8F">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（18）当门锁电接点发生故障，应及时修复，严禁采用短接门锁接点的方法继续使用电梯。如果为了维修电梯的需要，必须临时短接门锁接点，则应该断开门电路，不使厅、轿门自行打开，始终处于关闭状态。</w:t>
      </w:r>
    </w:p>
    <w:p w14:paraId="165B7413">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（19）在运转的绳轮两旁清洗钢丝绳，必须注意电梯运行方向。清洗对重方向的钢丝绳应开上升车，清洗轿厢方向的钢丝绳应开下降车。</w:t>
      </w:r>
    </w:p>
    <w:p w14:paraId="7E85DFD2">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（20）在手动移动轿厢前，必须断开电梯总电源开关，用手动松闸装置松闸。不允许采用拆卸制动器弹簧的方法来松闸。</w:t>
      </w:r>
    </w:p>
    <w:p w14:paraId="176F438A">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（21）检修结束后，试车时应彻底判明井道内、轿厢、底坑中确实无人，所用工具物品清点齐全，人处在安全地方时，方可试车运行。在试车过程中严禁载客载货。</w:t>
      </w:r>
    </w:p>
    <w:p w14:paraId="45D9459B">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（22）在轿顶进行维修保养时，应精神集中，身体及其他物品不得超出护栏，电梯运行时严禁站在上梁上，以免发生撞顶伤人事故。</w:t>
      </w:r>
    </w:p>
    <w:p w14:paraId="3D6B4427">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（23）维修、保养时所使用的小型工具应集中放在工具袋内，使用完毕应随手放好，禁止乱扔乱放。</w:t>
      </w:r>
    </w:p>
    <w:p w14:paraId="5E834348">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default"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2.2维保检查服务达标要求</w:t>
      </w:r>
    </w:p>
    <w:p w14:paraId="771BCEEC">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2.2.1日常检查维护</w:t>
      </w:r>
    </w:p>
    <w:p w14:paraId="59D93235">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（1）在每次开始运行前，应对电梯进行准备性试运行，经试运行正常方能投入正常运行；</w:t>
      </w:r>
    </w:p>
    <w:p w14:paraId="48AC6918">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（2）检查电梯安全警示标示是否完好无损，轿厢内合格证，照明是否完好，若损坏应修复；</w:t>
      </w:r>
    </w:p>
    <w:p w14:paraId="22FBBF79">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（3）检查远程、本地报警系统的运行情况，按下轿厢内的语音连接按钮，等待连接。执行对呼叫中心的连接，证实未连接的情况；</w:t>
      </w:r>
    </w:p>
    <w:p w14:paraId="007B36C4">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（4）检查轿厢内电梯停车按钮，检修开关的工作情况，按下轿厢呼梯按钮，然后按停车按钮，确认当电梯停车按钮按下时，轿厢呼叫功能取消。按下检修开关，电梯进入检修状态；</w:t>
      </w:r>
    </w:p>
    <w:p w14:paraId="04E2D46D">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（5）检查轿厢风扇工作情况，应该没有异常噪音及通风口的清洁；</w:t>
      </w:r>
    </w:p>
    <w:p w14:paraId="7D6D85FF">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（6）在轿厢操作面板上测试开、关门按钮，在正常模式下，呼叫轿厢，当门开始关闭时，按下开门按钮，门应该打开，重新打开时间过去后，自行关闭；</w:t>
      </w:r>
    </w:p>
    <w:p w14:paraId="6DAD81B9">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（7）测试光幕，光眼或安全触板功能，光幕，光眼或安全触板启动时，应能把门重新打开（从两个不同的高度进行测试）；</w:t>
      </w:r>
    </w:p>
    <w:p w14:paraId="34A23959">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（8）检查轿厢地坎槽，若有垃圾等应及时清理；</w:t>
      </w:r>
    </w:p>
    <w:p w14:paraId="55E53A9C">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（9）检查轿厢门锁电气触电，触电接触良好，接线可靠；</w:t>
      </w:r>
    </w:p>
    <w:p w14:paraId="0AAF8603">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（10）检查平层精确度，每一层的偏差应符合要求；</w:t>
      </w:r>
    </w:p>
    <w:p w14:paraId="22039ECE">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（11）检查导轨润滑器油位，保证在下次保养之前，有足够的润滑，不能对导轨导靴进行润滑；</w:t>
      </w:r>
    </w:p>
    <w:p w14:paraId="42CDC345">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12）检查厅门锁的电气和机械功能，在手拉时，门不应该被打开，但在锁舌和锁钩之间应有2mm间隙，层门锁紧元件配合长度不小于7mm，（杂物电梯不小于5mm）。用厅门三角钥匙手动开锁装置释放后，厅门门锁能自动复位；</w:t>
      </w:r>
    </w:p>
    <w:p w14:paraId="6B10FDE5">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（13）检查对重及压板，运行到对重位置，目视检查对重及压板情况，压板安装正确，锁紧压板螺丝，对重放置平稳；</w:t>
      </w:r>
    </w:p>
    <w:p w14:paraId="1020F6D3">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（14）目视检查主机、滑轮及编码器运行情况，保证无灰尘，无异物，钢丝绳无缺，无漏油现象；</w:t>
      </w:r>
    </w:p>
    <w:p w14:paraId="2CF2B65D">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（15）检查限速器机械装置，人工检查弹簧和飞轮的运行情况，电气开关正常；</w:t>
      </w:r>
    </w:p>
    <w:p w14:paraId="1C4D6027">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16）测试手动紧急操作装置并检查动态制动功能和再平层功能，将电梯移动至最顶层，关闭电源，慢速打开送闸扳手打开抱闸，每次送闸不得超过2秒，电梯应向上匀速移动，没有加速度。打开电源，测试后应检查装置的重置情况及检查再平层情况；</w:t>
      </w:r>
    </w:p>
    <w:p w14:paraId="0F05B5F2">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（17）检查制动装置，运行轿厢，在抱闸打开、关闭过程中，不应发出异响，抱闸间隙为0.05—0.1mm；</w:t>
      </w:r>
    </w:p>
    <w:p w14:paraId="34004A33">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（18）每次日常检查之后要填写《电梯日检表》。</w:t>
      </w:r>
    </w:p>
    <w:p w14:paraId="3E5F02E7">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2.2.2月度检查维保内容：</w:t>
      </w:r>
    </w:p>
    <w:p w14:paraId="76CBDFD6">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（1）机房、滑轮间环境，清洁，门窗完好、照明正常；</w:t>
      </w:r>
    </w:p>
    <w:p w14:paraId="340A9372">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（2）手动紧急操作装置齐全，在指定位置；</w:t>
      </w:r>
    </w:p>
    <w:p w14:paraId="6B23D9D6">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（3）曳引机运行时无异常振动和异常声响；</w:t>
      </w:r>
    </w:p>
    <w:p w14:paraId="3BCDE6A6">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（4）制动器各销轴部位润滑，动作灵活；</w:t>
      </w:r>
    </w:p>
    <w:p w14:paraId="4F96A006">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（5）制动器间隙，打开时制动衬与制动轮不应发生摩擦；</w:t>
      </w:r>
    </w:p>
    <w:p w14:paraId="78E447C6">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（6）编码器清洁，安装牢固</w:t>
      </w:r>
    </w:p>
    <w:p w14:paraId="52B687A3">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（7）限速器各销轴部位润滑，转动灵活；电气开关正常；</w:t>
      </w:r>
    </w:p>
    <w:p w14:paraId="782A40AE">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（8）轿顶清洁，防护拦安全可靠；</w:t>
      </w:r>
    </w:p>
    <w:p w14:paraId="7375906D">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（9）轿顶检修开关、急停开关工作正常</w:t>
      </w:r>
    </w:p>
    <w:p w14:paraId="179F874A">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（10）导靴上油杯，吸油毛毡齐全，油量适宜，油杯无泄漏；</w:t>
      </w:r>
    </w:p>
    <w:p w14:paraId="679D05CC">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（11）检查对重块及其压板，对重块无松动，压板紧固；</w:t>
      </w:r>
    </w:p>
    <w:p w14:paraId="314F7263">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（12）井道照明、轿厢照明、风扇、应急照明齐全、正常； </w:t>
      </w:r>
    </w:p>
    <w:p w14:paraId="74116DB9">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（13）轿厢检修开关、急停开关工作正常；</w:t>
      </w:r>
    </w:p>
    <w:p w14:paraId="5E6DCEAA">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（14）轿内报警装置、对讲系统工作正常；</w:t>
      </w:r>
    </w:p>
    <w:p w14:paraId="63D6CBCA">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（15）轿内显示、指令按钮齐全、有效；</w:t>
      </w:r>
    </w:p>
    <w:p w14:paraId="7CA0EE64">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（16）轿门安全装置（安全触板，光幕、光电等）功能有效；</w:t>
      </w:r>
    </w:p>
    <w:p w14:paraId="1EEEC32F">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（17）轿门门锁电气触点清洁, 触点接触良好，接线可靠；</w:t>
      </w:r>
    </w:p>
    <w:p w14:paraId="15CBA22B">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（18）轿门运行开启和关闭工作正常；</w:t>
      </w:r>
    </w:p>
    <w:p w14:paraId="118CA736">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（19）轿厢平层精度符合标准；</w:t>
      </w:r>
    </w:p>
    <w:p w14:paraId="14FB6EA0">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（20）层站召唤、层楼显示齐全、有效；</w:t>
      </w:r>
    </w:p>
    <w:p w14:paraId="701955A2">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（21）层门自动关门装置运行正常；</w:t>
      </w:r>
    </w:p>
    <w:p w14:paraId="27366CF6">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（22）每月检查之后要填写《电梯月检表》。</w:t>
      </w:r>
    </w:p>
    <w:p w14:paraId="31979BD1">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2.2.3季度检查保养内容：</w:t>
      </w:r>
    </w:p>
    <w:p w14:paraId="67ABC24C">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（1）减速机润滑油量适宜，均无渗漏情况；</w:t>
      </w:r>
    </w:p>
    <w:p w14:paraId="40B52E85">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（2）制动衬清洁，磨损量不超过国家或制造单位要求；</w:t>
      </w:r>
    </w:p>
    <w:p w14:paraId="30817FDD">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（3）位置脉冲发生器应工作正常；</w:t>
      </w:r>
    </w:p>
    <w:p w14:paraId="398FF10B">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（4）选层器动静触点清洁，无烧蚀；</w:t>
      </w:r>
    </w:p>
    <w:p w14:paraId="1D492415">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（5）曳引轮槽、曳引钢丝绳清洁，无严重油腻，张力均匀；</w:t>
      </w:r>
    </w:p>
    <w:p w14:paraId="4086D022">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（6）限速器轮槽、限速器钢丝绳清洁，无严重油腻；</w:t>
      </w:r>
    </w:p>
    <w:p w14:paraId="0B76BEC1">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（7）靴衬、滚轮清洁，磨损量不超过国家或制造单位要求；</w:t>
      </w:r>
    </w:p>
    <w:p w14:paraId="18BF4651">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（8）验证轿门关闭的电气安全装置，工作应正常；</w:t>
      </w:r>
    </w:p>
    <w:p w14:paraId="7A85E03A">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（9）层门、轿门系统中传动钢丝绳、链条、胶带应按照国家或制造单位要求进行清洁、调整；</w:t>
      </w:r>
    </w:p>
    <w:p w14:paraId="018E2FD7">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（10）层门门导靴磨损量不超过制造单位要求；</w:t>
      </w:r>
    </w:p>
    <w:p w14:paraId="5F4DAD10">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（11）消防开关工作正常，功能有效；</w:t>
      </w:r>
    </w:p>
    <w:p w14:paraId="1F86600A">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（12）耗能缓冲器电气安全装置功能有效，油量适宜，柱塞无锈蚀；</w:t>
      </w:r>
    </w:p>
    <w:p w14:paraId="2B83C0AA">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（13）限速器张紧轮装置和电气安全装置工作正常；</w:t>
      </w:r>
    </w:p>
    <w:p w14:paraId="4DD892A1">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（14）每季度检查保养完之后要填写《电梯季检表》。</w:t>
      </w:r>
    </w:p>
    <w:p w14:paraId="54AD13E8">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2.2.4年度检查保养内容：</w:t>
      </w:r>
    </w:p>
    <w:p w14:paraId="05BA5FDF">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（1）动力电路绝缘电阻必须大于0.5M；</w:t>
      </w:r>
    </w:p>
    <w:p w14:paraId="1351CE83">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（2）电气安全装置电路绝缘电阻必须大于0.5M；</w:t>
      </w:r>
    </w:p>
    <w:p w14:paraId="700F1483">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（3）控制、照明等电路绝缘电阻必须大于0.25M;</w:t>
      </w:r>
    </w:p>
    <w:p w14:paraId="47243058">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（4）控制柜接触器、继电器触点接触良好；</w:t>
      </w:r>
    </w:p>
    <w:p w14:paraId="7DDA2B84">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（5）检查制动器铁芯（柱塞）清洁、润滑、磨损量、制动弹簧压缩量符合要求；</w:t>
      </w:r>
    </w:p>
    <w:p w14:paraId="240218E0">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（6）井道上极限动作后极限距离为：110-140mm；</w:t>
      </w:r>
    </w:p>
    <w:p w14:paraId="35418727">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（7）层门装置和地坎无变形，各安装螺栓紧固；</w:t>
      </w:r>
    </w:p>
    <w:p w14:paraId="6165CEBA">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（8）轿顶、轿底、轿厢架、轿门及其附件安装螺丝紧固；</w:t>
      </w:r>
    </w:p>
    <w:p w14:paraId="66111BFC">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（9）轿厢及对重导轨和支架安装牢固，压板无松动，导轨清洁；</w:t>
      </w:r>
    </w:p>
    <w:p w14:paraId="50B03C32">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（10）随行电缆无损伤；</w:t>
      </w:r>
    </w:p>
    <w:p w14:paraId="6C4AA66B">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（11）限速器、安全钳联动试验有效，安全钳钳座固定牢固；</w:t>
      </w:r>
    </w:p>
    <w:p w14:paraId="5DCD0419">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（12）空载情况下，调节称重调节电位计至超载显示状态，超载报警装置应报警；</w:t>
      </w:r>
    </w:p>
    <w:p w14:paraId="29585C5C">
      <w:pPr>
        <w:keepNext/>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（13）每年检查保养之后应填写《电梯年检表》。</w:t>
      </w:r>
    </w:p>
    <w:p w14:paraId="315F0610">
      <w:pPr>
        <w:bidi w:val="0"/>
        <w:ind w:firstLine="400" w:firstLineChars="200"/>
        <w:rPr>
          <w:rFonts w:hint="eastAsia" w:ascii="宋体" w:hAnsi="宋体" w:eastAsia="宋体" w:cs="宋体"/>
          <w:highlight w:val="none"/>
          <w:lang w:val="en-US" w:eastAsia="zh-CN"/>
        </w:rPr>
      </w:pPr>
      <w:bookmarkStart w:id="570" w:name="_Toc14388"/>
      <w:bookmarkStart w:id="571" w:name="_Toc7929"/>
      <w:bookmarkStart w:id="572" w:name="_Toc7114"/>
    </w:p>
    <w:p w14:paraId="67AF9D0E">
      <w:pPr>
        <w:bidi w:val="0"/>
        <w:ind w:firstLine="40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2.3不能自检维护的项目应协调厂家或外单位完成。</w:t>
      </w:r>
      <w:bookmarkEnd w:id="570"/>
      <w:bookmarkEnd w:id="571"/>
      <w:bookmarkEnd w:id="572"/>
    </w:p>
    <w:p w14:paraId="68C6D920">
      <w:pPr>
        <w:keepNext w:val="0"/>
        <w:keepLines w:val="0"/>
        <w:pageBreakBefore w:val="0"/>
        <w:widowControl w:val="0"/>
        <w:kinsoku/>
        <w:wordWrap/>
        <w:overflowPunct/>
        <w:topLinePunct w:val="0"/>
        <w:autoSpaceDE/>
        <w:autoSpaceDN/>
        <w:bidi w:val="0"/>
        <w:adjustRightInd/>
        <w:snapToGrid/>
        <w:spacing w:line="560" w:lineRule="exact"/>
        <w:ind w:firstLine="400" w:firstLineChars="200"/>
        <w:jc w:val="both"/>
        <w:textAlignment w:val="auto"/>
        <w:outlineLvl w:val="9"/>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2.4电梯维保服务达标要求</w:t>
      </w:r>
    </w:p>
    <w:tbl>
      <w:tblPr>
        <w:tblStyle w:val="15"/>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939"/>
        <w:gridCol w:w="1486"/>
        <w:gridCol w:w="5155"/>
        <w:gridCol w:w="863"/>
      </w:tblGrid>
      <w:tr w14:paraId="44DB6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jc w:val="center"/>
        </w:trPr>
        <w:tc>
          <w:tcPr>
            <w:tcW w:w="929" w:type="dxa"/>
            <w:vAlign w:val="center"/>
          </w:tcPr>
          <w:p w14:paraId="5536B26B">
            <w:pPr>
              <w:widowControl/>
              <w:jc w:val="center"/>
              <w:rPr>
                <w:rFonts w:hint="eastAsia" w:ascii="宋体" w:hAnsi="宋体" w:eastAsia="宋体" w:cs="宋体"/>
                <w:b/>
                <w:bCs w:val="0"/>
                <w:color w:val="auto"/>
                <w:kern w:val="2"/>
                <w:sz w:val="20"/>
                <w:szCs w:val="20"/>
                <w:highlight w:val="none"/>
                <w:lang w:val="en-US" w:eastAsia="zh-CN" w:bidi="ar-SA"/>
              </w:rPr>
            </w:pPr>
            <w:r>
              <w:rPr>
                <w:rFonts w:hint="eastAsia" w:ascii="宋体" w:hAnsi="宋体" w:eastAsia="宋体" w:cs="宋体"/>
                <w:b/>
                <w:bCs w:val="0"/>
                <w:color w:val="auto"/>
                <w:kern w:val="2"/>
                <w:sz w:val="20"/>
                <w:szCs w:val="20"/>
                <w:highlight w:val="none"/>
                <w:lang w:val="en-US" w:eastAsia="zh-CN" w:bidi="ar-SA"/>
              </w:rPr>
              <w:t>序号</w:t>
            </w:r>
          </w:p>
        </w:tc>
        <w:tc>
          <w:tcPr>
            <w:tcW w:w="939" w:type="dxa"/>
            <w:vAlign w:val="center"/>
          </w:tcPr>
          <w:p w14:paraId="65EDC5E2">
            <w:pPr>
              <w:widowControl/>
              <w:jc w:val="center"/>
              <w:rPr>
                <w:rFonts w:hint="eastAsia" w:ascii="宋体" w:hAnsi="宋体" w:eastAsia="宋体" w:cs="宋体"/>
                <w:b/>
                <w:bCs w:val="0"/>
                <w:color w:val="auto"/>
                <w:kern w:val="2"/>
                <w:sz w:val="20"/>
                <w:szCs w:val="20"/>
                <w:highlight w:val="none"/>
                <w:lang w:val="en-US" w:eastAsia="zh-CN" w:bidi="ar-SA"/>
              </w:rPr>
            </w:pPr>
            <w:r>
              <w:rPr>
                <w:rFonts w:hint="eastAsia" w:ascii="宋体" w:hAnsi="宋体" w:eastAsia="宋体" w:cs="宋体"/>
                <w:b/>
                <w:bCs w:val="0"/>
                <w:color w:val="auto"/>
                <w:kern w:val="2"/>
                <w:sz w:val="20"/>
                <w:szCs w:val="20"/>
                <w:highlight w:val="none"/>
                <w:lang w:val="en-US" w:eastAsia="zh-CN" w:bidi="ar-SA"/>
              </w:rPr>
              <w:t>项类</w:t>
            </w:r>
          </w:p>
        </w:tc>
        <w:tc>
          <w:tcPr>
            <w:tcW w:w="1486" w:type="dxa"/>
            <w:vAlign w:val="center"/>
          </w:tcPr>
          <w:p w14:paraId="6BA3CAAA">
            <w:pPr>
              <w:jc w:val="center"/>
              <w:rPr>
                <w:rFonts w:hint="eastAsia" w:ascii="宋体" w:hAnsi="宋体" w:eastAsia="宋体" w:cs="宋体"/>
                <w:b/>
                <w:bCs w:val="0"/>
                <w:color w:val="auto"/>
                <w:kern w:val="2"/>
                <w:sz w:val="20"/>
                <w:szCs w:val="20"/>
                <w:highlight w:val="none"/>
                <w:lang w:val="en-US" w:eastAsia="zh-CN" w:bidi="ar-SA"/>
              </w:rPr>
            </w:pPr>
            <w:r>
              <w:rPr>
                <w:rFonts w:hint="eastAsia" w:ascii="宋体" w:hAnsi="宋体" w:eastAsia="宋体" w:cs="宋体"/>
                <w:b/>
                <w:bCs w:val="0"/>
                <w:color w:val="auto"/>
                <w:kern w:val="2"/>
                <w:sz w:val="20"/>
                <w:szCs w:val="20"/>
                <w:highlight w:val="none"/>
                <w:lang w:val="en-US" w:eastAsia="zh-CN" w:bidi="ar-SA"/>
              </w:rPr>
              <w:t>项目内容</w:t>
            </w:r>
          </w:p>
        </w:tc>
        <w:tc>
          <w:tcPr>
            <w:tcW w:w="5155" w:type="dxa"/>
            <w:vAlign w:val="center"/>
          </w:tcPr>
          <w:p w14:paraId="22D244C6">
            <w:pPr>
              <w:widowControl/>
              <w:jc w:val="center"/>
              <w:rPr>
                <w:rFonts w:hint="eastAsia" w:ascii="宋体" w:hAnsi="宋体" w:eastAsia="宋体" w:cs="宋体"/>
                <w:b/>
                <w:bCs w:val="0"/>
                <w:color w:val="auto"/>
                <w:kern w:val="2"/>
                <w:sz w:val="20"/>
                <w:szCs w:val="20"/>
                <w:highlight w:val="none"/>
                <w:lang w:val="en-US" w:eastAsia="zh-CN" w:bidi="ar-SA"/>
              </w:rPr>
            </w:pPr>
            <w:r>
              <w:rPr>
                <w:rFonts w:hint="eastAsia" w:ascii="宋体" w:hAnsi="宋体" w:eastAsia="宋体" w:cs="宋体"/>
                <w:b/>
                <w:bCs w:val="0"/>
                <w:color w:val="auto"/>
                <w:kern w:val="2"/>
                <w:sz w:val="20"/>
                <w:szCs w:val="20"/>
                <w:highlight w:val="none"/>
                <w:lang w:val="en-US" w:eastAsia="zh-CN" w:bidi="ar-SA"/>
              </w:rPr>
              <w:t>维护保养基本要求</w:t>
            </w:r>
          </w:p>
        </w:tc>
        <w:tc>
          <w:tcPr>
            <w:tcW w:w="863" w:type="dxa"/>
            <w:vAlign w:val="center"/>
          </w:tcPr>
          <w:p w14:paraId="77EFF8E0">
            <w:pPr>
              <w:widowControl/>
              <w:jc w:val="center"/>
              <w:rPr>
                <w:rFonts w:hint="eastAsia" w:ascii="宋体" w:hAnsi="宋体" w:eastAsia="宋体" w:cs="宋体"/>
                <w:b/>
                <w:bCs w:val="0"/>
                <w:color w:val="auto"/>
                <w:kern w:val="2"/>
                <w:sz w:val="20"/>
                <w:szCs w:val="20"/>
                <w:highlight w:val="none"/>
                <w:lang w:val="en-US" w:eastAsia="zh-CN" w:bidi="ar-SA"/>
              </w:rPr>
            </w:pPr>
            <w:r>
              <w:rPr>
                <w:rFonts w:hint="eastAsia" w:ascii="宋体" w:hAnsi="宋体" w:eastAsia="宋体" w:cs="宋体"/>
                <w:b/>
                <w:bCs w:val="0"/>
                <w:color w:val="auto"/>
                <w:kern w:val="2"/>
                <w:sz w:val="20"/>
                <w:szCs w:val="20"/>
                <w:highlight w:val="none"/>
                <w:lang w:val="en-US" w:eastAsia="zh-CN" w:bidi="ar-SA"/>
              </w:rPr>
              <w:t>周期</w:t>
            </w:r>
          </w:p>
        </w:tc>
      </w:tr>
      <w:tr w14:paraId="2E3F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929" w:type="dxa"/>
            <w:vAlign w:val="center"/>
          </w:tcPr>
          <w:p w14:paraId="23E6003E">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w:t>
            </w:r>
          </w:p>
        </w:tc>
        <w:tc>
          <w:tcPr>
            <w:tcW w:w="939" w:type="dxa"/>
            <w:vMerge w:val="restart"/>
            <w:vAlign w:val="center"/>
          </w:tcPr>
          <w:p w14:paraId="7FD7E81A">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基本要求</w:t>
            </w:r>
          </w:p>
        </w:tc>
        <w:tc>
          <w:tcPr>
            <w:tcW w:w="1486" w:type="dxa"/>
            <w:vAlign w:val="center"/>
          </w:tcPr>
          <w:p w14:paraId="53A2840F">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定期检查和保养</w:t>
            </w:r>
          </w:p>
        </w:tc>
        <w:tc>
          <w:tcPr>
            <w:tcW w:w="5155" w:type="dxa"/>
            <w:vAlign w:val="center"/>
          </w:tcPr>
          <w:p w14:paraId="3C9515D0">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服务商应要按照规定的周期进行电梯的定期检查和保养，包括电梯的机房、电梯井道、电梯轿厢等部位的检查和维护。</w:t>
            </w:r>
          </w:p>
        </w:tc>
        <w:tc>
          <w:tcPr>
            <w:tcW w:w="863" w:type="dxa"/>
            <w:vAlign w:val="center"/>
          </w:tcPr>
          <w:p w14:paraId="4601B5A2">
            <w:pPr>
              <w:widowControl/>
              <w:jc w:val="left"/>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定期</w:t>
            </w:r>
          </w:p>
        </w:tc>
      </w:tr>
      <w:tr w14:paraId="01BE9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29" w:type="dxa"/>
            <w:vAlign w:val="center"/>
          </w:tcPr>
          <w:p w14:paraId="4571D53B">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w:t>
            </w:r>
          </w:p>
        </w:tc>
        <w:tc>
          <w:tcPr>
            <w:tcW w:w="939" w:type="dxa"/>
            <w:vMerge w:val="continue"/>
            <w:vAlign w:val="center"/>
          </w:tcPr>
          <w:p w14:paraId="3AA92B87">
            <w:pPr>
              <w:widowControl/>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6E8D7252">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故障排除</w:t>
            </w:r>
          </w:p>
        </w:tc>
        <w:tc>
          <w:tcPr>
            <w:tcW w:w="5155" w:type="dxa"/>
            <w:vAlign w:val="center"/>
          </w:tcPr>
          <w:p w14:paraId="6D0EA799">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对于电梯故障，服务商应需要及时派人到现场进行故障排除和维修。</w:t>
            </w:r>
          </w:p>
        </w:tc>
        <w:tc>
          <w:tcPr>
            <w:tcW w:w="863" w:type="dxa"/>
            <w:vAlign w:val="center"/>
          </w:tcPr>
          <w:p w14:paraId="5D7A2506">
            <w:pPr>
              <w:widowControl/>
              <w:jc w:val="left"/>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按要求</w:t>
            </w:r>
          </w:p>
        </w:tc>
      </w:tr>
      <w:tr w14:paraId="7D814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1" w:hRule="atLeast"/>
          <w:jc w:val="center"/>
        </w:trPr>
        <w:tc>
          <w:tcPr>
            <w:tcW w:w="929" w:type="dxa"/>
            <w:vAlign w:val="center"/>
          </w:tcPr>
          <w:p w14:paraId="772BE23A">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w:t>
            </w:r>
          </w:p>
        </w:tc>
        <w:tc>
          <w:tcPr>
            <w:tcW w:w="939" w:type="dxa"/>
            <w:vMerge w:val="continue"/>
            <w:vAlign w:val="center"/>
          </w:tcPr>
          <w:p w14:paraId="55F07A23">
            <w:pPr>
              <w:widowControl/>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341095B3">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安全检查</w:t>
            </w:r>
          </w:p>
        </w:tc>
        <w:tc>
          <w:tcPr>
            <w:tcW w:w="5155" w:type="dxa"/>
            <w:vAlign w:val="center"/>
          </w:tcPr>
          <w:p w14:paraId="75A5B64C">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服务商应定期进行电梯的安全检查，确保电梯的安全性能符合相关标准和规定。</w:t>
            </w:r>
          </w:p>
        </w:tc>
        <w:tc>
          <w:tcPr>
            <w:tcW w:w="863" w:type="dxa"/>
            <w:vAlign w:val="center"/>
          </w:tcPr>
          <w:p w14:paraId="22D1EE58">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按要求</w:t>
            </w:r>
          </w:p>
        </w:tc>
      </w:tr>
      <w:tr w14:paraId="1E25A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29" w:type="dxa"/>
            <w:vAlign w:val="center"/>
          </w:tcPr>
          <w:p w14:paraId="59DD49DA">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w:t>
            </w:r>
          </w:p>
        </w:tc>
        <w:tc>
          <w:tcPr>
            <w:tcW w:w="939" w:type="dxa"/>
            <w:vMerge w:val="continue"/>
            <w:vAlign w:val="center"/>
          </w:tcPr>
          <w:p w14:paraId="04CACFC1">
            <w:pPr>
              <w:widowControl/>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5CA9F11">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保养记录</w:t>
            </w:r>
          </w:p>
        </w:tc>
        <w:tc>
          <w:tcPr>
            <w:tcW w:w="5155" w:type="dxa"/>
            <w:vAlign w:val="center"/>
          </w:tcPr>
          <w:p w14:paraId="0F93ADD9">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服务商应记录电梯的保养情况、故障处理情况、安全检查情况等相关数据，以备后续查询。</w:t>
            </w:r>
          </w:p>
        </w:tc>
        <w:tc>
          <w:tcPr>
            <w:tcW w:w="863" w:type="dxa"/>
            <w:vAlign w:val="center"/>
          </w:tcPr>
          <w:p w14:paraId="402101A0">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按要求</w:t>
            </w:r>
          </w:p>
        </w:tc>
      </w:tr>
      <w:tr w14:paraId="2026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1" w:hRule="atLeast"/>
          <w:jc w:val="center"/>
        </w:trPr>
        <w:tc>
          <w:tcPr>
            <w:tcW w:w="929" w:type="dxa"/>
            <w:vAlign w:val="center"/>
          </w:tcPr>
          <w:p w14:paraId="62A5C64F">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w:t>
            </w:r>
          </w:p>
        </w:tc>
        <w:tc>
          <w:tcPr>
            <w:tcW w:w="939" w:type="dxa"/>
            <w:vMerge w:val="continue"/>
            <w:vAlign w:val="center"/>
          </w:tcPr>
          <w:p w14:paraId="71CB0DC8">
            <w:pPr>
              <w:widowControl/>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C348742">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电梯年检</w:t>
            </w:r>
          </w:p>
        </w:tc>
        <w:tc>
          <w:tcPr>
            <w:tcW w:w="5155" w:type="dxa"/>
            <w:vAlign w:val="center"/>
          </w:tcPr>
          <w:p w14:paraId="64A3F356">
            <w:pPr>
              <w:widowControl/>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服务商协助采购方按相关部门要求进行年检工作，使电梯符合年检要求。</w:t>
            </w:r>
          </w:p>
        </w:tc>
        <w:tc>
          <w:tcPr>
            <w:tcW w:w="863" w:type="dxa"/>
            <w:vAlign w:val="center"/>
          </w:tcPr>
          <w:p w14:paraId="645D2513">
            <w:pPr>
              <w:widowControl/>
              <w:jc w:val="left"/>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年检</w:t>
            </w:r>
          </w:p>
        </w:tc>
      </w:tr>
      <w:tr w14:paraId="6B1B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29" w:type="dxa"/>
            <w:vAlign w:val="center"/>
          </w:tcPr>
          <w:p w14:paraId="516B146E">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w:t>
            </w:r>
          </w:p>
        </w:tc>
        <w:tc>
          <w:tcPr>
            <w:tcW w:w="939" w:type="dxa"/>
            <w:vMerge w:val="continue"/>
            <w:vAlign w:val="center"/>
          </w:tcPr>
          <w:p w14:paraId="3797C572">
            <w:pPr>
              <w:widowControl/>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E65AFD9">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服务响应</w:t>
            </w:r>
          </w:p>
        </w:tc>
        <w:tc>
          <w:tcPr>
            <w:tcW w:w="5155" w:type="dxa"/>
            <w:vAlign w:val="center"/>
          </w:tcPr>
          <w:p w14:paraId="22B279CC">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服务商应保持良好的服务响应速度，遇到紧急情况及时派人到现场处理。</w:t>
            </w:r>
          </w:p>
        </w:tc>
        <w:tc>
          <w:tcPr>
            <w:tcW w:w="863" w:type="dxa"/>
            <w:vAlign w:val="center"/>
          </w:tcPr>
          <w:p w14:paraId="3A625D14">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及时</w:t>
            </w:r>
          </w:p>
        </w:tc>
      </w:tr>
      <w:tr w14:paraId="35E4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1" w:hRule="atLeast"/>
          <w:jc w:val="center"/>
        </w:trPr>
        <w:tc>
          <w:tcPr>
            <w:tcW w:w="929" w:type="dxa"/>
            <w:vAlign w:val="center"/>
          </w:tcPr>
          <w:p w14:paraId="2D2FAB24">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w:t>
            </w:r>
          </w:p>
        </w:tc>
        <w:tc>
          <w:tcPr>
            <w:tcW w:w="939" w:type="dxa"/>
            <w:vMerge w:val="continue"/>
            <w:vAlign w:val="center"/>
          </w:tcPr>
          <w:p w14:paraId="1CE446F7">
            <w:pPr>
              <w:widowControl/>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25EB03A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安全意识培训</w:t>
            </w:r>
          </w:p>
        </w:tc>
        <w:tc>
          <w:tcPr>
            <w:tcW w:w="5155" w:type="dxa"/>
            <w:vAlign w:val="center"/>
          </w:tcPr>
          <w:p w14:paraId="398B6D79">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服务商应定期向采购方提供电梯安全知识培训，增强采购方用户的安全意识和使用电梯的技能。</w:t>
            </w:r>
          </w:p>
        </w:tc>
        <w:tc>
          <w:tcPr>
            <w:tcW w:w="863" w:type="dxa"/>
            <w:vAlign w:val="center"/>
          </w:tcPr>
          <w:p w14:paraId="7B267212">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按要求</w:t>
            </w:r>
          </w:p>
        </w:tc>
      </w:tr>
      <w:tr w14:paraId="35AF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29" w:type="dxa"/>
            <w:vAlign w:val="center"/>
          </w:tcPr>
          <w:p w14:paraId="6AD8949C">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w:t>
            </w:r>
          </w:p>
        </w:tc>
        <w:tc>
          <w:tcPr>
            <w:tcW w:w="939" w:type="dxa"/>
            <w:vMerge w:val="continue"/>
            <w:vAlign w:val="center"/>
          </w:tcPr>
          <w:p w14:paraId="1D89CAB2">
            <w:pPr>
              <w:widowControl/>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589F4D5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合规运营</w:t>
            </w:r>
          </w:p>
        </w:tc>
        <w:tc>
          <w:tcPr>
            <w:tcW w:w="5155" w:type="dxa"/>
            <w:vAlign w:val="center"/>
          </w:tcPr>
          <w:p w14:paraId="18102FC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服务商应要遵守相关的法律法规和行业标准，确保电梯的合规运营。</w:t>
            </w:r>
          </w:p>
        </w:tc>
        <w:tc>
          <w:tcPr>
            <w:tcW w:w="863" w:type="dxa"/>
            <w:vAlign w:val="center"/>
          </w:tcPr>
          <w:p w14:paraId="1E019C9A">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按要求</w:t>
            </w:r>
          </w:p>
        </w:tc>
      </w:tr>
      <w:tr w14:paraId="404D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29" w:type="dxa"/>
            <w:vAlign w:val="center"/>
          </w:tcPr>
          <w:p w14:paraId="604F9C7A">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w:t>
            </w:r>
          </w:p>
        </w:tc>
        <w:tc>
          <w:tcPr>
            <w:tcW w:w="939" w:type="dxa"/>
            <w:vMerge w:val="continue"/>
            <w:vAlign w:val="center"/>
          </w:tcPr>
          <w:p w14:paraId="17F54980">
            <w:pPr>
              <w:widowControl/>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19FDF87D">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服务满意度调查</w:t>
            </w:r>
          </w:p>
        </w:tc>
        <w:tc>
          <w:tcPr>
            <w:tcW w:w="5155" w:type="dxa"/>
            <w:vAlign w:val="center"/>
          </w:tcPr>
          <w:p w14:paraId="5D6EA362">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服务商应定期进行用户服务满意度调查，及时反馈用户意见和建议，优化服务质量。</w:t>
            </w:r>
          </w:p>
        </w:tc>
        <w:tc>
          <w:tcPr>
            <w:tcW w:w="863" w:type="dxa"/>
            <w:vAlign w:val="center"/>
          </w:tcPr>
          <w:p w14:paraId="41345761">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定期</w:t>
            </w:r>
          </w:p>
        </w:tc>
      </w:tr>
      <w:tr w14:paraId="4840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1E931947">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w:t>
            </w:r>
          </w:p>
        </w:tc>
        <w:tc>
          <w:tcPr>
            <w:tcW w:w="939" w:type="dxa"/>
            <w:vMerge w:val="restart"/>
            <w:vAlign w:val="center"/>
          </w:tcPr>
          <w:p w14:paraId="44A8B42C">
            <w:pPr>
              <w:rPr>
                <w:rFonts w:hint="eastAsia" w:ascii="宋体" w:hAnsi="宋体" w:eastAsia="宋体" w:cs="宋体"/>
                <w:sz w:val="20"/>
                <w:szCs w:val="20"/>
                <w:highlight w:val="none"/>
              </w:rPr>
            </w:pPr>
          </w:p>
          <w:p w14:paraId="42197BD6">
            <w:pPr>
              <w:widowControl/>
              <w:spacing w:line="240" w:lineRule="exact"/>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资</w:t>
            </w:r>
          </w:p>
          <w:p w14:paraId="59B991DE">
            <w:pPr>
              <w:widowControl/>
              <w:spacing w:line="240" w:lineRule="exact"/>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料</w:t>
            </w:r>
          </w:p>
          <w:p w14:paraId="00EE6705">
            <w:pPr>
              <w:widowControl/>
              <w:spacing w:line="240" w:lineRule="exact"/>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检</w:t>
            </w:r>
          </w:p>
          <w:p w14:paraId="56756ECD">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查</w:t>
            </w:r>
          </w:p>
        </w:tc>
        <w:tc>
          <w:tcPr>
            <w:tcW w:w="1486" w:type="dxa"/>
            <w:vAlign w:val="center"/>
          </w:tcPr>
          <w:p w14:paraId="501C622E">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设备铭牌</w:t>
            </w:r>
          </w:p>
        </w:tc>
        <w:tc>
          <w:tcPr>
            <w:tcW w:w="5155" w:type="dxa"/>
            <w:vAlign w:val="center"/>
          </w:tcPr>
          <w:p w14:paraId="221A0000">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在轿厢内显著位置处必须固定有设备铭牌，铭牌内容至少应有额定载重量或额定载客数。</w:t>
            </w:r>
          </w:p>
        </w:tc>
        <w:tc>
          <w:tcPr>
            <w:tcW w:w="863" w:type="dxa"/>
            <w:vAlign w:val="center"/>
          </w:tcPr>
          <w:p w14:paraId="7F19C435">
            <w:pPr>
              <w:jc w:val="left"/>
              <w:rPr>
                <w:rFonts w:hint="default" w:ascii="宋体" w:hAnsi="宋体" w:eastAsia="宋体" w:cs="宋体"/>
                <w:bCs/>
                <w:color w:val="auto"/>
                <w:kern w:val="2"/>
                <w:sz w:val="20"/>
                <w:szCs w:val="20"/>
                <w:highlight w:val="none"/>
                <w:lang w:val="en-US" w:eastAsia="zh-CN" w:bidi="ar-SA"/>
              </w:rPr>
            </w:pPr>
            <w:r>
              <w:rPr>
                <w:rFonts w:hint="default" w:ascii="宋体" w:hAnsi="宋体" w:eastAsia="宋体" w:cs="宋体"/>
                <w:bCs/>
                <w:color w:val="auto"/>
                <w:kern w:val="2"/>
                <w:sz w:val="20"/>
                <w:szCs w:val="20"/>
                <w:highlight w:val="none"/>
                <w:lang w:val="en-US" w:eastAsia="zh-CN" w:bidi="ar-SA"/>
              </w:rPr>
              <w:t>半月</w:t>
            </w:r>
          </w:p>
        </w:tc>
      </w:tr>
      <w:tr w14:paraId="54C9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29" w:type="dxa"/>
            <w:vAlign w:val="center"/>
          </w:tcPr>
          <w:p w14:paraId="11FC8467">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w:t>
            </w:r>
          </w:p>
        </w:tc>
        <w:tc>
          <w:tcPr>
            <w:tcW w:w="939" w:type="dxa"/>
            <w:vMerge w:val="continue"/>
            <w:vAlign w:val="center"/>
          </w:tcPr>
          <w:p w14:paraId="7EC4D928">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158B639E">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合格标志</w:t>
            </w:r>
          </w:p>
        </w:tc>
        <w:tc>
          <w:tcPr>
            <w:tcW w:w="5155" w:type="dxa"/>
            <w:vAlign w:val="center"/>
          </w:tcPr>
          <w:p w14:paraId="54F49A11">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电梯《安全检验合格》标志应固定在轿厢内明显的位置上。</w:t>
            </w:r>
          </w:p>
        </w:tc>
        <w:tc>
          <w:tcPr>
            <w:tcW w:w="863" w:type="dxa"/>
            <w:vAlign w:val="center"/>
          </w:tcPr>
          <w:p w14:paraId="686C5E13">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7F0B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1E6FEE26">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w:t>
            </w:r>
          </w:p>
        </w:tc>
        <w:tc>
          <w:tcPr>
            <w:tcW w:w="939" w:type="dxa"/>
            <w:vMerge w:val="continue"/>
            <w:vAlign w:val="center"/>
          </w:tcPr>
          <w:p w14:paraId="15ED4967">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6B81788C">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EB69C88">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《安全检验合格》标志超过有效期的电梯不得使用。</w:t>
            </w:r>
          </w:p>
        </w:tc>
        <w:tc>
          <w:tcPr>
            <w:tcW w:w="863" w:type="dxa"/>
            <w:vAlign w:val="center"/>
          </w:tcPr>
          <w:p w14:paraId="3F9BEF65">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108FA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3588B4AE">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13</w:t>
            </w:r>
          </w:p>
        </w:tc>
        <w:tc>
          <w:tcPr>
            <w:tcW w:w="939" w:type="dxa"/>
            <w:vMerge w:val="continue"/>
            <w:vAlign w:val="center"/>
          </w:tcPr>
          <w:p w14:paraId="6F0686FB">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265425C5">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规章制度</w:t>
            </w:r>
          </w:p>
        </w:tc>
        <w:tc>
          <w:tcPr>
            <w:tcW w:w="5155" w:type="dxa"/>
            <w:vAlign w:val="center"/>
          </w:tcPr>
          <w:p w14:paraId="26E2F286">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操作规章、应急措施和救援预案、电梯钥匙使用管理等安全运行管理制度应张贴或悬挂在机房或控制柜明显处。</w:t>
            </w:r>
          </w:p>
        </w:tc>
        <w:tc>
          <w:tcPr>
            <w:tcW w:w="863" w:type="dxa"/>
            <w:vAlign w:val="center"/>
          </w:tcPr>
          <w:p w14:paraId="541FE9D1">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557A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29" w:type="dxa"/>
            <w:vAlign w:val="center"/>
          </w:tcPr>
          <w:p w14:paraId="6E03C6BA">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14</w:t>
            </w:r>
          </w:p>
        </w:tc>
        <w:tc>
          <w:tcPr>
            <w:tcW w:w="939" w:type="dxa"/>
            <w:vMerge w:val="continue"/>
            <w:vAlign w:val="center"/>
          </w:tcPr>
          <w:p w14:paraId="5E81E1FA">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2B431301">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安全标识</w:t>
            </w:r>
          </w:p>
        </w:tc>
        <w:tc>
          <w:tcPr>
            <w:tcW w:w="5155" w:type="dxa"/>
            <w:vAlign w:val="center"/>
          </w:tcPr>
          <w:p w14:paraId="6C7A4C20">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标识醒目、清晰，意思表达准确易懂。</w:t>
            </w:r>
          </w:p>
        </w:tc>
        <w:tc>
          <w:tcPr>
            <w:tcW w:w="863" w:type="dxa"/>
            <w:vAlign w:val="center"/>
          </w:tcPr>
          <w:p w14:paraId="6E3893B6">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3182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3AE50704">
            <w:pPr>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15</w:t>
            </w:r>
          </w:p>
        </w:tc>
        <w:tc>
          <w:tcPr>
            <w:tcW w:w="939" w:type="dxa"/>
            <w:vMerge w:val="continue"/>
            <w:vAlign w:val="center"/>
          </w:tcPr>
          <w:p w14:paraId="14E1EEC4">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61FC1821">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乘客须知</w:t>
            </w:r>
          </w:p>
        </w:tc>
        <w:tc>
          <w:tcPr>
            <w:tcW w:w="5155" w:type="dxa"/>
            <w:vAlign w:val="center"/>
          </w:tcPr>
          <w:p w14:paraId="14B16CF0">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内容必须完整、清晰，并在轿厢内明显地方公布。</w:t>
            </w:r>
          </w:p>
        </w:tc>
        <w:tc>
          <w:tcPr>
            <w:tcW w:w="863" w:type="dxa"/>
            <w:vAlign w:val="center"/>
          </w:tcPr>
          <w:p w14:paraId="7DFC4AE7">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214BD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22A5C9C4">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16</w:t>
            </w:r>
          </w:p>
        </w:tc>
        <w:tc>
          <w:tcPr>
            <w:tcW w:w="939" w:type="dxa"/>
            <w:vMerge w:val="continue"/>
            <w:vAlign w:val="center"/>
          </w:tcPr>
          <w:p w14:paraId="7F2EEFE7">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0192529">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运营记录</w:t>
            </w:r>
          </w:p>
        </w:tc>
        <w:tc>
          <w:tcPr>
            <w:tcW w:w="5155" w:type="dxa"/>
            <w:vAlign w:val="center"/>
          </w:tcPr>
          <w:p w14:paraId="72B05578">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应有运行、检查、维护保养、修理、改造情况及故障处理结果记录。</w:t>
            </w:r>
          </w:p>
        </w:tc>
        <w:tc>
          <w:tcPr>
            <w:tcW w:w="863" w:type="dxa"/>
            <w:vAlign w:val="center"/>
          </w:tcPr>
          <w:p w14:paraId="5066B4D0">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F31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29" w:type="dxa"/>
            <w:vAlign w:val="center"/>
          </w:tcPr>
          <w:p w14:paraId="32164529">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17</w:t>
            </w:r>
          </w:p>
        </w:tc>
        <w:tc>
          <w:tcPr>
            <w:tcW w:w="939" w:type="dxa"/>
            <w:vMerge w:val="restart"/>
            <w:vAlign w:val="center"/>
          </w:tcPr>
          <w:p w14:paraId="7FAD885D">
            <w:pPr>
              <w:rPr>
                <w:rFonts w:hint="eastAsia" w:ascii="宋体" w:hAnsi="宋体" w:eastAsia="宋体" w:cs="宋体"/>
                <w:sz w:val="20"/>
                <w:szCs w:val="20"/>
                <w:highlight w:val="none"/>
              </w:rPr>
            </w:pPr>
          </w:p>
          <w:p w14:paraId="76045402">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整</w:t>
            </w:r>
          </w:p>
          <w:p w14:paraId="3F1DD743">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w:t>
            </w:r>
          </w:p>
        </w:tc>
        <w:tc>
          <w:tcPr>
            <w:tcW w:w="1486" w:type="dxa"/>
            <w:vAlign w:val="center"/>
          </w:tcPr>
          <w:p w14:paraId="40609B14">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环境</w:t>
            </w:r>
          </w:p>
        </w:tc>
        <w:tc>
          <w:tcPr>
            <w:tcW w:w="5155" w:type="dxa"/>
            <w:vAlign w:val="center"/>
          </w:tcPr>
          <w:p w14:paraId="726C154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全面清洁。</w:t>
            </w:r>
          </w:p>
        </w:tc>
        <w:tc>
          <w:tcPr>
            <w:tcW w:w="863" w:type="dxa"/>
            <w:vAlign w:val="center"/>
          </w:tcPr>
          <w:p w14:paraId="7BAFF9F6">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4C25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5C156C95">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18</w:t>
            </w:r>
          </w:p>
        </w:tc>
        <w:tc>
          <w:tcPr>
            <w:tcW w:w="939" w:type="dxa"/>
            <w:vMerge w:val="continue"/>
            <w:vAlign w:val="center"/>
          </w:tcPr>
          <w:p w14:paraId="6494D08E">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08D0D2E9">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连接件</w:t>
            </w:r>
          </w:p>
        </w:tc>
        <w:tc>
          <w:tcPr>
            <w:tcW w:w="5155" w:type="dxa"/>
            <w:vAlign w:val="center"/>
          </w:tcPr>
          <w:p w14:paraId="7BD99788">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螺栓应固定无松动。</w:t>
            </w:r>
          </w:p>
        </w:tc>
        <w:tc>
          <w:tcPr>
            <w:tcW w:w="863" w:type="dxa"/>
            <w:vAlign w:val="center"/>
          </w:tcPr>
          <w:p w14:paraId="750845B6">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48D9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7DD2E545">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19</w:t>
            </w:r>
          </w:p>
        </w:tc>
        <w:tc>
          <w:tcPr>
            <w:tcW w:w="939" w:type="dxa"/>
            <w:vMerge w:val="continue"/>
            <w:vAlign w:val="center"/>
          </w:tcPr>
          <w:p w14:paraId="7D5460B6">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42A878B0">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5EEC2B2">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销轴应有防止脱落的措施，润滑应良好，不应有轴向移动。</w:t>
            </w:r>
          </w:p>
        </w:tc>
        <w:tc>
          <w:tcPr>
            <w:tcW w:w="863" w:type="dxa"/>
            <w:vAlign w:val="center"/>
          </w:tcPr>
          <w:p w14:paraId="080FC9E3">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1E2F6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358C9976">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20</w:t>
            </w:r>
          </w:p>
        </w:tc>
        <w:tc>
          <w:tcPr>
            <w:tcW w:w="939" w:type="dxa"/>
            <w:vMerge w:val="continue"/>
            <w:vAlign w:val="center"/>
          </w:tcPr>
          <w:p w14:paraId="0CB40289">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29984BBE">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232F9402">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铆钉不应有松动现象。</w:t>
            </w:r>
          </w:p>
        </w:tc>
        <w:tc>
          <w:tcPr>
            <w:tcW w:w="863" w:type="dxa"/>
            <w:vAlign w:val="center"/>
          </w:tcPr>
          <w:p w14:paraId="3FAF2917">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0934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2DCB576E">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21</w:t>
            </w:r>
          </w:p>
        </w:tc>
        <w:tc>
          <w:tcPr>
            <w:tcW w:w="939" w:type="dxa"/>
            <w:vMerge w:val="continue"/>
            <w:vAlign w:val="center"/>
          </w:tcPr>
          <w:p w14:paraId="0D9A5EDF">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43BD63F4">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0EB12837">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轴端卡板不应有松动及脱槽现象。</w:t>
            </w:r>
          </w:p>
        </w:tc>
        <w:tc>
          <w:tcPr>
            <w:tcW w:w="863" w:type="dxa"/>
            <w:vAlign w:val="center"/>
          </w:tcPr>
          <w:p w14:paraId="6D6933C5">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334DB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04B5B6A8">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22</w:t>
            </w:r>
          </w:p>
        </w:tc>
        <w:tc>
          <w:tcPr>
            <w:tcW w:w="939" w:type="dxa"/>
            <w:vMerge w:val="continue"/>
            <w:vAlign w:val="center"/>
          </w:tcPr>
          <w:p w14:paraId="0D09571E">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EBF9649">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轴承</w:t>
            </w:r>
          </w:p>
        </w:tc>
        <w:tc>
          <w:tcPr>
            <w:tcW w:w="5155" w:type="dxa"/>
            <w:vAlign w:val="center"/>
          </w:tcPr>
          <w:p w14:paraId="49ADA640">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无异常响声，无振动，润滑良好。</w:t>
            </w:r>
          </w:p>
        </w:tc>
        <w:tc>
          <w:tcPr>
            <w:tcW w:w="863" w:type="dxa"/>
            <w:vAlign w:val="top"/>
          </w:tcPr>
          <w:p w14:paraId="7515AFA2">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0C424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694AE815">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23</w:t>
            </w:r>
          </w:p>
        </w:tc>
        <w:tc>
          <w:tcPr>
            <w:tcW w:w="939" w:type="dxa"/>
            <w:vMerge w:val="continue"/>
            <w:vAlign w:val="center"/>
          </w:tcPr>
          <w:p w14:paraId="6ECB0E73">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1A90DB3D">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旋转部件防护</w:t>
            </w:r>
          </w:p>
        </w:tc>
        <w:tc>
          <w:tcPr>
            <w:tcW w:w="5155" w:type="dxa"/>
            <w:vAlign w:val="center"/>
          </w:tcPr>
          <w:p w14:paraId="7769122B">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在机房（机器设备间）内的曳引轮、滑轮、链轮、限速器，在井道内的曳引轮、滑轮、链轮、限速器及张紧轮、补偿绳张紧轮，在轿厢上的滑轮、链轮等与钢丝绳、链条形成传动的旋转部件的防护装置完好无变形。</w:t>
            </w:r>
          </w:p>
        </w:tc>
        <w:tc>
          <w:tcPr>
            <w:tcW w:w="863" w:type="dxa"/>
            <w:vAlign w:val="center"/>
          </w:tcPr>
          <w:p w14:paraId="32A38ABE">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19DF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790655CC">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24</w:t>
            </w:r>
          </w:p>
        </w:tc>
        <w:tc>
          <w:tcPr>
            <w:tcW w:w="939" w:type="dxa"/>
            <w:vMerge w:val="restart"/>
            <w:vAlign w:val="center"/>
          </w:tcPr>
          <w:p w14:paraId="37FE5E4B">
            <w:pPr>
              <w:rPr>
                <w:rFonts w:hint="eastAsia" w:ascii="宋体" w:hAnsi="宋体" w:eastAsia="宋体" w:cs="宋体"/>
                <w:sz w:val="20"/>
                <w:szCs w:val="20"/>
                <w:highlight w:val="none"/>
              </w:rPr>
            </w:pPr>
          </w:p>
          <w:p w14:paraId="345674D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w:t>
            </w:r>
          </w:p>
          <w:p w14:paraId="6F769D3A">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房</w:t>
            </w:r>
          </w:p>
        </w:tc>
        <w:tc>
          <w:tcPr>
            <w:tcW w:w="1486" w:type="dxa"/>
            <w:vAlign w:val="center"/>
          </w:tcPr>
          <w:p w14:paraId="779A0D34">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机房（机器设备间）</w:t>
            </w:r>
          </w:p>
        </w:tc>
        <w:tc>
          <w:tcPr>
            <w:tcW w:w="5155" w:type="dxa"/>
            <w:vAlign w:val="center"/>
          </w:tcPr>
          <w:p w14:paraId="7B8CFBDB">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机房（机器设备间）应当专用，不得用于电梯以外的其他用途。</w:t>
            </w:r>
          </w:p>
        </w:tc>
        <w:tc>
          <w:tcPr>
            <w:tcW w:w="863" w:type="dxa"/>
            <w:vAlign w:val="top"/>
          </w:tcPr>
          <w:p w14:paraId="5F100725">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47899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29" w:type="dxa"/>
            <w:vAlign w:val="center"/>
          </w:tcPr>
          <w:p w14:paraId="4E0A4E1D">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25</w:t>
            </w:r>
          </w:p>
        </w:tc>
        <w:tc>
          <w:tcPr>
            <w:tcW w:w="939" w:type="dxa"/>
            <w:vMerge w:val="continue"/>
            <w:vAlign w:val="center"/>
          </w:tcPr>
          <w:p w14:paraId="61253914">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1F1851AA">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环境</w:t>
            </w:r>
          </w:p>
        </w:tc>
        <w:tc>
          <w:tcPr>
            <w:tcW w:w="5155" w:type="dxa"/>
            <w:vAlign w:val="center"/>
          </w:tcPr>
          <w:p w14:paraId="31F051F6">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机房及通道清洁无杂物，门窗完好。</w:t>
            </w:r>
          </w:p>
        </w:tc>
        <w:tc>
          <w:tcPr>
            <w:tcW w:w="863" w:type="dxa"/>
            <w:vAlign w:val="top"/>
          </w:tcPr>
          <w:p w14:paraId="5658B8A7">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6BF6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199A9003">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26</w:t>
            </w:r>
          </w:p>
        </w:tc>
        <w:tc>
          <w:tcPr>
            <w:tcW w:w="939" w:type="dxa"/>
            <w:vMerge w:val="continue"/>
            <w:vAlign w:val="center"/>
          </w:tcPr>
          <w:p w14:paraId="446448C7">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47A74ED9">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217EA5F">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机房通风应良好，机房内的环境温度应保持在5~40℃之间。</w:t>
            </w:r>
          </w:p>
        </w:tc>
        <w:tc>
          <w:tcPr>
            <w:tcW w:w="863" w:type="dxa"/>
            <w:vAlign w:val="center"/>
          </w:tcPr>
          <w:p w14:paraId="1B6891AB">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4E525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664AF9E0">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27</w:t>
            </w:r>
          </w:p>
        </w:tc>
        <w:tc>
          <w:tcPr>
            <w:tcW w:w="939" w:type="dxa"/>
            <w:vMerge w:val="continue"/>
            <w:vAlign w:val="center"/>
          </w:tcPr>
          <w:p w14:paraId="4F1B22A2">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EE5097A">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机房照明</w:t>
            </w:r>
          </w:p>
        </w:tc>
        <w:tc>
          <w:tcPr>
            <w:tcW w:w="5155" w:type="dxa"/>
            <w:vAlign w:val="center"/>
          </w:tcPr>
          <w:p w14:paraId="05C3427E">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机房应当设置永久性电气照明，照度应当足够。</w:t>
            </w:r>
          </w:p>
        </w:tc>
        <w:tc>
          <w:tcPr>
            <w:tcW w:w="863" w:type="dxa"/>
            <w:vAlign w:val="top"/>
          </w:tcPr>
          <w:p w14:paraId="40DCECB2">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70571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27BB1829">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28</w:t>
            </w:r>
          </w:p>
        </w:tc>
        <w:tc>
          <w:tcPr>
            <w:tcW w:w="939" w:type="dxa"/>
            <w:vMerge w:val="continue"/>
            <w:vAlign w:val="center"/>
          </w:tcPr>
          <w:p w14:paraId="0EB390DD">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AD85429">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通道照明</w:t>
            </w:r>
          </w:p>
        </w:tc>
        <w:tc>
          <w:tcPr>
            <w:tcW w:w="5155" w:type="dxa"/>
            <w:vAlign w:val="center"/>
          </w:tcPr>
          <w:p w14:paraId="2617E98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通道应当设置永久性电气照明，照度应当足够。</w:t>
            </w:r>
          </w:p>
        </w:tc>
        <w:tc>
          <w:tcPr>
            <w:tcW w:w="863" w:type="dxa"/>
            <w:vAlign w:val="top"/>
          </w:tcPr>
          <w:p w14:paraId="1E0C2B86">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2B6B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4AB51E70">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28</w:t>
            </w:r>
          </w:p>
        </w:tc>
        <w:tc>
          <w:tcPr>
            <w:tcW w:w="939" w:type="dxa"/>
            <w:vMerge w:val="continue"/>
            <w:vAlign w:val="center"/>
          </w:tcPr>
          <w:p w14:paraId="41F17035">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2CCF88B5">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通道门</w:t>
            </w:r>
          </w:p>
        </w:tc>
        <w:tc>
          <w:tcPr>
            <w:tcW w:w="5155" w:type="dxa"/>
            <w:vAlign w:val="center"/>
          </w:tcPr>
          <w:p w14:paraId="01232E1C">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门应当装有带钥匙的锁，并且可以从机房内不用钥匙打开。</w:t>
            </w:r>
          </w:p>
        </w:tc>
        <w:tc>
          <w:tcPr>
            <w:tcW w:w="863" w:type="dxa"/>
            <w:vAlign w:val="center"/>
          </w:tcPr>
          <w:p w14:paraId="41452C1E">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14E92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647D8BE4">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29</w:t>
            </w:r>
          </w:p>
        </w:tc>
        <w:tc>
          <w:tcPr>
            <w:tcW w:w="939" w:type="dxa"/>
            <w:vMerge w:val="continue"/>
            <w:vAlign w:val="center"/>
          </w:tcPr>
          <w:p w14:paraId="3C3811B8">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68E8D0C1">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6EA381F6">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门外侧应当标明“机房重地，闲人免进”，或有其它类似警示标志。</w:t>
            </w:r>
          </w:p>
        </w:tc>
        <w:tc>
          <w:tcPr>
            <w:tcW w:w="863" w:type="dxa"/>
            <w:vAlign w:val="center"/>
          </w:tcPr>
          <w:p w14:paraId="07C3116C">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1369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1DB8130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30</w:t>
            </w:r>
          </w:p>
        </w:tc>
        <w:tc>
          <w:tcPr>
            <w:tcW w:w="939" w:type="dxa"/>
            <w:vMerge w:val="continue"/>
            <w:vAlign w:val="center"/>
          </w:tcPr>
          <w:p w14:paraId="57780928">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02C8E6BB">
            <w:pPr>
              <w:widowControl/>
              <w:adjustRightInd w:val="0"/>
              <w:snapToGrid w:val="0"/>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控制柜</w:t>
            </w:r>
          </w:p>
        </w:tc>
        <w:tc>
          <w:tcPr>
            <w:tcW w:w="5155" w:type="dxa"/>
            <w:vAlign w:val="center"/>
          </w:tcPr>
          <w:p w14:paraId="0CF575C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每台电梯的断相或错相保护装置可靠有效。</w:t>
            </w:r>
          </w:p>
        </w:tc>
        <w:tc>
          <w:tcPr>
            <w:tcW w:w="863" w:type="dxa"/>
            <w:vAlign w:val="center"/>
          </w:tcPr>
          <w:p w14:paraId="14EB84C6">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398E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7C729BC6">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31</w:t>
            </w:r>
          </w:p>
        </w:tc>
        <w:tc>
          <w:tcPr>
            <w:tcW w:w="939" w:type="dxa"/>
            <w:vMerge w:val="continue"/>
            <w:vAlign w:val="center"/>
          </w:tcPr>
          <w:p w14:paraId="46A0D2A0">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43BE82FB">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D3E26F8">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各仪表显示清楚、正确。</w:t>
            </w:r>
          </w:p>
        </w:tc>
        <w:tc>
          <w:tcPr>
            <w:tcW w:w="863" w:type="dxa"/>
            <w:vAlign w:val="center"/>
          </w:tcPr>
          <w:p w14:paraId="46FC1575">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182AE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525F42B6">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32</w:t>
            </w:r>
          </w:p>
        </w:tc>
        <w:tc>
          <w:tcPr>
            <w:tcW w:w="939" w:type="dxa"/>
            <w:vMerge w:val="continue"/>
            <w:vAlign w:val="center"/>
          </w:tcPr>
          <w:p w14:paraId="6BC7B95C">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58B76DD0">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061F3A2">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各接线紧固、整齐、线号齐全清晰。</w:t>
            </w:r>
          </w:p>
        </w:tc>
        <w:tc>
          <w:tcPr>
            <w:tcW w:w="863" w:type="dxa"/>
            <w:vAlign w:val="center"/>
          </w:tcPr>
          <w:p w14:paraId="36929D61">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1777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5EC4909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33</w:t>
            </w:r>
          </w:p>
        </w:tc>
        <w:tc>
          <w:tcPr>
            <w:tcW w:w="939" w:type="dxa"/>
            <w:vMerge w:val="continue"/>
            <w:vAlign w:val="center"/>
          </w:tcPr>
          <w:p w14:paraId="5075FD23">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20D21343">
            <w:pPr>
              <w:pStyle w:val="27"/>
              <w:jc w:val="both"/>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5A4EFD48">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接触器和继电器的触点接触良好。</w:t>
            </w:r>
          </w:p>
        </w:tc>
        <w:tc>
          <w:tcPr>
            <w:tcW w:w="863" w:type="dxa"/>
            <w:vAlign w:val="center"/>
          </w:tcPr>
          <w:p w14:paraId="75D95869">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5AF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08AEFCF9">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34</w:t>
            </w:r>
          </w:p>
        </w:tc>
        <w:tc>
          <w:tcPr>
            <w:tcW w:w="939" w:type="dxa"/>
            <w:vMerge w:val="continue"/>
            <w:vAlign w:val="center"/>
          </w:tcPr>
          <w:p w14:paraId="1F58FCA4">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3DA7981C">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驱动主机</w:t>
            </w:r>
          </w:p>
        </w:tc>
        <w:tc>
          <w:tcPr>
            <w:tcW w:w="5155" w:type="dxa"/>
            <w:vAlign w:val="center"/>
          </w:tcPr>
          <w:p w14:paraId="546EF64B">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工作时应当无异常噪声和振动。</w:t>
            </w:r>
          </w:p>
        </w:tc>
        <w:tc>
          <w:tcPr>
            <w:tcW w:w="863" w:type="dxa"/>
            <w:vAlign w:val="center"/>
          </w:tcPr>
          <w:p w14:paraId="50C42278">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59DF2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29" w:type="dxa"/>
            <w:vAlign w:val="center"/>
          </w:tcPr>
          <w:p w14:paraId="55C7C033">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35</w:t>
            </w:r>
          </w:p>
        </w:tc>
        <w:tc>
          <w:tcPr>
            <w:tcW w:w="939" w:type="dxa"/>
            <w:vMerge w:val="continue"/>
            <w:vAlign w:val="center"/>
          </w:tcPr>
          <w:p w14:paraId="78A0443D">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3905D06C">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0720841E">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曳引轮轮槽应清洁，无严重油腻。</w:t>
            </w:r>
          </w:p>
        </w:tc>
        <w:tc>
          <w:tcPr>
            <w:tcW w:w="863" w:type="dxa"/>
            <w:vAlign w:val="center"/>
          </w:tcPr>
          <w:p w14:paraId="0723F757">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28CB6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29" w:type="dxa"/>
            <w:vAlign w:val="center"/>
          </w:tcPr>
          <w:p w14:paraId="492DD7C1">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36</w:t>
            </w:r>
          </w:p>
        </w:tc>
        <w:tc>
          <w:tcPr>
            <w:tcW w:w="939" w:type="dxa"/>
            <w:vMerge w:val="restart"/>
            <w:vAlign w:val="center"/>
          </w:tcPr>
          <w:p w14:paraId="5BE7CB29">
            <w:pPr>
              <w:rPr>
                <w:rFonts w:hint="eastAsia" w:ascii="宋体" w:hAnsi="宋体" w:eastAsia="宋体" w:cs="宋体"/>
                <w:sz w:val="20"/>
                <w:szCs w:val="20"/>
                <w:highlight w:val="none"/>
              </w:rPr>
            </w:pPr>
          </w:p>
          <w:p w14:paraId="3087D16B">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w:t>
            </w:r>
          </w:p>
          <w:p w14:paraId="5297E6D9">
            <w:pPr>
              <w:pStyle w:val="27"/>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房</w:t>
            </w:r>
          </w:p>
        </w:tc>
        <w:tc>
          <w:tcPr>
            <w:tcW w:w="1486" w:type="dxa"/>
            <w:vMerge w:val="restart"/>
            <w:vAlign w:val="center"/>
          </w:tcPr>
          <w:p w14:paraId="2AFA851D">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驱动主机</w:t>
            </w:r>
          </w:p>
        </w:tc>
        <w:tc>
          <w:tcPr>
            <w:tcW w:w="5155" w:type="dxa"/>
            <w:vAlign w:val="center"/>
          </w:tcPr>
          <w:p w14:paraId="1726CCAE">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曳引轮轮槽磨损量不超过制造单位要求。</w:t>
            </w:r>
          </w:p>
        </w:tc>
        <w:tc>
          <w:tcPr>
            <w:tcW w:w="863" w:type="dxa"/>
            <w:vAlign w:val="center"/>
          </w:tcPr>
          <w:p w14:paraId="4050EB0C">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7439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5AEBF46C">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37</w:t>
            </w:r>
          </w:p>
        </w:tc>
        <w:tc>
          <w:tcPr>
            <w:tcW w:w="939" w:type="dxa"/>
            <w:vMerge w:val="continue"/>
            <w:vAlign w:val="center"/>
          </w:tcPr>
          <w:p w14:paraId="4CBB0CAA">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3400EFE6">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477AE04E">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减速机油量适宜，除蜗杆伸出端外均无渗漏。</w:t>
            </w:r>
          </w:p>
        </w:tc>
        <w:tc>
          <w:tcPr>
            <w:tcW w:w="863" w:type="dxa"/>
            <w:vAlign w:val="center"/>
          </w:tcPr>
          <w:p w14:paraId="7C1894BB">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4113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7325FC58">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38</w:t>
            </w:r>
          </w:p>
        </w:tc>
        <w:tc>
          <w:tcPr>
            <w:tcW w:w="939" w:type="dxa"/>
            <w:vMerge w:val="continue"/>
            <w:vAlign w:val="center"/>
          </w:tcPr>
          <w:p w14:paraId="33AF8429">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516A365">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0C28F41E">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按制造单位要求适时更换减速箱内齿轮油，保证油质符合要求。</w:t>
            </w:r>
          </w:p>
        </w:tc>
        <w:tc>
          <w:tcPr>
            <w:tcW w:w="863" w:type="dxa"/>
            <w:vAlign w:val="center"/>
          </w:tcPr>
          <w:p w14:paraId="297A0BF0">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C88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2C554F88">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39</w:t>
            </w:r>
          </w:p>
        </w:tc>
        <w:tc>
          <w:tcPr>
            <w:tcW w:w="939" w:type="dxa"/>
            <w:vMerge w:val="continue"/>
            <w:vAlign w:val="center"/>
          </w:tcPr>
          <w:p w14:paraId="460F1F0A">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50A77E9F">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制动装置</w:t>
            </w:r>
          </w:p>
        </w:tc>
        <w:tc>
          <w:tcPr>
            <w:tcW w:w="5155" w:type="dxa"/>
            <w:vAlign w:val="center"/>
          </w:tcPr>
          <w:p w14:paraId="62C1CD15">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各销轴部位润滑良好，动作灵活可靠，保持有足够的制动力。</w:t>
            </w:r>
          </w:p>
        </w:tc>
        <w:tc>
          <w:tcPr>
            <w:tcW w:w="863" w:type="dxa"/>
            <w:vAlign w:val="center"/>
          </w:tcPr>
          <w:p w14:paraId="57B75ABD">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9282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C99C81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40</w:t>
            </w:r>
          </w:p>
        </w:tc>
        <w:tc>
          <w:tcPr>
            <w:tcW w:w="939" w:type="dxa"/>
            <w:vMerge w:val="continue"/>
            <w:vAlign w:val="center"/>
          </w:tcPr>
          <w:p w14:paraId="511A5C05">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73EC779E">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233B318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制动器打开时，闸瓦与制动轮不应发生摩擦。</w:t>
            </w:r>
          </w:p>
        </w:tc>
        <w:tc>
          <w:tcPr>
            <w:tcW w:w="863" w:type="dxa"/>
            <w:vAlign w:val="center"/>
          </w:tcPr>
          <w:p w14:paraId="6E3CEC8F">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2BFD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034C8E16">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41</w:t>
            </w:r>
          </w:p>
        </w:tc>
        <w:tc>
          <w:tcPr>
            <w:tcW w:w="939" w:type="dxa"/>
            <w:vMerge w:val="continue"/>
            <w:vAlign w:val="center"/>
          </w:tcPr>
          <w:p w14:paraId="7AD8297B">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1351F71E">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4C7E9A0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检测开关应工作可靠有效。</w:t>
            </w:r>
          </w:p>
        </w:tc>
        <w:tc>
          <w:tcPr>
            <w:tcW w:w="863" w:type="dxa"/>
            <w:vAlign w:val="center"/>
          </w:tcPr>
          <w:p w14:paraId="386366E6">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37E3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07A45EF3">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42</w:t>
            </w:r>
          </w:p>
        </w:tc>
        <w:tc>
          <w:tcPr>
            <w:tcW w:w="939" w:type="dxa"/>
            <w:vMerge w:val="continue"/>
            <w:vAlign w:val="center"/>
          </w:tcPr>
          <w:p w14:paraId="15E648BB">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535560FB">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制动装置</w:t>
            </w:r>
          </w:p>
        </w:tc>
        <w:tc>
          <w:tcPr>
            <w:tcW w:w="5155" w:type="dxa"/>
            <w:vAlign w:val="center"/>
          </w:tcPr>
          <w:p w14:paraId="640CDA5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制动衬磨损均匀，磨损量不应大于电梯制造单位的规定值。</w:t>
            </w:r>
          </w:p>
        </w:tc>
        <w:tc>
          <w:tcPr>
            <w:tcW w:w="863" w:type="dxa"/>
            <w:vAlign w:val="center"/>
          </w:tcPr>
          <w:p w14:paraId="6E0CC88D">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6007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53A8EB4">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43</w:t>
            </w:r>
          </w:p>
        </w:tc>
        <w:tc>
          <w:tcPr>
            <w:tcW w:w="939" w:type="dxa"/>
            <w:vMerge w:val="continue"/>
            <w:vAlign w:val="center"/>
          </w:tcPr>
          <w:p w14:paraId="4D805812">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6A31F1B">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1945EDC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可拆卸的制动器铁芯（柱塞）应按制造单位要求进行清洁、润滑。</w:t>
            </w:r>
          </w:p>
        </w:tc>
        <w:tc>
          <w:tcPr>
            <w:tcW w:w="863" w:type="dxa"/>
            <w:vAlign w:val="center"/>
          </w:tcPr>
          <w:p w14:paraId="51D28A5D">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DE04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7A531053">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44</w:t>
            </w:r>
          </w:p>
        </w:tc>
        <w:tc>
          <w:tcPr>
            <w:tcW w:w="939" w:type="dxa"/>
            <w:vMerge w:val="continue"/>
            <w:vAlign w:val="center"/>
          </w:tcPr>
          <w:p w14:paraId="37E97D98">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3BD0F9D1">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紧急操作装置</w:t>
            </w:r>
          </w:p>
        </w:tc>
        <w:tc>
          <w:tcPr>
            <w:tcW w:w="5155" w:type="dxa"/>
            <w:vAlign w:val="center"/>
          </w:tcPr>
          <w:p w14:paraId="1C54CD77">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对于可拆卸盘车手轮，如设置电气安全装置，该安全装置最迟在盘车手轮装上电梯驱动主机时应当动作。</w:t>
            </w:r>
          </w:p>
        </w:tc>
        <w:tc>
          <w:tcPr>
            <w:tcW w:w="863" w:type="dxa"/>
            <w:vAlign w:val="center"/>
          </w:tcPr>
          <w:p w14:paraId="1068AB7F">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0EB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7549BF94">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45</w:t>
            </w:r>
          </w:p>
        </w:tc>
        <w:tc>
          <w:tcPr>
            <w:tcW w:w="939" w:type="dxa"/>
            <w:vMerge w:val="continue"/>
            <w:vAlign w:val="center"/>
          </w:tcPr>
          <w:p w14:paraId="5DB3AAFF">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29F9D6F8">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EF7BC21">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松闸扳手应涂成红色，盘车手轮应是无辐条的并且涂成黄色，可拆卸盘车手轮应放置在机房内容易接近的明显部位。</w:t>
            </w:r>
          </w:p>
        </w:tc>
        <w:tc>
          <w:tcPr>
            <w:tcW w:w="863" w:type="dxa"/>
            <w:vAlign w:val="center"/>
          </w:tcPr>
          <w:p w14:paraId="47BDECDC">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3D3A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vAlign w:val="center"/>
          </w:tcPr>
          <w:p w14:paraId="5C060AF8">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46</w:t>
            </w:r>
          </w:p>
        </w:tc>
        <w:tc>
          <w:tcPr>
            <w:tcW w:w="939" w:type="dxa"/>
            <w:vMerge w:val="continue"/>
            <w:vAlign w:val="center"/>
          </w:tcPr>
          <w:p w14:paraId="4B9DD3C4">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5FFD12E7">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158B6982">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在电梯驱动主机上接近盘车手轮处，应明显标出轿厢运行方向，如果手轮是不能拆卸的可以在手轮上标出。</w:t>
            </w:r>
          </w:p>
        </w:tc>
        <w:tc>
          <w:tcPr>
            <w:tcW w:w="863" w:type="dxa"/>
            <w:vAlign w:val="center"/>
          </w:tcPr>
          <w:p w14:paraId="7056BC59">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0BE3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31BE55CC">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47</w:t>
            </w:r>
          </w:p>
        </w:tc>
        <w:tc>
          <w:tcPr>
            <w:tcW w:w="939" w:type="dxa"/>
            <w:vMerge w:val="continue"/>
            <w:vAlign w:val="center"/>
          </w:tcPr>
          <w:p w14:paraId="40B8199C">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8A9D310">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426B9E08">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应当能够通过操纵手动松闸装置松开制动器，并且需要以一持续力保持其松开状态。</w:t>
            </w:r>
          </w:p>
        </w:tc>
        <w:tc>
          <w:tcPr>
            <w:tcW w:w="863" w:type="dxa"/>
            <w:vAlign w:val="center"/>
          </w:tcPr>
          <w:p w14:paraId="57AC0CA3">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15B9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4B12043B">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48</w:t>
            </w:r>
          </w:p>
        </w:tc>
        <w:tc>
          <w:tcPr>
            <w:tcW w:w="939" w:type="dxa"/>
            <w:vMerge w:val="continue"/>
            <w:vAlign w:val="center"/>
          </w:tcPr>
          <w:p w14:paraId="6B71BBDF">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105DE3CE">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7442A5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如果依靠持续揿压按钮来控制轿厢运行，此按钮应有防止误操作的保护，按钮上或其近旁应标出相应的运行方向。</w:t>
            </w:r>
          </w:p>
        </w:tc>
        <w:tc>
          <w:tcPr>
            <w:tcW w:w="863" w:type="dxa"/>
            <w:vAlign w:val="center"/>
          </w:tcPr>
          <w:p w14:paraId="5DA791B5">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18DD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427F5D26">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49</w:t>
            </w:r>
          </w:p>
        </w:tc>
        <w:tc>
          <w:tcPr>
            <w:tcW w:w="939" w:type="dxa"/>
            <w:vMerge w:val="continue"/>
            <w:vAlign w:val="center"/>
          </w:tcPr>
          <w:p w14:paraId="10B3BAB1">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4399711A">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1C0F13DE">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一旦进入检修运行，紧急电动运行装置控制轿厢运行的功能由检修控制装置所取代，取代可靠有效。</w:t>
            </w:r>
          </w:p>
        </w:tc>
        <w:tc>
          <w:tcPr>
            <w:tcW w:w="863" w:type="dxa"/>
            <w:vAlign w:val="center"/>
          </w:tcPr>
          <w:p w14:paraId="0BEEA3C7">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05CE5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27FB191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50</w:t>
            </w:r>
          </w:p>
        </w:tc>
        <w:tc>
          <w:tcPr>
            <w:tcW w:w="939" w:type="dxa"/>
            <w:vMerge w:val="continue"/>
            <w:vAlign w:val="center"/>
          </w:tcPr>
          <w:p w14:paraId="18D09ED2">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6D350FA6">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1537199">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进行紧急电动运行操作时，应有平层标志或电子信号提示，易于观察到轿厢是否在开锁区。</w:t>
            </w:r>
          </w:p>
        </w:tc>
        <w:tc>
          <w:tcPr>
            <w:tcW w:w="863" w:type="dxa"/>
            <w:vAlign w:val="center"/>
          </w:tcPr>
          <w:p w14:paraId="09D72CEE">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3A4F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12FAD56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51</w:t>
            </w:r>
          </w:p>
        </w:tc>
        <w:tc>
          <w:tcPr>
            <w:tcW w:w="939" w:type="dxa"/>
            <w:vMerge w:val="continue"/>
            <w:vAlign w:val="center"/>
          </w:tcPr>
          <w:p w14:paraId="27DF498A">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67188115">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限速器</w:t>
            </w:r>
          </w:p>
        </w:tc>
        <w:tc>
          <w:tcPr>
            <w:tcW w:w="5155" w:type="dxa"/>
            <w:vAlign w:val="center"/>
          </w:tcPr>
          <w:p w14:paraId="705A86FA">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销轴部位润滑良好、转动灵活，限速器轮槽和限速绳清洁无油腻。</w:t>
            </w:r>
          </w:p>
        </w:tc>
        <w:tc>
          <w:tcPr>
            <w:tcW w:w="863" w:type="dxa"/>
            <w:vAlign w:val="center"/>
          </w:tcPr>
          <w:p w14:paraId="4F529F6D">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4F792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21AD013C">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52</w:t>
            </w:r>
          </w:p>
        </w:tc>
        <w:tc>
          <w:tcPr>
            <w:tcW w:w="939" w:type="dxa"/>
            <w:vMerge w:val="continue"/>
            <w:vAlign w:val="center"/>
          </w:tcPr>
          <w:p w14:paraId="32A66238">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4D3CB95E">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44204773">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限速器夹绳钳口无严重磨损，应有足够夹持力。</w:t>
            </w:r>
          </w:p>
        </w:tc>
        <w:tc>
          <w:tcPr>
            <w:tcW w:w="863" w:type="dxa"/>
            <w:vAlign w:val="center"/>
          </w:tcPr>
          <w:p w14:paraId="5DBF6BD5">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E0B0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6CFCD99">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53</w:t>
            </w:r>
          </w:p>
        </w:tc>
        <w:tc>
          <w:tcPr>
            <w:tcW w:w="939" w:type="dxa"/>
            <w:vMerge w:val="continue"/>
            <w:vAlign w:val="center"/>
          </w:tcPr>
          <w:p w14:paraId="2476F28F">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5E2C6E4">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504CE722">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限速器或者其他装置上应当设有在轿厢上行或者下行速度达到限速器动作速度之前动作的电气安全装置，以及验证限速器复位状态的电气安全装置，该电气安全装置应可靠有效。</w:t>
            </w:r>
          </w:p>
        </w:tc>
        <w:tc>
          <w:tcPr>
            <w:tcW w:w="863" w:type="dxa"/>
            <w:vAlign w:val="center"/>
          </w:tcPr>
          <w:p w14:paraId="24C62F5C">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0E8A6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4B2583B1">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54</w:t>
            </w:r>
          </w:p>
        </w:tc>
        <w:tc>
          <w:tcPr>
            <w:tcW w:w="939" w:type="dxa"/>
            <w:vMerge w:val="continue"/>
            <w:vAlign w:val="center"/>
          </w:tcPr>
          <w:p w14:paraId="3AC19B16">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55BDF3AC">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2A4AAF1">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限速器核验合格证书应在有效期内。如果限速器使用周期达到2年或者动作出现异常，应当由经许可的电梯检验机构或者电梯生产单位对限速器进行动作速度校验，并且由该单位出具校验报告。</w:t>
            </w:r>
          </w:p>
        </w:tc>
        <w:tc>
          <w:tcPr>
            <w:tcW w:w="863" w:type="dxa"/>
            <w:vAlign w:val="center"/>
          </w:tcPr>
          <w:p w14:paraId="31C52A54">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5DA6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89F3BBA">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55</w:t>
            </w:r>
          </w:p>
        </w:tc>
        <w:tc>
          <w:tcPr>
            <w:tcW w:w="939" w:type="dxa"/>
            <w:vMerge w:val="continue"/>
            <w:vAlign w:val="center"/>
          </w:tcPr>
          <w:p w14:paraId="312003AD">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15FCE12E">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编码器</w:t>
            </w:r>
          </w:p>
        </w:tc>
        <w:tc>
          <w:tcPr>
            <w:tcW w:w="5155" w:type="dxa"/>
            <w:vAlign w:val="center"/>
          </w:tcPr>
          <w:p w14:paraId="7B81F507">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应清洁无尘，安装牢固。</w:t>
            </w:r>
          </w:p>
        </w:tc>
        <w:tc>
          <w:tcPr>
            <w:tcW w:w="863" w:type="dxa"/>
            <w:vAlign w:val="center"/>
          </w:tcPr>
          <w:p w14:paraId="10DD6158">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43BB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0155E352">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56</w:t>
            </w:r>
          </w:p>
        </w:tc>
        <w:tc>
          <w:tcPr>
            <w:tcW w:w="939" w:type="dxa"/>
            <w:vMerge w:val="continue"/>
            <w:vAlign w:val="center"/>
          </w:tcPr>
          <w:p w14:paraId="2B1DC07D">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19AB8E57">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选层器</w:t>
            </w:r>
          </w:p>
        </w:tc>
        <w:tc>
          <w:tcPr>
            <w:tcW w:w="5155" w:type="dxa"/>
            <w:vAlign w:val="center"/>
          </w:tcPr>
          <w:p w14:paraId="7FC39B79">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动静触点清洁，无烧蚀。</w:t>
            </w:r>
          </w:p>
        </w:tc>
        <w:tc>
          <w:tcPr>
            <w:tcW w:w="863" w:type="dxa"/>
            <w:vAlign w:val="center"/>
          </w:tcPr>
          <w:p w14:paraId="09BEABCB">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3816A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7A97231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57</w:t>
            </w:r>
          </w:p>
        </w:tc>
        <w:tc>
          <w:tcPr>
            <w:tcW w:w="939" w:type="dxa"/>
            <w:vMerge w:val="continue"/>
            <w:vAlign w:val="center"/>
          </w:tcPr>
          <w:p w14:paraId="5594C011">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78D793B3">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上行超速保护装置</w:t>
            </w:r>
          </w:p>
        </w:tc>
        <w:tc>
          <w:tcPr>
            <w:tcW w:w="5155" w:type="dxa"/>
            <w:vAlign w:val="center"/>
          </w:tcPr>
          <w:p w14:paraId="61644E1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机械装置应动作灵活可靠，电气开关灵敏有效。</w:t>
            </w:r>
          </w:p>
        </w:tc>
        <w:tc>
          <w:tcPr>
            <w:tcW w:w="863" w:type="dxa"/>
            <w:vAlign w:val="center"/>
          </w:tcPr>
          <w:p w14:paraId="099927F7">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C7B2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4C6C1C1B">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58</w:t>
            </w:r>
          </w:p>
        </w:tc>
        <w:tc>
          <w:tcPr>
            <w:tcW w:w="939" w:type="dxa"/>
            <w:vMerge w:val="continue"/>
            <w:vAlign w:val="center"/>
          </w:tcPr>
          <w:p w14:paraId="5331D8E5">
            <w:pPr>
              <w:pStyle w:val="27"/>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325CD068">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接地连接</w:t>
            </w:r>
          </w:p>
        </w:tc>
        <w:tc>
          <w:tcPr>
            <w:tcW w:w="5155" w:type="dxa"/>
            <w:vAlign w:val="center"/>
          </w:tcPr>
          <w:p w14:paraId="29406B5A">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所有电气设备及线管、线槽的外露可以导电部分应当与保护线（PE）可靠连接。</w:t>
            </w:r>
          </w:p>
        </w:tc>
        <w:tc>
          <w:tcPr>
            <w:tcW w:w="863" w:type="dxa"/>
            <w:vAlign w:val="center"/>
          </w:tcPr>
          <w:p w14:paraId="30325349">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0A9D2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1DD5D2E6">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59</w:t>
            </w:r>
          </w:p>
        </w:tc>
        <w:tc>
          <w:tcPr>
            <w:tcW w:w="939" w:type="dxa"/>
            <w:vMerge w:val="continue"/>
            <w:vAlign w:val="center"/>
          </w:tcPr>
          <w:p w14:paraId="1C7CB896">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5773DCF4">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电气绝缘</w:t>
            </w:r>
          </w:p>
        </w:tc>
        <w:tc>
          <w:tcPr>
            <w:tcW w:w="5155" w:type="dxa"/>
            <w:vAlign w:val="center"/>
          </w:tcPr>
          <w:p w14:paraId="5164610B">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动力和电气安全装置电路对地的绝缘电阻≥0.50MΩ；照明电路和其他电路对地的绝缘电阻≥0.25MΩ。</w:t>
            </w:r>
          </w:p>
        </w:tc>
        <w:tc>
          <w:tcPr>
            <w:tcW w:w="863" w:type="dxa"/>
            <w:vAlign w:val="center"/>
          </w:tcPr>
          <w:p w14:paraId="6624FBFE">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3C87A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5E4C4771">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60</w:t>
            </w:r>
          </w:p>
        </w:tc>
        <w:tc>
          <w:tcPr>
            <w:tcW w:w="939" w:type="dxa"/>
            <w:vMerge w:val="restart"/>
            <w:vAlign w:val="center"/>
          </w:tcPr>
          <w:p w14:paraId="60841F70">
            <w:pPr>
              <w:widowControl/>
              <w:jc w:val="center"/>
              <w:rPr>
                <w:rFonts w:hint="eastAsia" w:ascii="宋体" w:hAnsi="宋体" w:eastAsia="宋体" w:cs="宋体"/>
                <w:bCs/>
                <w:color w:val="auto"/>
                <w:kern w:val="2"/>
                <w:sz w:val="20"/>
                <w:szCs w:val="20"/>
                <w:highlight w:val="none"/>
                <w:lang w:val="en-US" w:eastAsia="zh-CN" w:bidi="ar-SA"/>
              </w:rPr>
            </w:pPr>
          </w:p>
          <w:p w14:paraId="3622C49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井</w:t>
            </w:r>
          </w:p>
          <w:p w14:paraId="2A32EFB4">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道</w:t>
            </w:r>
          </w:p>
        </w:tc>
        <w:tc>
          <w:tcPr>
            <w:tcW w:w="1486" w:type="dxa"/>
            <w:vMerge w:val="restart"/>
            <w:vAlign w:val="center"/>
          </w:tcPr>
          <w:p w14:paraId="12E1FEEC">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检修门、井道安全门、检修活板门</w:t>
            </w:r>
          </w:p>
        </w:tc>
        <w:tc>
          <w:tcPr>
            <w:tcW w:w="5155" w:type="dxa"/>
            <w:vAlign w:val="center"/>
          </w:tcPr>
          <w:p w14:paraId="405830CB">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门上应当装设用钥匙开启的锁，当门开启后不用钥匙能够将其关闭和锁住，在门锁住后，不用钥匙能够从井道内将门打开。</w:t>
            </w:r>
          </w:p>
        </w:tc>
        <w:tc>
          <w:tcPr>
            <w:tcW w:w="863" w:type="dxa"/>
            <w:vAlign w:val="center"/>
          </w:tcPr>
          <w:p w14:paraId="0B3ED897">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19677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1B456178">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61</w:t>
            </w:r>
          </w:p>
        </w:tc>
        <w:tc>
          <w:tcPr>
            <w:tcW w:w="939" w:type="dxa"/>
            <w:vMerge w:val="continue"/>
            <w:vAlign w:val="center"/>
          </w:tcPr>
          <w:p w14:paraId="435208A1">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1624ADB6">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2C132C4">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设置验证门的关闭状态的电气安全装置应当可靠有效。</w:t>
            </w:r>
          </w:p>
        </w:tc>
        <w:tc>
          <w:tcPr>
            <w:tcW w:w="863" w:type="dxa"/>
            <w:vAlign w:val="center"/>
          </w:tcPr>
          <w:p w14:paraId="15AC6210">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429AE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6EB1C3E">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62</w:t>
            </w:r>
          </w:p>
        </w:tc>
        <w:tc>
          <w:tcPr>
            <w:tcW w:w="939" w:type="dxa"/>
            <w:vMerge w:val="continue"/>
            <w:vAlign w:val="center"/>
          </w:tcPr>
          <w:p w14:paraId="243FC9BA">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0D8B5082">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限制开关</w:t>
            </w:r>
          </w:p>
        </w:tc>
        <w:tc>
          <w:tcPr>
            <w:tcW w:w="5155" w:type="dxa"/>
            <w:vAlign w:val="center"/>
          </w:tcPr>
          <w:p w14:paraId="685DBA94">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极限开关在轿厢或者对重接触缓冲器前起作用，并且在缓冲器被压缩期间保持其动作状态。</w:t>
            </w:r>
          </w:p>
        </w:tc>
        <w:tc>
          <w:tcPr>
            <w:tcW w:w="863" w:type="dxa"/>
            <w:vAlign w:val="center"/>
          </w:tcPr>
          <w:p w14:paraId="355AC250">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68FDA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C4B83A9">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63</w:t>
            </w:r>
          </w:p>
        </w:tc>
        <w:tc>
          <w:tcPr>
            <w:tcW w:w="939" w:type="dxa"/>
            <w:vMerge w:val="continue"/>
            <w:vAlign w:val="center"/>
          </w:tcPr>
          <w:p w14:paraId="10E266B6">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52D9A3B1">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5F8129F">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限位开关、强迫换速开关应工作可靠有效。</w:t>
            </w:r>
          </w:p>
        </w:tc>
        <w:tc>
          <w:tcPr>
            <w:tcW w:w="863" w:type="dxa"/>
            <w:vAlign w:val="center"/>
          </w:tcPr>
          <w:p w14:paraId="59566B23">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4917B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573B76D9">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64</w:t>
            </w:r>
          </w:p>
        </w:tc>
        <w:tc>
          <w:tcPr>
            <w:tcW w:w="939" w:type="dxa"/>
            <w:vMerge w:val="continue"/>
            <w:vAlign w:val="center"/>
          </w:tcPr>
          <w:p w14:paraId="7A18DD9F">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19512552">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位置脉冲器</w:t>
            </w:r>
          </w:p>
        </w:tc>
        <w:tc>
          <w:tcPr>
            <w:tcW w:w="5155" w:type="dxa"/>
            <w:vAlign w:val="center"/>
          </w:tcPr>
          <w:p w14:paraId="6E4E47B3">
            <w:pPr>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应工作可靠有效。</w:t>
            </w:r>
          </w:p>
        </w:tc>
        <w:tc>
          <w:tcPr>
            <w:tcW w:w="863" w:type="dxa"/>
            <w:vAlign w:val="center"/>
          </w:tcPr>
          <w:p w14:paraId="585343C6">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2F04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8E3CFC4">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65</w:t>
            </w:r>
          </w:p>
        </w:tc>
        <w:tc>
          <w:tcPr>
            <w:tcW w:w="939" w:type="dxa"/>
            <w:vMerge w:val="continue"/>
            <w:vAlign w:val="center"/>
          </w:tcPr>
          <w:p w14:paraId="68B33E15">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50240803">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导轨</w:t>
            </w:r>
          </w:p>
        </w:tc>
        <w:tc>
          <w:tcPr>
            <w:tcW w:w="5155" w:type="dxa"/>
            <w:vAlign w:val="center"/>
          </w:tcPr>
          <w:p w14:paraId="25F52FA1">
            <w:pPr>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应清洁，压板牢固。</w:t>
            </w:r>
          </w:p>
        </w:tc>
        <w:tc>
          <w:tcPr>
            <w:tcW w:w="863" w:type="dxa"/>
            <w:vAlign w:val="center"/>
          </w:tcPr>
          <w:p w14:paraId="64558A21">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352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9750A3B">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66</w:t>
            </w:r>
          </w:p>
        </w:tc>
        <w:tc>
          <w:tcPr>
            <w:tcW w:w="939" w:type="dxa"/>
            <w:vMerge w:val="continue"/>
            <w:vAlign w:val="center"/>
          </w:tcPr>
          <w:p w14:paraId="1A14F107">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336D5FD">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599A13FA">
            <w:pPr>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支架应牢固，无松动、变形。</w:t>
            </w:r>
          </w:p>
        </w:tc>
        <w:tc>
          <w:tcPr>
            <w:tcW w:w="863" w:type="dxa"/>
            <w:vAlign w:val="center"/>
          </w:tcPr>
          <w:p w14:paraId="23B1B46D">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5BAC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59927C2">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67</w:t>
            </w:r>
          </w:p>
        </w:tc>
        <w:tc>
          <w:tcPr>
            <w:tcW w:w="939" w:type="dxa"/>
            <w:vMerge w:val="continue"/>
            <w:vAlign w:val="center"/>
          </w:tcPr>
          <w:p w14:paraId="24FD5D3B">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8912EBB">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导靴上油杯</w:t>
            </w:r>
          </w:p>
        </w:tc>
        <w:tc>
          <w:tcPr>
            <w:tcW w:w="5155" w:type="dxa"/>
            <w:vAlign w:val="center"/>
          </w:tcPr>
          <w:p w14:paraId="3CC09C6C">
            <w:pPr>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吸油毛毡齐全，油量适宜，油杯无渗漏。</w:t>
            </w:r>
          </w:p>
        </w:tc>
        <w:tc>
          <w:tcPr>
            <w:tcW w:w="863" w:type="dxa"/>
            <w:vAlign w:val="center"/>
          </w:tcPr>
          <w:p w14:paraId="6BA1E0EC">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30A50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181AF3F2">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68</w:t>
            </w:r>
          </w:p>
        </w:tc>
        <w:tc>
          <w:tcPr>
            <w:tcW w:w="939" w:type="dxa"/>
            <w:vMerge w:val="continue"/>
            <w:vAlign w:val="center"/>
          </w:tcPr>
          <w:p w14:paraId="1A7BC66F">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62E95075">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靴衬、滚轮</w:t>
            </w:r>
          </w:p>
        </w:tc>
        <w:tc>
          <w:tcPr>
            <w:tcW w:w="5155" w:type="dxa"/>
            <w:vAlign w:val="center"/>
          </w:tcPr>
          <w:p w14:paraId="1F321316">
            <w:pPr>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应无变形、脱落，磨损量不超过制造单位要求。</w:t>
            </w:r>
          </w:p>
        </w:tc>
        <w:tc>
          <w:tcPr>
            <w:tcW w:w="863" w:type="dxa"/>
            <w:vAlign w:val="center"/>
          </w:tcPr>
          <w:p w14:paraId="6541126E">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2B452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28E67B3E">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69</w:t>
            </w:r>
          </w:p>
        </w:tc>
        <w:tc>
          <w:tcPr>
            <w:tcW w:w="939" w:type="dxa"/>
            <w:vMerge w:val="continue"/>
            <w:vAlign w:val="center"/>
          </w:tcPr>
          <w:p w14:paraId="7E431D1C">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623C3D8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随行电缆</w:t>
            </w:r>
          </w:p>
        </w:tc>
        <w:tc>
          <w:tcPr>
            <w:tcW w:w="5155" w:type="dxa"/>
            <w:vAlign w:val="center"/>
          </w:tcPr>
          <w:p w14:paraId="5A1A1F44">
            <w:pPr>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随行电缆应当避免与限速器绳、选层器钢带、限位与极限开关等装置干涉。</w:t>
            </w:r>
          </w:p>
        </w:tc>
        <w:tc>
          <w:tcPr>
            <w:tcW w:w="863" w:type="dxa"/>
            <w:vAlign w:val="center"/>
          </w:tcPr>
          <w:p w14:paraId="437BCBF1">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01E6E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72CC1128">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70</w:t>
            </w:r>
          </w:p>
        </w:tc>
        <w:tc>
          <w:tcPr>
            <w:tcW w:w="939" w:type="dxa"/>
            <w:vMerge w:val="continue"/>
            <w:vAlign w:val="center"/>
          </w:tcPr>
          <w:p w14:paraId="288D6F32">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33A06E42">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5280A366">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当轿厢压实在缓冲器上时，电缆不得与地面和轿厢底边框接触。</w:t>
            </w:r>
          </w:p>
        </w:tc>
        <w:tc>
          <w:tcPr>
            <w:tcW w:w="863" w:type="dxa"/>
            <w:vAlign w:val="center"/>
          </w:tcPr>
          <w:p w14:paraId="1ED27504">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290A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929" w:type="dxa"/>
            <w:vAlign w:val="center"/>
          </w:tcPr>
          <w:p w14:paraId="1988E44D">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71</w:t>
            </w:r>
          </w:p>
        </w:tc>
        <w:tc>
          <w:tcPr>
            <w:tcW w:w="939" w:type="dxa"/>
            <w:vMerge w:val="continue"/>
            <w:vAlign w:val="center"/>
          </w:tcPr>
          <w:p w14:paraId="76EA11B7">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6296EB89">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687E9FE9">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无扭曲、破损。</w:t>
            </w:r>
          </w:p>
        </w:tc>
        <w:tc>
          <w:tcPr>
            <w:tcW w:w="863" w:type="dxa"/>
            <w:vAlign w:val="center"/>
          </w:tcPr>
          <w:p w14:paraId="65DC3AC0">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71B67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4296DDE2">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72</w:t>
            </w:r>
          </w:p>
        </w:tc>
        <w:tc>
          <w:tcPr>
            <w:tcW w:w="939" w:type="dxa"/>
            <w:vMerge w:val="continue"/>
            <w:vAlign w:val="center"/>
          </w:tcPr>
          <w:p w14:paraId="1E3755A9">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553035E1">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井道照明</w:t>
            </w:r>
          </w:p>
        </w:tc>
        <w:tc>
          <w:tcPr>
            <w:tcW w:w="5155" w:type="dxa"/>
            <w:vAlign w:val="center"/>
          </w:tcPr>
          <w:p w14:paraId="17C5CA25">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当所有的门关闭时，在轿顶面以上和底坑地面以上1m处应当具有足够照度。</w:t>
            </w:r>
          </w:p>
        </w:tc>
        <w:tc>
          <w:tcPr>
            <w:tcW w:w="863" w:type="dxa"/>
            <w:vAlign w:val="center"/>
          </w:tcPr>
          <w:p w14:paraId="045B91AF">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1F3C5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32CDC148">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73</w:t>
            </w:r>
          </w:p>
        </w:tc>
        <w:tc>
          <w:tcPr>
            <w:tcW w:w="939" w:type="dxa"/>
            <w:vMerge w:val="continue"/>
            <w:vAlign w:val="center"/>
          </w:tcPr>
          <w:p w14:paraId="0E57B183">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18DE837A">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对重（平衡重）</w:t>
            </w:r>
          </w:p>
        </w:tc>
        <w:tc>
          <w:tcPr>
            <w:tcW w:w="5155" w:type="dxa"/>
            <w:vAlign w:val="center"/>
          </w:tcPr>
          <w:p w14:paraId="66CF528B">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如果对重（平衡重）由重块组成，应当可靠固定。</w:t>
            </w:r>
          </w:p>
        </w:tc>
        <w:tc>
          <w:tcPr>
            <w:tcW w:w="863" w:type="dxa"/>
            <w:vAlign w:val="center"/>
          </w:tcPr>
          <w:p w14:paraId="5F63E3AB">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2FD7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6EC2A7FD">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74</w:t>
            </w:r>
          </w:p>
        </w:tc>
        <w:tc>
          <w:tcPr>
            <w:tcW w:w="939" w:type="dxa"/>
            <w:vMerge w:val="restart"/>
            <w:vAlign w:val="center"/>
          </w:tcPr>
          <w:p w14:paraId="49704B2F">
            <w:pPr>
              <w:jc w:val="center"/>
              <w:rPr>
                <w:rFonts w:hint="eastAsia" w:ascii="宋体" w:hAnsi="宋体" w:eastAsia="宋体" w:cs="宋体"/>
                <w:sz w:val="20"/>
                <w:szCs w:val="20"/>
                <w:highlight w:val="none"/>
              </w:rPr>
            </w:pPr>
          </w:p>
          <w:p w14:paraId="60FFE008">
            <w:pPr>
              <w:bidi w:val="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底</w:t>
            </w:r>
          </w:p>
          <w:p w14:paraId="3A4F4D28">
            <w:pPr>
              <w:bidi w:val="0"/>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坑</w:t>
            </w:r>
          </w:p>
        </w:tc>
        <w:tc>
          <w:tcPr>
            <w:tcW w:w="1486" w:type="dxa"/>
            <w:vMerge w:val="restart"/>
            <w:vAlign w:val="center"/>
          </w:tcPr>
          <w:p w14:paraId="732A42E7">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底坑</w:t>
            </w:r>
          </w:p>
        </w:tc>
        <w:tc>
          <w:tcPr>
            <w:tcW w:w="5155" w:type="dxa"/>
            <w:vAlign w:val="center"/>
          </w:tcPr>
          <w:p w14:paraId="6720C856">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底坑底部应当光滑平整，不得渗水、漏水。</w:t>
            </w:r>
          </w:p>
        </w:tc>
        <w:tc>
          <w:tcPr>
            <w:tcW w:w="863" w:type="dxa"/>
            <w:vAlign w:val="center"/>
          </w:tcPr>
          <w:p w14:paraId="24380186">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21DD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3EDA178E">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75</w:t>
            </w:r>
          </w:p>
        </w:tc>
        <w:tc>
          <w:tcPr>
            <w:tcW w:w="939" w:type="dxa"/>
            <w:vMerge w:val="continue"/>
            <w:vAlign w:val="center"/>
          </w:tcPr>
          <w:p w14:paraId="5187AA7C">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C60E435">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02574375">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停止装置动作可靠有效，该装置为双稳态、红色并标以“停止”字样，并且有防止误操作的保护。</w:t>
            </w:r>
          </w:p>
        </w:tc>
        <w:tc>
          <w:tcPr>
            <w:tcW w:w="863" w:type="dxa"/>
            <w:vAlign w:val="center"/>
          </w:tcPr>
          <w:p w14:paraId="7BA7A6B8">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66AF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784C33DC">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76</w:t>
            </w:r>
          </w:p>
        </w:tc>
        <w:tc>
          <w:tcPr>
            <w:tcW w:w="939" w:type="dxa"/>
            <w:vMerge w:val="continue"/>
            <w:vAlign w:val="center"/>
          </w:tcPr>
          <w:p w14:paraId="38602C3F">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7D957C3F">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5A4103BF">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井道（底坑）灯开关动作可靠有效。</w:t>
            </w:r>
          </w:p>
        </w:tc>
        <w:tc>
          <w:tcPr>
            <w:tcW w:w="863" w:type="dxa"/>
            <w:vAlign w:val="center"/>
          </w:tcPr>
          <w:p w14:paraId="7A46F44F">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13DF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7A46EE4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77</w:t>
            </w:r>
          </w:p>
        </w:tc>
        <w:tc>
          <w:tcPr>
            <w:tcW w:w="939" w:type="dxa"/>
            <w:vMerge w:val="continue"/>
            <w:vAlign w:val="center"/>
          </w:tcPr>
          <w:p w14:paraId="0638F33B">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10D8E16F">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限速绳张紧装置</w:t>
            </w:r>
          </w:p>
        </w:tc>
        <w:tc>
          <w:tcPr>
            <w:tcW w:w="5155" w:type="dxa"/>
            <w:vAlign w:val="center"/>
          </w:tcPr>
          <w:p w14:paraId="041F9BEC">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当限速器绳断裂或者过分伸长时，电气安全装置应当动作使电梯停止运转。</w:t>
            </w:r>
          </w:p>
        </w:tc>
        <w:tc>
          <w:tcPr>
            <w:tcW w:w="863" w:type="dxa"/>
            <w:vAlign w:val="center"/>
          </w:tcPr>
          <w:p w14:paraId="1CF1FFA1">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7ADF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09E447AF">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78</w:t>
            </w:r>
          </w:p>
        </w:tc>
        <w:tc>
          <w:tcPr>
            <w:tcW w:w="939" w:type="dxa"/>
            <w:vMerge w:val="continue"/>
            <w:vAlign w:val="center"/>
          </w:tcPr>
          <w:p w14:paraId="7BD72EA8">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36FEDA51">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C3597EE">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张紧轮距底坑地面高度应符合电梯制造单位的规定值。</w:t>
            </w:r>
          </w:p>
        </w:tc>
        <w:tc>
          <w:tcPr>
            <w:tcW w:w="863" w:type="dxa"/>
            <w:vAlign w:val="center"/>
          </w:tcPr>
          <w:p w14:paraId="214C009A">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75E2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40FE47D2">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79</w:t>
            </w:r>
          </w:p>
        </w:tc>
        <w:tc>
          <w:tcPr>
            <w:tcW w:w="939" w:type="dxa"/>
            <w:vMerge w:val="continue"/>
            <w:vAlign w:val="center"/>
          </w:tcPr>
          <w:p w14:paraId="367B59FB">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78A633D0">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缓冲器</w:t>
            </w:r>
          </w:p>
        </w:tc>
        <w:tc>
          <w:tcPr>
            <w:tcW w:w="5155" w:type="dxa"/>
            <w:vAlign w:val="center"/>
          </w:tcPr>
          <w:p w14:paraId="698C1ADB">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缓冲器应当固定可靠。</w:t>
            </w:r>
          </w:p>
        </w:tc>
        <w:tc>
          <w:tcPr>
            <w:tcW w:w="863" w:type="dxa"/>
            <w:vAlign w:val="center"/>
          </w:tcPr>
          <w:p w14:paraId="1D2936F3">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4EB3B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05B25B71">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80</w:t>
            </w:r>
          </w:p>
        </w:tc>
        <w:tc>
          <w:tcPr>
            <w:tcW w:w="939" w:type="dxa"/>
            <w:vMerge w:val="continue"/>
            <w:vAlign w:val="center"/>
          </w:tcPr>
          <w:p w14:paraId="7C39B0D4">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3FCF7526">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2E15EC0">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对重装置的撞板与缓冲器顶面间的距离应符合GB 10060的要求。</w:t>
            </w:r>
          </w:p>
        </w:tc>
        <w:tc>
          <w:tcPr>
            <w:tcW w:w="863" w:type="dxa"/>
            <w:vAlign w:val="center"/>
          </w:tcPr>
          <w:p w14:paraId="2573BD9E">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430C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1D842C4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81</w:t>
            </w:r>
          </w:p>
        </w:tc>
        <w:tc>
          <w:tcPr>
            <w:tcW w:w="939" w:type="dxa"/>
            <w:vMerge w:val="continue"/>
            <w:vAlign w:val="center"/>
          </w:tcPr>
          <w:p w14:paraId="187C9DF4">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3BDAA023">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3E804BD">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耗能型缓冲器液位应当正确，验证柱塞复位的电气安全装置可靠有效。</w:t>
            </w:r>
          </w:p>
        </w:tc>
        <w:tc>
          <w:tcPr>
            <w:tcW w:w="863" w:type="dxa"/>
            <w:vAlign w:val="center"/>
          </w:tcPr>
          <w:p w14:paraId="56FD1FA8">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6978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778F8DF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82</w:t>
            </w:r>
          </w:p>
        </w:tc>
        <w:tc>
          <w:tcPr>
            <w:tcW w:w="939" w:type="dxa"/>
            <w:vMerge w:val="restart"/>
            <w:vAlign w:val="center"/>
          </w:tcPr>
          <w:p w14:paraId="30D6906B">
            <w:pPr>
              <w:rPr>
                <w:rFonts w:hint="eastAsia" w:ascii="宋体" w:hAnsi="宋体" w:eastAsia="宋体" w:cs="宋体"/>
                <w:sz w:val="20"/>
                <w:szCs w:val="20"/>
                <w:highlight w:val="none"/>
              </w:rPr>
            </w:pPr>
          </w:p>
          <w:p w14:paraId="0F27056A">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悬</w:t>
            </w:r>
          </w:p>
          <w:p w14:paraId="2D86C2FB">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挂</w:t>
            </w:r>
          </w:p>
          <w:p w14:paraId="76ABAD51">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装</w:t>
            </w:r>
          </w:p>
          <w:p w14:paraId="5EA78EED">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置</w:t>
            </w:r>
          </w:p>
        </w:tc>
        <w:tc>
          <w:tcPr>
            <w:tcW w:w="1486" w:type="dxa"/>
            <w:vMerge w:val="restart"/>
            <w:vAlign w:val="center"/>
          </w:tcPr>
          <w:p w14:paraId="7B083D70">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悬挂钢丝绳</w:t>
            </w:r>
          </w:p>
        </w:tc>
        <w:tc>
          <w:tcPr>
            <w:tcW w:w="5155" w:type="dxa"/>
            <w:vAlign w:val="center"/>
          </w:tcPr>
          <w:p w14:paraId="2FD0B34B">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应清洁，无严重油腻。</w:t>
            </w:r>
          </w:p>
        </w:tc>
        <w:tc>
          <w:tcPr>
            <w:tcW w:w="863" w:type="dxa"/>
            <w:vAlign w:val="center"/>
          </w:tcPr>
          <w:p w14:paraId="38EC1D2B">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7F0E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2ED44A5C">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83</w:t>
            </w:r>
          </w:p>
        </w:tc>
        <w:tc>
          <w:tcPr>
            <w:tcW w:w="939" w:type="dxa"/>
            <w:vMerge w:val="continue"/>
            <w:vAlign w:val="center"/>
          </w:tcPr>
          <w:p w14:paraId="3B7B94EF">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4428BA4">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22F96ACB">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出现笼状畸变、绳芯挤出、扭结、部分压扁、弯折应当报废。</w:t>
            </w:r>
          </w:p>
        </w:tc>
        <w:tc>
          <w:tcPr>
            <w:tcW w:w="863" w:type="dxa"/>
            <w:vAlign w:val="center"/>
          </w:tcPr>
          <w:p w14:paraId="7E8C03E5">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7C29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4456FDDB">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84</w:t>
            </w:r>
          </w:p>
        </w:tc>
        <w:tc>
          <w:tcPr>
            <w:tcW w:w="939" w:type="dxa"/>
            <w:vMerge w:val="continue"/>
            <w:vAlign w:val="center"/>
          </w:tcPr>
          <w:p w14:paraId="69FA6EE8">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4CECE5B6">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0E91FF73">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断丝分散出现在整条钢丝绳，任何一个捻距内单股的断丝数大于4根；或者断丝集中在钢丝绳某一部位或一股，一个捻距内断丝总数大于12根（对于股数为6的钢丝绳）或者大于16根（对于股数为8的钢丝绳）应当报废。</w:t>
            </w:r>
          </w:p>
        </w:tc>
        <w:tc>
          <w:tcPr>
            <w:tcW w:w="863" w:type="dxa"/>
            <w:vAlign w:val="center"/>
          </w:tcPr>
          <w:p w14:paraId="2CA69726">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77D2C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29" w:type="dxa"/>
            <w:vAlign w:val="center"/>
          </w:tcPr>
          <w:p w14:paraId="7F193AA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85</w:t>
            </w:r>
          </w:p>
        </w:tc>
        <w:tc>
          <w:tcPr>
            <w:tcW w:w="939" w:type="dxa"/>
            <w:vMerge w:val="continue"/>
            <w:vAlign w:val="center"/>
          </w:tcPr>
          <w:p w14:paraId="2F130A01">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284001DC">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291CB306">
            <w:pPr>
              <w:widowControl/>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磨损后的钢丝绳直径小于钢丝绳公称直径的90％应当报废。</w:t>
            </w:r>
          </w:p>
        </w:tc>
        <w:tc>
          <w:tcPr>
            <w:tcW w:w="863" w:type="dxa"/>
            <w:vAlign w:val="center"/>
          </w:tcPr>
          <w:p w14:paraId="591040B8">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591C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33FDB116">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86</w:t>
            </w:r>
          </w:p>
        </w:tc>
        <w:tc>
          <w:tcPr>
            <w:tcW w:w="939" w:type="dxa"/>
            <w:vMerge w:val="continue"/>
            <w:vAlign w:val="center"/>
          </w:tcPr>
          <w:p w14:paraId="729C388A">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25FF4F0E">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09888AF">
            <w:pPr>
              <w:spacing w:line="280" w:lineRule="exac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曳引绳张力与平均值偏差均不大于5%。曳引绳或者悬挂钢丝绳绳端固定应当可靠，弹簧、螺母、开口销部件无缺损。</w:t>
            </w:r>
          </w:p>
        </w:tc>
        <w:tc>
          <w:tcPr>
            <w:tcW w:w="863" w:type="dxa"/>
            <w:vAlign w:val="center"/>
          </w:tcPr>
          <w:p w14:paraId="2CBAFCD9">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2618A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49D85C2C">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87</w:t>
            </w:r>
          </w:p>
        </w:tc>
        <w:tc>
          <w:tcPr>
            <w:tcW w:w="939" w:type="dxa"/>
            <w:vMerge w:val="continue"/>
            <w:vAlign w:val="center"/>
          </w:tcPr>
          <w:p w14:paraId="7D716353">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0E32BC25">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补偿装置</w:t>
            </w:r>
          </w:p>
        </w:tc>
        <w:tc>
          <w:tcPr>
            <w:tcW w:w="5155" w:type="dxa"/>
            <w:vAlign w:val="center"/>
          </w:tcPr>
          <w:p w14:paraId="0796585B">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补偿绳（链）端固定应当可靠。</w:t>
            </w:r>
          </w:p>
        </w:tc>
        <w:tc>
          <w:tcPr>
            <w:tcW w:w="863" w:type="dxa"/>
            <w:vAlign w:val="center"/>
          </w:tcPr>
          <w:p w14:paraId="6CD820D9">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2DAD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vAlign w:val="center"/>
          </w:tcPr>
          <w:p w14:paraId="1D0EBB2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88</w:t>
            </w:r>
          </w:p>
        </w:tc>
        <w:tc>
          <w:tcPr>
            <w:tcW w:w="939" w:type="dxa"/>
            <w:vMerge w:val="continue"/>
            <w:vAlign w:val="center"/>
          </w:tcPr>
          <w:p w14:paraId="439DF360">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A53F910">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4DA5A60C">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检查补偿绳最小张紧位置的电气安全装置应当可靠有效。</w:t>
            </w:r>
          </w:p>
        </w:tc>
        <w:tc>
          <w:tcPr>
            <w:tcW w:w="863" w:type="dxa"/>
            <w:vAlign w:val="center"/>
          </w:tcPr>
          <w:p w14:paraId="32270297">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66AB3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6465873C">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89</w:t>
            </w:r>
          </w:p>
        </w:tc>
        <w:tc>
          <w:tcPr>
            <w:tcW w:w="939" w:type="dxa"/>
            <w:vMerge w:val="continue"/>
            <w:vAlign w:val="center"/>
          </w:tcPr>
          <w:p w14:paraId="79850A5C">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1E1656C6">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61F082B3">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防跳装置动作时，电气安全装置应当使电梯停止运行。</w:t>
            </w:r>
          </w:p>
        </w:tc>
        <w:tc>
          <w:tcPr>
            <w:tcW w:w="863" w:type="dxa"/>
            <w:vAlign w:val="center"/>
          </w:tcPr>
          <w:p w14:paraId="59AD8129">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348DD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3B29EC6">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90</w:t>
            </w:r>
          </w:p>
        </w:tc>
        <w:tc>
          <w:tcPr>
            <w:tcW w:w="939" w:type="dxa"/>
            <w:vMerge w:val="continue"/>
            <w:vAlign w:val="center"/>
          </w:tcPr>
          <w:p w14:paraId="292C0F3F">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02CCEC09">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松绳(链)保护</w:t>
            </w:r>
          </w:p>
        </w:tc>
        <w:tc>
          <w:tcPr>
            <w:tcW w:w="5155" w:type="dxa"/>
            <w:vAlign w:val="center"/>
          </w:tcPr>
          <w:p w14:paraId="2EFE0C61">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如果强制驱动电梯的轿厢悬挂在两根钢丝绳或者链条上，则应当设置检查绳（链）松弛的电气安全装置，当其中一根钢丝绳（链条）发生异常相对伸长时，电梯应当停止运行。</w:t>
            </w:r>
          </w:p>
        </w:tc>
        <w:tc>
          <w:tcPr>
            <w:tcW w:w="863" w:type="dxa"/>
            <w:vAlign w:val="center"/>
          </w:tcPr>
          <w:p w14:paraId="03E1CC68">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70FD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5C025E62">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91</w:t>
            </w:r>
          </w:p>
        </w:tc>
        <w:tc>
          <w:tcPr>
            <w:tcW w:w="939" w:type="dxa"/>
            <w:vMerge w:val="restart"/>
            <w:vAlign w:val="center"/>
          </w:tcPr>
          <w:p w14:paraId="6F4E6F14">
            <w:pPr>
              <w:rPr>
                <w:rFonts w:hint="eastAsia" w:ascii="宋体" w:hAnsi="宋体" w:eastAsia="宋体" w:cs="宋体"/>
                <w:sz w:val="20"/>
                <w:szCs w:val="20"/>
                <w:highlight w:val="none"/>
              </w:rPr>
            </w:pPr>
          </w:p>
          <w:p w14:paraId="1D205E04">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w:t>
            </w:r>
          </w:p>
          <w:p w14:paraId="19055A52">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厢</w:t>
            </w:r>
          </w:p>
          <w:p w14:paraId="365032DE">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D6E3854">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轿顶环境</w:t>
            </w:r>
          </w:p>
        </w:tc>
        <w:tc>
          <w:tcPr>
            <w:tcW w:w="5155" w:type="dxa"/>
            <w:vAlign w:val="center"/>
          </w:tcPr>
          <w:p w14:paraId="3C851A0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应清洁无杂物，防护栏牢固可靠，安全标志清晰。</w:t>
            </w:r>
          </w:p>
        </w:tc>
        <w:tc>
          <w:tcPr>
            <w:tcW w:w="863" w:type="dxa"/>
            <w:vAlign w:val="center"/>
          </w:tcPr>
          <w:p w14:paraId="2A78E05C">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54D6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7050A546">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92</w:t>
            </w:r>
          </w:p>
        </w:tc>
        <w:tc>
          <w:tcPr>
            <w:tcW w:w="939" w:type="dxa"/>
            <w:vMerge w:val="continue"/>
            <w:vAlign w:val="center"/>
          </w:tcPr>
          <w:p w14:paraId="42DEABE3">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2D7C35A0">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地坎护脚板</w:t>
            </w:r>
          </w:p>
        </w:tc>
        <w:tc>
          <w:tcPr>
            <w:tcW w:w="5155" w:type="dxa"/>
            <w:vAlign w:val="center"/>
          </w:tcPr>
          <w:p w14:paraId="1F2BEAE5">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轿厢地坎护脚板应当固定可靠。</w:t>
            </w:r>
          </w:p>
        </w:tc>
        <w:tc>
          <w:tcPr>
            <w:tcW w:w="863" w:type="dxa"/>
            <w:vAlign w:val="center"/>
          </w:tcPr>
          <w:p w14:paraId="028477BF">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3BA1E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650F780B">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93</w:t>
            </w:r>
          </w:p>
        </w:tc>
        <w:tc>
          <w:tcPr>
            <w:tcW w:w="939" w:type="dxa"/>
            <w:vMerge w:val="continue"/>
            <w:vAlign w:val="center"/>
          </w:tcPr>
          <w:p w14:paraId="0C39F8AE">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720B9688">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轿顶(轿厢内)电气装置</w:t>
            </w:r>
          </w:p>
        </w:tc>
        <w:tc>
          <w:tcPr>
            <w:tcW w:w="5155" w:type="dxa"/>
            <w:vAlign w:val="center"/>
          </w:tcPr>
          <w:p w14:paraId="20F8A5FA">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检修运行控制装置功能应可靠有效。</w:t>
            </w:r>
          </w:p>
        </w:tc>
        <w:tc>
          <w:tcPr>
            <w:tcW w:w="863" w:type="dxa"/>
            <w:vAlign w:val="center"/>
          </w:tcPr>
          <w:p w14:paraId="75B745F8">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7DE3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3379FF7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94</w:t>
            </w:r>
          </w:p>
        </w:tc>
        <w:tc>
          <w:tcPr>
            <w:tcW w:w="939" w:type="dxa"/>
            <w:vMerge w:val="continue"/>
            <w:vAlign w:val="center"/>
          </w:tcPr>
          <w:p w14:paraId="69BF62D3">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5F612B36">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18E8CEDE">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停止装置动作应可靠有效。</w:t>
            </w:r>
          </w:p>
        </w:tc>
        <w:tc>
          <w:tcPr>
            <w:tcW w:w="863" w:type="dxa"/>
            <w:vAlign w:val="center"/>
          </w:tcPr>
          <w:p w14:paraId="0FC81118">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16B5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7E1841EE">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95</w:t>
            </w:r>
          </w:p>
        </w:tc>
        <w:tc>
          <w:tcPr>
            <w:tcW w:w="939" w:type="dxa"/>
            <w:vMerge w:val="continue"/>
            <w:vAlign w:val="center"/>
          </w:tcPr>
          <w:p w14:paraId="37F2AD9E">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1C80B82F">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安全窗（门）</w:t>
            </w:r>
          </w:p>
        </w:tc>
        <w:tc>
          <w:tcPr>
            <w:tcW w:w="5155" w:type="dxa"/>
            <w:vAlign w:val="center"/>
          </w:tcPr>
          <w:p w14:paraId="647F1373">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验证锁紧的电气安全装置动作可靠有效。</w:t>
            </w:r>
          </w:p>
        </w:tc>
        <w:tc>
          <w:tcPr>
            <w:tcW w:w="863" w:type="dxa"/>
            <w:vAlign w:val="center"/>
          </w:tcPr>
          <w:p w14:paraId="4AFE857E">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9E8A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0B560DFF">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96</w:t>
            </w:r>
          </w:p>
        </w:tc>
        <w:tc>
          <w:tcPr>
            <w:tcW w:w="939" w:type="dxa"/>
            <w:vMerge w:val="continue"/>
            <w:vAlign w:val="center"/>
          </w:tcPr>
          <w:p w14:paraId="3930A653">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4BF3E3B">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轿厢面积</w:t>
            </w:r>
          </w:p>
        </w:tc>
        <w:tc>
          <w:tcPr>
            <w:tcW w:w="5155" w:type="dxa"/>
            <w:vAlign w:val="center"/>
          </w:tcPr>
          <w:p w14:paraId="67BB97FB">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轿厢超面积的载货电梯，必须满足GB 7588-2003中8.2.2的要求。</w:t>
            </w:r>
          </w:p>
        </w:tc>
        <w:tc>
          <w:tcPr>
            <w:tcW w:w="863" w:type="dxa"/>
            <w:vAlign w:val="center"/>
          </w:tcPr>
          <w:p w14:paraId="238CE4DB">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6E1A6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520C97B3">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97</w:t>
            </w:r>
          </w:p>
        </w:tc>
        <w:tc>
          <w:tcPr>
            <w:tcW w:w="939" w:type="dxa"/>
            <w:vMerge w:val="continue"/>
            <w:vAlign w:val="center"/>
          </w:tcPr>
          <w:p w14:paraId="6444AAB7">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2D02F986">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轿厢显示</w:t>
            </w:r>
          </w:p>
        </w:tc>
        <w:tc>
          <w:tcPr>
            <w:tcW w:w="5155" w:type="dxa"/>
            <w:vAlign w:val="center"/>
          </w:tcPr>
          <w:p w14:paraId="15069D2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轿厢指令按钮齐全、有效，显示正确、清楚。</w:t>
            </w:r>
          </w:p>
        </w:tc>
        <w:tc>
          <w:tcPr>
            <w:tcW w:w="863" w:type="dxa"/>
            <w:vAlign w:val="center"/>
          </w:tcPr>
          <w:p w14:paraId="2FDE7104">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A640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5B794BB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98</w:t>
            </w:r>
          </w:p>
        </w:tc>
        <w:tc>
          <w:tcPr>
            <w:tcW w:w="939" w:type="dxa"/>
            <w:vMerge w:val="continue"/>
            <w:vAlign w:val="center"/>
          </w:tcPr>
          <w:p w14:paraId="2CC55685">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134D1C2B">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轿厢照明</w:t>
            </w:r>
          </w:p>
        </w:tc>
        <w:tc>
          <w:tcPr>
            <w:tcW w:w="5155" w:type="dxa"/>
            <w:vAlign w:val="center"/>
          </w:tcPr>
          <w:p w14:paraId="6F486C5B">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轿厢应当设置永久性电气照明，照度应当足够。</w:t>
            </w:r>
          </w:p>
        </w:tc>
        <w:tc>
          <w:tcPr>
            <w:tcW w:w="863" w:type="dxa"/>
            <w:vAlign w:val="center"/>
          </w:tcPr>
          <w:p w14:paraId="7CD1EE7B">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46CD9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2F5D9E3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99</w:t>
            </w:r>
          </w:p>
        </w:tc>
        <w:tc>
          <w:tcPr>
            <w:tcW w:w="939" w:type="dxa"/>
            <w:vMerge w:val="continue"/>
            <w:vAlign w:val="center"/>
          </w:tcPr>
          <w:p w14:paraId="2EE0FE53">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6268CF91">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轿厢风扇</w:t>
            </w:r>
          </w:p>
        </w:tc>
        <w:tc>
          <w:tcPr>
            <w:tcW w:w="5155" w:type="dxa"/>
            <w:vAlign w:val="center"/>
          </w:tcPr>
          <w:p w14:paraId="319C525E">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风扇工作时应当无异常噪声和振动。</w:t>
            </w:r>
          </w:p>
        </w:tc>
        <w:tc>
          <w:tcPr>
            <w:tcW w:w="863" w:type="dxa"/>
            <w:vAlign w:val="center"/>
          </w:tcPr>
          <w:p w14:paraId="035FB5EC">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40A32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72F5260E">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100</w:t>
            </w:r>
          </w:p>
        </w:tc>
        <w:tc>
          <w:tcPr>
            <w:tcW w:w="939" w:type="dxa"/>
            <w:vMerge w:val="continue"/>
            <w:vAlign w:val="center"/>
          </w:tcPr>
          <w:p w14:paraId="16FD5F34">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5871467C">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紧急照明</w:t>
            </w:r>
          </w:p>
        </w:tc>
        <w:tc>
          <w:tcPr>
            <w:tcW w:w="5155" w:type="dxa"/>
            <w:vAlign w:val="center"/>
          </w:tcPr>
          <w:p w14:paraId="0C119516">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正常照明电源中断时，能够自动接通紧急照明电源，该电源能够自动再充电，并且至少能够供1W灯泡用电1h。</w:t>
            </w:r>
          </w:p>
        </w:tc>
        <w:tc>
          <w:tcPr>
            <w:tcW w:w="863" w:type="dxa"/>
            <w:vAlign w:val="center"/>
          </w:tcPr>
          <w:p w14:paraId="021F3683">
            <w:pPr>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186AC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505DA029">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101</w:t>
            </w:r>
          </w:p>
        </w:tc>
        <w:tc>
          <w:tcPr>
            <w:tcW w:w="939" w:type="dxa"/>
            <w:vMerge w:val="continue"/>
            <w:vAlign w:val="center"/>
          </w:tcPr>
          <w:p w14:paraId="652969D4">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3335E53A">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紧急报警装置</w:t>
            </w:r>
          </w:p>
        </w:tc>
        <w:tc>
          <w:tcPr>
            <w:tcW w:w="5155" w:type="dxa"/>
            <w:vAlign w:val="center"/>
          </w:tcPr>
          <w:p w14:paraId="2EFBE113">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应能与救援服务持续对讲联系。紧急报警装置的供电来自前条所述的紧急照明电源或者等效电源。</w:t>
            </w:r>
          </w:p>
        </w:tc>
        <w:tc>
          <w:tcPr>
            <w:tcW w:w="863" w:type="dxa"/>
            <w:vAlign w:val="center"/>
          </w:tcPr>
          <w:p w14:paraId="65781A9D">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29A7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2A6CB83F">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102</w:t>
            </w:r>
          </w:p>
        </w:tc>
        <w:tc>
          <w:tcPr>
            <w:tcW w:w="939" w:type="dxa"/>
            <w:vMerge w:val="continue"/>
            <w:vAlign w:val="center"/>
          </w:tcPr>
          <w:p w14:paraId="4D49DA7A">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60972D6">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超载保护装置</w:t>
            </w:r>
          </w:p>
        </w:tc>
        <w:tc>
          <w:tcPr>
            <w:tcW w:w="5155" w:type="dxa"/>
            <w:vAlign w:val="center"/>
          </w:tcPr>
          <w:p w14:paraId="1524E1B8">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轿厢内的载荷超过110％倍额定载重量（超载量不少于75kg）时，能够防止电梯正常启动及再平层，并且轿内有音响或者发光信号提示，动力驱动的自动门完全打开，手动门保持在未锁状态。</w:t>
            </w:r>
          </w:p>
        </w:tc>
        <w:tc>
          <w:tcPr>
            <w:tcW w:w="863" w:type="dxa"/>
            <w:vAlign w:val="center"/>
          </w:tcPr>
          <w:p w14:paraId="64115848">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3DE62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9E8A5C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103</w:t>
            </w:r>
          </w:p>
        </w:tc>
        <w:tc>
          <w:tcPr>
            <w:tcW w:w="939" w:type="dxa"/>
            <w:vMerge w:val="continue"/>
            <w:vAlign w:val="center"/>
          </w:tcPr>
          <w:p w14:paraId="0CAB9204">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760D4035">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安全钳</w:t>
            </w:r>
          </w:p>
        </w:tc>
        <w:tc>
          <w:tcPr>
            <w:tcW w:w="5155" w:type="dxa"/>
            <w:vAlign w:val="center"/>
          </w:tcPr>
          <w:p w14:paraId="58D5AC9E">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安全钳应清洁，无严重油腻。</w:t>
            </w:r>
          </w:p>
        </w:tc>
        <w:tc>
          <w:tcPr>
            <w:tcW w:w="863" w:type="dxa"/>
            <w:vAlign w:val="center"/>
          </w:tcPr>
          <w:p w14:paraId="3AE802DC">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23B5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F5EF9CF">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104</w:t>
            </w:r>
          </w:p>
        </w:tc>
        <w:tc>
          <w:tcPr>
            <w:tcW w:w="939" w:type="dxa"/>
            <w:vMerge w:val="continue"/>
            <w:vAlign w:val="center"/>
          </w:tcPr>
          <w:p w14:paraId="1AAD9B28">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7316AE79">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076386E5">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安全钳钳座固定无松动，传动机构灵活，开关触点有效。</w:t>
            </w:r>
          </w:p>
        </w:tc>
        <w:tc>
          <w:tcPr>
            <w:tcW w:w="863" w:type="dxa"/>
            <w:vAlign w:val="center"/>
          </w:tcPr>
          <w:p w14:paraId="6E37E3F4">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481F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6C088BE">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105</w:t>
            </w:r>
          </w:p>
        </w:tc>
        <w:tc>
          <w:tcPr>
            <w:tcW w:w="939" w:type="dxa"/>
            <w:vMerge w:val="continue"/>
            <w:vAlign w:val="center"/>
          </w:tcPr>
          <w:p w14:paraId="046CCABE">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2857865">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19DDFBE9">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安全钳楔块与导轨间隙均匀，动作一致。</w:t>
            </w:r>
          </w:p>
        </w:tc>
        <w:tc>
          <w:tcPr>
            <w:tcW w:w="863" w:type="dxa"/>
            <w:vAlign w:val="center"/>
          </w:tcPr>
          <w:p w14:paraId="2BD47E11">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47C85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0A1C697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106</w:t>
            </w:r>
          </w:p>
        </w:tc>
        <w:tc>
          <w:tcPr>
            <w:tcW w:w="939" w:type="dxa"/>
            <w:vMerge w:val="continue"/>
            <w:vAlign w:val="center"/>
          </w:tcPr>
          <w:p w14:paraId="23220193">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2F451C4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平层精度</w:t>
            </w:r>
          </w:p>
        </w:tc>
        <w:tc>
          <w:tcPr>
            <w:tcW w:w="5155" w:type="dxa"/>
            <w:vAlign w:val="center"/>
          </w:tcPr>
          <w:p w14:paraId="6D55CDBF">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电梯轿厢的平层准确度宜在±10 mm范围内。平层保持精度宜在±20 mm范围内。</w:t>
            </w:r>
          </w:p>
        </w:tc>
        <w:tc>
          <w:tcPr>
            <w:tcW w:w="863" w:type="dxa"/>
            <w:vAlign w:val="center"/>
          </w:tcPr>
          <w:p w14:paraId="1E0AC4A0">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6892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7BFF49A">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107</w:t>
            </w:r>
          </w:p>
        </w:tc>
        <w:tc>
          <w:tcPr>
            <w:tcW w:w="939" w:type="dxa"/>
            <w:vMerge w:val="restart"/>
            <w:vAlign w:val="center"/>
          </w:tcPr>
          <w:p w14:paraId="41DDD93A">
            <w:pPr>
              <w:widowControl/>
              <w:jc w:val="center"/>
              <w:rPr>
                <w:rFonts w:hint="eastAsia" w:ascii="宋体" w:hAnsi="宋体" w:eastAsia="宋体" w:cs="宋体"/>
                <w:bCs/>
                <w:color w:val="auto"/>
                <w:kern w:val="2"/>
                <w:sz w:val="20"/>
                <w:szCs w:val="20"/>
                <w:highlight w:val="none"/>
                <w:lang w:val="en-US" w:eastAsia="zh-CN" w:bidi="ar-SA"/>
              </w:rPr>
            </w:pPr>
          </w:p>
          <w:p w14:paraId="1108A22F">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轿(层)门</w:t>
            </w:r>
          </w:p>
          <w:p w14:paraId="41FF1AC2">
            <w:pPr>
              <w:rPr>
                <w:rFonts w:hint="eastAsia" w:ascii="宋体" w:hAnsi="宋体" w:eastAsia="宋体" w:cs="宋体"/>
                <w:sz w:val="20"/>
                <w:szCs w:val="20"/>
                <w:highlight w:val="none"/>
              </w:rPr>
            </w:pPr>
          </w:p>
          <w:p w14:paraId="681F5059">
            <w:pPr>
              <w:rPr>
                <w:rFonts w:hint="eastAsia" w:ascii="宋体" w:hAnsi="宋体" w:eastAsia="宋体" w:cs="宋体"/>
                <w:sz w:val="20"/>
                <w:szCs w:val="20"/>
                <w:highlight w:val="none"/>
              </w:rPr>
            </w:pPr>
          </w:p>
          <w:p w14:paraId="49AC9222">
            <w:pPr>
              <w:rPr>
                <w:rFonts w:hint="eastAsia" w:ascii="宋体" w:hAnsi="宋体" w:eastAsia="宋体" w:cs="宋体"/>
                <w:sz w:val="20"/>
                <w:szCs w:val="20"/>
                <w:highlight w:val="none"/>
              </w:rPr>
            </w:pPr>
          </w:p>
          <w:p w14:paraId="619BA498">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6D6D38B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门间隙</w:t>
            </w:r>
          </w:p>
        </w:tc>
        <w:tc>
          <w:tcPr>
            <w:tcW w:w="5155" w:type="dxa"/>
            <w:vAlign w:val="center"/>
          </w:tcPr>
          <w:p w14:paraId="3DF7E5CE">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门扇之间及门扇与立柱、门楣和地坎之间的间隙，对于乘客电梯应不大于6mm；对于载货电梯应不大于8mm，使用过程中由于磨损，允许达到10mm。</w:t>
            </w:r>
          </w:p>
        </w:tc>
        <w:tc>
          <w:tcPr>
            <w:tcW w:w="863" w:type="dxa"/>
            <w:vAlign w:val="center"/>
          </w:tcPr>
          <w:p w14:paraId="1E37FB7D">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27D4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56743F9F">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108</w:t>
            </w:r>
          </w:p>
        </w:tc>
        <w:tc>
          <w:tcPr>
            <w:tcW w:w="939" w:type="dxa"/>
            <w:vMerge w:val="continue"/>
            <w:vAlign w:val="center"/>
          </w:tcPr>
          <w:p w14:paraId="0DD9BC67">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1F270057">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412DCC4E">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在水平移动门和折叠门主动门扇的开启方向，以150N的人力施加在一个最不利的点，前条所述的间隙允许增大，但对于旁开门应不大于30mm，对于中分门其总和应不大于45mm。</w:t>
            </w:r>
          </w:p>
        </w:tc>
        <w:tc>
          <w:tcPr>
            <w:tcW w:w="863" w:type="dxa"/>
            <w:vAlign w:val="center"/>
          </w:tcPr>
          <w:p w14:paraId="7648DCB8">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半年</w:t>
            </w:r>
          </w:p>
        </w:tc>
      </w:tr>
      <w:tr w14:paraId="47304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0C63E1FD">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109</w:t>
            </w:r>
          </w:p>
        </w:tc>
        <w:tc>
          <w:tcPr>
            <w:tcW w:w="939" w:type="dxa"/>
            <w:vMerge w:val="continue"/>
            <w:vAlign w:val="center"/>
          </w:tcPr>
          <w:p w14:paraId="62D53419">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1D1B5993">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玻璃门</w:t>
            </w:r>
          </w:p>
        </w:tc>
        <w:tc>
          <w:tcPr>
            <w:tcW w:w="5155" w:type="dxa"/>
            <w:vAlign w:val="center"/>
          </w:tcPr>
          <w:p w14:paraId="71FD79CF">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玻璃门上的供应商名称或者商标、玻璃的型式等永久性标记完好。</w:t>
            </w:r>
          </w:p>
        </w:tc>
        <w:tc>
          <w:tcPr>
            <w:tcW w:w="863" w:type="dxa"/>
            <w:vAlign w:val="center"/>
          </w:tcPr>
          <w:p w14:paraId="748523BC">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A4DB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27ED2D2A">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110</w:t>
            </w:r>
          </w:p>
        </w:tc>
        <w:tc>
          <w:tcPr>
            <w:tcW w:w="939" w:type="dxa"/>
            <w:vMerge w:val="continue"/>
            <w:vAlign w:val="center"/>
          </w:tcPr>
          <w:p w14:paraId="42B2B103">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A7138DF">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92EFAB5">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玻璃门上的固定件，即使在玻璃下沉的情况下，应能够保证玻璃不会滑出。</w:t>
            </w:r>
          </w:p>
        </w:tc>
        <w:tc>
          <w:tcPr>
            <w:tcW w:w="863" w:type="dxa"/>
            <w:vAlign w:val="center"/>
          </w:tcPr>
          <w:p w14:paraId="65F01F8F">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60AB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32EF548">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111</w:t>
            </w:r>
          </w:p>
        </w:tc>
        <w:tc>
          <w:tcPr>
            <w:tcW w:w="939" w:type="dxa"/>
            <w:vMerge w:val="continue"/>
            <w:vAlign w:val="center"/>
          </w:tcPr>
          <w:p w14:paraId="50F25FD3">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6F36DA7F">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258B3F91">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有防止儿童的手被拖曳的措施。</w:t>
            </w:r>
          </w:p>
        </w:tc>
        <w:tc>
          <w:tcPr>
            <w:tcW w:w="863" w:type="dxa"/>
            <w:vAlign w:val="center"/>
          </w:tcPr>
          <w:p w14:paraId="09B46A21">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FA9F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73C69904">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112</w:t>
            </w:r>
          </w:p>
        </w:tc>
        <w:tc>
          <w:tcPr>
            <w:tcW w:w="939" w:type="dxa"/>
            <w:vMerge w:val="continue"/>
            <w:vAlign w:val="center"/>
          </w:tcPr>
          <w:p w14:paraId="73951316">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30A23B98">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防止门夹人的保护装置</w:t>
            </w:r>
          </w:p>
        </w:tc>
        <w:tc>
          <w:tcPr>
            <w:tcW w:w="5155" w:type="dxa"/>
            <w:vAlign w:val="center"/>
          </w:tcPr>
          <w:p w14:paraId="1AAEC386">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当人员通过层门入口被正在关闭的门扇撞击或者将被撞击时，该装置应当自动使门重新开启。</w:t>
            </w:r>
          </w:p>
        </w:tc>
        <w:tc>
          <w:tcPr>
            <w:tcW w:w="863" w:type="dxa"/>
            <w:vAlign w:val="center"/>
          </w:tcPr>
          <w:p w14:paraId="65D44D1C">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7018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6FEEB16D">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113</w:t>
            </w:r>
          </w:p>
        </w:tc>
        <w:tc>
          <w:tcPr>
            <w:tcW w:w="939" w:type="dxa"/>
            <w:vMerge w:val="continue"/>
            <w:vAlign w:val="center"/>
          </w:tcPr>
          <w:p w14:paraId="43DBEF76">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5D0D0D1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门运行和导向</w:t>
            </w:r>
          </w:p>
        </w:tc>
        <w:tc>
          <w:tcPr>
            <w:tcW w:w="5155" w:type="dxa"/>
            <w:vAlign w:val="center"/>
          </w:tcPr>
          <w:p w14:paraId="72A9465B">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层门和轿门运行正常，不得出现脱轨、机械卡阻或者在行程终端时错位，地坎清洁，导靴磨损量不超过制造单位要求。</w:t>
            </w:r>
          </w:p>
        </w:tc>
        <w:tc>
          <w:tcPr>
            <w:tcW w:w="863" w:type="dxa"/>
            <w:vAlign w:val="center"/>
          </w:tcPr>
          <w:p w14:paraId="6C2C3D89">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740C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0CDF5C29">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114</w:t>
            </w:r>
          </w:p>
        </w:tc>
        <w:tc>
          <w:tcPr>
            <w:tcW w:w="939" w:type="dxa"/>
            <w:vMerge w:val="continue"/>
            <w:vAlign w:val="center"/>
          </w:tcPr>
          <w:p w14:paraId="10D49B34">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04B0B889">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门系统传动装置</w:t>
            </w:r>
          </w:p>
        </w:tc>
        <w:tc>
          <w:tcPr>
            <w:tcW w:w="5155" w:type="dxa"/>
            <w:vAlign w:val="center"/>
          </w:tcPr>
          <w:p w14:paraId="59940631">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层门、轿门系统中传动钢丝绳、链条、胶带应按制造单位要求进行清洁和调整。</w:t>
            </w:r>
          </w:p>
        </w:tc>
        <w:tc>
          <w:tcPr>
            <w:tcW w:w="863" w:type="dxa"/>
            <w:vAlign w:val="center"/>
          </w:tcPr>
          <w:p w14:paraId="7B3AFA79">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季度</w:t>
            </w:r>
          </w:p>
        </w:tc>
      </w:tr>
      <w:tr w14:paraId="2DBD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606F52C8">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115</w:t>
            </w:r>
          </w:p>
        </w:tc>
        <w:tc>
          <w:tcPr>
            <w:tcW w:w="939" w:type="dxa"/>
            <w:vMerge w:val="continue"/>
            <w:vAlign w:val="center"/>
          </w:tcPr>
          <w:p w14:paraId="6464081F">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72C093D2">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自动关门装置</w:t>
            </w:r>
          </w:p>
        </w:tc>
        <w:tc>
          <w:tcPr>
            <w:tcW w:w="5155" w:type="dxa"/>
            <w:vAlign w:val="center"/>
          </w:tcPr>
          <w:p w14:paraId="5B5E1C6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当轿厢在开锁区域之外时，如果层门开启（无论何种原因），自动关门装置应能确保该层门自动关闭。</w:t>
            </w:r>
          </w:p>
        </w:tc>
        <w:tc>
          <w:tcPr>
            <w:tcW w:w="863" w:type="dxa"/>
            <w:vAlign w:val="center"/>
          </w:tcPr>
          <w:p w14:paraId="2FF3707F">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1B5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BEF746B">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116</w:t>
            </w:r>
          </w:p>
        </w:tc>
        <w:tc>
          <w:tcPr>
            <w:tcW w:w="939" w:type="dxa"/>
            <w:vMerge w:val="continue"/>
            <w:vAlign w:val="center"/>
          </w:tcPr>
          <w:p w14:paraId="59BD412B">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1EF41E7B">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485705A5">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自动关闭装置采用重块时，应当有防止重块坠落的措施。</w:t>
            </w:r>
          </w:p>
        </w:tc>
        <w:tc>
          <w:tcPr>
            <w:tcW w:w="863" w:type="dxa"/>
            <w:vAlign w:val="center"/>
          </w:tcPr>
          <w:p w14:paraId="5D2E1999">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61F9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3449545">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117</w:t>
            </w:r>
          </w:p>
        </w:tc>
        <w:tc>
          <w:tcPr>
            <w:tcW w:w="939" w:type="dxa"/>
            <w:vMerge w:val="continue"/>
            <w:vAlign w:val="center"/>
          </w:tcPr>
          <w:p w14:paraId="30BF0F16">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7CD7CC5D">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紧急开锁装置</w:t>
            </w:r>
          </w:p>
        </w:tc>
        <w:tc>
          <w:tcPr>
            <w:tcW w:w="5155" w:type="dxa"/>
            <w:vAlign w:val="center"/>
          </w:tcPr>
          <w:p w14:paraId="400C801B">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每个层门均应当能够被一把符合要求的钥匙从外面开启。</w:t>
            </w:r>
          </w:p>
        </w:tc>
        <w:tc>
          <w:tcPr>
            <w:tcW w:w="863" w:type="dxa"/>
            <w:vAlign w:val="center"/>
          </w:tcPr>
          <w:p w14:paraId="2C66BBF6">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4515A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0E2069FF">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118</w:t>
            </w:r>
          </w:p>
        </w:tc>
        <w:tc>
          <w:tcPr>
            <w:tcW w:w="939" w:type="dxa"/>
            <w:vMerge w:val="continue"/>
            <w:vAlign w:val="center"/>
          </w:tcPr>
          <w:p w14:paraId="01D5E003">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6952469C">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4ABD9E3">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紧急开锁后，在层门闭合时门锁装置不应当保持开锁位置。</w:t>
            </w:r>
          </w:p>
        </w:tc>
        <w:tc>
          <w:tcPr>
            <w:tcW w:w="863" w:type="dxa"/>
            <w:vAlign w:val="center"/>
          </w:tcPr>
          <w:p w14:paraId="2094A1D7">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71C5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0EDBF0E0">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119</w:t>
            </w:r>
          </w:p>
        </w:tc>
        <w:tc>
          <w:tcPr>
            <w:tcW w:w="939" w:type="dxa"/>
            <w:vMerge w:val="continue"/>
            <w:vAlign w:val="center"/>
          </w:tcPr>
          <w:p w14:paraId="299C6035">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11858626">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门的锁紧</w:t>
            </w:r>
          </w:p>
        </w:tc>
        <w:tc>
          <w:tcPr>
            <w:tcW w:w="5155" w:type="dxa"/>
            <w:vAlign w:val="center"/>
          </w:tcPr>
          <w:p w14:paraId="5E1550F3">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轿厢应当在门的锁紧元件啮合不小于7mm时才能启动。</w:t>
            </w:r>
          </w:p>
        </w:tc>
        <w:tc>
          <w:tcPr>
            <w:tcW w:w="863" w:type="dxa"/>
            <w:vAlign w:val="center"/>
          </w:tcPr>
          <w:p w14:paraId="3C2F012F">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61F6E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4D9B6CB6">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120</w:t>
            </w:r>
          </w:p>
        </w:tc>
        <w:tc>
          <w:tcPr>
            <w:tcW w:w="939" w:type="dxa"/>
            <w:vMerge w:val="continue"/>
            <w:vAlign w:val="center"/>
          </w:tcPr>
          <w:p w14:paraId="332CD219">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7029A9E3">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E893D0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验证门锁紧的电气安全装置动作可靠有效。</w:t>
            </w:r>
          </w:p>
        </w:tc>
        <w:tc>
          <w:tcPr>
            <w:tcW w:w="863" w:type="dxa"/>
            <w:vAlign w:val="center"/>
          </w:tcPr>
          <w:p w14:paraId="27E0060A">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B496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9CD9D03">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121</w:t>
            </w:r>
          </w:p>
        </w:tc>
        <w:tc>
          <w:tcPr>
            <w:tcW w:w="939" w:type="dxa"/>
            <w:vMerge w:val="continue"/>
            <w:vAlign w:val="center"/>
          </w:tcPr>
          <w:p w14:paraId="7FB47D8F">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5B3867E6">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门的闭合</w:t>
            </w:r>
          </w:p>
        </w:tc>
        <w:tc>
          <w:tcPr>
            <w:tcW w:w="5155" w:type="dxa"/>
            <w:vAlign w:val="center"/>
          </w:tcPr>
          <w:p w14:paraId="489142B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正常运行时应当不能打开层门和轿门，除非轿厢在该层门的开锁区域内停止或停站；如果一个层门或者轿门（或者多扇门中的任何一扇门）开着，在正常操作情况下，应当不能启动电梯或者不能保持继续运行。</w:t>
            </w:r>
          </w:p>
        </w:tc>
        <w:tc>
          <w:tcPr>
            <w:tcW w:w="863" w:type="dxa"/>
            <w:vAlign w:val="center"/>
          </w:tcPr>
          <w:p w14:paraId="467E6A88">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3AB57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7BE9294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122</w:t>
            </w:r>
          </w:p>
        </w:tc>
        <w:tc>
          <w:tcPr>
            <w:tcW w:w="939" w:type="dxa"/>
            <w:vMerge w:val="continue"/>
            <w:vAlign w:val="center"/>
          </w:tcPr>
          <w:p w14:paraId="6B3159BE">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27D0F448">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01412DA1">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验证每个层门和轿门闭合的电气安全装置动作可靠有效。</w:t>
            </w:r>
          </w:p>
        </w:tc>
        <w:tc>
          <w:tcPr>
            <w:tcW w:w="863" w:type="dxa"/>
            <w:vAlign w:val="center"/>
          </w:tcPr>
          <w:p w14:paraId="1BF97FFB">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1C16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6CBE2511">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123</w:t>
            </w:r>
          </w:p>
        </w:tc>
        <w:tc>
          <w:tcPr>
            <w:tcW w:w="939" w:type="dxa"/>
            <w:vMerge w:val="continue"/>
            <w:vAlign w:val="center"/>
          </w:tcPr>
          <w:p w14:paraId="5E3FA762">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0DF3894D">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5E6BD3A5">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轿门门刀与层门地坎，层门锁滚轮与轿厢地坎的间隙应在5～10mm范围。</w:t>
            </w:r>
          </w:p>
        </w:tc>
        <w:tc>
          <w:tcPr>
            <w:tcW w:w="863" w:type="dxa"/>
            <w:vAlign w:val="center"/>
          </w:tcPr>
          <w:p w14:paraId="6C9A917E">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7415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6B8B8923">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124</w:t>
            </w:r>
          </w:p>
        </w:tc>
        <w:tc>
          <w:tcPr>
            <w:tcW w:w="939" w:type="dxa"/>
            <w:vMerge w:val="continue"/>
            <w:vAlign w:val="center"/>
          </w:tcPr>
          <w:p w14:paraId="154D9F82">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12874E60">
            <w:pPr>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7862D44C">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电梯运行时，轿门门刀与层门地坎，层门锁滚轮与轿厢地坎不得互相碰擦。</w:t>
            </w:r>
          </w:p>
        </w:tc>
        <w:tc>
          <w:tcPr>
            <w:tcW w:w="863" w:type="dxa"/>
            <w:vAlign w:val="center"/>
          </w:tcPr>
          <w:p w14:paraId="62FA8C5B">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640EC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3F9336B0">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125</w:t>
            </w:r>
          </w:p>
        </w:tc>
        <w:tc>
          <w:tcPr>
            <w:tcW w:w="939" w:type="dxa"/>
            <w:vMerge w:val="continue"/>
            <w:vAlign w:val="center"/>
          </w:tcPr>
          <w:p w14:paraId="643A67E6">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7D2001B6">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层站显示</w:t>
            </w:r>
          </w:p>
        </w:tc>
        <w:tc>
          <w:tcPr>
            <w:tcW w:w="5155" w:type="dxa"/>
            <w:vAlign w:val="center"/>
          </w:tcPr>
          <w:p w14:paraId="5DE096C1">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层站指令按钮齐全、有效，显示正确、清楚。</w:t>
            </w:r>
          </w:p>
        </w:tc>
        <w:tc>
          <w:tcPr>
            <w:tcW w:w="863" w:type="dxa"/>
            <w:vAlign w:val="center"/>
          </w:tcPr>
          <w:p w14:paraId="192E1799">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半月</w:t>
            </w:r>
          </w:p>
        </w:tc>
      </w:tr>
      <w:tr w14:paraId="0239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2121BEA4">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126</w:t>
            </w:r>
          </w:p>
        </w:tc>
        <w:tc>
          <w:tcPr>
            <w:tcW w:w="939" w:type="dxa"/>
            <w:vMerge w:val="restart"/>
            <w:vAlign w:val="center"/>
          </w:tcPr>
          <w:p w14:paraId="4D710AB0">
            <w:pPr>
              <w:widowControl/>
              <w:jc w:val="center"/>
              <w:rPr>
                <w:rFonts w:hint="eastAsia" w:ascii="宋体" w:hAnsi="宋体" w:eastAsia="宋体" w:cs="宋体"/>
                <w:bCs/>
                <w:color w:val="auto"/>
                <w:kern w:val="2"/>
                <w:sz w:val="20"/>
                <w:szCs w:val="20"/>
                <w:highlight w:val="none"/>
                <w:lang w:val="en-US" w:eastAsia="zh-CN" w:bidi="ar-SA"/>
              </w:rPr>
            </w:pPr>
          </w:p>
          <w:p w14:paraId="74D43F9C">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试</w:t>
            </w:r>
          </w:p>
          <w:p w14:paraId="076DF344">
            <w:pPr>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验</w:t>
            </w:r>
          </w:p>
        </w:tc>
        <w:tc>
          <w:tcPr>
            <w:tcW w:w="1486" w:type="dxa"/>
            <w:vMerge w:val="restart"/>
            <w:vAlign w:val="center"/>
          </w:tcPr>
          <w:p w14:paraId="67597BED">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轿厢上行超速保护装置试验</w:t>
            </w:r>
          </w:p>
        </w:tc>
        <w:tc>
          <w:tcPr>
            <w:tcW w:w="5155" w:type="dxa"/>
            <w:vAlign w:val="center"/>
          </w:tcPr>
          <w:p w14:paraId="41FF5537">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当轿厢上行速度失控时，轿厢上行超速保护装置应当动作，使轿厢制停或者至少使其速度降低至对重缓冲器的设计范围。</w:t>
            </w:r>
          </w:p>
        </w:tc>
        <w:tc>
          <w:tcPr>
            <w:tcW w:w="863" w:type="dxa"/>
            <w:vAlign w:val="center"/>
          </w:tcPr>
          <w:p w14:paraId="1CF46172">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7FD1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7A65523B">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127</w:t>
            </w:r>
          </w:p>
        </w:tc>
        <w:tc>
          <w:tcPr>
            <w:tcW w:w="939" w:type="dxa"/>
            <w:vMerge w:val="continue"/>
            <w:vAlign w:val="center"/>
          </w:tcPr>
          <w:p w14:paraId="0C6D555E">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3C39F02C">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19DA20F">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该装置动作时，应当使一个电气安全装置动作。</w:t>
            </w:r>
          </w:p>
        </w:tc>
        <w:tc>
          <w:tcPr>
            <w:tcW w:w="863" w:type="dxa"/>
            <w:vAlign w:val="center"/>
          </w:tcPr>
          <w:p w14:paraId="60AFF783">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9E2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54065A17">
            <w:pPr>
              <w:widowControl/>
              <w:jc w:val="cente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128</w:t>
            </w:r>
          </w:p>
        </w:tc>
        <w:tc>
          <w:tcPr>
            <w:tcW w:w="939" w:type="dxa"/>
            <w:vMerge w:val="continue"/>
            <w:vAlign w:val="center"/>
          </w:tcPr>
          <w:p w14:paraId="7B1AF357">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39CA6E51">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耗能缓冲器试验</w:t>
            </w:r>
          </w:p>
        </w:tc>
        <w:tc>
          <w:tcPr>
            <w:tcW w:w="5155" w:type="dxa"/>
            <w:vAlign w:val="center"/>
          </w:tcPr>
          <w:p w14:paraId="7961C68A">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缓冲器动作后，回复至其正常伸长位置电梯才能正常运行。</w:t>
            </w:r>
          </w:p>
        </w:tc>
        <w:tc>
          <w:tcPr>
            <w:tcW w:w="863" w:type="dxa"/>
            <w:vAlign w:val="center"/>
          </w:tcPr>
          <w:p w14:paraId="6959058B">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5C1BE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71221BA0">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129</w:t>
            </w:r>
          </w:p>
        </w:tc>
        <w:tc>
          <w:tcPr>
            <w:tcW w:w="939" w:type="dxa"/>
            <w:vMerge w:val="continue"/>
            <w:vAlign w:val="center"/>
          </w:tcPr>
          <w:p w14:paraId="21440E48">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3D68C411">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6580B0DB">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缓冲器完全复位的最大时间限度为120s。</w:t>
            </w:r>
          </w:p>
        </w:tc>
        <w:tc>
          <w:tcPr>
            <w:tcW w:w="863" w:type="dxa"/>
            <w:vAlign w:val="center"/>
          </w:tcPr>
          <w:p w14:paraId="43ABE43D">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6F98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EC82306">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130</w:t>
            </w:r>
          </w:p>
        </w:tc>
        <w:tc>
          <w:tcPr>
            <w:tcW w:w="939" w:type="dxa"/>
            <w:vMerge w:val="continue"/>
            <w:vAlign w:val="center"/>
          </w:tcPr>
          <w:p w14:paraId="030004C1">
            <w:pPr>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6B11DB79">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限速器－安全钳动作试验</w:t>
            </w:r>
          </w:p>
        </w:tc>
        <w:tc>
          <w:tcPr>
            <w:tcW w:w="5155" w:type="dxa"/>
            <w:vAlign w:val="center"/>
          </w:tcPr>
          <w:p w14:paraId="3C1977A5">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轿厢空载，以检修速度下行，进行轿厢限速器-安全钳联动试验，限速器－安全钳动作应当可靠。</w:t>
            </w:r>
          </w:p>
        </w:tc>
        <w:tc>
          <w:tcPr>
            <w:tcW w:w="863" w:type="dxa"/>
            <w:vAlign w:val="center"/>
          </w:tcPr>
          <w:p w14:paraId="2AF4E3F2">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13E2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731567DD">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131</w:t>
            </w:r>
          </w:p>
        </w:tc>
        <w:tc>
          <w:tcPr>
            <w:tcW w:w="939" w:type="dxa"/>
            <w:vMerge w:val="continue"/>
            <w:vAlign w:val="center"/>
          </w:tcPr>
          <w:p w14:paraId="7B5A5735">
            <w:pPr>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3F4FF4AA">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38277335">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轿厢空载，以检修速度上行，进行对重(平衡重)限速器-安全钳联动试验，限速器－安全钳动作应当可靠。</w:t>
            </w:r>
          </w:p>
        </w:tc>
        <w:tc>
          <w:tcPr>
            <w:tcW w:w="863" w:type="dxa"/>
            <w:vAlign w:val="center"/>
          </w:tcPr>
          <w:p w14:paraId="5FED6CC5">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319CC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761FBC8B">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132</w:t>
            </w:r>
          </w:p>
        </w:tc>
        <w:tc>
          <w:tcPr>
            <w:tcW w:w="939" w:type="dxa"/>
            <w:vMerge w:val="continue"/>
            <w:vAlign w:val="center"/>
          </w:tcPr>
          <w:p w14:paraId="55FCB5D5">
            <w:pPr>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3D050722">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空载曳引力试验</w:t>
            </w:r>
          </w:p>
        </w:tc>
        <w:tc>
          <w:tcPr>
            <w:tcW w:w="5155" w:type="dxa"/>
            <w:vAlign w:val="center"/>
          </w:tcPr>
          <w:p w14:paraId="58870B9E">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当对重压在缓冲器上而曳引机按电梯上行方向旋转时，应当不能提升空载轿厢。</w:t>
            </w:r>
          </w:p>
        </w:tc>
        <w:tc>
          <w:tcPr>
            <w:tcW w:w="863" w:type="dxa"/>
            <w:vAlign w:val="center"/>
          </w:tcPr>
          <w:p w14:paraId="50D13EF6">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0E07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4A268C93">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133</w:t>
            </w:r>
          </w:p>
        </w:tc>
        <w:tc>
          <w:tcPr>
            <w:tcW w:w="939" w:type="dxa"/>
            <w:vMerge w:val="continue"/>
            <w:vAlign w:val="center"/>
          </w:tcPr>
          <w:p w14:paraId="20275DE7">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4C57658A">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空载上行制动试验</w:t>
            </w:r>
          </w:p>
        </w:tc>
        <w:tc>
          <w:tcPr>
            <w:tcW w:w="5155" w:type="dxa"/>
            <w:vAlign w:val="center"/>
          </w:tcPr>
          <w:p w14:paraId="0C5745B3">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轿厢空载以正常运行速度上行时，切断电动机与制动器供电，轿厢应当被可靠制停，并且无明显变形和损坏。</w:t>
            </w:r>
          </w:p>
        </w:tc>
        <w:tc>
          <w:tcPr>
            <w:tcW w:w="863" w:type="dxa"/>
            <w:vAlign w:val="center"/>
          </w:tcPr>
          <w:p w14:paraId="43ACEE0E">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6959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1B9347DD">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134</w:t>
            </w:r>
          </w:p>
        </w:tc>
        <w:tc>
          <w:tcPr>
            <w:tcW w:w="939" w:type="dxa"/>
            <w:vMerge w:val="continue"/>
            <w:vAlign w:val="center"/>
          </w:tcPr>
          <w:p w14:paraId="79D682FD">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Align w:val="center"/>
          </w:tcPr>
          <w:p w14:paraId="5371D264">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运行试验</w:t>
            </w:r>
          </w:p>
        </w:tc>
        <w:tc>
          <w:tcPr>
            <w:tcW w:w="5155" w:type="dxa"/>
            <w:vAlign w:val="center"/>
          </w:tcPr>
          <w:p w14:paraId="610BCFC9">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轿厢分别空载、满载，以正常运行速度上、下运行，呼梯、楼层显示等信号系统功能有效、指示正确、动作无误，轿厢平层良好，无异常现象发生。</w:t>
            </w:r>
          </w:p>
        </w:tc>
        <w:tc>
          <w:tcPr>
            <w:tcW w:w="863" w:type="dxa"/>
            <w:vAlign w:val="center"/>
          </w:tcPr>
          <w:p w14:paraId="5C177F44">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61A71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638C8E84">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135</w:t>
            </w:r>
          </w:p>
        </w:tc>
        <w:tc>
          <w:tcPr>
            <w:tcW w:w="939" w:type="dxa"/>
            <w:vMerge w:val="continue"/>
            <w:vAlign w:val="center"/>
          </w:tcPr>
          <w:p w14:paraId="7B5C5D20">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restart"/>
            <w:vAlign w:val="center"/>
          </w:tcPr>
          <w:p w14:paraId="16A3A00B">
            <w:pPr>
              <w:widowControl/>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消防返回功能试验</w:t>
            </w:r>
          </w:p>
        </w:tc>
        <w:tc>
          <w:tcPr>
            <w:tcW w:w="5155" w:type="dxa"/>
            <w:vAlign w:val="center"/>
          </w:tcPr>
          <w:p w14:paraId="031F120B">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消防开关防护玻璃应当完好， “消防”字样清楚。</w:t>
            </w:r>
          </w:p>
        </w:tc>
        <w:tc>
          <w:tcPr>
            <w:tcW w:w="863" w:type="dxa"/>
            <w:vAlign w:val="center"/>
          </w:tcPr>
          <w:p w14:paraId="090D9FE2">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24E0A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29" w:type="dxa"/>
            <w:vAlign w:val="center"/>
          </w:tcPr>
          <w:p w14:paraId="2E50ECC9">
            <w:pPr>
              <w:widowControl/>
              <w:jc w:val="center"/>
              <w:rPr>
                <w:rFonts w:hint="default"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136</w:t>
            </w:r>
          </w:p>
        </w:tc>
        <w:tc>
          <w:tcPr>
            <w:tcW w:w="939" w:type="dxa"/>
            <w:vMerge w:val="continue"/>
            <w:vAlign w:val="center"/>
          </w:tcPr>
          <w:p w14:paraId="641C0BA6">
            <w:pPr>
              <w:widowControl/>
              <w:jc w:val="center"/>
              <w:rPr>
                <w:rFonts w:hint="eastAsia" w:ascii="宋体" w:hAnsi="宋体" w:eastAsia="宋体" w:cs="宋体"/>
                <w:bCs/>
                <w:color w:val="auto"/>
                <w:kern w:val="2"/>
                <w:sz w:val="20"/>
                <w:szCs w:val="20"/>
                <w:highlight w:val="none"/>
                <w:lang w:val="en-US" w:eastAsia="zh-CN" w:bidi="ar-SA"/>
              </w:rPr>
            </w:pPr>
          </w:p>
        </w:tc>
        <w:tc>
          <w:tcPr>
            <w:tcW w:w="1486" w:type="dxa"/>
            <w:vMerge w:val="continue"/>
            <w:vAlign w:val="center"/>
          </w:tcPr>
          <w:p w14:paraId="7B63772C">
            <w:pPr>
              <w:widowControl/>
              <w:rPr>
                <w:rFonts w:hint="eastAsia" w:ascii="宋体" w:hAnsi="宋体" w:eastAsia="宋体" w:cs="宋体"/>
                <w:bCs/>
                <w:color w:val="auto"/>
                <w:kern w:val="2"/>
                <w:sz w:val="20"/>
                <w:szCs w:val="20"/>
                <w:highlight w:val="none"/>
                <w:lang w:val="en-US" w:eastAsia="zh-CN" w:bidi="ar-SA"/>
              </w:rPr>
            </w:pPr>
          </w:p>
        </w:tc>
        <w:tc>
          <w:tcPr>
            <w:tcW w:w="5155" w:type="dxa"/>
            <w:vAlign w:val="center"/>
          </w:tcPr>
          <w:p w14:paraId="200D48B6">
            <w:pPr>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消防功能启动后，电梯不响应外呼和内选信号，轿厢直接返回指定撤离层，开门待命。</w:t>
            </w:r>
          </w:p>
        </w:tc>
        <w:tc>
          <w:tcPr>
            <w:tcW w:w="863" w:type="dxa"/>
            <w:vAlign w:val="center"/>
          </w:tcPr>
          <w:p w14:paraId="19D2035A">
            <w:pPr>
              <w:widowControl/>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w:t>
            </w:r>
          </w:p>
        </w:tc>
      </w:tr>
      <w:tr w14:paraId="38EA5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9372" w:type="dxa"/>
            <w:gridSpan w:val="5"/>
            <w:vAlign w:val="center"/>
          </w:tcPr>
          <w:p w14:paraId="2328617F">
            <w:pPr>
              <w:pStyle w:val="28"/>
              <w:numPr>
                <w:ilvl w:val="0"/>
                <w:numId w:val="0"/>
              </w:numPr>
              <w:ind w:left="420" w:leftChars="0"/>
              <w:jc w:val="left"/>
              <w:rPr>
                <w:rFonts w:hint="eastAsia" w:ascii="宋体" w:hAnsi="宋体" w:eastAsia="宋体" w:cs="宋体"/>
                <w:bCs/>
                <w:color w:val="auto"/>
                <w:kern w:val="2"/>
                <w:sz w:val="20"/>
                <w:szCs w:val="20"/>
                <w:highlight w:val="none"/>
                <w:lang w:val="en-US" w:eastAsia="zh-CN" w:bidi="ar-SA"/>
              </w:rPr>
            </w:pPr>
            <w:r>
              <w:rPr>
                <w:rFonts w:hint="eastAsia" w:ascii="宋体" w:hAnsi="宋体" w:eastAsia="宋体" w:cs="宋体"/>
                <w:bCs/>
                <w:color w:val="auto"/>
                <w:kern w:val="2"/>
                <w:sz w:val="20"/>
                <w:szCs w:val="20"/>
                <w:highlight w:val="none"/>
                <w:lang w:val="en-US" w:eastAsia="zh-CN" w:bidi="ar-SA"/>
              </w:rPr>
              <w:t>一年维护保养项目包括半年、季度和半月维护保养项目，半年维护保养项目包括季度、半月维护保养项目，季度维护保养项目包括半月维护保养项目。</w:t>
            </w:r>
          </w:p>
        </w:tc>
      </w:tr>
    </w:tbl>
    <w:tbl>
      <w:tblPr>
        <w:tblStyle w:val="16"/>
        <w:tblpPr w:leftFromText="180" w:rightFromText="180" w:vertAnchor="text" w:tblpX="10214" w:tblpY="-30895"/>
        <w:tblOverlap w:val="never"/>
        <w:tblW w:w="20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tblGrid>
      <w:tr w14:paraId="3EC0A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082" w:type="dxa"/>
          </w:tcPr>
          <w:p w14:paraId="1AE9498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sz w:val="20"/>
                <w:szCs w:val="20"/>
                <w:highlight w:val="none"/>
                <w:vertAlign w:val="baseline"/>
                <w:lang w:val="en-US" w:eastAsia="zh-CN"/>
              </w:rPr>
            </w:pPr>
          </w:p>
        </w:tc>
      </w:tr>
    </w:tbl>
    <w:p w14:paraId="14ED95B6">
      <w:pPr>
        <w:bidi w:val="0"/>
        <w:rPr>
          <w:rFonts w:hint="eastAsia" w:ascii="宋体" w:hAnsi="宋体" w:eastAsia="宋体" w:cs="宋体"/>
          <w:b/>
          <w:bCs/>
          <w:highlight w:val="none"/>
        </w:rPr>
      </w:pPr>
      <w:r>
        <w:rPr>
          <w:rFonts w:hint="eastAsia" w:ascii="宋体" w:hAnsi="宋体" w:eastAsia="宋体" w:cs="宋体"/>
          <w:b/>
          <w:bCs/>
          <w:highlight w:val="none"/>
          <w:lang w:val="en-US" w:eastAsia="zh-CN"/>
        </w:rPr>
        <w:t>3.</w:t>
      </w:r>
      <w:r>
        <w:rPr>
          <w:rFonts w:hint="eastAsia" w:ascii="宋体" w:hAnsi="宋体" w:eastAsia="宋体" w:cs="宋体"/>
          <w:b/>
          <w:bCs/>
          <w:highlight w:val="none"/>
        </w:rPr>
        <w:t>服务履约考核</w:t>
      </w:r>
    </w:p>
    <w:p w14:paraId="39C991EC">
      <w:pPr>
        <w:keepNext w:val="0"/>
        <w:keepLines w:val="0"/>
        <w:pageBreakBefore w:val="0"/>
        <w:widowControl w:val="0"/>
        <w:kinsoku/>
        <w:wordWrap/>
        <w:overflowPunct/>
        <w:topLinePunct w:val="0"/>
        <w:autoSpaceDE/>
        <w:autoSpaceDN/>
        <w:bidi w:val="0"/>
        <w:adjustRightInd/>
        <w:snapToGrid/>
        <w:spacing w:line="560" w:lineRule="exact"/>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855"/>
        <w:gridCol w:w="5064"/>
        <w:gridCol w:w="2108"/>
      </w:tblGrid>
      <w:tr w14:paraId="122C8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blHeader/>
          <w:jc w:val="center"/>
        </w:trPr>
        <w:tc>
          <w:tcPr>
            <w:tcW w:w="664" w:type="dxa"/>
            <w:vAlign w:val="center"/>
          </w:tcPr>
          <w:p w14:paraId="4F3DB182">
            <w:pPr>
              <w:jc w:val="center"/>
              <w:rPr>
                <w:rFonts w:hint="eastAsia" w:ascii="华光书宋一_CNKI" w:hAnsi="华光书宋一_CNKI" w:eastAsia="华光书宋一_CNKI" w:cs="华光书宋一_CNKI"/>
                <w:b/>
                <w:bCs/>
                <w:color w:val="auto"/>
                <w:sz w:val="20"/>
                <w:szCs w:val="20"/>
                <w:highlight w:val="none"/>
              </w:rPr>
            </w:pPr>
            <w:r>
              <w:rPr>
                <w:rFonts w:hint="eastAsia" w:ascii="华光书宋一_CNKI" w:hAnsi="华光书宋一_CNKI" w:eastAsia="华光书宋一_CNKI" w:cs="华光书宋一_CNKI"/>
                <w:b/>
                <w:bCs/>
                <w:color w:val="auto"/>
                <w:sz w:val="20"/>
                <w:szCs w:val="20"/>
                <w:highlight w:val="none"/>
              </w:rPr>
              <w:t>序号</w:t>
            </w:r>
          </w:p>
        </w:tc>
        <w:tc>
          <w:tcPr>
            <w:tcW w:w="855" w:type="dxa"/>
            <w:vAlign w:val="center"/>
          </w:tcPr>
          <w:p w14:paraId="1130C271">
            <w:pPr>
              <w:jc w:val="center"/>
              <w:rPr>
                <w:rFonts w:hint="eastAsia" w:ascii="华光书宋一_CNKI" w:hAnsi="华光书宋一_CNKI" w:eastAsia="华光书宋一_CNKI" w:cs="华光书宋一_CNKI"/>
                <w:b/>
                <w:bCs/>
                <w:color w:val="auto"/>
                <w:sz w:val="20"/>
                <w:szCs w:val="20"/>
                <w:highlight w:val="none"/>
              </w:rPr>
            </w:pPr>
            <w:r>
              <w:rPr>
                <w:rFonts w:hint="eastAsia" w:ascii="华光书宋一_CNKI" w:hAnsi="华光书宋一_CNKI" w:eastAsia="华光书宋一_CNKI" w:cs="华光书宋一_CNKI"/>
                <w:b/>
                <w:bCs/>
                <w:color w:val="auto"/>
                <w:sz w:val="20"/>
                <w:szCs w:val="20"/>
                <w:highlight w:val="none"/>
              </w:rPr>
              <w:t>维度</w:t>
            </w:r>
          </w:p>
        </w:tc>
        <w:tc>
          <w:tcPr>
            <w:tcW w:w="5064" w:type="dxa"/>
            <w:vAlign w:val="center"/>
          </w:tcPr>
          <w:p w14:paraId="51371E2C">
            <w:pPr>
              <w:jc w:val="center"/>
              <w:rPr>
                <w:rFonts w:hint="eastAsia" w:ascii="华光书宋一_CNKI" w:hAnsi="华光书宋一_CNKI" w:eastAsia="华光书宋一_CNKI" w:cs="华光书宋一_CNKI"/>
                <w:b/>
                <w:bCs/>
                <w:color w:val="auto"/>
                <w:sz w:val="20"/>
                <w:szCs w:val="20"/>
                <w:highlight w:val="none"/>
              </w:rPr>
            </w:pPr>
            <w:r>
              <w:rPr>
                <w:rFonts w:hint="eastAsia" w:ascii="华光书宋一_CNKI" w:hAnsi="华光书宋一_CNKI" w:eastAsia="华光书宋一_CNKI" w:cs="华光书宋一_CNKI"/>
                <w:b/>
                <w:bCs/>
                <w:color w:val="auto"/>
                <w:sz w:val="20"/>
                <w:szCs w:val="20"/>
                <w:highlight w:val="none"/>
              </w:rPr>
              <w:t>评分标准</w:t>
            </w:r>
          </w:p>
        </w:tc>
        <w:tc>
          <w:tcPr>
            <w:tcW w:w="2108" w:type="dxa"/>
            <w:vAlign w:val="center"/>
          </w:tcPr>
          <w:p w14:paraId="3E9CA44F">
            <w:pPr>
              <w:jc w:val="center"/>
              <w:rPr>
                <w:rFonts w:hint="default" w:ascii="华光书宋一_CNKI" w:hAnsi="华光书宋一_CNKI" w:eastAsia="华光书宋一_CNKI" w:cs="华光书宋一_CNKI"/>
                <w:b/>
                <w:bCs/>
                <w:color w:val="auto"/>
                <w:sz w:val="20"/>
                <w:szCs w:val="20"/>
                <w:highlight w:val="none"/>
                <w:lang w:val="en-US" w:eastAsia="zh-CN"/>
              </w:rPr>
            </w:pPr>
            <w:r>
              <w:rPr>
                <w:rFonts w:hint="eastAsia" w:ascii="华光书宋一_CNKI" w:hAnsi="华光书宋一_CNKI" w:eastAsia="华光书宋一_CNKI" w:cs="华光书宋一_CNKI"/>
                <w:b/>
                <w:bCs/>
                <w:color w:val="auto"/>
                <w:sz w:val="20"/>
                <w:szCs w:val="20"/>
                <w:highlight w:val="none"/>
                <w:lang w:val="en-US" w:eastAsia="zh-CN"/>
              </w:rPr>
              <w:t>备注</w:t>
            </w:r>
          </w:p>
        </w:tc>
      </w:tr>
      <w:tr w14:paraId="122D0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40FFEF93">
            <w:pPr>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1</w:t>
            </w:r>
          </w:p>
        </w:tc>
        <w:tc>
          <w:tcPr>
            <w:tcW w:w="855" w:type="dxa"/>
            <w:vMerge w:val="restart"/>
            <w:vAlign w:val="center"/>
          </w:tcPr>
          <w:p w14:paraId="1B267BF7">
            <w:pPr>
              <w:widowControl/>
              <w:jc w:val="center"/>
              <w:rPr>
                <w:rFonts w:hint="eastAsia" w:ascii="华光书宋一_CNKI" w:hAnsi="华光书宋一_CNKI" w:eastAsia="华光书宋一_CNKI" w:cs="华光书宋一_CNKI"/>
                <w:color w:val="auto"/>
                <w:kern w:val="0"/>
                <w:sz w:val="20"/>
                <w:szCs w:val="20"/>
                <w:highlight w:val="none"/>
                <w:lang w:bidi="ar"/>
              </w:rPr>
            </w:pPr>
            <w:r>
              <w:rPr>
                <w:rFonts w:hint="eastAsia" w:ascii="华光书宋一_CNKI" w:hAnsi="华光书宋一_CNKI" w:eastAsia="华光书宋一_CNKI" w:cs="华光书宋一_CNKI"/>
                <w:color w:val="auto"/>
                <w:kern w:val="0"/>
                <w:sz w:val="20"/>
                <w:szCs w:val="20"/>
                <w:highlight w:val="none"/>
                <w:lang w:bidi="ar"/>
              </w:rPr>
              <w:t>服务</w:t>
            </w:r>
          </w:p>
          <w:p w14:paraId="485F9953">
            <w:pPr>
              <w:widowControl/>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质量</w:t>
            </w:r>
          </w:p>
        </w:tc>
        <w:tc>
          <w:tcPr>
            <w:tcW w:w="5064" w:type="dxa"/>
            <w:vAlign w:val="center"/>
          </w:tcPr>
          <w:p w14:paraId="53690853">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未按采购方日常维保要求，按时按质提供服务，存在怠于响应、迟到、敷衍开展工作等现象的，每次扣2分。</w:t>
            </w:r>
          </w:p>
        </w:tc>
        <w:tc>
          <w:tcPr>
            <w:tcW w:w="2108" w:type="dxa"/>
            <w:vMerge w:val="restart"/>
            <w:vAlign w:val="center"/>
          </w:tcPr>
          <w:p w14:paraId="24A7647C">
            <w:pPr>
              <w:widowControl/>
              <w:jc w:val="left"/>
              <w:rPr>
                <w:rFonts w:hint="eastAsia" w:ascii="华光书宋一_CNKI" w:hAnsi="华光书宋一_CNKI" w:eastAsia="华光书宋一_CNKI" w:cs="华光书宋一_CNKI"/>
                <w:color w:val="auto"/>
                <w:sz w:val="20"/>
                <w:szCs w:val="20"/>
                <w:highlight w:val="none"/>
                <w:lang w:val="en-US" w:eastAsia="zh-CN"/>
              </w:rPr>
            </w:pPr>
          </w:p>
        </w:tc>
      </w:tr>
      <w:tr w14:paraId="772EC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3A4E96FC">
            <w:pPr>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2</w:t>
            </w:r>
          </w:p>
        </w:tc>
        <w:tc>
          <w:tcPr>
            <w:tcW w:w="855" w:type="dxa"/>
            <w:vMerge w:val="continue"/>
            <w:vAlign w:val="center"/>
          </w:tcPr>
          <w:p w14:paraId="032F59FD">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760EF78B">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在故障发生后，未按采购方要求及时响应和到达现场开展故障修复的，每次扣3分。</w:t>
            </w:r>
          </w:p>
        </w:tc>
        <w:tc>
          <w:tcPr>
            <w:tcW w:w="2108" w:type="dxa"/>
            <w:vMerge w:val="continue"/>
            <w:vAlign w:val="center"/>
          </w:tcPr>
          <w:p w14:paraId="450C82EF">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0C0E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29118F32">
            <w:pPr>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3</w:t>
            </w:r>
          </w:p>
        </w:tc>
        <w:tc>
          <w:tcPr>
            <w:tcW w:w="855" w:type="dxa"/>
            <w:vMerge w:val="continue"/>
            <w:vAlign w:val="center"/>
          </w:tcPr>
          <w:p w14:paraId="5EEFB426">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7870715D">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非因采购方和不可抗力因素，服务商提供日常维保和故障维保后，五个工作日内出现同一个问题的，每次扣3分。</w:t>
            </w:r>
          </w:p>
        </w:tc>
        <w:tc>
          <w:tcPr>
            <w:tcW w:w="2108" w:type="dxa"/>
            <w:vMerge w:val="continue"/>
            <w:vAlign w:val="center"/>
          </w:tcPr>
          <w:p w14:paraId="55CBE712">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2A494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664" w:type="dxa"/>
            <w:vAlign w:val="center"/>
          </w:tcPr>
          <w:p w14:paraId="01EDEC5D">
            <w:pPr>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4</w:t>
            </w:r>
          </w:p>
        </w:tc>
        <w:tc>
          <w:tcPr>
            <w:tcW w:w="855" w:type="dxa"/>
            <w:vMerge w:val="continue"/>
            <w:vAlign w:val="center"/>
          </w:tcPr>
          <w:p w14:paraId="7E43A041">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776DECC1">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在日常和故障维保的过程中，使用劣质的零部件，每发现一次扣2分；如因为使用劣质零部件造成了重大损失，每出现一次扣5分。</w:t>
            </w:r>
          </w:p>
        </w:tc>
        <w:tc>
          <w:tcPr>
            <w:tcW w:w="2108" w:type="dxa"/>
            <w:vMerge w:val="continue"/>
            <w:vAlign w:val="center"/>
          </w:tcPr>
          <w:p w14:paraId="1CB47854">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6664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664" w:type="dxa"/>
            <w:vAlign w:val="center"/>
          </w:tcPr>
          <w:p w14:paraId="5F7318CB">
            <w:pPr>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5</w:t>
            </w:r>
          </w:p>
        </w:tc>
        <w:tc>
          <w:tcPr>
            <w:tcW w:w="855" w:type="dxa"/>
            <w:vMerge w:val="continue"/>
            <w:vAlign w:val="center"/>
          </w:tcPr>
          <w:p w14:paraId="395A4E31">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540C8E65">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未按采购方要求做好维保记录和档案管理工作，每次扣2分。</w:t>
            </w:r>
          </w:p>
        </w:tc>
        <w:tc>
          <w:tcPr>
            <w:tcW w:w="2108" w:type="dxa"/>
            <w:vMerge w:val="continue"/>
            <w:vAlign w:val="center"/>
          </w:tcPr>
          <w:p w14:paraId="14BFE3C9">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09EF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664" w:type="dxa"/>
            <w:vAlign w:val="center"/>
          </w:tcPr>
          <w:p w14:paraId="4E8E80A3">
            <w:pPr>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6</w:t>
            </w:r>
          </w:p>
        </w:tc>
        <w:tc>
          <w:tcPr>
            <w:tcW w:w="855" w:type="dxa"/>
            <w:vMerge w:val="continue"/>
            <w:vAlign w:val="center"/>
          </w:tcPr>
          <w:p w14:paraId="30923AFB">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563D31D4">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未积极配合采购方临时或紧急需求的，每次扣5分。</w:t>
            </w:r>
          </w:p>
        </w:tc>
        <w:tc>
          <w:tcPr>
            <w:tcW w:w="2108" w:type="dxa"/>
            <w:vMerge w:val="continue"/>
            <w:vAlign w:val="center"/>
          </w:tcPr>
          <w:p w14:paraId="6809AF18">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2D3E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24560769">
            <w:pPr>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7</w:t>
            </w:r>
          </w:p>
        </w:tc>
        <w:tc>
          <w:tcPr>
            <w:tcW w:w="855" w:type="dxa"/>
            <w:vMerge w:val="continue"/>
            <w:vAlign w:val="center"/>
          </w:tcPr>
          <w:p w14:paraId="766653B8">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4B5DD34D">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未制定应急方案，且在紧急事件发生时，不能及时处理，给采购方带来损失的，每次扣5分。</w:t>
            </w:r>
          </w:p>
        </w:tc>
        <w:tc>
          <w:tcPr>
            <w:tcW w:w="2108" w:type="dxa"/>
            <w:vMerge w:val="continue"/>
            <w:vAlign w:val="center"/>
          </w:tcPr>
          <w:p w14:paraId="737E2139">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19112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3E6047A5">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8</w:t>
            </w:r>
          </w:p>
        </w:tc>
        <w:tc>
          <w:tcPr>
            <w:tcW w:w="855" w:type="dxa"/>
            <w:vMerge w:val="continue"/>
            <w:vAlign w:val="center"/>
          </w:tcPr>
          <w:p w14:paraId="11EBB028">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37CC1AC0">
            <w:pPr>
              <w:widowControl/>
              <w:jc w:val="left"/>
              <w:rPr>
                <w:rFonts w:hint="eastAsia" w:ascii="华光书宋一_CNKI" w:hAnsi="华光书宋一_CNKI" w:eastAsia="华光书宋一_CNKI" w:cs="华光书宋一_CNKI"/>
                <w:color w:val="auto"/>
                <w:kern w:val="0"/>
                <w:sz w:val="20"/>
                <w:szCs w:val="20"/>
                <w:highlight w:val="none"/>
                <w:lang w:bidi="ar"/>
              </w:rPr>
            </w:pPr>
            <w:r>
              <w:rPr>
                <w:rFonts w:hint="eastAsia" w:ascii="华光书宋一_CNKI" w:hAnsi="华光书宋一_CNKI" w:eastAsia="华光书宋一_CNKI" w:cs="华光书宋一_CNKI"/>
                <w:color w:val="auto"/>
                <w:sz w:val="20"/>
                <w:szCs w:val="20"/>
                <w:highlight w:val="none"/>
              </w:rPr>
              <w:t>检验合格证应张贴于轿厢显著位置。随机抽查，每台扣1分，扣完为止</w:t>
            </w:r>
          </w:p>
        </w:tc>
        <w:tc>
          <w:tcPr>
            <w:tcW w:w="2108" w:type="dxa"/>
            <w:vMerge w:val="continue"/>
            <w:vAlign w:val="center"/>
          </w:tcPr>
          <w:p w14:paraId="5CDFAE1F">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16455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6E82AB46">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9</w:t>
            </w:r>
          </w:p>
        </w:tc>
        <w:tc>
          <w:tcPr>
            <w:tcW w:w="855" w:type="dxa"/>
            <w:vMerge w:val="continue"/>
            <w:vAlign w:val="center"/>
          </w:tcPr>
          <w:p w14:paraId="45470EBE">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73423E20">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乘用电梯安全须知、维保单位名称和急修、投诉电话应置于轿厢的显著位置。随机抽查，每台扣1分，扣完为止</w:t>
            </w:r>
          </w:p>
        </w:tc>
        <w:tc>
          <w:tcPr>
            <w:tcW w:w="2108" w:type="dxa"/>
            <w:vMerge w:val="continue"/>
            <w:vAlign w:val="center"/>
          </w:tcPr>
          <w:p w14:paraId="27C48EE5">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7E967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36B614C7">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10</w:t>
            </w:r>
          </w:p>
        </w:tc>
        <w:tc>
          <w:tcPr>
            <w:tcW w:w="855" w:type="dxa"/>
            <w:vMerge w:val="continue"/>
            <w:vAlign w:val="center"/>
          </w:tcPr>
          <w:p w14:paraId="21EB020E">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7CA4D468">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实施维保作业的现场应在明显位置放置表明正在作业的警示标志及安全护栏。随机抽查，每次扣1分，扣完为止</w:t>
            </w:r>
          </w:p>
        </w:tc>
        <w:tc>
          <w:tcPr>
            <w:tcW w:w="2108" w:type="dxa"/>
            <w:vMerge w:val="continue"/>
            <w:vAlign w:val="center"/>
          </w:tcPr>
          <w:p w14:paraId="53F35384">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7F2F7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27E2280F">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11</w:t>
            </w:r>
          </w:p>
        </w:tc>
        <w:tc>
          <w:tcPr>
            <w:tcW w:w="855" w:type="dxa"/>
            <w:vMerge w:val="continue"/>
            <w:vAlign w:val="center"/>
          </w:tcPr>
          <w:p w14:paraId="4ED608E0">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4AFBB45C">
            <w:pPr>
              <w:spacing w:line="360" w:lineRule="exac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应按照《电梯使用管理与维护保养规则》（TSG T5001—2009）的规定制定维保的记录或表式。记录的填写应及时、真实、规范。维保记录需有使用单位安全管理人员的签字确认。未按照统一制定的表式扣1分</w:t>
            </w:r>
          </w:p>
          <w:p w14:paraId="12C0D072">
            <w:pPr>
              <w:spacing w:line="360" w:lineRule="exac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未按要求填写扣1分</w:t>
            </w:r>
          </w:p>
          <w:p w14:paraId="0D124F74">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签字确认不全的扣1分</w:t>
            </w:r>
          </w:p>
        </w:tc>
        <w:tc>
          <w:tcPr>
            <w:tcW w:w="2108" w:type="dxa"/>
            <w:vMerge w:val="continue"/>
            <w:vAlign w:val="center"/>
          </w:tcPr>
          <w:p w14:paraId="4F3C1B4D">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1BBB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590B3942">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12</w:t>
            </w:r>
          </w:p>
        </w:tc>
        <w:tc>
          <w:tcPr>
            <w:tcW w:w="855" w:type="dxa"/>
            <w:vMerge w:val="continue"/>
            <w:vAlign w:val="center"/>
          </w:tcPr>
          <w:p w14:paraId="692778A4">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5410DDE8">
            <w:pPr>
              <w:spacing w:line="360" w:lineRule="exac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应按照《电梯使用管理与维护保养规则》（TSG T5001—2009）的要求进行电梯的半月、季度、半年、年度维保工作。有一次未按规定时间和要求进行维保的扣1分，扣完为止</w:t>
            </w:r>
          </w:p>
          <w:p w14:paraId="1B41B715">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每缺一次维保记录的扣1分，扣完为止</w:t>
            </w:r>
          </w:p>
        </w:tc>
        <w:tc>
          <w:tcPr>
            <w:tcW w:w="2108" w:type="dxa"/>
            <w:vMerge w:val="continue"/>
            <w:vAlign w:val="center"/>
          </w:tcPr>
          <w:p w14:paraId="33C9733F">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030B3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17114D85">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13</w:t>
            </w:r>
          </w:p>
        </w:tc>
        <w:tc>
          <w:tcPr>
            <w:tcW w:w="855" w:type="dxa"/>
            <w:vMerge w:val="continue"/>
            <w:vAlign w:val="center"/>
          </w:tcPr>
          <w:p w14:paraId="3B13FF69">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609DF27A">
            <w:pPr>
              <w:spacing w:line="360" w:lineRule="exac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维保单位应有急修记录或报告，对电梯发生故障的时间、故障情况、处理故障的人员、时间、故障解决的办法或采取的措施以及处理结果等情况应及时进行详细记录，并有使用单位安全管理人员签字。无记录台帐扣2分</w:t>
            </w:r>
          </w:p>
          <w:p w14:paraId="7509BB44">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记录内容不全面扣1分</w:t>
            </w:r>
          </w:p>
        </w:tc>
        <w:tc>
          <w:tcPr>
            <w:tcW w:w="2108" w:type="dxa"/>
            <w:vMerge w:val="continue"/>
            <w:vAlign w:val="center"/>
          </w:tcPr>
          <w:p w14:paraId="3C924D67">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55CF5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205C801A">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14</w:t>
            </w:r>
          </w:p>
        </w:tc>
        <w:tc>
          <w:tcPr>
            <w:tcW w:w="855" w:type="dxa"/>
            <w:vMerge w:val="continue"/>
            <w:vAlign w:val="center"/>
          </w:tcPr>
          <w:p w14:paraId="319C3601">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60E8F854">
            <w:pPr>
              <w:spacing w:line="360" w:lineRule="exac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维保单位应制定健全的《电梯事故应急预案》，并有演练记录。未制定预案扣4分</w:t>
            </w:r>
          </w:p>
          <w:p w14:paraId="3EF50910">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rPr>
              <w:t>无演练记录扣2分</w:t>
            </w:r>
          </w:p>
        </w:tc>
        <w:tc>
          <w:tcPr>
            <w:tcW w:w="2108" w:type="dxa"/>
            <w:vMerge w:val="continue"/>
            <w:vAlign w:val="center"/>
          </w:tcPr>
          <w:p w14:paraId="3FA59E39">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6695B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10929A4D">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14</w:t>
            </w:r>
          </w:p>
        </w:tc>
        <w:tc>
          <w:tcPr>
            <w:tcW w:w="855" w:type="dxa"/>
            <w:vMerge w:val="restart"/>
            <w:vAlign w:val="center"/>
          </w:tcPr>
          <w:p w14:paraId="265B2921">
            <w:pPr>
              <w:widowControl/>
              <w:jc w:val="center"/>
              <w:rPr>
                <w:rFonts w:hint="eastAsia" w:ascii="华光书宋一_CNKI" w:hAnsi="华光书宋一_CNKI" w:eastAsia="华光书宋一_CNKI" w:cs="华光书宋一_CNKI"/>
                <w:color w:val="auto"/>
                <w:kern w:val="0"/>
                <w:sz w:val="20"/>
                <w:szCs w:val="20"/>
                <w:highlight w:val="none"/>
                <w:lang w:bidi="ar"/>
              </w:rPr>
            </w:pPr>
            <w:r>
              <w:rPr>
                <w:rFonts w:hint="eastAsia" w:ascii="华光书宋一_CNKI" w:hAnsi="华光书宋一_CNKI" w:eastAsia="华光书宋一_CNKI" w:cs="华光书宋一_CNKI"/>
                <w:color w:val="auto"/>
                <w:kern w:val="0"/>
                <w:sz w:val="20"/>
                <w:szCs w:val="20"/>
                <w:highlight w:val="none"/>
                <w:lang w:bidi="ar"/>
              </w:rPr>
              <w:t>人员</w:t>
            </w:r>
          </w:p>
          <w:p w14:paraId="3C2E9F58">
            <w:pPr>
              <w:widowControl/>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管理</w:t>
            </w:r>
          </w:p>
        </w:tc>
        <w:tc>
          <w:tcPr>
            <w:tcW w:w="5064" w:type="dxa"/>
            <w:vAlign w:val="center"/>
          </w:tcPr>
          <w:p w14:paraId="4A311676">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维保人员必须持证上岗。如发现存在没有持证上岗的情况，每次扣2分。</w:t>
            </w:r>
          </w:p>
        </w:tc>
        <w:tc>
          <w:tcPr>
            <w:tcW w:w="2108" w:type="dxa"/>
            <w:vMerge w:val="continue"/>
            <w:vAlign w:val="center"/>
          </w:tcPr>
          <w:p w14:paraId="3CFA4BBE">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6A4D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664" w:type="dxa"/>
            <w:vAlign w:val="center"/>
          </w:tcPr>
          <w:p w14:paraId="6B8A3BA4">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15</w:t>
            </w:r>
          </w:p>
        </w:tc>
        <w:tc>
          <w:tcPr>
            <w:tcW w:w="855" w:type="dxa"/>
            <w:vMerge w:val="continue"/>
            <w:vAlign w:val="center"/>
          </w:tcPr>
          <w:p w14:paraId="1BC04738">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46C69089">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维保人员应具备丰富的相关经验和专业判断能力。服务商派出的人员如无法对故障问题能够作出专业判断、故障诊断和维修处理方案，每次扣2分。</w:t>
            </w:r>
          </w:p>
        </w:tc>
        <w:tc>
          <w:tcPr>
            <w:tcW w:w="2108" w:type="dxa"/>
            <w:vMerge w:val="continue"/>
            <w:vAlign w:val="center"/>
          </w:tcPr>
          <w:p w14:paraId="30AF5CD2">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675D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664" w:type="dxa"/>
            <w:vAlign w:val="center"/>
          </w:tcPr>
          <w:p w14:paraId="7E19767D">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rPr>
              <w:t>1</w:t>
            </w:r>
            <w:r>
              <w:rPr>
                <w:rFonts w:hint="eastAsia" w:ascii="华光书宋一_CNKI" w:hAnsi="华光书宋一_CNKI" w:eastAsia="华光书宋一_CNKI" w:cs="华光书宋一_CNKI"/>
                <w:color w:val="auto"/>
                <w:sz w:val="20"/>
                <w:szCs w:val="20"/>
                <w:highlight w:val="none"/>
                <w:lang w:val="en-US" w:eastAsia="zh-CN"/>
              </w:rPr>
              <w:t>6</w:t>
            </w:r>
          </w:p>
        </w:tc>
        <w:tc>
          <w:tcPr>
            <w:tcW w:w="855" w:type="dxa"/>
            <w:vMerge w:val="continue"/>
            <w:vAlign w:val="center"/>
          </w:tcPr>
          <w:p w14:paraId="0AFAEC36">
            <w:pPr>
              <w:jc w:val="center"/>
              <w:rPr>
                <w:rFonts w:hint="eastAsia" w:ascii="华光书宋一_CNKI" w:hAnsi="华光书宋一_CNKI" w:eastAsia="华光书宋一_CNKI" w:cs="华光书宋一_CNKI"/>
                <w:color w:val="auto"/>
                <w:sz w:val="20"/>
                <w:szCs w:val="20"/>
                <w:highlight w:val="none"/>
              </w:rPr>
            </w:pPr>
          </w:p>
        </w:tc>
        <w:tc>
          <w:tcPr>
            <w:tcW w:w="5064" w:type="dxa"/>
            <w:vAlign w:val="center"/>
          </w:tcPr>
          <w:p w14:paraId="4172356C">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维保人员服务态度良好，应对采购方提出的问题耐心解答，对反馈的问题及时跟进。如维保人员态度恶劣，消极怠工，每次扣2分。</w:t>
            </w:r>
          </w:p>
        </w:tc>
        <w:tc>
          <w:tcPr>
            <w:tcW w:w="2108" w:type="dxa"/>
            <w:vMerge w:val="continue"/>
            <w:vAlign w:val="center"/>
          </w:tcPr>
          <w:p w14:paraId="4F822356">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52E83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4" w:type="dxa"/>
            <w:vAlign w:val="center"/>
          </w:tcPr>
          <w:p w14:paraId="68C0B1C2">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rPr>
              <w:t>1</w:t>
            </w:r>
            <w:r>
              <w:rPr>
                <w:rFonts w:hint="eastAsia" w:ascii="华光书宋一_CNKI" w:hAnsi="华光书宋一_CNKI" w:eastAsia="华光书宋一_CNKI" w:cs="华光书宋一_CNKI"/>
                <w:color w:val="auto"/>
                <w:sz w:val="20"/>
                <w:szCs w:val="20"/>
                <w:highlight w:val="none"/>
                <w:lang w:val="en-US" w:eastAsia="zh-CN"/>
              </w:rPr>
              <w:t>7</w:t>
            </w:r>
          </w:p>
        </w:tc>
        <w:tc>
          <w:tcPr>
            <w:tcW w:w="855" w:type="dxa"/>
            <w:vAlign w:val="center"/>
          </w:tcPr>
          <w:p w14:paraId="17FB3EE8">
            <w:pPr>
              <w:widowControl/>
              <w:jc w:val="center"/>
              <w:rPr>
                <w:rFonts w:hint="eastAsia" w:ascii="华光书宋一_CNKI" w:hAnsi="华光书宋一_CNKI" w:eastAsia="华光书宋一_CNKI" w:cs="华光书宋一_CNKI"/>
                <w:color w:val="auto"/>
                <w:kern w:val="0"/>
                <w:sz w:val="20"/>
                <w:szCs w:val="20"/>
                <w:highlight w:val="none"/>
                <w:lang w:bidi="ar"/>
              </w:rPr>
            </w:pPr>
            <w:r>
              <w:rPr>
                <w:rFonts w:hint="eastAsia" w:ascii="华光书宋一_CNKI" w:hAnsi="华光书宋一_CNKI" w:eastAsia="华光书宋一_CNKI" w:cs="华光书宋一_CNKI"/>
                <w:color w:val="auto"/>
                <w:kern w:val="0"/>
                <w:sz w:val="20"/>
                <w:szCs w:val="20"/>
                <w:highlight w:val="none"/>
                <w:lang w:bidi="ar"/>
              </w:rPr>
              <w:t>安全</w:t>
            </w:r>
          </w:p>
          <w:p w14:paraId="7345D74E">
            <w:pPr>
              <w:widowControl/>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管理</w:t>
            </w:r>
          </w:p>
        </w:tc>
        <w:tc>
          <w:tcPr>
            <w:tcW w:w="5064" w:type="dxa"/>
            <w:vAlign w:val="center"/>
          </w:tcPr>
          <w:p w14:paraId="065DF4B5">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服务商必须严格执行采购方的安全规定。每出现一次安全事故，扣5分；每出现一次重大安全事故，扣10分。</w:t>
            </w:r>
          </w:p>
        </w:tc>
        <w:tc>
          <w:tcPr>
            <w:tcW w:w="2108" w:type="dxa"/>
            <w:vMerge w:val="continue"/>
            <w:vAlign w:val="center"/>
          </w:tcPr>
          <w:p w14:paraId="5A123C45">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4D70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664" w:type="dxa"/>
            <w:vAlign w:val="center"/>
          </w:tcPr>
          <w:p w14:paraId="398F8E07">
            <w:pPr>
              <w:jc w:val="center"/>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rPr>
              <w:t>1</w:t>
            </w:r>
            <w:r>
              <w:rPr>
                <w:rFonts w:hint="eastAsia" w:ascii="华光书宋一_CNKI" w:hAnsi="华光书宋一_CNKI" w:eastAsia="华光书宋一_CNKI" w:cs="华光书宋一_CNKI"/>
                <w:color w:val="auto"/>
                <w:sz w:val="20"/>
                <w:szCs w:val="20"/>
                <w:highlight w:val="none"/>
                <w:lang w:val="en-US" w:eastAsia="zh-CN"/>
              </w:rPr>
              <w:t>8</w:t>
            </w:r>
          </w:p>
        </w:tc>
        <w:tc>
          <w:tcPr>
            <w:tcW w:w="855" w:type="dxa"/>
            <w:vAlign w:val="center"/>
          </w:tcPr>
          <w:p w14:paraId="418ED048">
            <w:pPr>
              <w:widowControl/>
              <w:jc w:val="center"/>
              <w:rPr>
                <w:rFonts w:hint="eastAsia" w:ascii="华光书宋一_CNKI" w:hAnsi="华光书宋一_CNKI" w:eastAsia="华光书宋一_CNKI" w:cs="华光书宋一_CNKI"/>
                <w:color w:val="auto"/>
                <w:kern w:val="0"/>
                <w:sz w:val="20"/>
                <w:szCs w:val="20"/>
                <w:highlight w:val="none"/>
                <w:lang w:bidi="ar"/>
              </w:rPr>
            </w:pPr>
            <w:r>
              <w:rPr>
                <w:rFonts w:hint="eastAsia" w:ascii="华光书宋一_CNKI" w:hAnsi="华光书宋一_CNKI" w:eastAsia="华光书宋一_CNKI" w:cs="华光书宋一_CNKI"/>
                <w:color w:val="auto"/>
                <w:kern w:val="0"/>
                <w:sz w:val="20"/>
                <w:szCs w:val="20"/>
                <w:highlight w:val="none"/>
                <w:lang w:bidi="ar"/>
              </w:rPr>
              <w:t>保密</w:t>
            </w:r>
          </w:p>
          <w:p w14:paraId="0A26D2AA">
            <w:pPr>
              <w:widowControl/>
              <w:jc w:val="center"/>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管理</w:t>
            </w:r>
          </w:p>
        </w:tc>
        <w:tc>
          <w:tcPr>
            <w:tcW w:w="5064" w:type="dxa"/>
            <w:vAlign w:val="center"/>
          </w:tcPr>
          <w:p w14:paraId="7712F78C">
            <w:pPr>
              <w:widowControl/>
              <w:jc w:val="left"/>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kern w:val="0"/>
                <w:sz w:val="20"/>
                <w:szCs w:val="20"/>
                <w:highlight w:val="none"/>
                <w:lang w:bidi="ar"/>
              </w:rPr>
              <w:t>维保人员未做好保密工作，造成了信息泄露，每次扣5分；信息泄露给采购方带来重大影响的，扣10分。</w:t>
            </w:r>
          </w:p>
        </w:tc>
        <w:tc>
          <w:tcPr>
            <w:tcW w:w="2108" w:type="dxa"/>
            <w:vMerge w:val="continue"/>
            <w:vAlign w:val="center"/>
          </w:tcPr>
          <w:p w14:paraId="3FDBC9AB">
            <w:pPr>
              <w:widowControl/>
              <w:jc w:val="left"/>
              <w:rPr>
                <w:rFonts w:hint="eastAsia" w:ascii="华光书宋一_CNKI" w:hAnsi="华光书宋一_CNKI" w:eastAsia="华光书宋一_CNKI" w:cs="华光书宋一_CNKI"/>
                <w:color w:val="auto"/>
                <w:kern w:val="0"/>
                <w:sz w:val="20"/>
                <w:szCs w:val="20"/>
                <w:highlight w:val="none"/>
                <w:lang w:bidi="ar"/>
              </w:rPr>
            </w:pPr>
          </w:p>
        </w:tc>
      </w:tr>
      <w:tr w14:paraId="7BC9F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042" w:hRule="atLeast"/>
          <w:jc w:val="center"/>
        </w:trPr>
        <w:tc>
          <w:tcPr>
            <w:tcW w:w="8691"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CD8DCD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0B5EE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042" w:hRule="atLeast"/>
          <w:jc w:val="center"/>
        </w:trPr>
        <w:tc>
          <w:tcPr>
            <w:tcW w:w="8691"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DE070C4">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25BAD178">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734F9D21">
            <w:pPr>
              <w:adjustRightInd w:val="0"/>
              <w:snapToGrid w:val="0"/>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日期：</w:t>
            </w:r>
          </w:p>
        </w:tc>
      </w:tr>
    </w:tbl>
    <w:p w14:paraId="24D5D0AD">
      <w:pPr>
        <w:rPr>
          <w:rFonts w:hint="eastAsia" w:ascii="宋体" w:hAnsi="宋体" w:eastAsia="宋体" w:cs="宋体"/>
          <w:b/>
          <w:bCs w:val="0"/>
          <w:color w:val="auto"/>
          <w:sz w:val="20"/>
          <w:szCs w:val="20"/>
          <w:highlight w:val="yellow"/>
          <w:lang w:val="en-US" w:eastAsia="zh-CN"/>
        </w:rPr>
      </w:pPr>
      <w:r>
        <w:rPr>
          <w:rFonts w:hint="eastAsia" w:ascii="宋体" w:hAnsi="宋体" w:eastAsia="宋体" w:cs="宋体"/>
          <w:b/>
          <w:bCs w:val="0"/>
          <w:color w:val="auto"/>
          <w:sz w:val="20"/>
          <w:szCs w:val="20"/>
          <w:highlight w:val="yellow"/>
          <w:lang w:val="en-US" w:eastAsia="zh-CN"/>
        </w:rPr>
        <w:br w:type="page"/>
      </w:r>
    </w:p>
    <w:p w14:paraId="5A85B1F5">
      <w:pPr>
        <w:pStyle w:val="4"/>
        <w:keepNext/>
        <w:keepLines/>
        <w:pageBreakBefore w:val="0"/>
        <w:widowControl w:val="0"/>
        <w:kinsoku/>
        <w:wordWrap/>
        <w:overflowPunct/>
        <w:topLinePunct w:val="0"/>
        <w:autoSpaceDE/>
        <w:autoSpaceDN/>
        <w:bidi w:val="0"/>
        <w:adjustRightInd/>
        <w:snapToGrid/>
        <w:spacing w:before="0" w:after="0" w:line="580" w:lineRule="exact"/>
        <w:ind w:firstLine="201" w:firstLineChars="100"/>
        <w:jc w:val="center"/>
        <w:textAlignment w:val="auto"/>
        <w:rPr>
          <w:rFonts w:hint="eastAsia" w:ascii="宋体" w:hAnsi="宋体" w:eastAsia="宋体" w:cs="宋体"/>
          <w:b/>
          <w:bCs w:val="0"/>
          <w:color w:val="auto"/>
          <w:sz w:val="20"/>
          <w:szCs w:val="20"/>
          <w:highlight w:val="none"/>
          <w:lang w:val="en-US" w:eastAsia="zh-CN"/>
        </w:rPr>
      </w:pPr>
      <w:bookmarkStart w:id="573" w:name="_Toc26691"/>
      <w:bookmarkStart w:id="574" w:name="_Toc32441"/>
      <w:r>
        <w:rPr>
          <w:rFonts w:hint="eastAsia" w:ascii="宋体" w:hAnsi="宋体" w:eastAsia="宋体" w:cs="宋体"/>
          <w:b/>
          <w:bCs w:val="0"/>
          <w:color w:val="auto"/>
          <w:sz w:val="20"/>
          <w:szCs w:val="20"/>
          <w:highlight w:val="none"/>
          <w:lang w:val="en-US" w:eastAsia="zh-CN"/>
        </w:rPr>
        <w:t>（</w:t>
      </w:r>
      <w:r>
        <w:rPr>
          <w:rFonts w:hint="eastAsia" w:ascii="宋体" w:hAnsi="宋体" w:cs="宋体"/>
          <w:b/>
          <w:bCs w:val="0"/>
          <w:color w:val="auto"/>
          <w:sz w:val="20"/>
          <w:szCs w:val="20"/>
          <w:highlight w:val="none"/>
          <w:lang w:val="en-US" w:eastAsia="zh-CN"/>
        </w:rPr>
        <w:t>十六</w:t>
      </w:r>
      <w:r>
        <w:rPr>
          <w:rFonts w:hint="eastAsia" w:ascii="宋体" w:hAnsi="宋体" w:eastAsia="宋体" w:cs="宋体"/>
          <w:b/>
          <w:bCs w:val="0"/>
          <w:color w:val="auto"/>
          <w:sz w:val="20"/>
          <w:szCs w:val="20"/>
          <w:highlight w:val="none"/>
          <w:lang w:val="en-US" w:eastAsia="zh-CN"/>
        </w:rPr>
        <w:t>）</w:t>
      </w:r>
      <w:r>
        <w:rPr>
          <w:rFonts w:hint="eastAsia" w:ascii="宋体" w:hAnsi="宋体" w:cs="宋体"/>
          <w:b/>
          <w:bCs w:val="0"/>
          <w:color w:val="auto"/>
          <w:sz w:val="20"/>
          <w:szCs w:val="20"/>
          <w:highlight w:val="none"/>
          <w:lang w:val="en-US" w:eastAsia="zh-CN"/>
        </w:rPr>
        <w:t>后勤</w:t>
      </w:r>
      <w:r>
        <w:rPr>
          <w:rFonts w:hint="eastAsia" w:ascii="宋体" w:hAnsi="宋体" w:eastAsia="宋体" w:cs="宋体"/>
          <w:b/>
          <w:bCs w:val="0"/>
          <w:color w:val="auto"/>
          <w:sz w:val="20"/>
          <w:szCs w:val="20"/>
          <w:highlight w:val="none"/>
          <w:lang w:val="en-US" w:eastAsia="zh-CN"/>
        </w:rPr>
        <w:t>设备维保</w:t>
      </w:r>
      <w:r>
        <w:rPr>
          <w:rFonts w:hint="eastAsia" w:ascii="宋体" w:hAnsi="宋体" w:cs="宋体"/>
          <w:b/>
          <w:bCs w:val="0"/>
          <w:color w:val="auto"/>
          <w:sz w:val="20"/>
          <w:szCs w:val="20"/>
          <w:highlight w:val="none"/>
          <w:lang w:val="en-US" w:eastAsia="zh-CN"/>
        </w:rPr>
        <w:t>服务</w:t>
      </w:r>
      <w:r>
        <w:rPr>
          <w:rFonts w:hint="eastAsia" w:ascii="宋体" w:hAnsi="宋体" w:eastAsia="宋体" w:cs="宋体"/>
          <w:b/>
          <w:bCs w:val="0"/>
          <w:color w:val="auto"/>
          <w:sz w:val="20"/>
          <w:szCs w:val="20"/>
          <w:highlight w:val="none"/>
          <w:lang w:val="en-US" w:eastAsia="zh-CN"/>
        </w:rPr>
        <w:t>项目</w:t>
      </w:r>
      <w:bookmarkEnd w:id="573"/>
      <w:bookmarkEnd w:id="574"/>
    </w:p>
    <w:p w14:paraId="5677A8D9">
      <w:pPr>
        <w:keepNext w:val="0"/>
        <w:keepLines w:val="0"/>
        <w:pageBreakBefore w:val="0"/>
        <w:widowControl w:val="0"/>
        <w:kinsoku/>
        <w:wordWrap/>
        <w:overflowPunct/>
        <w:topLinePunct w:val="0"/>
        <w:autoSpaceDE/>
        <w:autoSpaceDN/>
        <w:bidi w:val="0"/>
        <w:adjustRightInd/>
        <w:snapToGrid/>
        <w:spacing w:line="240" w:lineRule="auto"/>
        <w:ind w:firstLine="402" w:firstLineChars="200"/>
        <w:outlineLvl w:val="0"/>
        <w:rPr>
          <w:rFonts w:hint="eastAsia" w:ascii="宋体" w:hAnsi="宋体" w:eastAsia="宋体" w:cs="宋体"/>
          <w:b/>
          <w:bCs/>
          <w:color w:val="auto"/>
          <w:sz w:val="20"/>
          <w:szCs w:val="20"/>
          <w:highlight w:val="none"/>
        </w:rPr>
      </w:pPr>
      <w:bookmarkStart w:id="575" w:name="_Toc21997"/>
      <w:bookmarkStart w:id="576" w:name="_Toc21487"/>
      <w:bookmarkStart w:id="577" w:name="_Toc4251"/>
      <w:r>
        <w:rPr>
          <w:rFonts w:hint="eastAsia" w:ascii="宋体" w:hAnsi="宋体" w:eastAsia="宋体" w:cs="宋体"/>
          <w:b/>
          <w:bCs/>
          <w:color w:val="auto"/>
          <w:sz w:val="20"/>
          <w:szCs w:val="20"/>
          <w:highlight w:val="none"/>
          <w:lang w:val="en-US" w:eastAsia="zh-CN"/>
        </w:rPr>
        <w:t>1.</w:t>
      </w:r>
      <w:r>
        <w:rPr>
          <w:rFonts w:hint="eastAsia" w:ascii="宋体" w:hAnsi="宋体" w:eastAsia="宋体" w:cs="宋体"/>
          <w:b/>
          <w:bCs/>
          <w:color w:val="auto"/>
          <w:sz w:val="20"/>
          <w:szCs w:val="20"/>
          <w:highlight w:val="none"/>
        </w:rPr>
        <w:t>项目服务标准及要求</w:t>
      </w:r>
      <w:bookmarkEnd w:id="575"/>
      <w:bookmarkEnd w:id="576"/>
      <w:bookmarkEnd w:id="577"/>
    </w:p>
    <w:p w14:paraId="66D9FED3">
      <w:pPr>
        <w:keepNext w:val="0"/>
        <w:keepLines w:val="0"/>
        <w:pageBreakBefore w:val="0"/>
        <w:widowControl w:val="0"/>
        <w:kinsoku/>
        <w:wordWrap/>
        <w:overflowPunct/>
        <w:topLinePunct w:val="0"/>
        <w:autoSpaceDE/>
        <w:autoSpaceDN/>
        <w:bidi w:val="0"/>
        <w:adjustRightInd/>
        <w:snapToGrid/>
        <w:spacing w:line="240" w:lineRule="auto"/>
        <w:ind w:firstLine="402" w:firstLineChars="200"/>
        <w:outlineLvl w:val="1"/>
        <w:rPr>
          <w:rFonts w:hint="eastAsia" w:ascii="宋体" w:hAnsi="宋体" w:eastAsia="宋体" w:cs="宋体"/>
          <w:b/>
          <w:bCs/>
          <w:color w:val="auto"/>
          <w:sz w:val="20"/>
          <w:szCs w:val="20"/>
          <w:highlight w:val="none"/>
        </w:rPr>
      </w:pPr>
      <w:bookmarkStart w:id="578" w:name="_Toc21729"/>
      <w:bookmarkStart w:id="579" w:name="_Toc15076"/>
      <w:bookmarkStart w:id="580" w:name="_Toc3613"/>
      <w:bookmarkStart w:id="581" w:name="_Toc10878"/>
      <w:bookmarkStart w:id="582" w:name="_Toc19276"/>
      <w:bookmarkStart w:id="583" w:name="_Toc1899"/>
      <w:bookmarkStart w:id="584" w:name="_Toc22747"/>
      <w:r>
        <w:rPr>
          <w:rFonts w:hint="eastAsia" w:ascii="宋体" w:hAnsi="宋体" w:eastAsia="宋体" w:cs="宋体"/>
          <w:b/>
          <w:bCs/>
          <w:color w:val="auto"/>
          <w:sz w:val="20"/>
          <w:szCs w:val="20"/>
          <w:highlight w:val="none"/>
          <w:lang w:val="en-US" w:eastAsia="zh-CN"/>
        </w:rPr>
        <w:t>1.1</w:t>
      </w:r>
      <w:r>
        <w:rPr>
          <w:rFonts w:hint="eastAsia" w:ascii="宋体" w:hAnsi="宋体" w:eastAsia="宋体" w:cs="宋体"/>
          <w:b/>
          <w:bCs/>
          <w:color w:val="auto"/>
          <w:sz w:val="20"/>
          <w:szCs w:val="20"/>
          <w:highlight w:val="none"/>
        </w:rPr>
        <w:t>项目服务标准</w:t>
      </w:r>
      <w:bookmarkEnd w:id="578"/>
      <w:bookmarkEnd w:id="579"/>
      <w:bookmarkEnd w:id="580"/>
      <w:bookmarkEnd w:id="581"/>
      <w:bookmarkEnd w:id="582"/>
      <w:bookmarkEnd w:id="583"/>
      <w:bookmarkEnd w:id="584"/>
    </w:p>
    <w:p w14:paraId="70F271BC">
      <w:pPr>
        <w:keepNext w:val="0"/>
        <w:keepLines w:val="0"/>
        <w:pageBreakBefore w:val="0"/>
        <w:widowControl w:val="0"/>
        <w:kinsoku/>
        <w:wordWrap/>
        <w:overflowPunct/>
        <w:topLinePunct w:val="0"/>
        <w:autoSpaceDE/>
        <w:autoSpaceDN/>
        <w:bidi w:val="0"/>
        <w:adjustRightInd/>
        <w:snapToGrid/>
        <w:spacing w:line="240" w:lineRule="auto"/>
        <w:ind w:firstLine="400" w:firstLineChars="200"/>
        <w:rPr>
          <w:rFonts w:hint="eastAsia" w:ascii="宋体" w:hAnsi="宋体" w:eastAsia="宋体" w:cs="宋体"/>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rPr>
        <w:t>服务商在提供</w:t>
      </w:r>
      <w:r>
        <w:rPr>
          <w:rFonts w:hint="eastAsia" w:ascii="华光书宋一_CNKI" w:hAnsi="华光书宋一_CNKI" w:eastAsia="华光书宋一_CNKI" w:cs="华光书宋一_CNKI"/>
          <w:color w:val="auto"/>
          <w:sz w:val="20"/>
          <w:szCs w:val="20"/>
          <w:highlight w:val="none"/>
          <w:lang w:val="en-US" w:eastAsia="zh-CN"/>
        </w:rPr>
        <w:t>后勤设备维保</w:t>
      </w:r>
      <w:r>
        <w:rPr>
          <w:rFonts w:hint="eastAsia" w:ascii="华光书宋一_CNKI" w:hAnsi="华光书宋一_CNKI" w:eastAsia="华光书宋一_CNKI" w:cs="华光书宋一_CNKI"/>
          <w:color w:val="auto"/>
          <w:sz w:val="20"/>
          <w:szCs w:val="20"/>
          <w:highlight w:val="none"/>
        </w:rPr>
        <w:t>服务时，需按照如下标准执行，要求所用标准必须为最新版本，如果这些标准有矛盾时，应按最高标准的条款执行或按双方商定的标准执行。此外，如果在合同执行期间国家颁布新的标准时，应按最新的条款执行</w:t>
      </w:r>
      <w:r>
        <w:rPr>
          <w:rFonts w:hint="eastAsia" w:ascii="宋体" w:hAnsi="宋体" w:eastAsia="宋体" w:cs="宋体"/>
          <w:color w:val="auto"/>
          <w:sz w:val="20"/>
          <w:szCs w:val="20"/>
          <w:highlight w:val="none"/>
        </w:rPr>
        <w:t>。</w:t>
      </w:r>
    </w:p>
    <w:tbl>
      <w:tblPr>
        <w:tblStyle w:val="16"/>
        <w:tblW w:w="8666"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7886"/>
      </w:tblGrid>
      <w:tr w14:paraId="12FE6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780" w:type="dxa"/>
            <w:vAlign w:val="center"/>
          </w:tcPr>
          <w:p w14:paraId="79750EEE">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7886" w:type="dxa"/>
            <w:vAlign w:val="center"/>
          </w:tcPr>
          <w:p w14:paraId="547A92CB">
            <w:pPr>
              <w:keepNext w:val="0"/>
              <w:keepLines w:val="0"/>
              <w:pageBreakBefore w:val="0"/>
              <w:widowControl w:val="0"/>
              <w:kinsoku/>
              <w:wordWrap/>
              <w:overflowPunct/>
              <w:topLinePunct w:val="0"/>
              <w:autoSpaceDE/>
              <w:autoSpaceDN/>
              <w:bidi w:val="0"/>
              <w:adjustRightInd/>
              <w:snapToGrid/>
              <w:spacing w:line="240" w:lineRule="auto"/>
              <w:jc w:val="center"/>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相关标准</w:t>
            </w:r>
          </w:p>
        </w:tc>
      </w:tr>
      <w:tr w14:paraId="0CF4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6403AA84">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w:t>
            </w:r>
          </w:p>
        </w:tc>
        <w:tc>
          <w:tcPr>
            <w:tcW w:w="7886" w:type="dxa"/>
            <w:shd w:val="clear" w:color="auto" w:fill="auto"/>
            <w:vAlign w:val="center"/>
          </w:tcPr>
          <w:p w14:paraId="706A8AE8">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sz w:val="20"/>
                <w:szCs w:val="20"/>
                <w:highlight w:val="none"/>
              </w:rPr>
              <w:t>《中华人民共和国消防法》</w:t>
            </w:r>
          </w:p>
        </w:tc>
      </w:tr>
      <w:tr w14:paraId="012C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0AFFE693">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w:t>
            </w:r>
          </w:p>
        </w:tc>
        <w:tc>
          <w:tcPr>
            <w:tcW w:w="7886" w:type="dxa"/>
            <w:shd w:val="clear" w:color="auto" w:fill="auto"/>
            <w:vAlign w:val="center"/>
          </w:tcPr>
          <w:p w14:paraId="2AAC7EDF">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sz w:val="20"/>
                <w:szCs w:val="20"/>
                <w:highlight w:val="none"/>
              </w:rPr>
              <w:t>《中华人民共和国安全生产法》</w:t>
            </w:r>
          </w:p>
        </w:tc>
      </w:tr>
      <w:tr w14:paraId="4874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1971438D">
            <w:pPr>
              <w:widowControl/>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w:t>
            </w:r>
          </w:p>
        </w:tc>
        <w:tc>
          <w:tcPr>
            <w:tcW w:w="7886" w:type="dxa"/>
            <w:shd w:val="clear" w:color="auto" w:fill="auto"/>
            <w:vAlign w:val="center"/>
          </w:tcPr>
          <w:p w14:paraId="734F1A16">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《燃气燃烧器具安装维修管理规定》</w:t>
            </w:r>
          </w:p>
        </w:tc>
      </w:tr>
      <w:tr w14:paraId="4201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793756A1">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4</w:t>
            </w:r>
          </w:p>
        </w:tc>
        <w:tc>
          <w:tcPr>
            <w:tcW w:w="7886" w:type="dxa"/>
            <w:shd w:val="clear" w:color="auto" w:fill="auto"/>
            <w:vAlign w:val="center"/>
          </w:tcPr>
          <w:p w14:paraId="00858CDA">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 xml:space="preserve">《燃气燃烧器具安装维修管理规定》中华人民共和国建设部令 第73号 </w:t>
            </w:r>
          </w:p>
        </w:tc>
      </w:tr>
      <w:tr w14:paraId="6588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2838B56B">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5</w:t>
            </w:r>
          </w:p>
        </w:tc>
        <w:tc>
          <w:tcPr>
            <w:tcW w:w="7886" w:type="dxa"/>
            <w:shd w:val="clear" w:color="auto" w:fill="auto"/>
            <w:vAlign w:val="center"/>
          </w:tcPr>
          <w:p w14:paraId="0C54199B">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《食品安全国家标准 消毒餐（饮）具 》（GB 14934-2016 ）</w:t>
            </w:r>
          </w:p>
        </w:tc>
      </w:tr>
      <w:tr w14:paraId="24A61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4B867B68">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6</w:t>
            </w:r>
          </w:p>
        </w:tc>
        <w:tc>
          <w:tcPr>
            <w:tcW w:w="7886" w:type="dxa"/>
            <w:shd w:val="clear" w:color="auto" w:fill="auto"/>
            <w:vAlign w:val="center"/>
          </w:tcPr>
          <w:p w14:paraId="3E97D4E9">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《家用厨房设备 第4部分：设计与安装》（GB/T 18884.4-2002 ）</w:t>
            </w:r>
          </w:p>
        </w:tc>
      </w:tr>
      <w:tr w14:paraId="3B01F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220FC342">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7</w:t>
            </w:r>
          </w:p>
        </w:tc>
        <w:tc>
          <w:tcPr>
            <w:tcW w:w="7886" w:type="dxa"/>
            <w:shd w:val="clear" w:color="auto" w:fill="auto"/>
            <w:vAlign w:val="center"/>
          </w:tcPr>
          <w:p w14:paraId="61394BDA">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《家用厨房设备 第2部分：通用技术要求》（GB/T 18884.2-2015 ）</w:t>
            </w:r>
          </w:p>
        </w:tc>
      </w:tr>
      <w:tr w14:paraId="76465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740E3A8D">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8</w:t>
            </w:r>
          </w:p>
        </w:tc>
        <w:tc>
          <w:tcPr>
            <w:tcW w:w="7886" w:type="dxa"/>
            <w:shd w:val="clear" w:color="auto" w:fill="auto"/>
            <w:vAlign w:val="center"/>
          </w:tcPr>
          <w:p w14:paraId="23350843">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《住宅厨房及相关设备基本参数 》（GB/T 11228-2008 ）</w:t>
            </w:r>
          </w:p>
        </w:tc>
      </w:tr>
      <w:tr w14:paraId="67326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0B8FE2E9">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9</w:t>
            </w:r>
          </w:p>
        </w:tc>
        <w:tc>
          <w:tcPr>
            <w:tcW w:w="7886" w:type="dxa"/>
            <w:shd w:val="clear" w:color="auto" w:fill="auto"/>
            <w:vAlign w:val="center"/>
          </w:tcPr>
          <w:p w14:paraId="578E24A8">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《家用厨房设备 第3部分 试验方法与检验规则》（GB/T 18884.3-2015 ）</w:t>
            </w:r>
          </w:p>
        </w:tc>
      </w:tr>
      <w:tr w14:paraId="06AC4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64A75080">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10</w:t>
            </w:r>
          </w:p>
        </w:tc>
        <w:tc>
          <w:tcPr>
            <w:tcW w:w="7886" w:type="dxa"/>
            <w:shd w:val="clear" w:color="auto" w:fill="auto"/>
            <w:vAlign w:val="center"/>
          </w:tcPr>
          <w:p w14:paraId="4D284D46">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《住宅厨房和卫生间排烟（气）道制品》（JG/T 194-2018）</w:t>
            </w:r>
          </w:p>
        </w:tc>
      </w:tr>
      <w:tr w14:paraId="2AA22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251D66D0">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11</w:t>
            </w:r>
          </w:p>
        </w:tc>
        <w:tc>
          <w:tcPr>
            <w:tcW w:w="7886" w:type="dxa"/>
            <w:shd w:val="clear" w:color="auto" w:fill="auto"/>
            <w:vAlign w:val="center"/>
          </w:tcPr>
          <w:p w14:paraId="2A70C125">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sz w:val="20"/>
                <w:szCs w:val="20"/>
                <w:highlight w:val="none"/>
              </w:rPr>
              <w:t>《排油烟设施清洗技术规程》（BJXF•TB003-2015）</w:t>
            </w:r>
          </w:p>
        </w:tc>
      </w:tr>
      <w:tr w14:paraId="2593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59025B50">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12</w:t>
            </w:r>
          </w:p>
        </w:tc>
        <w:tc>
          <w:tcPr>
            <w:tcW w:w="7886" w:type="dxa"/>
            <w:shd w:val="clear" w:color="auto" w:fill="auto"/>
            <w:vAlign w:val="center"/>
          </w:tcPr>
          <w:p w14:paraId="6A985D4E">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《商用厨房设施设备维修企业服务规范》（T/C</w:t>
            </w:r>
            <w:r>
              <w:rPr>
                <w:rFonts w:hint="eastAsia" w:ascii="宋体" w:hAnsi="宋体" w:eastAsia="宋体" w:cs="宋体"/>
                <w:color w:val="auto"/>
                <w:kern w:val="0"/>
                <w:sz w:val="20"/>
                <w:szCs w:val="20"/>
                <w:highlight w:val="none"/>
                <w:lang w:val="en-US" w:eastAsia="zh-CN" w:bidi="ar"/>
              </w:rPr>
              <w:t xml:space="preserve"> </w:t>
            </w:r>
            <w:r>
              <w:rPr>
                <w:rFonts w:hint="eastAsia" w:ascii="宋体" w:hAnsi="宋体" w:eastAsia="宋体" w:cs="宋体"/>
                <w:color w:val="auto"/>
                <w:kern w:val="0"/>
                <w:sz w:val="20"/>
                <w:szCs w:val="20"/>
                <w:highlight w:val="none"/>
                <w:lang w:bidi="ar"/>
              </w:rPr>
              <w:t>ASMES 1━2021）</w:t>
            </w:r>
          </w:p>
        </w:tc>
      </w:tr>
      <w:tr w14:paraId="3BB9B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5736F811">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13</w:t>
            </w:r>
          </w:p>
        </w:tc>
        <w:tc>
          <w:tcPr>
            <w:tcW w:w="7886" w:type="dxa"/>
            <w:shd w:val="clear" w:color="auto" w:fill="auto"/>
            <w:vAlign w:val="center"/>
          </w:tcPr>
          <w:p w14:paraId="5C377B80">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《商用厨房排油烟设施清洗企业服务规范》（T/CASMES 2━2021）</w:t>
            </w:r>
          </w:p>
        </w:tc>
      </w:tr>
      <w:tr w14:paraId="3CF98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vAlign w:val="center"/>
          </w:tcPr>
          <w:p w14:paraId="3EC0B13E">
            <w:pPr>
              <w:widowControl/>
              <w:jc w:val="center"/>
              <w:textAlignment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14</w:t>
            </w:r>
          </w:p>
        </w:tc>
        <w:tc>
          <w:tcPr>
            <w:tcW w:w="7886" w:type="dxa"/>
            <w:shd w:val="clear" w:color="auto" w:fill="auto"/>
            <w:vAlign w:val="center"/>
          </w:tcPr>
          <w:p w14:paraId="077FA06D">
            <w:pPr>
              <w:keepNext w:val="0"/>
              <w:keepLines w:val="0"/>
              <w:pageBreakBefore w:val="0"/>
              <w:widowControl w:val="0"/>
              <w:kinsoku/>
              <w:wordWrap/>
              <w:overflowPunct/>
              <w:topLinePunct w:val="0"/>
              <w:autoSpaceDE/>
              <w:autoSpaceDN/>
              <w:bidi w:val="0"/>
              <w:adjustRightInd/>
              <w:snapToGrid/>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《中国中小企业协会 商用厨房设施设备维修企业服务规范》（T/CASMES 1━2021 ）</w:t>
            </w:r>
          </w:p>
        </w:tc>
      </w:tr>
    </w:tbl>
    <w:p w14:paraId="0D7B4F9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585" w:name="_Toc13436"/>
      <w:bookmarkStart w:id="586" w:name="_Toc7045"/>
      <w:bookmarkStart w:id="587" w:name="_Toc20762"/>
      <w:bookmarkStart w:id="588" w:name="_Toc18504"/>
      <w:bookmarkStart w:id="589" w:name="_Toc5970"/>
      <w:bookmarkStart w:id="590" w:name="_Toc13967"/>
      <w:bookmarkStart w:id="591" w:name="_Toc8793"/>
      <w:bookmarkStart w:id="592" w:name="_Toc20435"/>
      <w:r>
        <w:rPr>
          <w:rFonts w:hint="eastAsia" w:ascii="宋体" w:hAnsi="宋体" w:eastAsia="宋体" w:cs="宋体"/>
          <w:b/>
          <w:bCs/>
          <w:color w:val="auto"/>
          <w:sz w:val="20"/>
          <w:szCs w:val="20"/>
          <w:highlight w:val="none"/>
          <w:lang w:val="en-US" w:eastAsia="zh-CN"/>
        </w:rPr>
        <w:t>1.2</w:t>
      </w:r>
      <w:r>
        <w:rPr>
          <w:rFonts w:hint="eastAsia" w:ascii="宋体" w:hAnsi="宋体" w:eastAsia="宋体" w:cs="宋体"/>
          <w:b/>
          <w:bCs/>
          <w:color w:val="auto"/>
          <w:sz w:val="20"/>
          <w:szCs w:val="20"/>
          <w:highlight w:val="none"/>
        </w:rPr>
        <w:t>项目服务要求</w:t>
      </w:r>
      <w:bookmarkEnd w:id="585"/>
      <w:bookmarkEnd w:id="586"/>
      <w:bookmarkEnd w:id="587"/>
      <w:bookmarkEnd w:id="588"/>
      <w:bookmarkEnd w:id="589"/>
      <w:bookmarkEnd w:id="590"/>
      <w:bookmarkEnd w:id="591"/>
      <w:bookmarkEnd w:id="592"/>
    </w:p>
    <w:p w14:paraId="12E5A09F">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w:t>
      </w:r>
      <w:r>
        <w:rPr>
          <w:rFonts w:hint="eastAsia" w:ascii="宋体" w:hAnsi="宋体" w:eastAsia="宋体" w:cs="宋体"/>
          <w:color w:val="auto"/>
          <w:sz w:val="20"/>
          <w:szCs w:val="20"/>
          <w:highlight w:val="none"/>
        </w:rPr>
        <w:t>合同实施前，服务商需对采购方整体</w:t>
      </w:r>
      <w:r>
        <w:rPr>
          <w:rFonts w:hint="eastAsia" w:ascii="宋体" w:hAnsi="宋体" w:cs="宋体"/>
          <w:b w:val="0"/>
          <w:bCs w:val="0"/>
          <w:color w:val="auto"/>
          <w:sz w:val="20"/>
          <w:szCs w:val="20"/>
          <w:highlight w:val="none"/>
          <w:lang w:val="en-US" w:eastAsia="zh-CN"/>
        </w:rPr>
        <w:t>后勤</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运行状况进行全面摸查，根据摸查情况，针对</w:t>
      </w:r>
      <w:r>
        <w:rPr>
          <w:rFonts w:hint="eastAsia" w:ascii="宋体" w:hAnsi="宋体" w:cs="宋体"/>
          <w:b w:val="0"/>
          <w:bCs w:val="0"/>
          <w:color w:val="auto"/>
          <w:sz w:val="20"/>
          <w:szCs w:val="20"/>
          <w:highlight w:val="none"/>
          <w:lang w:val="en-US" w:eastAsia="zh-CN"/>
        </w:rPr>
        <w:t>后勤</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维保服务项目，需指派专人进行对接，熟悉和了解采购方</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构成。</w:t>
      </w:r>
    </w:p>
    <w:p w14:paraId="239E51D9">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1.2.2</w:t>
      </w:r>
      <w:r>
        <w:rPr>
          <w:rFonts w:hint="eastAsia" w:ascii="宋体" w:hAnsi="宋体" w:eastAsia="宋体" w:cs="宋体"/>
          <w:color w:val="auto"/>
          <w:sz w:val="20"/>
          <w:szCs w:val="20"/>
          <w:highlight w:val="none"/>
        </w:rPr>
        <w:t>为保证</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正常有效运转，</w:t>
      </w:r>
      <w:r>
        <w:rPr>
          <w:rFonts w:hint="eastAsia" w:ascii="宋体" w:hAnsi="宋体" w:eastAsia="宋体" w:cs="宋体"/>
          <w:bCs/>
          <w:color w:val="auto"/>
          <w:sz w:val="20"/>
          <w:szCs w:val="20"/>
          <w:highlight w:val="none"/>
          <w:lang w:val="en-US" w:eastAsia="zh-CN"/>
        </w:rPr>
        <w:t>服务商必须按照采购方的要求执行，按时按质地提供相关服务。</w:t>
      </w:r>
    </w:p>
    <w:p w14:paraId="79159F1B">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1.2.3</w:t>
      </w:r>
      <w:r>
        <w:rPr>
          <w:rFonts w:hint="eastAsia" w:ascii="宋体" w:hAnsi="宋体" w:eastAsia="宋体" w:cs="宋体"/>
          <w:color w:val="auto"/>
          <w:sz w:val="20"/>
          <w:szCs w:val="20"/>
          <w:highlight w:val="none"/>
        </w:rPr>
        <w:t>服务商提供24小时的故障接受渠道（热线电话、微信、传真、电子邮件等）。服务商在接到</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故障报修电话后，必须在1小时内作出响应，并派出专业的技术人员按采购方的时间要求到达现场。在采购方规定的时间内，恢复故障，如果故障在检修24小时后仍无法排除，应与采购协商解决。</w:t>
      </w:r>
    </w:p>
    <w:p w14:paraId="1A5D0A38">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1.2.4</w:t>
      </w:r>
      <w:r>
        <w:rPr>
          <w:rFonts w:hint="eastAsia" w:ascii="宋体" w:hAnsi="宋体" w:eastAsia="宋体" w:cs="宋体"/>
          <w:color w:val="auto"/>
          <w:sz w:val="20"/>
          <w:szCs w:val="20"/>
          <w:highlight w:val="none"/>
        </w:rPr>
        <w:t>如遇到不能现场维修的故障，服务商在不影响采购方正常工作的前提下取机返公司维修。并视采购方的需求，提供备机供采购方先行使用，保证</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恢复正常运行。</w:t>
      </w:r>
    </w:p>
    <w:p w14:paraId="1E2B3A7D">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1.2.5</w:t>
      </w:r>
      <w:r>
        <w:rPr>
          <w:rFonts w:hint="eastAsia" w:ascii="宋体" w:hAnsi="宋体" w:eastAsia="宋体" w:cs="宋体"/>
          <w:color w:val="auto"/>
          <w:sz w:val="20"/>
          <w:szCs w:val="20"/>
          <w:highlight w:val="none"/>
        </w:rPr>
        <w:t>服务商在维修、保养过程中对发生损坏的特殊零配件不能及时更换时，服务商应及时向采购方通报，提出计划修复的时间（上述时间应经采购方认可），并严格按计划时间争取尽早修复。</w:t>
      </w:r>
    </w:p>
    <w:p w14:paraId="7D233A23">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1.2.6</w:t>
      </w:r>
      <w:r>
        <w:rPr>
          <w:rFonts w:hint="eastAsia" w:ascii="宋体" w:hAnsi="宋体" w:eastAsia="宋体" w:cs="宋体"/>
          <w:color w:val="auto"/>
          <w:sz w:val="20"/>
          <w:szCs w:val="20"/>
          <w:highlight w:val="none"/>
        </w:rPr>
        <w:t>在服务过程中如发现相关设备设施自身存在危险状态的，服务商应尽快前往修复/维护，同时应作好基本的安全防护措施，以免发生或扩大损失。</w:t>
      </w:r>
    </w:p>
    <w:p w14:paraId="2A17170B">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1.2.7</w:t>
      </w:r>
      <w:r>
        <w:rPr>
          <w:rFonts w:hint="eastAsia" w:ascii="宋体" w:hAnsi="宋体" w:eastAsia="宋体" w:cs="宋体"/>
          <w:color w:val="auto"/>
          <w:sz w:val="20"/>
          <w:szCs w:val="20"/>
          <w:highlight w:val="none"/>
        </w:rPr>
        <w:t>服务商应自行配备工作所需的各种专业工具及设备，并在进场之前由相关专业人员检查合格后可在现场使用。此外，服务商在维修过程中所用零配件应为合格产品，其余辅助材料应符合国家相关技术规范及设备安全使用条例。</w:t>
      </w:r>
    </w:p>
    <w:p w14:paraId="1D905E24">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1.2.8</w:t>
      </w:r>
      <w:r>
        <w:rPr>
          <w:rFonts w:hint="eastAsia" w:ascii="宋体" w:hAnsi="宋体" w:eastAsia="宋体" w:cs="宋体"/>
          <w:color w:val="auto"/>
          <w:sz w:val="20"/>
          <w:szCs w:val="20"/>
          <w:highlight w:val="none"/>
        </w:rPr>
        <w:t>服务商为维修及更换过的零配件提供的质保期为</w:t>
      </w:r>
      <w:r>
        <w:rPr>
          <w:rFonts w:hint="eastAsia" w:ascii="宋体" w:hAnsi="宋体" w:eastAsia="宋体" w:cs="宋体"/>
          <w:color w:val="auto"/>
          <w:sz w:val="20"/>
          <w:szCs w:val="20"/>
          <w:highlight w:val="none"/>
          <w:lang w:val="en-US" w:eastAsia="zh-CN"/>
        </w:rPr>
        <w:t>六</w:t>
      </w:r>
      <w:r>
        <w:rPr>
          <w:rFonts w:hint="eastAsia" w:ascii="宋体" w:hAnsi="宋体" w:eastAsia="宋体" w:cs="宋体"/>
          <w:color w:val="auto"/>
          <w:sz w:val="20"/>
          <w:szCs w:val="20"/>
          <w:highlight w:val="none"/>
        </w:rPr>
        <w:t>个月，自服务商签署确认记录表之日计算。质保期内出现同一问题的，服务商应免费予以维修，且质保期自免费维修后重新计算。</w:t>
      </w:r>
    </w:p>
    <w:p w14:paraId="33A0C8D3">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1.2.9在维保结束后，服务商应</w:t>
      </w:r>
      <w:r>
        <w:rPr>
          <w:rFonts w:hint="eastAsia" w:ascii="宋体" w:hAnsi="宋体" w:eastAsia="宋体" w:cs="宋体"/>
          <w:b w:val="0"/>
          <w:bCs w:val="0"/>
          <w:color w:val="auto"/>
          <w:sz w:val="20"/>
          <w:szCs w:val="20"/>
          <w:highlight w:val="none"/>
          <w:lang w:val="en-US" w:eastAsia="zh-CN"/>
        </w:rPr>
        <w:t>对设备应进行清洁、消毒，确保设备的卫生、安全。</w:t>
      </w:r>
    </w:p>
    <w:p w14:paraId="4AB29E96">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1.2.10</w:t>
      </w:r>
      <w:r>
        <w:rPr>
          <w:rFonts w:hint="eastAsia" w:ascii="宋体" w:hAnsi="宋体" w:eastAsia="宋体" w:cs="宋体"/>
          <w:color w:val="auto"/>
          <w:sz w:val="20"/>
          <w:szCs w:val="20"/>
          <w:highlight w:val="none"/>
        </w:rPr>
        <w:t>在每次巡检和故障维保时，服务商需填写《</w:t>
      </w:r>
      <w:r>
        <w:rPr>
          <w:rFonts w:hint="eastAsia" w:ascii="宋体" w:hAnsi="宋体" w:cs="宋体"/>
          <w:b w:val="0"/>
          <w:bCs w:val="0"/>
          <w:color w:val="auto"/>
          <w:sz w:val="20"/>
          <w:szCs w:val="20"/>
          <w:highlight w:val="none"/>
          <w:lang w:val="en-US" w:eastAsia="zh-CN"/>
        </w:rPr>
        <w:t>后勤</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维护保养现场记录表》并经采购方值班人员或管理员核实签字认可,作为服务商进行设备维保的重要依据。此外，根据采购方的实际需求，提供</w:t>
      </w:r>
      <w:r>
        <w:rPr>
          <w:rFonts w:hint="eastAsia" w:ascii="宋体" w:hAnsi="宋体" w:cs="宋体"/>
          <w:b w:val="0"/>
          <w:bCs w:val="0"/>
          <w:color w:val="auto"/>
          <w:sz w:val="20"/>
          <w:szCs w:val="20"/>
          <w:highlight w:val="none"/>
          <w:lang w:val="en-US" w:eastAsia="zh-CN"/>
        </w:rPr>
        <w:t>后勤</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异常情况分析报告。</w:t>
      </w:r>
    </w:p>
    <w:p w14:paraId="79C02207">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1.2.11</w:t>
      </w:r>
      <w:r>
        <w:rPr>
          <w:rFonts w:hint="eastAsia" w:ascii="宋体" w:hAnsi="宋体" w:eastAsia="宋体" w:cs="宋体"/>
          <w:color w:val="auto"/>
          <w:sz w:val="20"/>
          <w:szCs w:val="20"/>
          <w:highlight w:val="none"/>
        </w:rPr>
        <w:t>服务商负责制定服务范围内</w:t>
      </w:r>
      <w:r>
        <w:rPr>
          <w:rFonts w:hint="eastAsia" w:ascii="宋体" w:hAnsi="宋体" w:cs="宋体"/>
          <w:b w:val="0"/>
          <w:bCs w:val="0"/>
          <w:color w:val="auto"/>
          <w:sz w:val="20"/>
          <w:szCs w:val="20"/>
          <w:highlight w:val="none"/>
          <w:lang w:val="en-US" w:eastAsia="zh-CN"/>
        </w:rPr>
        <w:t>后勤</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紧急事件的工作预案，经服务商和采购方双方审定后由服务商组织实施；在发生紧急事件或急迫性维修后，服务商须立即委派技术负责人到达现场妥善处理。</w:t>
      </w:r>
    </w:p>
    <w:p w14:paraId="0902B045">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1.2.12</w:t>
      </w:r>
      <w:r>
        <w:rPr>
          <w:rFonts w:hint="eastAsia" w:ascii="宋体" w:hAnsi="宋体" w:eastAsia="宋体" w:cs="宋体"/>
          <w:color w:val="auto"/>
          <w:sz w:val="20"/>
          <w:szCs w:val="20"/>
          <w:highlight w:val="none"/>
        </w:rPr>
        <w:t>服务商应建立规范的档案管理制度，设立专人负责妥善保管和正确使用本合同范围内</w:t>
      </w:r>
      <w:r>
        <w:rPr>
          <w:rFonts w:hint="eastAsia" w:ascii="宋体" w:hAnsi="宋体" w:eastAsia="宋体" w:cs="宋体"/>
          <w:b w:val="0"/>
          <w:bCs w:val="0"/>
          <w:color w:val="auto"/>
          <w:sz w:val="20"/>
          <w:szCs w:val="20"/>
          <w:highlight w:val="none"/>
          <w:lang w:val="en-US" w:eastAsia="zh-CN"/>
        </w:rPr>
        <w:t>厨房设备</w:t>
      </w:r>
      <w:r>
        <w:rPr>
          <w:rFonts w:hint="eastAsia" w:ascii="宋体" w:hAnsi="宋体" w:eastAsia="宋体" w:cs="宋体"/>
          <w:color w:val="auto"/>
          <w:sz w:val="20"/>
          <w:szCs w:val="20"/>
          <w:highlight w:val="none"/>
        </w:rPr>
        <w:t>的档案资料，并负责及时记载有关变更、维修、保养情况。</w:t>
      </w:r>
    </w:p>
    <w:p w14:paraId="0ABE9217">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1.2.13</w:t>
      </w:r>
      <w:r>
        <w:rPr>
          <w:rFonts w:hint="eastAsia" w:ascii="宋体" w:hAnsi="宋体" w:eastAsia="宋体" w:cs="宋体"/>
          <w:color w:val="auto"/>
          <w:sz w:val="20"/>
          <w:szCs w:val="20"/>
          <w:highlight w:val="none"/>
        </w:rPr>
        <w:t>服务商加强人员管理，合理安排人员，保障项目工作进度。确因不可抗力影响项目实施，需与采购人协商修订项目实施计划，达成一致后执行。</w:t>
      </w:r>
    </w:p>
    <w:p w14:paraId="57E214CB">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1.2.14</w:t>
      </w:r>
      <w:r>
        <w:rPr>
          <w:rFonts w:hint="eastAsia" w:ascii="宋体" w:hAnsi="宋体" w:eastAsia="宋体" w:cs="宋体"/>
          <w:color w:val="auto"/>
          <w:sz w:val="20"/>
          <w:szCs w:val="20"/>
          <w:highlight w:val="none"/>
        </w:rPr>
        <w:t>采购方在举办</w:t>
      </w:r>
      <w:r>
        <w:rPr>
          <w:rFonts w:hint="eastAsia" w:ascii="宋体" w:hAnsi="宋体" w:eastAsia="宋体" w:cs="宋体"/>
          <w:color w:val="auto"/>
          <w:sz w:val="20"/>
          <w:szCs w:val="20"/>
          <w:highlight w:val="none"/>
          <w:lang w:val="en-US" w:eastAsia="zh-CN"/>
        </w:rPr>
        <w:t>需要提供大量餐饮服务</w:t>
      </w:r>
      <w:r>
        <w:rPr>
          <w:rFonts w:hint="eastAsia" w:ascii="宋体" w:hAnsi="宋体" w:eastAsia="宋体" w:cs="宋体"/>
          <w:color w:val="auto"/>
          <w:sz w:val="20"/>
          <w:szCs w:val="20"/>
          <w:highlight w:val="none"/>
        </w:rPr>
        <w:t>时，服务商根据采购需要负责活动前对现场、设备设施进行检查，保证</w:t>
      </w:r>
      <w:r>
        <w:rPr>
          <w:rFonts w:hint="eastAsia" w:ascii="宋体" w:hAnsi="宋体" w:cs="宋体"/>
          <w:b w:val="0"/>
          <w:bCs w:val="0"/>
          <w:color w:val="auto"/>
          <w:sz w:val="20"/>
          <w:szCs w:val="20"/>
          <w:highlight w:val="none"/>
          <w:lang w:val="en-US" w:eastAsia="zh-CN"/>
        </w:rPr>
        <w:t>后勤</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系统设备完好,运行正常，确保设备、设施运行可靠性。</w:t>
      </w:r>
    </w:p>
    <w:p w14:paraId="3FB3ED1C">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1.2.15</w:t>
      </w:r>
      <w:r>
        <w:rPr>
          <w:rFonts w:hint="eastAsia" w:ascii="宋体" w:hAnsi="宋体" w:eastAsia="宋体" w:cs="宋体"/>
          <w:color w:val="auto"/>
          <w:sz w:val="20"/>
          <w:szCs w:val="20"/>
          <w:highlight w:val="none"/>
        </w:rPr>
        <w:t>根据采购方的需求提供对应的培训。培训方式包括线上讲解、现场设备的实际操作、系统的实际操作。使采购方相关人员掌握有关监控硬件与平台的日常基础使用、维护和管理方法，达到能独立进行普通日常管理、故障排除、日常测试等基础工作。</w:t>
      </w:r>
    </w:p>
    <w:p w14:paraId="4A34F935">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1.2.16</w:t>
      </w:r>
      <w:r>
        <w:rPr>
          <w:rFonts w:hint="eastAsia" w:ascii="宋体" w:hAnsi="宋体" w:eastAsia="宋体" w:cs="宋体"/>
          <w:color w:val="auto"/>
          <w:sz w:val="20"/>
          <w:szCs w:val="20"/>
          <w:highlight w:val="none"/>
        </w:rPr>
        <w:t>服务商必须配备专业的维修人员完成本项目，维修人员具有设施设备维修经验并持有法定要求的职业资格证</w:t>
      </w:r>
      <w:r>
        <w:rPr>
          <w:rFonts w:hint="eastAsia" w:ascii="宋体" w:hAnsi="宋体" w:eastAsia="宋体" w:cs="宋体"/>
          <w:color w:val="auto"/>
          <w:sz w:val="20"/>
          <w:szCs w:val="20"/>
          <w:highlight w:val="none"/>
          <w:lang w:eastAsia="zh-CN"/>
        </w:rPr>
        <w:t>。</w:t>
      </w:r>
    </w:p>
    <w:p w14:paraId="7D8B0FC9">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1.2.17</w:t>
      </w:r>
      <w:r>
        <w:rPr>
          <w:rFonts w:hint="eastAsia" w:ascii="宋体" w:hAnsi="宋体" w:eastAsia="宋体" w:cs="宋体"/>
          <w:color w:val="auto"/>
          <w:sz w:val="20"/>
          <w:szCs w:val="20"/>
          <w:highlight w:val="none"/>
        </w:rPr>
        <w:t>服务商应具备足够的可随时调遣的</w:t>
      </w:r>
      <w:r>
        <w:rPr>
          <w:rFonts w:hint="eastAsia" w:ascii="宋体" w:hAnsi="宋体" w:cs="宋体"/>
          <w:b w:val="0"/>
          <w:bCs w:val="0"/>
          <w:color w:val="auto"/>
          <w:sz w:val="20"/>
          <w:szCs w:val="20"/>
          <w:highlight w:val="none"/>
          <w:lang w:val="en-US" w:eastAsia="zh-CN"/>
        </w:rPr>
        <w:t>后勤</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维保后备人员，以便随时响应采购方的临时工作安排，后备人员具备相应的沟通能力、业务能力和技术能力。</w:t>
      </w:r>
    </w:p>
    <w:p w14:paraId="0E2D1EE1">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1.2.18</w:t>
      </w:r>
      <w:r>
        <w:rPr>
          <w:rFonts w:hint="eastAsia" w:ascii="宋体" w:hAnsi="宋体" w:eastAsia="宋体" w:cs="宋体"/>
          <w:color w:val="auto"/>
          <w:sz w:val="20"/>
          <w:szCs w:val="20"/>
          <w:highlight w:val="none"/>
        </w:rPr>
        <w:t>服务商必须建立健全严格的安全管理制度，在开展</w:t>
      </w:r>
      <w:r>
        <w:rPr>
          <w:rFonts w:hint="eastAsia" w:ascii="宋体" w:hAnsi="宋体" w:cs="宋体"/>
          <w:b w:val="0"/>
          <w:bCs w:val="0"/>
          <w:color w:val="auto"/>
          <w:sz w:val="20"/>
          <w:szCs w:val="20"/>
          <w:highlight w:val="none"/>
          <w:lang w:val="en-US" w:eastAsia="zh-CN"/>
        </w:rPr>
        <w:t>后勤</w:t>
      </w:r>
      <w:r>
        <w:rPr>
          <w:rFonts w:hint="eastAsia" w:ascii="宋体" w:hAnsi="宋体" w:eastAsia="宋体" w:cs="宋体"/>
          <w:b w:val="0"/>
          <w:bCs w:val="0"/>
          <w:color w:val="auto"/>
          <w:sz w:val="20"/>
          <w:szCs w:val="20"/>
          <w:highlight w:val="none"/>
          <w:lang w:val="en-US" w:eastAsia="zh-CN"/>
        </w:rPr>
        <w:t>设备维保</w:t>
      </w:r>
      <w:r>
        <w:rPr>
          <w:rFonts w:hint="eastAsia" w:ascii="宋体" w:hAnsi="宋体" w:eastAsia="宋体" w:cs="宋体"/>
          <w:color w:val="auto"/>
          <w:sz w:val="20"/>
          <w:szCs w:val="20"/>
          <w:highlight w:val="none"/>
        </w:rPr>
        <w:t>服务工作中严格执行安全管理规定，深刻认识和领会采购方对安全工作的态度和要求，并给予相应的支持和配合。如因非采购方原因导致的安全问题，由服务商承担责任，并按国家法律法规及相关要求进行赔偿。</w:t>
      </w:r>
    </w:p>
    <w:p w14:paraId="4D9108AB">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1.2.19</w:t>
      </w:r>
      <w:r>
        <w:rPr>
          <w:rFonts w:hint="eastAsia" w:ascii="宋体" w:hAnsi="宋体" w:eastAsia="宋体" w:cs="宋体"/>
          <w:color w:val="auto"/>
          <w:sz w:val="20"/>
          <w:szCs w:val="20"/>
          <w:highlight w:val="none"/>
        </w:rPr>
        <w:t>在</w:t>
      </w:r>
      <w:r>
        <w:rPr>
          <w:rFonts w:hint="eastAsia" w:ascii="宋体" w:hAnsi="宋体" w:cs="宋体"/>
          <w:b w:val="0"/>
          <w:bCs w:val="0"/>
          <w:color w:val="auto"/>
          <w:sz w:val="20"/>
          <w:szCs w:val="20"/>
          <w:highlight w:val="none"/>
          <w:lang w:val="en-US" w:eastAsia="zh-CN"/>
        </w:rPr>
        <w:t>后勤</w:t>
      </w:r>
      <w:r>
        <w:rPr>
          <w:rFonts w:hint="eastAsia" w:ascii="宋体" w:hAnsi="宋体" w:eastAsia="宋体" w:cs="宋体"/>
          <w:b w:val="0"/>
          <w:bCs w:val="0"/>
          <w:color w:val="auto"/>
          <w:sz w:val="20"/>
          <w:szCs w:val="20"/>
          <w:highlight w:val="none"/>
          <w:lang w:val="en-US" w:eastAsia="zh-CN"/>
        </w:rPr>
        <w:t>设备</w:t>
      </w:r>
      <w:r>
        <w:rPr>
          <w:rFonts w:hint="eastAsia" w:ascii="宋体" w:hAnsi="宋体" w:eastAsia="宋体" w:cs="宋体"/>
          <w:color w:val="auto"/>
          <w:sz w:val="20"/>
          <w:szCs w:val="20"/>
          <w:highlight w:val="none"/>
        </w:rPr>
        <w:t>维保工作期间，服务商应负责落实现场安全防护措施，建立可靠的安全防护措施和明显标志，保证安全作业。而且必须遵循采购方的安全管理，并采取必要的措施保障安全。确保不发生信息安全事件；不发生轻伤及以上人身事故；不发生有责任的设备损坏事故；不发生重大质量事故。</w:t>
      </w:r>
    </w:p>
    <w:p w14:paraId="7080C77D">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lang w:val="en-US" w:eastAsia="zh-CN"/>
        </w:rPr>
      </w:pPr>
      <w:r>
        <w:rPr>
          <w:rFonts w:hint="eastAsia" w:ascii="宋体" w:hAnsi="宋体" w:eastAsia="宋体" w:cs="宋体"/>
          <w:color w:val="auto"/>
          <w:sz w:val="20"/>
          <w:szCs w:val="20"/>
          <w:highlight w:val="none"/>
          <w:lang w:val="en-US" w:eastAsia="zh-CN"/>
        </w:rPr>
        <w:t>1.2.20</w:t>
      </w:r>
      <w:r>
        <w:rPr>
          <w:rFonts w:hint="eastAsia" w:ascii="宋体" w:hAnsi="宋体" w:eastAsia="宋体" w:cs="宋体"/>
          <w:color w:val="auto"/>
          <w:sz w:val="20"/>
          <w:szCs w:val="20"/>
          <w:highlight w:val="none"/>
        </w:rPr>
        <w:t>服务商须建立健全的各项规章制度（包含但不限于安全生产责任及管理制度、质量安全及事故呈报与处理制度、回访制度等）。</w:t>
      </w:r>
    </w:p>
    <w:p w14:paraId="545536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02" w:firstLineChars="200"/>
        <w:textAlignment w:val="auto"/>
        <w:outlineLvl w:val="0"/>
        <w:rPr>
          <w:rFonts w:hint="default" w:ascii="宋体" w:hAnsi="宋体" w:eastAsia="宋体" w:cs="宋体"/>
          <w:b/>
          <w:bCs/>
          <w:color w:val="auto"/>
          <w:sz w:val="20"/>
          <w:szCs w:val="20"/>
          <w:highlight w:val="none"/>
          <w:lang w:val="en-US" w:eastAsia="zh-CN"/>
        </w:rPr>
      </w:pPr>
      <w:bookmarkStart w:id="593" w:name="_Toc17641"/>
      <w:bookmarkStart w:id="594" w:name="_Toc15987"/>
      <w:bookmarkStart w:id="595" w:name="_Toc16654"/>
      <w:bookmarkStart w:id="596" w:name="_Toc4600"/>
      <w:r>
        <w:rPr>
          <w:rFonts w:hint="eastAsia" w:ascii="宋体" w:hAnsi="宋体" w:eastAsia="宋体" w:cs="宋体"/>
          <w:b/>
          <w:bCs/>
          <w:color w:val="auto"/>
          <w:sz w:val="20"/>
          <w:szCs w:val="20"/>
          <w:highlight w:val="none"/>
          <w:lang w:val="en-US" w:eastAsia="zh-CN"/>
        </w:rPr>
        <w:t>2.服务达标要求</w:t>
      </w:r>
      <w:bookmarkEnd w:id="593"/>
      <w:r>
        <w:rPr>
          <w:rFonts w:hint="eastAsia" w:ascii="宋体" w:hAnsi="宋体" w:cs="宋体"/>
          <w:b/>
          <w:bCs/>
          <w:color w:val="auto"/>
          <w:sz w:val="20"/>
          <w:szCs w:val="20"/>
          <w:highlight w:val="none"/>
          <w:lang w:val="en-US" w:eastAsia="zh-CN"/>
        </w:rPr>
        <w:t>（后勤设备类型及服务达标要求以采购方需求为准，此表仅供参考）</w:t>
      </w:r>
      <w:bookmarkEnd w:id="594"/>
      <w:bookmarkEnd w:id="595"/>
    </w:p>
    <w:tbl>
      <w:tblPr>
        <w:tblStyle w:val="16"/>
        <w:tblW w:w="8527" w:type="dxa"/>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396"/>
        <w:gridCol w:w="1485"/>
        <w:gridCol w:w="5790"/>
      </w:tblGrid>
      <w:tr w14:paraId="444F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blHeader/>
        </w:trPr>
        <w:tc>
          <w:tcPr>
            <w:tcW w:w="2737" w:type="dxa"/>
            <w:gridSpan w:val="3"/>
            <w:vAlign w:val="center"/>
          </w:tcPr>
          <w:p w14:paraId="03EF48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设备</w:t>
            </w:r>
          </w:p>
        </w:tc>
        <w:tc>
          <w:tcPr>
            <w:tcW w:w="5790" w:type="dxa"/>
            <w:vAlign w:val="center"/>
          </w:tcPr>
          <w:p w14:paraId="3386E7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维保内容</w:t>
            </w:r>
          </w:p>
        </w:tc>
      </w:tr>
      <w:tr w14:paraId="50D6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56" w:type="dxa"/>
            <w:vMerge w:val="restart"/>
            <w:vAlign w:val="center"/>
          </w:tcPr>
          <w:p w14:paraId="274D8E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冰柜</w:t>
            </w:r>
          </w:p>
        </w:tc>
        <w:tc>
          <w:tcPr>
            <w:tcW w:w="1881" w:type="dxa"/>
            <w:gridSpan w:val="2"/>
            <w:vAlign w:val="center"/>
          </w:tcPr>
          <w:p w14:paraId="635F31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压缩机组</w:t>
            </w:r>
          </w:p>
        </w:tc>
        <w:tc>
          <w:tcPr>
            <w:tcW w:w="5790" w:type="dxa"/>
            <w:vAlign w:val="center"/>
          </w:tcPr>
          <w:p w14:paraId="5A7F98C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机体表面清洁，无异响，散热良好，接线牢固</w:t>
            </w:r>
          </w:p>
        </w:tc>
      </w:tr>
      <w:tr w14:paraId="3228C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6AC454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p>
        </w:tc>
        <w:tc>
          <w:tcPr>
            <w:tcW w:w="1881" w:type="dxa"/>
            <w:gridSpan w:val="2"/>
            <w:vAlign w:val="center"/>
          </w:tcPr>
          <w:p w14:paraId="2BCEB4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冷凝器和蒸发器</w:t>
            </w:r>
          </w:p>
        </w:tc>
        <w:tc>
          <w:tcPr>
            <w:tcW w:w="5790" w:type="dxa"/>
            <w:vAlign w:val="center"/>
          </w:tcPr>
          <w:p w14:paraId="1F55544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1</w:t>
            </w:r>
            <w:r>
              <w:rPr>
                <w:rFonts w:hint="eastAsia" w:ascii="宋体" w:hAnsi="宋体" w:eastAsia="宋体" w:cs="宋体"/>
                <w:color w:val="auto"/>
                <w:sz w:val="20"/>
                <w:szCs w:val="20"/>
                <w:highlight w:val="none"/>
                <w:vertAlign w:val="baseline"/>
                <w:lang w:val="en-US" w:eastAsia="zh-CN"/>
              </w:rPr>
              <w:t>.</w:t>
            </w:r>
            <w:r>
              <w:rPr>
                <w:rFonts w:hint="eastAsia" w:ascii="宋体" w:hAnsi="宋体" w:eastAsia="宋体" w:cs="宋体"/>
                <w:color w:val="auto"/>
                <w:sz w:val="20"/>
                <w:szCs w:val="20"/>
                <w:highlight w:val="none"/>
                <w:vertAlign w:val="baseline"/>
              </w:rPr>
              <w:t>滤网干净，翅片表面无灰尘、污渍</w:t>
            </w:r>
          </w:p>
          <w:p w14:paraId="57A5CBF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2</w:t>
            </w:r>
            <w:r>
              <w:rPr>
                <w:rFonts w:hint="eastAsia" w:ascii="宋体" w:hAnsi="宋体" w:eastAsia="宋体" w:cs="宋体"/>
                <w:color w:val="auto"/>
                <w:sz w:val="20"/>
                <w:szCs w:val="20"/>
                <w:highlight w:val="none"/>
                <w:vertAlign w:val="baseline"/>
                <w:lang w:val="en-US" w:eastAsia="zh-CN"/>
              </w:rPr>
              <w:t>.</w:t>
            </w:r>
            <w:r>
              <w:rPr>
                <w:rFonts w:hint="eastAsia" w:ascii="宋体" w:hAnsi="宋体" w:eastAsia="宋体" w:cs="宋体"/>
                <w:color w:val="auto"/>
                <w:sz w:val="20"/>
                <w:szCs w:val="20"/>
                <w:highlight w:val="none"/>
                <w:vertAlign w:val="baseline"/>
              </w:rPr>
              <w:t>散热及散冷风畅通</w:t>
            </w:r>
          </w:p>
          <w:p w14:paraId="70C42C7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3</w:t>
            </w:r>
            <w:r>
              <w:rPr>
                <w:rFonts w:hint="eastAsia" w:ascii="宋体" w:hAnsi="宋体" w:eastAsia="宋体" w:cs="宋体"/>
                <w:color w:val="auto"/>
                <w:sz w:val="20"/>
                <w:szCs w:val="20"/>
                <w:highlight w:val="none"/>
                <w:vertAlign w:val="baseline"/>
                <w:lang w:val="en-US" w:eastAsia="zh-CN"/>
              </w:rPr>
              <w:t>.</w:t>
            </w:r>
            <w:r>
              <w:rPr>
                <w:rFonts w:hint="eastAsia" w:ascii="宋体" w:hAnsi="宋体" w:eastAsia="宋体" w:cs="宋体"/>
                <w:color w:val="auto"/>
                <w:sz w:val="20"/>
                <w:szCs w:val="20"/>
                <w:highlight w:val="none"/>
                <w:vertAlign w:val="baseline"/>
              </w:rPr>
              <w:t>风扇运行平稳，无异响</w:t>
            </w:r>
          </w:p>
        </w:tc>
      </w:tr>
      <w:tr w14:paraId="6AA1C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6FF722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p>
        </w:tc>
        <w:tc>
          <w:tcPr>
            <w:tcW w:w="1881" w:type="dxa"/>
            <w:gridSpan w:val="2"/>
            <w:vAlign w:val="center"/>
          </w:tcPr>
          <w:p w14:paraId="3FB1BC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制冷工况</w:t>
            </w:r>
          </w:p>
        </w:tc>
        <w:tc>
          <w:tcPr>
            <w:tcW w:w="5790" w:type="dxa"/>
            <w:vAlign w:val="center"/>
          </w:tcPr>
          <w:p w14:paraId="5E08059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1</w:t>
            </w:r>
            <w:r>
              <w:rPr>
                <w:rFonts w:hint="eastAsia" w:ascii="宋体" w:hAnsi="宋体" w:eastAsia="宋体" w:cs="宋体"/>
                <w:color w:val="auto"/>
                <w:sz w:val="20"/>
                <w:szCs w:val="20"/>
                <w:highlight w:val="none"/>
                <w:vertAlign w:val="baseline"/>
                <w:lang w:val="en-US" w:eastAsia="zh-CN"/>
              </w:rPr>
              <w:t>.</w:t>
            </w:r>
            <w:r>
              <w:rPr>
                <w:rFonts w:hint="eastAsia" w:ascii="宋体" w:hAnsi="宋体" w:eastAsia="宋体" w:cs="宋体"/>
                <w:color w:val="auto"/>
                <w:sz w:val="20"/>
                <w:szCs w:val="20"/>
                <w:highlight w:val="none"/>
                <w:vertAlign w:val="baseline"/>
              </w:rPr>
              <w:t>温度设定合理，冷藏（0-4℃），冷冻（-14℃--16℃）</w:t>
            </w:r>
          </w:p>
          <w:p w14:paraId="3AE47A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2</w:t>
            </w:r>
            <w:r>
              <w:rPr>
                <w:rFonts w:hint="eastAsia" w:ascii="宋体" w:hAnsi="宋体" w:eastAsia="宋体" w:cs="宋体"/>
                <w:color w:val="auto"/>
                <w:sz w:val="20"/>
                <w:szCs w:val="20"/>
                <w:highlight w:val="none"/>
                <w:vertAlign w:val="baseline"/>
                <w:lang w:val="en-US" w:eastAsia="zh-CN"/>
              </w:rPr>
              <w:t>.</w:t>
            </w:r>
            <w:r>
              <w:rPr>
                <w:rFonts w:hint="eastAsia" w:ascii="宋体" w:hAnsi="宋体" w:eastAsia="宋体" w:cs="宋体"/>
                <w:color w:val="auto"/>
                <w:sz w:val="20"/>
                <w:szCs w:val="20"/>
                <w:highlight w:val="none"/>
                <w:vertAlign w:val="baseline"/>
              </w:rPr>
              <w:t>制冷系统高低压力在正常范围（R134A冷媒运行低压压力在1.5帕左右</w:t>
            </w:r>
          </w:p>
          <w:p w14:paraId="4594296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3</w:t>
            </w:r>
            <w:r>
              <w:rPr>
                <w:rFonts w:hint="eastAsia" w:ascii="宋体" w:hAnsi="宋体" w:eastAsia="宋体" w:cs="宋体"/>
                <w:color w:val="auto"/>
                <w:sz w:val="20"/>
                <w:szCs w:val="20"/>
                <w:highlight w:val="none"/>
                <w:vertAlign w:val="baseline"/>
                <w:lang w:val="en-US" w:eastAsia="zh-CN"/>
              </w:rPr>
              <w:t>.</w:t>
            </w:r>
            <w:r>
              <w:rPr>
                <w:rFonts w:hint="eastAsia" w:ascii="宋体" w:hAnsi="宋体" w:eastAsia="宋体" w:cs="宋体"/>
                <w:color w:val="auto"/>
                <w:sz w:val="20"/>
                <w:szCs w:val="20"/>
                <w:highlight w:val="none"/>
                <w:vertAlign w:val="baseline"/>
              </w:rPr>
              <w:t>自动容霜功能正常，并设置合理以节约能源</w:t>
            </w:r>
          </w:p>
          <w:p w14:paraId="4C41A6D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4</w:t>
            </w:r>
            <w:r>
              <w:rPr>
                <w:rFonts w:hint="eastAsia" w:ascii="宋体" w:hAnsi="宋体" w:eastAsia="宋体" w:cs="宋体"/>
                <w:color w:val="auto"/>
                <w:sz w:val="20"/>
                <w:szCs w:val="20"/>
                <w:highlight w:val="none"/>
                <w:vertAlign w:val="baseline"/>
                <w:lang w:val="en-US" w:eastAsia="zh-CN"/>
              </w:rPr>
              <w:t>.</w:t>
            </w:r>
            <w:r>
              <w:rPr>
                <w:rFonts w:hint="eastAsia" w:ascii="宋体" w:hAnsi="宋体" w:eastAsia="宋体" w:cs="宋体"/>
                <w:color w:val="auto"/>
                <w:sz w:val="20"/>
                <w:szCs w:val="20"/>
                <w:highlight w:val="none"/>
                <w:vertAlign w:val="baseline"/>
              </w:rPr>
              <w:t>过流、过热、超温、高低压保护须正常有效</w:t>
            </w:r>
          </w:p>
        </w:tc>
      </w:tr>
      <w:tr w14:paraId="095B3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6" w:type="dxa"/>
            <w:vMerge w:val="continue"/>
            <w:vAlign w:val="center"/>
          </w:tcPr>
          <w:p w14:paraId="79E68D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p>
        </w:tc>
        <w:tc>
          <w:tcPr>
            <w:tcW w:w="1881" w:type="dxa"/>
            <w:gridSpan w:val="2"/>
            <w:vAlign w:val="center"/>
          </w:tcPr>
          <w:p w14:paraId="02BAE0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电子部件</w:t>
            </w:r>
          </w:p>
        </w:tc>
        <w:tc>
          <w:tcPr>
            <w:tcW w:w="5790" w:type="dxa"/>
            <w:vAlign w:val="center"/>
          </w:tcPr>
          <w:p w14:paraId="7DBFE6E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面板及按键现实正常，操作有效</w:t>
            </w:r>
          </w:p>
        </w:tc>
      </w:tr>
      <w:tr w14:paraId="6046E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6" w:type="dxa"/>
            <w:vMerge w:val="continue"/>
            <w:vAlign w:val="center"/>
          </w:tcPr>
          <w:p w14:paraId="5B6F7D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p>
        </w:tc>
        <w:tc>
          <w:tcPr>
            <w:tcW w:w="1881" w:type="dxa"/>
            <w:gridSpan w:val="2"/>
            <w:vAlign w:val="center"/>
          </w:tcPr>
          <w:p w14:paraId="1A8C11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门体</w:t>
            </w:r>
          </w:p>
        </w:tc>
        <w:tc>
          <w:tcPr>
            <w:tcW w:w="5790" w:type="dxa"/>
            <w:vAlign w:val="center"/>
          </w:tcPr>
          <w:p w14:paraId="3BE86D8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箱门密封良好，回弹灵活</w:t>
            </w:r>
          </w:p>
        </w:tc>
      </w:tr>
      <w:tr w14:paraId="43BCC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restart"/>
            <w:vAlign w:val="center"/>
          </w:tcPr>
          <w:p w14:paraId="32E3AA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高温/低温冷库机组</w:t>
            </w:r>
          </w:p>
        </w:tc>
        <w:tc>
          <w:tcPr>
            <w:tcW w:w="1881" w:type="dxa"/>
            <w:gridSpan w:val="2"/>
            <w:vAlign w:val="center"/>
          </w:tcPr>
          <w:p w14:paraId="339441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压缩机组的工作环境和制冷工况</w:t>
            </w:r>
          </w:p>
        </w:tc>
        <w:tc>
          <w:tcPr>
            <w:tcW w:w="5790" w:type="dxa"/>
            <w:vAlign w:val="center"/>
          </w:tcPr>
          <w:p w14:paraId="24AB194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w:t>
            </w:r>
            <w:r>
              <w:rPr>
                <w:rFonts w:hint="eastAsia" w:ascii="宋体" w:hAnsi="宋体" w:eastAsia="宋体" w:cs="宋体"/>
                <w:color w:val="auto"/>
                <w:sz w:val="20"/>
                <w:szCs w:val="20"/>
                <w:highlight w:val="none"/>
                <w:vertAlign w:val="baseline"/>
              </w:rPr>
              <w:t>机体表面清洁，无异响，接线牢固</w:t>
            </w:r>
          </w:p>
          <w:p w14:paraId="7556A7C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2.</w:t>
            </w:r>
            <w:r>
              <w:rPr>
                <w:rFonts w:hint="eastAsia" w:ascii="宋体" w:hAnsi="宋体" w:eastAsia="宋体" w:cs="宋体"/>
                <w:color w:val="auto"/>
                <w:sz w:val="20"/>
                <w:szCs w:val="20"/>
                <w:highlight w:val="none"/>
                <w:vertAlign w:val="baseline"/>
              </w:rPr>
              <w:t>压缩机冷冻油液位正常</w:t>
            </w:r>
          </w:p>
          <w:p w14:paraId="35E4B0F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3.</w:t>
            </w:r>
            <w:r>
              <w:rPr>
                <w:rFonts w:hint="eastAsia" w:ascii="宋体" w:hAnsi="宋体" w:eastAsia="宋体" w:cs="宋体"/>
                <w:color w:val="auto"/>
                <w:sz w:val="20"/>
                <w:szCs w:val="20"/>
                <w:highlight w:val="none"/>
                <w:vertAlign w:val="baseline"/>
              </w:rPr>
              <w:t>工作电流平稳</w:t>
            </w:r>
          </w:p>
          <w:p w14:paraId="0775873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4.</w:t>
            </w:r>
            <w:r>
              <w:rPr>
                <w:rFonts w:hint="eastAsia" w:ascii="宋体" w:hAnsi="宋体" w:eastAsia="宋体" w:cs="宋体"/>
                <w:color w:val="auto"/>
                <w:sz w:val="20"/>
                <w:szCs w:val="20"/>
                <w:highlight w:val="none"/>
                <w:vertAlign w:val="baseline"/>
              </w:rPr>
              <w:t>制冷剂高低压在正常范围</w:t>
            </w:r>
          </w:p>
        </w:tc>
      </w:tr>
      <w:tr w14:paraId="6E165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225CE2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p>
        </w:tc>
        <w:tc>
          <w:tcPr>
            <w:tcW w:w="1881" w:type="dxa"/>
            <w:gridSpan w:val="2"/>
            <w:vAlign w:val="center"/>
          </w:tcPr>
          <w:p w14:paraId="7527F7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冷凝器和蒸发器的清洁状况</w:t>
            </w:r>
          </w:p>
        </w:tc>
        <w:tc>
          <w:tcPr>
            <w:tcW w:w="5790" w:type="dxa"/>
            <w:vAlign w:val="center"/>
          </w:tcPr>
          <w:p w14:paraId="693C224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w:t>
            </w:r>
            <w:r>
              <w:rPr>
                <w:rFonts w:hint="eastAsia" w:ascii="宋体" w:hAnsi="宋体" w:eastAsia="宋体" w:cs="宋体"/>
                <w:color w:val="auto"/>
                <w:sz w:val="20"/>
                <w:szCs w:val="20"/>
                <w:highlight w:val="none"/>
                <w:vertAlign w:val="baseline"/>
              </w:rPr>
              <w:t>风机轴承无异响、震动，接线牢固</w:t>
            </w:r>
          </w:p>
          <w:p w14:paraId="746F82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2.</w:t>
            </w:r>
            <w:r>
              <w:rPr>
                <w:rFonts w:hint="eastAsia" w:ascii="宋体" w:hAnsi="宋体" w:eastAsia="宋体" w:cs="宋体"/>
                <w:color w:val="auto"/>
                <w:sz w:val="20"/>
                <w:szCs w:val="20"/>
                <w:highlight w:val="none"/>
                <w:vertAlign w:val="baseline"/>
              </w:rPr>
              <w:t>盘管表面无锈蚀、腐烂现象，冷凝及蒸发器翅片无灰尘，散热良好</w:t>
            </w:r>
          </w:p>
        </w:tc>
      </w:tr>
      <w:tr w14:paraId="20A3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2DC805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p>
        </w:tc>
        <w:tc>
          <w:tcPr>
            <w:tcW w:w="1881" w:type="dxa"/>
            <w:gridSpan w:val="2"/>
            <w:vAlign w:val="center"/>
          </w:tcPr>
          <w:p w14:paraId="6BDD57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rPr>
              <w:t>控制系统（温度及化霜等主要参数的设定）</w:t>
            </w:r>
          </w:p>
        </w:tc>
        <w:tc>
          <w:tcPr>
            <w:tcW w:w="5790" w:type="dxa"/>
            <w:vAlign w:val="center"/>
          </w:tcPr>
          <w:p w14:paraId="7804DEE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1.</w:t>
            </w:r>
            <w:r>
              <w:rPr>
                <w:rFonts w:hint="eastAsia" w:ascii="宋体" w:hAnsi="宋体" w:eastAsia="宋体" w:cs="宋体"/>
                <w:color w:val="auto"/>
                <w:sz w:val="20"/>
                <w:szCs w:val="20"/>
                <w:highlight w:val="none"/>
                <w:vertAlign w:val="baseline"/>
              </w:rPr>
              <w:t>温度控制、高低压保护控制过流保护、温度保护控制手动测试等需正常</w:t>
            </w:r>
          </w:p>
          <w:p w14:paraId="0D44110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2.</w:t>
            </w:r>
            <w:r>
              <w:rPr>
                <w:rFonts w:hint="eastAsia" w:ascii="宋体" w:hAnsi="宋体" w:eastAsia="宋体" w:cs="宋体"/>
                <w:color w:val="auto"/>
                <w:sz w:val="20"/>
                <w:szCs w:val="20"/>
                <w:highlight w:val="none"/>
                <w:vertAlign w:val="baseline"/>
              </w:rPr>
              <w:t>空开、保险接线牢固并有效</w:t>
            </w:r>
          </w:p>
          <w:p w14:paraId="3529503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3.</w:t>
            </w:r>
            <w:r>
              <w:rPr>
                <w:rFonts w:hint="eastAsia" w:ascii="宋体" w:hAnsi="宋体" w:eastAsia="宋体" w:cs="宋体"/>
                <w:color w:val="auto"/>
                <w:sz w:val="20"/>
                <w:szCs w:val="20"/>
                <w:highlight w:val="none"/>
                <w:vertAlign w:val="baseline"/>
              </w:rPr>
              <w:t>接触器接线牢固并吸合动作正常，无缺相粘死现象</w:t>
            </w:r>
          </w:p>
          <w:p w14:paraId="0132320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4.</w:t>
            </w:r>
            <w:r>
              <w:rPr>
                <w:rFonts w:hint="eastAsia" w:ascii="宋体" w:hAnsi="宋体" w:eastAsia="宋体" w:cs="宋体"/>
                <w:color w:val="auto"/>
                <w:sz w:val="20"/>
                <w:szCs w:val="20"/>
                <w:highlight w:val="none"/>
                <w:vertAlign w:val="baseline"/>
              </w:rPr>
              <w:t>温度设定合理（中温0℃，低温-18℃）</w:t>
            </w:r>
          </w:p>
          <w:p w14:paraId="6500B67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5.</w:t>
            </w:r>
            <w:r>
              <w:rPr>
                <w:rFonts w:hint="eastAsia" w:ascii="宋体" w:hAnsi="宋体" w:eastAsia="宋体" w:cs="宋体"/>
                <w:color w:val="auto"/>
                <w:sz w:val="20"/>
                <w:szCs w:val="20"/>
                <w:highlight w:val="none"/>
                <w:vertAlign w:val="baseline"/>
              </w:rPr>
              <w:t>正常温度（冷藏0℃-4℃，冷冻-14℃--16℃）</w:t>
            </w:r>
          </w:p>
          <w:p w14:paraId="21D22A3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0"/>
                <w:szCs w:val="20"/>
                <w:highlight w:val="none"/>
                <w:vertAlign w:val="baseline"/>
              </w:rPr>
            </w:pPr>
            <w:r>
              <w:rPr>
                <w:rFonts w:hint="eastAsia" w:ascii="宋体" w:hAnsi="宋体" w:eastAsia="宋体" w:cs="宋体"/>
                <w:color w:val="auto"/>
                <w:sz w:val="20"/>
                <w:szCs w:val="20"/>
                <w:highlight w:val="none"/>
                <w:vertAlign w:val="baseline"/>
                <w:lang w:val="en-US" w:eastAsia="zh-CN"/>
              </w:rPr>
              <w:t>6.</w:t>
            </w:r>
            <w:r>
              <w:rPr>
                <w:rFonts w:hint="eastAsia" w:ascii="宋体" w:hAnsi="宋体" w:eastAsia="宋体" w:cs="宋体"/>
                <w:color w:val="auto"/>
                <w:sz w:val="20"/>
                <w:szCs w:val="20"/>
                <w:highlight w:val="none"/>
                <w:vertAlign w:val="baseline"/>
              </w:rPr>
              <w:t>接地良好</w:t>
            </w:r>
          </w:p>
        </w:tc>
      </w:tr>
      <w:tr w14:paraId="7720D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5DFACC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3FC24F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门锁及密封条</w:t>
            </w:r>
          </w:p>
        </w:tc>
        <w:tc>
          <w:tcPr>
            <w:tcW w:w="5790" w:type="dxa"/>
            <w:vAlign w:val="center"/>
          </w:tcPr>
          <w:p w14:paraId="75BD5FB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1.门锁完好、无损坏</w:t>
            </w:r>
          </w:p>
          <w:p w14:paraId="410BA7E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2.密封条完好，无老化、破损</w:t>
            </w:r>
          </w:p>
        </w:tc>
      </w:tr>
      <w:tr w14:paraId="3F700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37" w:type="dxa"/>
            <w:gridSpan w:val="3"/>
            <w:vAlign w:val="center"/>
          </w:tcPr>
          <w:p w14:paraId="6DF564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电热设备</w:t>
            </w:r>
          </w:p>
        </w:tc>
        <w:tc>
          <w:tcPr>
            <w:tcW w:w="5790" w:type="dxa"/>
            <w:vAlign w:val="center"/>
          </w:tcPr>
          <w:p w14:paraId="65E8A72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1.检查各功能按键是否有效，面板显示正常</w:t>
            </w:r>
          </w:p>
          <w:p w14:paraId="68EA81B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2.检测设备供电电压、工作电流是否标准，接地良好</w:t>
            </w:r>
          </w:p>
          <w:p w14:paraId="4AF1ADA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3.检测设备发热器件绝缘性能无漏电</w:t>
            </w:r>
          </w:p>
          <w:p w14:paraId="3FB901C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4.元器件接线无松动或打火，尤其注意大功率元件5.接线端及接触器接线端的紧固状况</w:t>
            </w:r>
          </w:p>
          <w:p w14:paraId="0C52343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6.检查接触器或继电器有无缺相及粘连</w:t>
            </w:r>
          </w:p>
          <w:p w14:paraId="11442D1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7.检查温度传感器控温是否精准，有超温保护的应手动测试此功能是否有效</w:t>
            </w:r>
          </w:p>
          <w:p w14:paraId="2554AD5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8.用水设备应定期清洁前置滤水系统，确保水质干净</w:t>
            </w:r>
          </w:p>
          <w:p w14:paraId="4BBFD8D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9.检查并清洁各级滤网，检查进水电磁阀水位浮球开关及防干烧保护是否正常有效</w:t>
            </w:r>
          </w:p>
          <w:p w14:paraId="56B33FD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10.定期清理水箱水垢</w:t>
            </w:r>
          </w:p>
          <w:p w14:paraId="77275ED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11.水箱无滴、漏水，排水顺畅</w:t>
            </w:r>
          </w:p>
          <w:p w14:paraId="54430C2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12.设备有散热孔的要定期清理散热孔的灰尘，以防堵塞影响散热</w:t>
            </w:r>
          </w:p>
        </w:tc>
      </w:tr>
      <w:tr w14:paraId="4CC7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37" w:type="dxa"/>
            <w:gridSpan w:val="3"/>
            <w:vAlign w:val="center"/>
          </w:tcPr>
          <w:p w14:paraId="11D2AE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食品机械</w:t>
            </w:r>
          </w:p>
        </w:tc>
        <w:tc>
          <w:tcPr>
            <w:tcW w:w="5790" w:type="dxa"/>
            <w:vAlign w:val="center"/>
          </w:tcPr>
          <w:p w14:paraId="7E5B960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1.各部件传动灵活，无异响、振动</w:t>
            </w:r>
          </w:p>
          <w:p w14:paraId="5880138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2.操作及保护开关功能可靠</w:t>
            </w:r>
          </w:p>
          <w:p w14:paraId="3B6BF72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3.各部件无螺丝松动，无安全隐患</w:t>
            </w:r>
          </w:p>
          <w:p w14:paraId="630EBAA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4.电机表面干净，电线无拖、绞、缠安全隐患</w:t>
            </w:r>
          </w:p>
          <w:p w14:paraId="05F5BB0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5.设备接地良好</w:t>
            </w:r>
          </w:p>
        </w:tc>
      </w:tr>
      <w:tr w14:paraId="1B1C2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37" w:type="dxa"/>
            <w:gridSpan w:val="3"/>
            <w:vAlign w:val="center"/>
          </w:tcPr>
          <w:p w14:paraId="7C1677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排烟系统</w:t>
            </w:r>
          </w:p>
        </w:tc>
        <w:tc>
          <w:tcPr>
            <w:tcW w:w="5790" w:type="dxa"/>
            <w:vAlign w:val="center"/>
          </w:tcPr>
          <w:p w14:paraId="53B4359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1.检查马达是否牢固，相间运行电压、电流是否正常，紧固松动部件，检查皮带松紧度及磨损状况</w:t>
            </w:r>
          </w:p>
          <w:p w14:paraId="62CBE0F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2.检查风柜轴承无异响，定期加注黄油，叶轮清洁，螺丝紧固</w:t>
            </w:r>
          </w:p>
          <w:p w14:paraId="7E9A0B4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3.室内运水烟罩控制系统是否正常，定期清理水箱积油</w:t>
            </w:r>
          </w:p>
        </w:tc>
      </w:tr>
      <w:tr w14:paraId="044D2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restart"/>
            <w:vAlign w:val="center"/>
          </w:tcPr>
          <w:p w14:paraId="2D2976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洗碗机</w:t>
            </w:r>
          </w:p>
        </w:tc>
        <w:tc>
          <w:tcPr>
            <w:tcW w:w="1881" w:type="dxa"/>
            <w:gridSpan w:val="2"/>
            <w:vAlign w:val="center"/>
          </w:tcPr>
          <w:p w14:paraId="77C5F9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电机、水泵</w:t>
            </w:r>
          </w:p>
        </w:tc>
        <w:tc>
          <w:tcPr>
            <w:tcW w:w="5790" w:type="dxa"/>
            <w:vAlign w:val="center"/>
          </w:tcPr>
          <w:p w14:paraId="399E935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1.电机轴承无异响，振动，接线牢固</w:t>
            </w:r>
          </w:p>
          <w:p w14:paraId="70AAA89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2.轴封良好无漏水现象</w:t>
            </w:r>
          </w:p>
          <w:p w14:paraId="0BA7197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3.电机工作电流平衡、无缺相运行</w:t>
            </w:r>
          </w:p>
          <w:p w14:paraId="0F6B1FF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4.吸水口防护罩或过滤网无破损</w:t>
            </w:r>
          </w:p>
          <w:p w14:paraId="6DC58A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5.叶轮无异物堵塞、卡死</w:t>
            </w:r>
          </w:p>
          <w:p w14:paraId="5EA802E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6.电机线圈绝缘50兆欧姆以上良好，接地线可靠连接</w:t>
            </w:r>
          </w:p>
        </w:tc>
      </w:tr>
      <w:tr w14:paraId="5C14C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7F688D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6F42B3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运输带系统</w:t>
            </w:r>
          </w:p>
        </w:tc>
        <w:tc>
          <w:tcPr>
            <w:tcW w:w="5790" w:type="dxa"/>
            <w:vAlign w:val="center"/>
          </w:tcPr>
          <w:p w14:paraId="42A801C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1.电机轴无异响，振动，接线牢固</w:t>
            </w:r>
          </w:p>
          <w:p w14:paraId="05E3BCB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2.齿轮无磨损、开裂、打滑</w:t>
            </w:r>
          </w:p>
          <w:p w14:paraId="09095D1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3.运输链勾无断裂、磨损、变形</w:t>
            </w:r>
          </w:p>
          <w:p w14:paraId="24D9915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4.运输链不锈钢连杆无磨损、变形导致链勾起拱</w:t>
            </w:r>
          </w:p>
          <w:p w14:paraId="504705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5.链条润滑良好，无松动</w:t>
            </w:r>
          </w:p>
          <w:p w14:paraId="22C1AFC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6.润滑良好，运行平稳</w:t>
            </w:r>
          </w:p>
        </w:tc>
      </w:tr>
      <w:tr w14:paraId="63ADB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12D8E2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174E60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轮叶</w:t>
            </w:r>
          </w:p>
        </w:tc>
        <w:tc>
          <w:tcPr>
            <w:tcW w:w="5790" w:type="dxa"/>
            <w:vAlign w:val="center"/>
          </w:tcPr>
          <w:p w14:paraId="6219537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1.电机轴承无异响，振动，接线牢固</w:t>
            </w:r>
          </w:p>
          <w:p w14:paraId="3EE1559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2.电机、叶轮表明清洁干净，无油污，无异物堵塞、卡死</w:t>
            </w:r>
          </w:p>
        </w:tc>
      </w:tr>
      <w:tr w14:paraId="2E2B5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22855B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016D86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进水过滤器</w:t>
            </w:r>
          </w:p>
        </w:tc>
        <w:tc>
          <w:tcPr>
            <w:tcW w:w="5790" w:type="dxa"/>
            <w:vAlign w:val="center"/>
          </w:tcPr>
          <w:p w14:paraId="404E4AE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清洗，无异物堵塞</w:t>
            </w:r>
          </w:p>
        </w:tc>
      </w:tr>
      <w:tr w14:paraId="43E04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2B4689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0E138F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过水电磁阀</w:t>
            </w:r>
          </w:p>
        </w:tc>
        <w:tc>
          <w:tcPr>
            <w:tcW w:w="5790" w:type="dxa"/>
            <w:vAlign w:val="center"/>
          </w:tcPr>
          <w:p w14:paraId="03935EB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工作正常，电磁阀线圈长通</w:t>
            </w:r>
          </w:p>
        </w:tc>
      </w:tr>
      <w:tr w14:paraId="5344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0B00FB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7AAAF6B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过水减压阀、压力表</w:t>
            </w:r>
          </w:p>
        </w:tc>
        <w:tc>
          <w:tcPr>
            <w:tcW w:w="5790" w:type="dxa"/>
            <w:vAlign w:val="center"/>
          </w:tcPr>
          <w:p w14:paraId="50CC26D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减压阀工作正常、压力表显示正常在表</w:t>
            </w:r>
          </w:p>
        </w:tc>
      </w:tr>
      <w:tr w14:paraId="79715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2539E1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72736F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排水电磁阀</w:t>
            </w:r>
          </w:p>
        </w:tc>
        <w:tc>
          <w:tcPr>
            <w:tcW w:w="5790" w:type="dxa"/>
            <w:vAlign w:val="center"/>
          </w:tcPr>
          <w:p w14:paraId="1E8D25A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盘绿色区域</w:t>
            </w:r>
          </w:p>
        </w:tc>
      </w:tr>
      <w:tr w14:paraId="286C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42F6C7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742482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保护开关</w:t>
            </w:r>
          </w:p>
        </w:tc>
        <w:tc>
          <w:tcPr>
            <w:tcW w:w="5790" w:type="dxa"/>
            <w:vAlign w:val="center"/>
          </w:tcPr>
          <w:p w14:paraId="6701124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工作正常，电磁阀线圈长通</w:t>
            </w:r>
          </w:p>
        </w:tc>
      </w:tr>
      <w:tr w14:paraId="080CA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558042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73F94A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水压力、喷嘴</w:t>
            </w:r>
          </w:p>
        </w:tc>
        <w:tc>
          <w:tcPr>
            <w:tcW w:w="5790" w:type="dxa"/>
            <w:vAlign w:val="center"/>
          </w:tcPr>
          <w:p w14:paraId="1975694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保护开关经手动测试正常工作</w:t>
            </w:r>
          </w:p>
        </w:tc>
      </w:tr>
      <w:tr w14:paraId="68259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1F8C63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054E79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主洗发热管、接线头</w:t>
            </w:r>
          </w:p>
        </w:tc>
        <w:tc>
          <w:tcPr>
            <w:tcW w:w="5790" w:type="dxa"/>
            <w:vAlign w:val="center"/>
          </w:tcPr>
          <w:p w14:paraId="432AFED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过水压力正常、喷嘴无堵塞</w:t>
            </w:r>
          </w:p>
        </w:tc>
      </w:tr>
      <w:tr w14:paraId="2B0B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vMerge w:val="continue"/>
            <w:vAlign w:val="center"/>
          </w:tcPr>
          <w:p w14:paraId="04E177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p>
        </w:tc>
        <w:tc>
          <w:tcPr>
            <w:tcW w:w="1881" w:type="dxa"/>
            <w:gridSpan w:val="2"/>
            <w:vAlign w:val="center"/>
          </w:tcPr>
          <w:p w14:paraId="1253B6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门弹簧、胶帘</w:t>
            </w:r>
          </w:p>
        </w:tc>
        <w:tc>
          <w:tcPr>
            <w:tcW w:w="5790" w:type="dxa"/>
            <w:vAlign w:val="center"/>
          </w:tcPr>
          <w:p w14:paraId="4E93CA8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1.发热管工作电流平衡</w:t>
            </w:r>
          </w:p>
          <w:p w14:paraId="4365F68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2.接线头接线牢固，无松动，烧坏现象</w:t>
            </w:r>
          </w:p>
          <w:p w14:paraId="67C476D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0"/>
                <w:szCs w:val="20"/>
                <w:highlight w:val="none"/>
                <w:vertAlign w:val="baseline"/>
                <w:lang w:val="en-US" w:eastAsia="zh-CN" w:bidi="ar-SA"/>
              </w:rPr>
            </w:pPr>
            <w:r>
              <w:rPr>
                <w:rFonts w:hint="eastAsia" w:ascii="宋体" w:hAnsi="宋体" w:eastAsia="宋体" w:cs="宋体"/>
                <w:color w:val="auto"/>
                <w:kern w:val="2"/>
                <w:sz w:val="20"/>
                <w:szCs w:val="20"/>
                <w:highlight w:val="none"/>
                <w:vertAlign w:val="baseline"/>
                <w:lang w:val="en-US" w:eastAsia="zh-CN" w:bidi="ar-SA"/>
              </w:rPr>
              <w:t>3.发热管防水胶圈，胶垫完好，无老化漏水</w:t>
            </w:r>
          </w:p>
        </w:tc>
      </w:tr>
      <w:tr w14:paraId="2D5AD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737" w:type="dxa"/>
            <w:gridSpan w:val="3"/>
            <w:vMerge w:val="restart"/>
            <w:vAlign w:val="center"/>
          </w:tcPr>
          <w:p w14:paraId="65CD2F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bookmarkStart w:id="597" w:name="_Toc766"/>
            <w:r>
              <w:rPr>
                <w:rFonts w:hint="eastAsia" w:ascii="宋体" w:hAnsi="宋体" w:eastAsia="宋体" w:cs="宋体"/>
                <w:color w:val="auto"/>
                <w:sz w:val="20"/>
                <w:szCs w:val="20"/>
                <w:lang w:val="en-US" w:eastAsia="zh-CN"/>
              </w:rPr>
              <w:t>工业</w:t>
            </w:r>
          </w:p>
          <w:p w14:paraId="4D19E9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洗衣机</w:t>
            </w:r>
          </w:p>
        </w:tc>
        <w:tc>
          <w:tcPr>
            <w:tcW w:w="5790" w:type="dxa"/>
            <w:vAlign w:val="center"/>
          </w:tcPr>
          <w:p w14:paraId="3C44831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对气管进行检查是否漏气情况。</w:t>
            </w:r>
          </w:p>
        </w:tc>
      </w:tr>
      <w:tr w14:paraId="50A68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737" w:type="dxa"/>
            <w:gridSpan w:val="3"/>
            <w:vMerge w:val="continue"/>
            <w:vAlign w:val="center"/>
          </w:tcPr>
          <w:p w14:paraId="229C7C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1BBAE5F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洗衣机运转是否有异常声响。</w:t>
            </w:r>
          </w:p>
        </w:tc>
      </w:tr>
      <w:tr w14:paraId="718B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737" w:type="dxa"/>
            <w:gridSpan w:val="3"/>
            <w:vMerge w:val="continue"/>
            <w:vAlign w:val="center"/>
          </w:tcPr>
          <w:p w14:paraId="569C02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4E4BD76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洗衣机运转时门把锁是否有漏水情况。</w:t>
            </w:r>
          </w:p>
        </w:tc>
      </w:tr>
      <w:tr w14:paraId="34A44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2737" w:type="dxa"/>
            <w:gridSpan w:val="3"/>
            <w:vMerge w:val="continue"/>
            <w:vAlign w:val="center"/>
          </w:tcPr>
          <w:p w14:paraId="026829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1ABA92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对气动电磁阀（三组件）及蒸汽电磁阀进行检查，发现有漏气或异常情况及时纠正。</w:t>
            </w:r>
          </w:p>
        </w:tc>
      </w:tr>
      <w:tr w14:paraId="5C48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2737" w:type="dxa"/>
            <w:gridSpan w:val="3"/>
            <w:vMerge w:val="continue"/>
            <w:vAlign w:val="center"/>
          </w:tcPr>
          <w:p w14:paraId="25EBC8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75B8E99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检查排水接头连接处，发现有漏水、堵塞情况及时维修。</w:t>
            </w:r>
          </w:p>
        </w:tc>
      </w:tr>
      <w:tr w14:paraId="4793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37" w:type="dxa"/>
            <w:gridSpan w:val="3"/>
            <w:vMerge w:val="continue"/>
            <w:vAlign w:val="center"/>
          </w:tcPr>
          <w:p w14:paraId="3BDC2C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28D7904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lang w:val="en-US" w:eastAsia="zh-CN"/>
              </w:rPr>
              <w:t>卫生清洁：对所有洗衣机进行内部及外部清洁，保证干净无污物。</w:t>
            </w:r>
          </w:p>
        </w:tc>
      </w:tr>
      <w:tr w14:paraId="3C0F2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trPr>
        <w:tc>
          <w:tcPr>
            <w:tcW w:w="2737" w:type="dxa"/>
            <w:gridSpan w:val="3"/>
            <w:vMerge w:val="continue"/>
            <w:vAlign w:val="center"/>
          </w:tcPr>
          <w:p w14:paraId="557B10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43ADEA0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vertAlign w:val="baseline"/>
                <w:lang w:val="en-US" w:eastAsia="zh-CN" w:bidi="ar-SA"/>
              </w:rPr>
            </w:pPr>
            <w:r>
              <w:rPr>
                <w:rFonts w:hint="eastAsia" w:ascii="宋体" w:hAnsi="宋体" w:eastAsia="宋体" w:cs="宋体"/>
                <w:b w:val="0"/>
                <w:bCs w:val="0"/>
                <w:color w:val="auto"/>
                <w:sz w:val="20"/>
                <w:szCs w:val="20"/>
                <w:lang w:val="en-US" w:eastAsia="zh-CN"/>
              </w:rPr>
              <w:t>对气源处理三联过滤器应每季度定期放水，油雾器油杯应即时补油，用油规格为10#或20#机械油。</w:t>
            </w:r>
          </w:p>
        </w:tc>
      </w:tr>
      <w:tr w14:paraId="25AF7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2737" w:type="dxa"/>
            <w:gridSpan w:val="3"/>
            <w:vMerge w:val="continue"/>
            <w:vAlign w:val="center"/>
          </w:tcPr>
          <w:p w14:paraId="77E4DF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0CA2629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调整皮带松紧度，发现磨损和破裂时，及时报告并依照规定流程完成更换。</w:t>
            </w:r>
          </w:p>
        </w:tc>
      </w:tr>
      <w:tr w14:paraId="2EF75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8" w:hRule="atLeast"/>
        </w:trPr>
        <w:tc>
          <w:tcPr>
            <w:tcW w:w="2737" w:type="dxa"/>
            <w:gridSpan w:val="3"/>
            <w:vMerge w:val="continue"/>
            <w:vAlign w:val="center"/>
          </w:tcPr>
          <w:p w14:paraId="0439BF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58022A7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用手动加油泵，对轴承座两端轴承加注含有10#机油的锂基润滑脂，每运行500小时按压手动油泵两下。切勿加注过于频繁，过多加注润滑脂有可能会导致油脂被压入洗涤缸体，将洗涤物沾污。</w:t>
            </w:r>
          </w:p>
        </w:tc>
      </w:tr>
      <w:tr w14:paraId="3DB91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2737" w:type="dxa"/>
            <w:gridSpan w:val="3"/>
            <w:vMerge w:val="restart"/>
            <w:vAlign w:val="center"/>
          </w:tcPr>
          <w:p w14:paraId="47B42C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干衣机</w:t>
            </w:r>
          </w:p>
        </w:tc>
        <w:tc>
          <w:tcPr>
            <w:tcW w:w="5790" w:type="dxa"/>
            <w:vAlign w:val="center"/>
          </w:tcPr>
          <w:p w14:paraId="08CAB59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检查进口门开关密闭情况，如有漏气情况及时纠正。</w:t>
            </w:r>
          </w:p>
        </w:tc>
      </w:tr>
      <w:tr w14:paraId="6DF59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continue"/>
            <w:vAlign w:val="center"/>
          </w:tcPr>
          <w:p w14:paraId="177CC4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77ACD96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检查门封条密封情况，是否保持密闭性。</w:t>
            </w:r>
          </w:p>
        </w:tc>
      </w:tr>
      <w:tr w14:paraId="503A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continue"/>
            <w:vAlign w:val="center"/>
          </w:tcPr>
          <w:p w14:paraId="77ABAE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2FAC44A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清洁烘干机底下箱子，保持干净。</w:t>
            </w:r>
          </w:p>
        </w:tc>
      </w:tr>
      <w:tr w14:paraId="40CC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continue"/>
            <w:vAlign w:val="center"/>
          </w:tcPr>
          <w:p w14:paraId="2E8870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714F7A4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定期拧开手动截止阀，排除多余水分</w:t>
            </w:r>
          </w:p>
        </w:tc>
      </w:tr>
      <w:tr w14:paraId="0799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continue"/>
            <w:vAlign w:val="center"/>
          </w:tcPr>
          <w:p w14:paraId="14924F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1CEABB9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检查蒸汽电磁阀运转情况，是否正常。</w:t>
            </w:r>
          </w:p>
        </w:tc>
      </w:tr>
      <w:tr w14:paraId="79B3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2737" w:type="dxa"/>
            <w:gridSpan w:val="3"/>
            <w:vMerge w:val="continue"/>
            <w:vAlign w:val="center"/>
          </w:tcPr>
          <w:p w14:paraId="1959F1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696CDD9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vertAlign w:val="baseline"/>
                <w:lang w:val="en-US" w:eastAsia="zh-CN" w:bidi="ar-SA"/>
              </w:rPr>
            </w:pPr>
            <w:r>
              <w:rPr>
                <w:rFonts w:hint="eastAsia" w:ascii="宋体" w:hAnsi="宋体" w:eastAsia="宋体" w:cs="宋体"/>
                <w:color w:val="auto"/>
                <w:sz w:val="20"/>
                <w:szCs w:val="20"/>
                <w:lang w:val="en-US" w:eastAsia="zh-CN"/>
              </w:rPr>
              <w:t>调整皮带松紧度，发现磨损和破裂时，及时报告并依照规定流程完成更换。</w:t>
            </w:r>
          </w:p>
        </w:tc>
      </w:tr>
      <w:tr w14:paraId="56A7E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2737" w:type="dxa"/>
            <w:gridSpan w:val="3"/>
            <w:vMerge w:val="continue"/>
            <w:vAlign w:val="center"/>
          </w:tcPr>
          <w:p w14:paraId="1BA2A6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1981244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清洁过滤网，发现破损时，及时报告并依照规定流程完成更换。</w:t>
            </w:r>
          </w:p>
        </w:tc>
      </w:tr>
      <w:tr w14:paraId="32EC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restart"/>
            <w:vAlign w:val="center"/>
          </w:tcPr>
          <w:p w14:paraId="4AAD95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干洗机</w:t>
            </w:r>
          </w:p>
        </w:tc>
        <w:tc>
          <w:tcPr>
            <w:tcW w:w="5790" w:type="dxa"/>
            <w:vAlign w:val="center"/>
          </w:tcPr>
          <w:p w14:paraId="4EB13C1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检查气管是否有漏气情况。</w:t>
            </w:r>
          </w:p>
        </w:tc>
      </w:tr>
      <w:tr w14:paraId="2A597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continue"/>
            <w:vAlign w:val="center"/>
          </w:tcPr>
          <w:p w14:paraId="192850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11B3D5D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清洁烘干过滤海绵，保持干净。</w:t>
            </w:r>
          </w:p>
        </w:tc>
      </w:tr>
      <w:tr w14:paraId="35BB5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continue"/>
            <w:vAlign w:val="center"/>
          </w:tcPr>
          <w:p w14:paraId="3C3A6C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3C6691B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检查门封条密闭性。</w:t>
            </w:r>
          </w:p>
        </w:tc>
      </w:tr>
      <w:tr w14:paraId="39C5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continue"/>
            <w:vAlign w:val="center"/>
          </w:tcPr>
          <w:p w14:paraId="0CF894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3A0E89F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对气动电磁阀进行检查，看是否正常。</w:t>
            </w:r>
          </w:p>
        </w:tc>
      </w:tr>
      <w:tr w14:paraId="4EDA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737" w:type="dxa"/>
            <w:gridSpan w:val="3"/>
            <w:vMerge w:val="continue"/>
            <w:vAlign w:val="center"/>
          </w:tcPr>
          <w:p w14:paraId="1FDDC2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5283829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检查油泵是否有杂物，避免过载。</w:t>
            </w:r>
          </w:p>
        </w:tc>
      </w:tr>
      <w:tr w14:paraId="63BA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2737" w:type="dxa"/>
            <w:gridSpan w:val="3"/>
            <w:vMerge w:val="continue"/>
            <w:vAlign w:val="center"/>
          </w:tcPr>
          <w:p w14:paraId="70F558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1046A2F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color w:val="auto"/>
                <w:sz w:val="20"/>
                <w:szCs w:val="20"/>
                <w:lang w:val="en-US" w:eastAsia="zh-CN"/>
              </w:rPr>
              <w:t>视情况校正或更换接头有漏气现象的气管，调整皮带松紧度。</w:t>
            </w:r>
          </w:p>
        </w:tc>
      </w:tr>
      <w:tr w14:paraId="5BFB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continue"/>
            <w:vAlign w:val="center"/>
          </w:tcPr>
          <w:p w14:paraId="22404B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64A8FE6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清理进水、进蒸汽过滤器。</w:t>
            </w:r>
          </w:p>
        </w:tc>
      </w:tr>
      <w:tr w14:paraId="31DEA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2737" w:type="dxa"/>
            <w:gridSpan w:val="3"/>
            <w:vMerge w:val="continue"/>
            <w:vAlign w:val="center"/>
          </w:tcPr>
          <w:p w14:paraId="391DF1D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62FAC6B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如干洗油量过少，加油到正常标准。</w:t>
            </w:r>
          </w:p>
        </w:tc>
      </w:tr>
      <w:tr w14:paraId="2D1CC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737" w:type="dxa"/>
            <w:gridSpan w:val="3"/>
            <w:vMerge w:val="restart"/>
            <w:vAlign w:val="center"/>
          </w:tcPr>
          <w:p w14:paraId="17609C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熨平机</w:t>
            </w:r>
          </w:p>
        </w:tc>
        <w:tc>
          <w:tcPr>
            <w:tcW w:w="5790" w:type="dxa"/>
            <w:vAlign w:val="center"/>
          </w:tcPr>
          <w:p w14:paraId="3205D4A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检查蒸汽阀门是否有漏气情况。</w:t>
            </w:r>
          </w:p>
        </w:tc>
      </w:tr>
      <w:tr w14:paraId="6BB6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737" w:type="dxa"/>
            <w:gridSpan w:val="3"/>
            <w:vMerge w:val="continue"/>
            <w:vAlign w:val="center"/>
          </w:tcPr>
          <w:p w14:paraId="40F7A9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55DD323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检查疏水阀是否有漏水情况。</w:t>
            </w:r>
          </w:p>
        </w:tc>
      </w:tr>
      <w:tr w14:paraId="1D044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737" w:type="dxa"/>
            <w:gridSpan w:val="3"/>
            <w:vMerge w:val="continue"/>
            <w:vAlign w:val="center"/>
          </w:tcPr>
          <w:p w14:paraId="2A4E5B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402709E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b w:val="0"/>
                <w:bCs w:val="0"/>
                <w:color w:val="auto"/>
                <w:sz w:val="20"/>
                <w:szCs w:val="20"/>
                <w:vertAlign w:val="baseline"/>
                <w:lang w:val="en-US" w:eastAsia="zh-CN"/>
              </w:rPr>
              <w:t>检查导带是否有磨损情况，严重的需要及时更换。</w:t>
            </w:r>
          </w:p>
        </w:tc>
      </w:tr>
      <w:tr w14:paraId="1286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737" w:type="dxa"/>
            <w:gridSpan w:val="3"/>
            <w:vMerge w:val="continue"/>
            <w:vAlign w:val="center"/>
          </w:tcPr>
          <w:p w14:paraId="1E9F04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3913A13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vertAlign w:val="baseline"/>
                <w:lang w:val="en-US" w:eastAsia="zh-CN" w:bidi="ar-SA"/>
              </w:rPr>
            </w:pPr>
            <w:r>
              <w:rPr>
                <w:rFonts w:hint="eastAsia" w:ascii="宋体" w:hAnsi="宋体" w:eastAsia="宋体" w:cs="宋体"/>
                <w:color w:val="auto"/>
                <w:sz w:val="20"/>
                <w:szCs w:val="20"/>
                <w:lang w:val="en-US" w:eastAsia="zh-CN"/>
              </w:rPr>
              <w:t>调整平台水平度，保证良好的烫平效果。</w:t>
            </w:r>
          </w:p>
        </w:tc>
      </w:tr>
      <w:tr w14:paraId="13C8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2737" w:type="dxa"/>
            <w:gridSpan w:val="3"/>
            <w:vMerge w:val="continue"/>
            <w:vAlign w:val="center"/>
          </w:tcPr>
          <w:p w14:paraId="6A2F0C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3FEF983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检查控制系统各个模块及线路情况，并进行维护保养。</w:t>
            </w:r>
          </w:p>
        </w:tc>
      </w:tr>
      <w:tr w14:paraId="5A2A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2737" w:type="dxa"/>
            <w:gridSpan w:val="3"/>
            <w:vMerge w:val="continue"/>
            <w:vAlign w:val="center"/>
          </w:tcPr>
          <w:p w14:paraId="6ABB24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54197D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清洁导带上的灰尘，清理变频器，添补齿轮箱内齿轮油，维持在正常油位。</w:t>
            </w:r>
          </w:p>
        </w:tc>
      </w:tr>
      <w:tr w14:paraId="15E5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trPr>
        <w:tc>
          <w:tcPr>
            <w:tcW w:w="2737" w:type="dxa"/>
            <w:gridSpan w:val="3"/>
            <w:vMerge w:val="continue"/>
            <w:vAlign w:val="center"/>
          </w:tcPr>
          <w:p w14:paraId="54456C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6C070BB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清理电气控制箱内灰尘，检查、擦拭交流接触器，各电路电源连接头，烫平机的每个轴承需添加耐高温锂基润滑脂。</w:t>
            </w:r>
          </w:p>
        </w:tc>
      </w:tr>
      <w:tr w14:paraId="290E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737" w:type="dxa"/>
            <w:gridSpan w:val="3"/>
            <w:vMerge w:val="restart"/>
            <w:vAlign w:val="center"/>
          </w:tcPr>
          <w:p w14:paraId="37A853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r>
              <w:rPr>
                <w:rFonts w:hint="eastAsia" w:ascii="宋体" w:hAnsi="宋体" w:eastAsia="宋体" w:cs="宋体"/>
                <w:color w:val="auto"/>
                <w:sz w:val="20"/>
                <w:szCs w:val="20"/>
                <w:lang w:val="en-US" w:eastAsia="zh-CN"/>
              </w:rPr>
              <w:t>折叠机</w:t>
            </w:r>
          </w:p>
        </w:tc>
        <w:tc>
          <w:tcPr>
            <w:tcW w:w="5790" w:type="dxa"/>
            <w:vAlign w:val="center"/>
          </w:tcPr>
          <w:p w14:paraId="29D8BC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对光电感应器进行擦拭，保持无尘状态。</w:t>
            </w:r>
          </w:p>
        </w:tc>
      </w:tr>
      <w:tr w14:paraId="4E460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737" w:type="dxa"/>
            <w:gridSpan w:val="3"/>
            <w:vMerge w:val="continue"/>
            <w:vAlign w:val="center"/>
          </w:tcPr>
          <w:p w14:paraId="020042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40167B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b w:val="0"/>
                <w:bCs w:val="0"/>
                <w:color w:val="auto"/>
                <w:kern w:val="2"/>
                <w:sz w:val="20"/>
                <w:szCs w:val="20"/>
                <w:lang w:val="en-US" w:eastAsia="zh-CN" w:bidi="ar-SA"/>
              </w:rPr>
              <w:t>对气管进行检查，看是否有漏气情况。</w:t>
            </w:r>
          </w:p>
        </w:tc>
      </w:tr>
      <w:tr w14:paraId="6F4A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737" w:type="dxa"/>
            <w:gridSpan w:val="3"/>
            <w:vMerge w:val="continue"/>
            <w:vAlign w:val="center"/>
          </w:tcPr>
          <w:p w14:paraId="134537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508A1C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b w:val="0"/>
                <w:bCs w:val="0"/>
                <w:color w:val="auto"/>
                <w:kern w:val="2"/>
                <w:sz w:val="20"/>
                <w:szCs w:val="20"/>
                <w:lang w:val="en-US" w:eastAsia="zh-CN" w:bidi="ar-SA"/>
              </w:rPr>
              <w:t>检查导带是否有磨损情况，严重的及时做计划更换。</w:t>
            </w:r>
          </w:p>
        </w:tc>
      </w:tr>
      <w:tr w14:paraId="532A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737" w:type="dxa"/>
            <w:gridSpan w:val="3"/>
            <w:vMerge w:val="continue"/>
            <w:vAlign w:val="center"/>
          </w:tcPr>
          <w:p w14:paraId="74660A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689D54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color w:val="auto"/>
                <w:sz w:val="20"/>
                <w:szCs w:val="20"/>
                <w:lang w:val="en-US" w:eastAsia="zh-CN"/>
              </w:rPr>
              <w:t>更换各气动管路和阀门上损耗严重的部件。</w:t>
            </w:r>
          </w:p>
        </w:tc>
      </w:tr>
      <w:tr w14:paraId="0CE8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2737" w:type="dxa"/>
            <w:gridSpan w:val="3"/>
            <w:vMerge w:val="continue"/>
            <w:vAlign w:val="center"/>
          </w:tcPr>
          <w:p w14:paraId="2DBA450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15CDCD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color w:val="auto"/>
                <w:sz w:val="20"/>
                <w:szCs w:val="20"/>
                <w:lang w:val="en-US" w:eastAsia="zh-CN"/>
              </w:rPr>
              <w:t>更换传动系统中老化的部件，确保传动系统整体运行顺畅。</w:t>
            </w:r>
          </w:p>
        </w:tc>
      </w:tr>
      <w:tr w14:paraId="329B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2737" w:type="dxa"/>
            <w:gridSpan w:val="3"/>
            <w:vMerge w:val="continue"/>
            <w:vAlign w:val="center"/>
          </w:tcPr>
          <w:p w14:paraId="1E0E69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4F6B72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对UPS的供电系统进行检测，如出现异常现象都要及时检修与维护。</w:t>
            </w:r>
          </w:p>
        </w:tc>
      </w:tr>
      <w:tr w14:paraId="6CBB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2737" w:type="dxa"/>
            <w:gridSpan w:val="3"/>
            <w:vMerge w:val="restart"/>
            <w:vAlign w:val="center"/>
          </w:tcPr>
          <w:p w14:paraId="651D43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其他洗衣设备</w:t>
            </w:r>
          </w:p>
          <w:p w14:paraId="215F71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vertAlign w:val="baseline"/>
                <w:lang w:val="en-US" w:eastAsia="zh-CN"/>
              </w:rPr>
            </w:pPr>
          </w:p>
        </w:tc>
        <w:tc>
          <w:tcPr>
            <w:tcW w:w="5790" w:type="dxa"/>
            <w:vAlign w:val="center"/>
          </w:tcPr>
          <w:p w14:paraId="20D7A9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检查设备（包含夹熨机、工衣夹机、三相真空熨台、人像精整机、去渍台、空压机等）的完整性。</w:t>
            </w:r>
          </w:p>
        </w:tc>
      </w:tr>
      <w:tr w14:paraId="395F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rPr>
        <w:tc>
          <w:tcPr>
            <w:tcW w:w="2737" w:type="dxa"/>
            <w:gridSpan w:val="3"/>
            <w:vMerge w:val="continue"/>
            <w:vAlign w:val="center"/>
          </w:tcPr>
          <w:p w14:paraId="51ACD9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lang w:val="en-US" w:eastAsia="zh-CN"/>
              </w:rPr>
            </w:pPr>
          </w:p>
        </w:tc>
        <w:tc>
          <w:tcPr>
            <w:tcW w:w="5790" w:type="dxa"/>
            <w:vAlign w:val="center"/>
          </w:tcPr>
          <w:p w14:paraId="70F08D5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color w:val="auto"/>
                <w:sz w:val="20"/>
                <w:szCs w:val="20"/>
                <w:lang w:val="en-US" w:eastAsia="zh-CN"/>
              </w:rPr>
              <w:t>清除一次蒸汽过滤器内脏污，以保证进蒸汽管路畅通。</w:t>
            </w:r>
          </w:p>
        </w:tc>
      </w:tr>
      <w:tr w14:paraId="339A2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737" w:type="dxa"/>
            <w:gridSpan w:val="3"/>
            <w:vMerge w:val="continue"/>
            <w:vAlign w:val="center"/>
          </w:tcPr>
          <w:p w14:paraId="692752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lang w:val="en-US" w:eastAsia="zh-CN"/>
              </w:rPr>
            </w:pPr>
          </w:p>
        </w:tc>
        <w:tc>
          <w:tcPr>
            <w:tcW w:w="5790" w:type="dxa"/>
            <w:vAlign w:val="center"/>
          </w:tcPr>
          <w:p w14:paraId="7B8670F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对空压机进行过滤网更换。</w:t>
            </w:r>
          </w:p>
        </w:tc>
      </w:tr>
      <w:tr w14:paraId="4CC5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737" w:type="dxa"/>
            <w:gridSpan w:val="3"/>
            <w:vMerge w:val="continue"/>
            <w:vAlign w:val="center"/>
          </w:tcPr>
          <w:p w14:paraId="6D7AA8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lang w:val="en-US" w:eastAsia="zh-CN"/>
              </w:rPr>
            </w:pPr>
          </w:p>
        </w:tc>
        <w:tc>
          <w:tcPr>
            <w:tcW w:w="5790" w:type="dxa"/>
            <w:vAlign w:val="center"/>
          </w:tcPr>
          <w:p w14:paraId="5DA20FD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紧固各部位连接件，清洁各项设备。</w:t>
            </w:r>
          </w:p>
        </w:tc>
      </w:tr>
      <w:tr w14:paraId="584CE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737" w:type="dxa"/>
            <w:gridSpan w:val="3"/>
            <w:vMerge w:val="restart"/>
            <w:vAlign w:val="center"/>
          </w:tcPr>
          <w:p w14:paraId="4C2048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锅炉</w:t>
            </w:r>
          </w:p>
        </w:tc>
        <w:tc>
          <w:tcPr>
            <w:tcW w:w="5790" w:type="dxa"/>
            <w:vAlign w:val="center"/>
          </w:tcPr>
          <w:p w14:paraId="055042C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b w:val="0"/>
                <w:bCs w:val="0"/>
                <w:color w:val="auto"/>
                <w:kern w:val="2"/>
                <w:sz w:val="20"/>
                <w:szCs w:val="20"/>
                <w:lang w:val="en-US" w:eastAsia="zh-CN" w:bidi="ar-SA"/>
              </w:rPr>
              <w:t>检查压力表是否显示正常，安全阀排气是否正常。</w:t>
            </w:r>
          </w:p>
        </w:tc>
      </w:tr>
      <w:tr w14:paraId="4069C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737" w:type="dxa"/>
            <w:gridSpan w:val="3"/>
            <w:vMerge w:val="continue"/>
            <w:vAlign w:val="center"/>
          </w:tcPr>
          <w:p w14:paraId="69F6C0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15E918A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b w:val="0"/>
                <w:bCs w:val="0"/>
                <w:color w:val="auto"/>
                <w:kern w:val="2"/>
                <w:sz w:val="20"/>
                <w:szCs w:val="20"/>
                <w:lang w:val="en-US" w:eastAsia="zh-CN" w:bidi="ar-SA"/>
              </w:rPr>
              <w:t>检查水位表及水箱水位显示是否正常。</w:t>
            </w:r>
          </w:p>
        </w:tc>
      </w:tr>
      <w:tr w14:paraId="1D76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737" w:type="dxa"/>
            <w:gridSpan w:val="3"/>
            <w:vMerge w:val="continue"/>
            <w:vAlign w:val="center"/>
          </w:tcPr>
          <w:p w14:paraId="793EF0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3AD26D9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b w:val="0"/>
                <w:bCs w:val="0"/>
                <w:color w:val="auto"/>
                <w:kern w:val="2"/>
                <w:sz w:val="20"/>
                <w:szCs w:val="20"/>
                <w:lang w:val="en-US" w:eastAsia="zh-CN" w:bidi="ar-SA"/>
              </w:rPr>
              <w:t>排除锅底杂质及分汽缸的多余水。</w:t>
            </w:r>
          </w:p>
        </w:tc>
      </w:tr>
      <w:tr w14:paraId="0C73F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2737" w:type="dxa"/>
            <w:gridSpan w:val="3"/>
            <w:vMerge w:val="continue"/>
            <w:vAlign w:val="center"/>
          </w:tcPr>
          <w:p w14:paraId="308E48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045DAED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color w:val="auto"/>
                <w:sz w:val="20"/>
                <w:szCs w:val="20"/>
                <w:lang w:val="en-US" w:eastAsia="zh-CN"/>
              </w:rPr>
              <w:t>紧固各部位连接件，保持紧密性。</w:t>
            </w:r>
          </w:p>
        </w:tc>
      </w:tr>
      <w:tr w14:paraId="16D1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trPr>
        <w:tc>
          <w:tcPr>
            <w:tcW w:w="2737" w:type="dxa"/>
            <w:gridSpan w:val="3"/>
            <w:vMerge w:val="continue"/>
            <w:vAlign w:val="center"/>
          </w:tcPr>
          <w:p w14:paraId="57C960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45D1EB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color w:val="auto"/>
                <w:sz w:val="20"/>
                <w:szCs w:val="20"/>
                <w:lang w:val="en-US" w:eastAsia="zh-CN"/>
              </w:rPr>
              <w:t>系统线路的测试，检查线路是否有损伤或老化，接触是否良好，模块接线端子是否松动氧化，线路保护层是否完好无损，出现异常现象都要及时进行保养。</w:t>
            </w:r>
          </w:p>
        </w:tc>
      </w:tr>
      <w:tr w14:paraId="3E01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7" w:hRule="atLeast"/>
        </w:trPr>
        <w:tc>
          <w:tcPr>
            <w:tcW w:w="2737" w:type="dxa"/>
            <w:gridSpan w:val="3"/>
            <w:vMerge w:val="continue"/>
            <w:vAlign w:val="center"/>
          </w:tcPr>
          <w:p w14:paraId="136B20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7254EA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锅炉内部除垢、管道除锈清洁、管道过滤器清洗、安全阀减压阀检查、水位电极清洗、程序控制调节、水位系统调整、水箱设备检查调节、分气缸设备检查、炉体密封性能检测、锅炉的安全附件的完好性、低水位保护、超温保护功能检测等。</w:t>
            </w:r>
          </w:p>
        </w:tc>
      </w:tr>
      <w:tr w14:paraId="4A23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2737" w:type="dxa"/>
            <w:gridSpan w:val="3"/>
            <w:vMerge w:val="continue"/>
            <w:vAlign w:val="center"/>
          </w:tcPr>
          <w:p w14:paraId="181491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1A1511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清洗水箱内部的积垢，泥浊物（1次/年），检查水位探测球是否失效，表面及水管是否存在破裂，运行中水位是否偏离正常范围。</w:t>
            </w:r>
          </w:p>
        </w:tc>
      </w:tr>
      <w:tr w14:paraId="10181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737" w:type="dxa"/>
            <w:gridSpan w:val="3"/>
            <w:vMerge w:val="continue"/>
            <w:vAlign w:val="center"/>
          </w:tcPr>
          <w:p w14:paraId="73F239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276FD2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检查并清除锅筒内和电加热管上的水垢。</w:t>
            </w:r>
          </w:p>
        </w:tc>
      </w:tr>
      <w:tr w14:paraId="0AB1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737" w:type="dxa"/>
            <w:gridSpan w:val="3"/>
            <w:vMerge w:val="continue"/>
            <w:vAlign w:val="center"/>
          </w:tcPr>
          <w:p w14:paraId="306781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78BF47F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更换软水器的过滤物，达到净化水质的标准。</w:t>
            </w:r>
          </w:p>
        </w:tc>
      </w:tr>
      <w:tr w14:paraId="5377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737" w:type="dxa"/>
            <w:gridSpan w:val="3"/>
            <w:vMerge w:val="restart"/>
            <w:vAlign w:val="center"/>
          </w:tcPr>
          <w:p w14:paraId="5AA14E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p>
          <w:p w14:paraId="2C737C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p>
          <w:p w14:paraId="798D3B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p>
          <w:p w14:paraId="4990DD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p>
          <w:p w14:paraId="344DA8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p>
          <w:p w14:paraId="71AC00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p>
          <w:p w14:paraId="2E8621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p>
          <w:p w14:paraId="2A6F58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p>
          <w:p w14:paraId="6A3011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0"/>
                <w:szCs w:val="20"/>
                <w:lang w:val="en-US" w:eastAsia="zh-CN"/>
              </w:rPr>
            </w:pPr>
          </w:p>
          <w:p w14:paraId="47C922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color w:val="auto"/>
                <w:sz w:val="20"/>
                <w:szCs w:val="20"/>
                <w:lang w:val="en-US" w:eastAsia="zh-CN"/>
              </w:rPr>
              <w:t>水处理系统</w:t>
            </w:r>
          </w:p>
          <w:p w14:paraId="46447C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332CC5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检查鼓风机运转是否正常。</w:t>
            </w:r>
          </w:p>
        </w:tc>
      </w:tr>
      <w:tr w14:paraId="4AA94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737" w:type="dxa"/>
            <w:gridSpan w:val="3"/>
            <w:vMerge w:val="continue"/>
            <w:vAlign w:val="center"/>
          </w:tcPr>
          <w:p w14:paraId="379D04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4AE4F4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检查排水口出水是否正常。</w:t>
            </w:r>
          </w:p>
        </w:tc>
      </w:tr>
      <w:tr w14:paraId="60C7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737" w:type="dxa"/>
            <w:gridSpan w:val="3"/>
            <w:vMerge w:val="continue"/>
            <w:vAlign w:val="center"/>
          </w:tcPr>
          <w:p w14:paraId="4D8BD7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586CBD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对鼓风机进行适量加油。</w:t>
            </w:r>
          </w:p>
        </w:tc>
      </w:tr>
      <w:tr w14:paraId="2D28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737" w:type="dxa"/>
            <w:gridSpan w:val="3"/>
            <w:vMerge w:val="continue"/>
            <w:vAlign w:val="center"/>
          </w:tcPr>
          <w:p w14:paraId="633142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703EDA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对加药泵水管进行检查是否有堵塞。</w:t>
            </w:r>
          </w:p>
        </w:tc>
      </w:tr>
      <w:tr w14:paraId="023D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2737" w:type="dxa"/>
            <w:gridSpan w:val="3"/>
            <w:vMerge w:val="continue"/>
            <w:vAlign w:val="center"/>
          </w:tcPr>
          <w:p w14:paraId="66F343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683D3C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val="0"/>
                <w:color w:val="auto"/>
                <w:kern w:val="2"/>
                <w:sz w:val="20"/>
                <w:szCs w:val="20"/>
                <w:lang w:val="en-US" w:eastAsia="zh-CN" w:bidi="ar-SA"/>
              </w:rPr>
            </w:pPr>
            <w:r>
              <w:rPr>
                <w:rFonts w:hint="eastAsia" w:ascii="宋体" w:hAnsi="宋体" w:eastAsia="宋体" w:cs="宋体"/>
                <w:color w:val="auto"/>
                <w:sz w:val="20"/>
                <w:szCs w:val="20"/>
                <w:lang w:val="en-US" w:eastAsia="zh-CN"/>
              </w:rPr>
              <w:t>回转式机械格栅机：检查摆线齿轮、针齿套和轴销，检查驱动链条并调整松紧。</w:t>
            </w:r>
          </w:p>
        </w:tc>
      </w:tr>
      <w:tr w14:paraId="69918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2737" w:type="dxa"/>
            <w:gridSpan w:val="3"/>
            <w:vMerge w:val="continue"/>
            <w:vAlign w:val="center"/>
          </w:tcPr>
          <w:p w14:paraId="113D80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26DE94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泵类（原水泵、回流泵、清水泵、加药泵）：检查泵轴磨损和同轴度，检查并调整叶轮和泵体径向间隙、轴封、压盖等处间隙。</w:t>
            </w:r>
          </w:p>
        </w:tc>
      </w:tr>
      <w:tr w14:paraId="4B5D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2737" w:type="dxa"/>
            <w:gridSpan w:val="3"/>
            <w:vMerge w:val="continue"/>
            <w:vAlign w:val="center"/>
          </w:tcPr>
          <w:p w14:paraId="69C111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4FF0DF6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消毒系统：检查所有管道和阀门的腐蚀情况，严重时更换，检查管道阀门等处的气密性，检查紫外发生器腐蚀情况。</w:t>
            </w:r>
          </w:p>
        </w:tc>
      </w:tr>
      <w:tr w14:paraId="7846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2737" w:type="dxa"/>
            <w:gridSpan w:val="3"/>
            <w:vMerge w:val="continue"/>
            <w:vAlign w:val="center"/>
          </w:tcPr>
          <w:p w14:paraId="3EE7C7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4759A0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鼓风机：电动机外壳防锈、测电机绝缘电阻轴承清洗、润滑或更换检查密封磨损情况，更换磨损皮带，检查电机有无异常声响，空气过滤器检查。</w:t>
            </w:r>
          </w:p>
        </w:tc>
      </w:tr>
      <w:tr w14:paraId="1C65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2737" w:type="dxa"/>
            <w:gridSpan w:val="3"/>
            <w:vMerge w:val="continue"/>
            <w:vAlign w:val="center"/>
          </w:tcPr>
          <w:p w14:paraId="259165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0"/>
                <w:szCs w:val="20"/>
                <w:lang w:val="en-US" w:eastAsia="zh-CN"/>
              </w:rPr>
            </w:pPr>
          </w:p>
        </w:tc>
        <w:tc>
          <w:tcPr>
            <w:tcW w:w="5790" w:type="dxa"/>
            <w:vAlign w:val="center"/>
          </w:tcPr>
          <w:p w14:paraId="0F1AB6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val="0"/>
                <w:bCs w:val="0"/>
                <w:color w:val="auto"/>
                <w:sz w:val="20"/>
                <w:szCs w:val="20"/>
                <w:lang w:val="en-US" w:eastAsia="zh-CN"/>
              </w:rPr>
            </w:pPr>
            <w:r>
              <w:rPr>
                <w:rFonts w:hint="eastAsia" w:ascii="宋体" w:hAnsi="宋体" w:eastAsia="宋体" w:cs="宋体"/>
                <w:color w:val="auto"/>
                <w:sz w:val="20"/>
                <w:szCs w:val="20"/>
                <w:lang w:val="en-US" w:eastAsia="zh-CN"/>
              </w:rPr>
              <w:t>水池保养：污水池每年一次清洗及更换生物填料（菌种）,过滤器一年换一次石英砂和活性炭,定期检测水质。</w:t>
            </w:r>
          </w:p>
        </w:tc>
      </w:tr>
      <w:tr w14:paraId="43A89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1252" w:type="dxa"/>
            <w:gridSpan w:val="2"/>
            <w:vMerge w:val="restart"/>
            <w:vAlign w:val="center"/>
          </w:tcPr>
          <w:p w14:paraId="17DC485E">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太阳能及空气能设备</w:t>
            </w:r>
          </w:p>
          <w:p w14:paraId="567B4A9C">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default" w:ascii="宋体" w:hAnsi="宋体" w:cs="宋体"/>
                <w:b w:val="0"/>
                <w:bCs w:val="0"/>
                <w:color w:val="auto"/>
                <w:sz w:val="20"/>
                <w:szCs w:val="20"/>
                <w:highlight w:val="none"/>
                <w:lang w:val="en-US" w:eastAsia="zh-CN" w:bidi="ar-SA"/>
              </w:rPr>
            </w:pPr>
          </w:p>
        </w:tc>
        <w:tc>
          <w:tcPr>
            <w:tcW w:w="1485" w:type="dxa"/>
            <w:vAlign w:val="center"/>
          </w:tcPr>
          <w:p w14:paraId="208F7223">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eastAsia="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空气能机组</w:t>
            </w:r>
          </w:p>
        </w:tc>
        <w:tc>
          <w:tcPr>
            <w:tcW w:w="5790" w:type="dxa"/>
            <w:vAlign w:val="center"/>
          </w:tcPr>
          <w:p w14:paraId="0E8B23E2">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eastAsia="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检查空气能制热效果是否正常，电流电压是否正常。</w:t>
            </w:r>
          </w:p>
        </w:tc>
      </w:tr>
      <w:tr w14:paraId="77A9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252" w:type="dxa"/>
            <w:gridSpan w:val="2"/>
            <w:vMerge w:val="continue"/>
            <w:vAlign w:val="center"/>
          </w:tcPr>
          <w:p w14:paraId="42C8B11A">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default" w:ascii="宋体" w:hAnsi="宋体" w:cs="宋体"/>
                <w:b w:val="0"/>
                <w:bCs w:val="0"/>
                <w:color w:val="auto"/>
                <w:sz w:val="20"/>
                <w:szCs w:val="20"/>
                <w:highlight w:val="none"/>
                <w:lang w:val="en-US" w:eastAsia="zh-CN" w:bidi="ar-SA"/>
              </w:rPr>
            </w:pPr>
          </w:p>
        </w:tc>
        <w:tc>
          <w:tcPr>
            <w:tcW w:w="1485" w:type="dxa"/>
            <w:vAlign w:val="center"/>
          </w:tcPr>
          <w:p w14:paraId="0ED34E1E">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保温水箱</w:t>
            </w:r>
          </w:p>
        </w:tc>
        <w:tc>
          <w:tcPr>
            <w:tcW w:w="5790" w:type="dxa"/>
            <w:vAlign w:val="center"/>
          </w:tcPr>
          <w:p w14:paraId="51EA3A53">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检查</w:t>
            </w:r>
            <w:r>
              <w:rPr>
                <w:rFonts w:hint="eastAsia" w:ascii="宋体" w:hAnsi="宋体" w:eastAsia="宋体" w:cs="宋体"/>
                <w:b w:val="0"/>
                <w:bCs w:val="0"/>
                <w:sz w:val="20"/>
                <w:szCs w:val="20"/>
                <w:highlight w:val="none"/>
                <w:lang w:eastAsia="zh-CN"/>
              </w:rPr>
              <w:t>观察口</w:t>
            </w:r>
            <w:r>
              <w:rPr>
                <w:rFonts w:ascii="宋体" w:hAnsi="宋体" w:eastAsia="宋体" w:cs="宋体"/>
                <w:b w:val="0"/>
                <w:bCs w:val="0"/>
                <w:sz w:val="20"/>
                <w:szCs w:val="20"/>
                <w:highlight w:val="none"/>
              </w:rPr>
              <w:t>、水位管、阀门等配件。</w:t>
            </w:r>
          </w:p>
        </w:tc>
      </w:tr>
      <w:tr w14:paraId="453B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252" w:type="dxa"/>
            <w:gridSpan w:val="2"/>
            <w:vMerge w:val="continue"/>
            <w:vAlign w:val="center"/>
          </w:tcPr>
          <w:p w14:paraId="2AF5B487">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default" w:ascii="宋体" w:hAnsi="宋体" w:cs="宋体"/>
                <w:b w:val="0"/>
                <w:bCs w:val="0"/>
                <w:color w:val="auto"/>
                <w:sz w:val="20"/>
                <w:szCs w:val="20"/>
                <w:highlight w:val="none"/>
                <w:lang w:val="en-US" w:eastAsia="zh-CN" w:bidi="ar-SA"/>
              </w:rPr>
            </w:pPr>
          </w:p>
        </w:tc>
        <w:tc>
          <w:tcPr>
            <w:tcW w:w="1485" w:type="dxa"/>
            <w:vAlign w:val="center"/>
          </w:tcPr>
          <w:p w14:paraId="457A67E6">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加压泵循环泵</w:t>
            </w:r>
          </w:p>
        </w:tc>
        <w:tc>
          <w:tcPr>
            <w:tcW w:w="5790" w:type="dxa"/>
            <w:vAlign w:val="center"/>
          </w:tcPr>
          <w:p w14:paraId="360880A8">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检查是否正常工作有无异响管路有无漏水等故障。</w:t>
            </w:r>
          </w:p>
        </w:tc>
      </w:tr>
      <w:tr w14:paraId="1D7A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252" w:type="dxa"/>
            <w:gridSpan w:val="2"/>
            <w:vMerge w:val="continue"/>
            <w:vAlign w:val="center"/>
          </w:tcPr>
          <w:p w14:paraId="40B9D342">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default" w:ascii="宋体" w:hAnsi="宋体" w:cs="宋体"/>
                <w:b w:val="0"/>
                <w:bCs w:val="0"/>
                <w:color w:val="auto"/>
                <w:sz w:val="20"/>
                <w:szCs w:val="20"/>
                <w:highlight w:val="none"/>
                <w:lang w:val="en-US" w:eastAsia="zh-CN" w:bidi="ar-SA"/>
              </w:rPr>
            </w:pPr>
          </w:p>
        </w:tc>
        <w:tc>
          <w:tcPr>
            <w:tcW w:w="1485" w:type="dxa"/>
            <w:vAlign w:val="center"/>
          </w:tcPr>
          <w:p w14:paraId="07630E97">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电磁阀</w:t>
            </w:r>
          </w:p>
        </w:tc>
        <w:tc>
          <w:tcPr>
            <w:tcW w:w="5790" w:type="dxa"/>
            <w:vAlign w:val="center"/>
          </w:tcPr>
          <w:p w14:paraId="65D28C78">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eastAsia="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检查工作</w:t>
            </w:r>
            <w:r>
              <w:rPr>
                <w:rFonts w:hint="eastAsia" w:ascii="宋体" w:hAnsi="宋体" w:eastAsia="宋体" w:cs="宋体"/>
                <w:b w:val="0"/>
                <w:bCs w:val="0"/>
                <w:sz w:val="20"/>
                <w:szCs w:val="20"/>
                <w:highlight w:val="none"/>
                <w:lang w:eastAsia="zh-CN"/>
              </w:rPr>
              <w:t>时</w:t>
            </w:r>
            <w:r>
              <w:rPr>
                <w:rFonts w:ascii="宋体" w:hAnsi="宋体" w:eastAsia="宋体" w:cs="宋体"/>
                <w:b w:val="0"/>
                <w:bCs w:val="0"/>
                <w:sz w:val="20"/>
                <w:szCs w:val="20"/>
                <w:highlight w:val="none"/>
              </w:rPr>
              <w:t>是否灵敏正常</w:t>
            </w:r>
            <w:r>
              <w:rPr>
                <w:rFonts w:hint="eastAsia" w:ascii="宋体" w:hAnsi="宋体" w:eastAsia="宋体" w:cs="宋体"/>
                <w:b w:val="0"/>
                <w:bCs w:val="0"/>
                <w:sz w:val="20"/>
                <w:szCs w:val="20"/>
                <w:highlight w:val="none"/>
                <w:lang w:eastAsia="zh-CN"/>
              </w:rPr>
              <w:t>。</w:t>
            </w:r>
          </w:p>
        </w:tc>
      </w:tr>
      <w:tr w14:paraId="1FD5B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252" w:type="dxa"/>
            <w:gridSpan w:val="2"/>
            <w:vMerge w:val="continue"/>
            <w:vAlign w:val="center"/>
          </w:tcPr>
          <w:p w14:paraId="06C053E5">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default" w:ascii="宋体" w:hAnsi="宋体" w:cs="宋体"/>
                <w:b w:val="0"/>
                <w:bCs w:val="0"/>
                <w:color w:val="auto"/>
                <w:sz w:val="20"/>
                <w:szCs w:val="20"/>
                <w:highlight w:val="none"/>
                <w:lang w:val="en-US" w:eastAsia="zh-CN" w:bidi="ar-SA"/>
              </w:rPr>
            </w:pPr>
          </w:p>
        </w:tc>
        <w:tc>
          <w:tcPr>
            <w:tcW w:w="1485" w:type="dxa"/>
            <w:vAlign w:val="center"/>
          </w:tcPr>
          <w:p w14:paraId="23196AEA">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太阳能集热器</w:t>
            </w:r>
          </w:p>
        </w:tc>
        <w:tc>
          <w:tcPr>
            <w:tcW w:w="5790" w:type="dxa"/>
            <w:vAlign w:val="center"/>
          </w:tcPr>
          <w:p w14:paraId="09B9A959">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检查有无损坏漏水。</w:t>
            </w:r>
          </w:p>
        </w:tc>
      </w:tr>
      <w:tr w14:paraId="4BBBD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252" w:type="dxa"/>
            <w:gridSpan w:val="2"/>
            <w:vMerge w:val="continue"/>
            <w:vAlign w:val="center"/>
          </w:tcPr>
          <w:p w14:paraId="610F3DD9">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default" w:ascii="宋体" w:hAnsi="宋体" w:cs="宋体"/>
                <w:b w:val="0"/>
                <w:bCs w:val="0"/>
                <w:color w:val="auto"/>
                <w:sz w:val="20"/>
                <w:szCs w:val="20"/>
                <w:highlight w:val="none"/>
                <w:lang w:val="en-US" w:eastAsia="zh-CN" w:bidi="ar-SA"/>
              </w:rPr>
            </w:pPr>
          </w:p>
        </w:tc>
        <w:tc>
          <w:tcPr>
            <w:tcW w:w="1485" w:type="dxa"/>
            <w:vAlign w:val="center"/>
          </w:tcPr>
          <w:p w14:paraId="544E522B">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控制系统</w:t>
            </w:r>
          </w:p>
        </w:tc>
        <w:tc>
          <w:tcPr>
            <w:tcW w:w="5790" w:type="dxa"/>
            <w:vAlign w:val="center"/>
          </w:tcPr>
          <w:p w14:paraId="749298EF">
            <w:pPr>
              <w:pStyle w:val="21"/>
              <w:keepNext w:val="0"/>
              <w:keepLines w:val="0"/>
              <w:pageBreakBefore w:val="0"/>
              <w:widowControl w:val="0"/>
              <w:kinsoku/>
              <w:wordWrap/>
              <w:overflowPunct/>
              <w:topLinePunct w:val="0"/>
              <w:bidi w:val="0"/>
              <w:snapToGrid/>
              <w:spacing w:line="360" w:lineRule="auto"/>
              <w:ind w:left="0" w:leftChars="0"/>
              <w:jc w:val="center"/>
              <w:outlineLvl w:val="9"/>
              <w:rPr>
                <w:rFonts w:hint="eastAsia" w:ascii="宋体" w:hAnsi="宋体" w:cs="宋体"/>
                <w:b w:val="0"/>
                <w:bCs w:val="0"/>
                <w:color w:val="auto"/>
                <w:sz w:val="20"/>
                <w:szCs w:val="20"/>
                <w:highlight w:val="none"/>
                <w:lang w:val="en-US" w:eastAsia="zh-CN" w:bidi="ar-SA"/>
              </w:rPr>
            </w:pPr>
            <w:r>
              <w:rPr>
                <w:rFonts w:ascii="宋体" w:hAnsi="宋体" w:eastAsia="宋体" w:cs="宋体"/>
                <w:b w:val="0"/>
                <w:bCs w:val="0"/>
                <w:sz w:val="20"/>
                <w:szCs w:val="20"/>
                <w:highlight w:val="none"/>
              </w:rPr>
              <w:t>检查控制部分各元器件有无损坏。</w:t>
            </w:r>
          </w:p>
        </w:tc>
      </w:tr>
    </w:tbl>
    <w:p w14:paraId="6C52A13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9"/>
        <w:rPr>
          <w:rFonts w:hint="eastAsia" w:ascii="宋体" w:hAnsi="宋体" w:eastAsia="宋体" w:cs="宋体"/>
          <w:b/>
          <w:bCs/>
          <w:color w:val="auto"/>
          <w:sz w:val="20"/>
          <w:szCs w:val="20"/>
          <w:highlight w:val="none"/>
          <w:lang w:val="en-US" w:eastAsia="zh-CN"/>
        </w:rPr>
      </w:pPr>
    </w:p>
    <w:p w14:paraId="75C90FA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textAlignment w:val="auto"/>
        <w:outlineLvl w:val="0"/>
        <w:rPr>
          <w:rFonts w:hint="eastAsia" w:ascii="宋体" w:hAnsi="宋体" w:eastAsia="宋体" w:cs="宋体"/>
          <w:b/>
          <w:bCs/>
          <w:color w:val="auto"/>
          <w:sz w:val="20"/>
          <w:szCs w:val="20"/>
          <w:highlight w:val="none"/>
          <w:lang w:val="en-US" w:eastAsia="zh-CN"/>
        </w:rPr>
      </w:pPr>
      <w:bookmarkStart w:id="598" w:name="_Toc29383"/>
      <w:bookmarkStart w:id="599" w:name="_Toc9651"/>
      <w:r>
        <w:rPr>
          <w:rFonts w:hint="eastAsia" w:ascii="宋体" w:hAnsi="宋体" w:eastAsia="宋体" w:cs="宋体"/>
          <w:b/>
          <w:bCs/>
          <w:color w:val="auto"/>
          <w:sz w:val="20"/>
          <w:szCs w:val="20"/>
          <w:highlight w:val="none"/>
          <w:lang w:val="en-US" w:eastAsia="zh-CN"/>
        </w:rPr>
        <w:t>3.服务履约考核</w:t>
      </w:r>
      <w:bookmarkEnd w:id="597"/>
      <w:bookmarkEnd w:id="598"/>
      <w:bookmarkEnd w:id="599"/>
    </w:p>
    <w:p w14:paraId="4CA3FA9E">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819"/>
        <w:gridCol w:w="878"/>
        <w:gridCol w:w="2940"/>
        <w:gridCol w:w="1065"/>
        <w:gridCol w:w="750"/>
        <w:gridCol w:w="779"/>
      </w:tblGrid>
      <w:tr w14:paraId="09E43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4272C22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2819" w:type="dxa"/>
            <w:tcBorders>
              <w:top w:val="single" w:color="auto" w:sz="4" w:space="0"/>
              <w:left w:val="nil"/>
              <w:bottom w:val="single" w:color="auto" w:sz="4" w:space="0"/>
              <w:right w:val="single" w:color="auto" w:sz="4" w:space="0"/>
            </w:tcBorders>
            <w:noWrap w:val="0"/>
            <w:vAlign w:val="center"/>
          </w:tcPr>
          <w:p w14:paraId="163DAB3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878" w:type="dxa"/>
            <w:tcBorders>
              <w:top w:val="single" w:color="auto" w:sz="4" w:space="0"/>
              <w:left w:val="nil"/>
              <w:bottom w:val="single" w:color="auto" w:sz="4" w:space="0"/>
              <w:right w:val="single" w:color="auto" w:sz="4" w:space="0"/>
            </w:tcBorders>
            <w:noWrap w:val="0"/>
            <w:vAlign w:val="center"/>
          </w:tcPr>
          <w:p w14:paraId="2B3BA1F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940" w:type="dxa"/>
            <w:tcBorders>
              <w:top w:val="single" w:color="auto" w:sz="4" w:space="0"/>
              <w:left w:val="nil"/>
              <w:bottom w:val="single" w:color="auto" w:sz="4" w:space="0"/>
              <w:right w:val="single" w:color="auto" w:sz="4" w:space="0"/>
            </w:tcBorders>
            <w:noWrap w:val="0"/>
            <w:vAlign w:val="center"/>
          </w:tcPr>
          <w:p w14:paraId="6B40D1F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065" w:type="dxa"/>
            <w:tcBorders>
              <w:top w:val="single" w:color="auto" w:sz="4" w:space="0"/>
              <w:left w:val="nil"/>
              <w:bottom w:val="single" w:color="auto" w:sz="4" w:space="0"/>
              <w:right w:val="single" w:color="auto" w:sz="4" w:space="0"/>
            </w:tcBorders>
            <w:noWrap w:val="0"/>
            <w:vAlign w:val="center"/>
          </w:tcPr>
          <w:p w14:paraId="50D4932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1DF7118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750" w:type="dxa"/>
            <w:tcBorders>
              <w:top w:val="single" w:color="auto" w:sz="4" w:space="0"/>
              <w:left w:val="nil"/>
              <w:bottom w:val="single" w:color="auto" w:sz="4" w:space="0"/>
              <w:right w:val="single" w:color="auto" w:sz="4" w:space="0"/>
            </w:tcBorders>
            <w:noWrap w:val="0"/>
            <w:vAlign w:val="center"/>
          </w:tcPr>
          <w:p w14:paraId="6488CB5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4661054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779" w:type="dxa"/>
            <w:tcBorders>
              <w:top w:val="single" w:color="auto" w:sz="4" w:space="0"/>
              <w:left w:val="nil"/>
              <w:bottom w:val="single" w:color="auto" w:sz="4" w:space="0"/>
              <w:right w:val="single" w:color="auto" w:sz="4" w:space="0"/>
            </w:tcBorders>
            <w:noWrap w:val="0"/>
            <w:vAlign w:val="center"/>
          </w:tcPr>
          <w:p w14:paraId="4D29F276">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w:t>
            </w:r>
            <w:r>
              <w:rPr>
                <w:rFonts w:hint="eastAsia" w:ascii="宋体" w:hAnsi="宋体" w:cs="宋体"/>
                <w:b/>
                <w:bCs/>
                <w:color w:val="auto"/>
                <w:sz w:val="20"/>
                <w:szCs w:val="20"/>
                <w:highlight w:val="none"/>
                <w:lang w:val="en-US" w:eastAsia="zh-CN"/>
              </w:rPr>
              <w:t xml:space="preserve"> </w:t>
            </w:r>
            <w:r>
              <w:rPr>
                <w:rFonts w:hint="eastAsia" w:ascii="宋体" w:hAnsi="宋体" w:eastAsia="宋体" w:cs="宋体"/>
                <w:b/>
                <w:bCs/>
                <w:color w:val="auto"/>
                <w:sz w:val="20"/>
                <w:szCs w:val="20"/>
                <w:highlight w:val="none"/>
              </w:rPr>
              <w:t>注</w:t>
            </w:r>
          </w:p>
        </w:tc>
      </w:tr>
      <w:tr w14:paraId="16D70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6694FCE4">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2819" w:type="dxa"/>
            <w:vMerge w:val="restart"/>
            <w:tcBorders>
              <w:top w:val="single" w:color="auto" w:sz="4" w:space="0"/>
              <w:left w:val="nil"/>
              <w:right w:val="single" w:color="auto" w:sz="4" w:space="0"/>
            </w:tcBorders>
            <w:shd w:val="clear" w:color="auto" w:fill="auto"/>
            <w:noWrap w:val="0"/>
            <w:vAlign w:val="center"/>
          </w:tcPr>
          <w:p w14:paraId="6FB7E80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vertAlign w:val="baseline"/>
                <w:lang w:val="en-US" w:eastAsia="zh-CN"/>
              </w:rPr>
              <w:t>按时按质按量完成采购方的电梯维保服务工作任务，及时响应采购方的需求（含临时或紧急需求），积极与采购方沟通，使用的零部件符合相关标准，维保记录齐全，制定有应急预案。</w:t>
            </w:r>
          </w:p>
          <w:p w14:paraId="2215177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lang w:val="en-US"/>
              </w:rPr>
            </w:pPr>
          </w:p>
        </w:tc>
        <w:tc>
          <w:tcPr>
            <w:tcW w:w="878" w:type="dxa"/>
            <w:vMerge w:val="restart"/>
            <w:tcBorders>
              <w:top w:val="single" w:color="auto" w:sz="4" w:space="0"/>
              <w:left w:val="nil"/>
              <w:right w:val="single" w:color="auto" w:sz="4" w:space="0"/>
            </w:tcBorders>
            <w:shd w:val="clear" w:color="auto" w:fill="auto"/>
            <w:noWrap w:val="0"/>
            <w:vAlign w:val="center"/>
          </w:tcPr>
          <w:p w14:paraId="7ADEBA6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lang w:val="en-US" w:eastAsia="zh-CN"/>
              </w:rPr>
              <w:t>40</w:t>
            </w:r>
          </w:p>
          <w:p w14:paraId="6689F3B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2ED759F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kern w:val="2"/>
                <w:sz w:val="20"/>
                <w:szCs w:val="20"/>
                <w:highlight w:val="none"/>
                <w:u w:val="single"/>
                <w:lang w:val="en-US" w:eastAsia="zh-CN" w:bidi="ar-SA"/>
              </w:rPr>
            </w:pPr>
            <w:r>
              <w:rPr>
                <w:rFonts w:hint="eastAsia" w:ascii="宋体" w:hAnsi="宋体" w:eastAsia="宋体" w:cs="宋体"/>
                <w:b w:val="0"/>
                <w:bCs/>
                <w:color w:val="auto"/>
                <w:sz w:val="20"/>
                <w:szCs w:val="20"/>
                <w:highlight w:val="none"/>
                <w:lang w:val="en-US" w:eastAsia="zh-CN"/>
              </w:rPr>
              <w:t>未按采购方要求，按时按质提供服务，存在怠于响应、迟到、敷衍开展工作等现象。</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7828244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6336960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A96269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r>
      <w:tr w14:paraId="5221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6F7A3888">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6531AB3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222A2070">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56174F1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在故障发生后，未按采购方要求及时响应和到达现场开展故障修复。</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0E891E5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2DCD258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2C65A2D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2043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7F689F6D">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39C0AE7B">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0D6F154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7AAE0900">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非因采购方和不可抗力因素，服务商提供日常维保和故障维保后，五个工作日内出现同一个问题。</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10D9A25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4A473E3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C91B531">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3A31A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6F803457">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27444A10">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6C0F013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712437D4">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eastAsia="zh-CN" w:bidi="ar"/>
              </w:rPr>
              <w:t>在日常和故障维保的过程中，使用无生产合格证产品的零部件，</w:t>
            </w:r>
            <w:r>
              <w:rPr>
                <w:rFonts w:hint="eastAsia" w:ascii="宋体" w:hAnsi="宋体" w:eastAsia="宋体" w:cs="宋体"/>
                <w:color w:val="auto"/>
                <w:kern w:val="0"/>
                <w:sz w:val="20"/>
                <w:szCs w:val="20"/>
                <w:highlight w:val="none"/>
                <w:lang w:bidi="ar"/>
              </w:rPr>
              <w:t>如因为使用</w:t>
            </w:r>
            <w:r>
              <w:rPr>
                <w:rFonts w:hint="eastAsia" w:ascii="宋体" w:hAnsi="宋体" w:eastAsia="宋体" w:cs="宋体"/>
                <w:color w:val="auto"/>
                <w:kern w:val="0"/>
                <w:sz w:val="20"/>
                <w:szCs w:val="20"/>
                <w:highlight w:val="none"/>
                <w:lang w:eastAsia="zh-CN" w:bidi="ar"/>
              </w:rPr>
              <w:t>无生产合格证产品的零部件</w:t>
            </w:r>
            <w:r>
              <w:rPr>
                <w:rFonts w:hint="eastAsia" w:ascii="宋体" w:hAnsi="宋体" w:eastAsia="宋体" w:cs="宋体"/>
                <w:color w:val="auto"/>
                <w:kern w:val="0"/>
                <w:sz w:val="20"/>
                <w:szCs w:val="20"/>
                <w:highlight w:val="none"/>
                <w:lang w:bidi="ar"/>
              </w:rPr>
              <w:t>造成了重大损失</w:t>
            </w:r>
            <w:r>
              <w:rPr>
                <w:rFonts w:hint="eastAsia" w:ascii="宋体" w:hAnsi="宋体" w:eastAsia="宋体" w:cs="宋体"/>
                <w:color w:val="auto"/>
                <w:kern w:val="0"/>
                <w:sz w:val="20"/>
                <w:szCs w:val="20"/>
                <w:highlight w:val="none"/>
                <w:lang w:eastAsia="zh-CN" w:bidi="ar"/>
              </w:rPr>
              <w:t>。</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00D0BBE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2-4</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6FFAF21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1200C5F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25B9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4B7580D9">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7A32938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74A79678">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52C3BEE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color w:val="auto"/>
                <w:kern w:val="0"/>
                <w:sz w:val="20"/>
                <w:szCs w:val="20"/>
                <w:highlight w:val="none"/>
                <w:lang w:bidi="ar"/>
              </w:rPr>
              <w:t>未按采购方要求做好</w:t>
            </w:r>
            <w:r>
              <w:rPr>
                <w:rFonts w:hint="eastAsia" w:ascii="宋体" w:hAnsi="宋体" w:eastAsia="宋体" w:cs="宋体"/>
                <w:color w:val="auto"/>
                <w:kern w:val="0"/>
                <w:sz w:val="20"/>
                <w:szCs w:val="20"/>
                <w:highlight w:val="none"/>
                <w:lang w:eastAsia="zh-CN" w:bidi="ar"/>
              </w:rPr>
              <w:t>维修保养</w:t>
            </w:r>
            <w:r>
              <w:rPr>
                <w:rFonts w:hint="eastAsia" w:ascii="宋体" w:hAnsi="宋体" w:eastAsia="宋体" w:cs="宋体"/>
                <w:color w:val="auto"/>
                <w:kern w:val="0"/>
                <w:sz w:val="20"/>
                <w:szCs w:val="20"/>
                <w:highlight w:val="none"/>
                <w:lang w:bidi="ar"/>
              </w:rPr>
              <w:t>记录和档案管理工作</w:t>
            </w:r>
            <w:r>
              <w:rPr>
                <w:rFonts w:hint="eastAsia" w:ascii="宋体" w:hAnsi="宋体" w:eastAsia="宋体" w:cs="宋体"/>
                <w:b w:val="0"/>
                <w:bCs/>
                <w:color w:val="auto"/>
                <w:sz w:val="20"/>
                <w:szCs w:val="20"/>
                <w:highlight w:val="none"/>
                <w:lang w:val="en-US" w:eastAsia="zh-CN"/>
              </w:rPr>
              <w:t>。</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2C54554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26D00AE8">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E6D099C">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498A5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4964FD92">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3D63D14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3630189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4D568798">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未配合采购方临时或紧急需求。</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38E1B5E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664AB87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1C17C2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38A7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20643336">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0192CB4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04A443F4">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6858DAA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未制定应急方案，且在紧急事件发生时，不能及时处理，给采购方带来损失。</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23788A5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75D82343">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511EB79">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2D09F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jc w:val="center"/>
        </w:trPr>
        <w:tc>
          <w:tcPr>
            <w:tcW w:w="645" w:type="dxa"/>
            <w:vMerge w:val="restart"/>
            <w:tcBorders>
              <w:left w:val="single" w:color="auto" w:sz="4" w:space="0"/>
              <w:right w:val="single" w:color="auto" w:sz="4" w:space="0"/>
            </w:tcBorders>
            <w:noWrap w:val="0"/>
            <w:vAlign w:val="center"/>
          </w:tcPr>
          <w:p w14:paraId="399A30B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819" w:type="dxa"/>
            <w:vMerge w:val="restart"/>
            <w:tcBorders>
              <w:left w:val="nil"/>
              <w:right w:val="single" w:color="auto" w:sz="4" w:space="0"/>
            </w:tcBorders>
            <w:noWrap w:val="0"/>
            <w:vAlign w:val="center"/>
          </w:tcPr>
          <w:p w14:paraId="5261D62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人员工作经验丰富，服务态度良好，处理问题及反馈及时。</w:t>
            </w:r>
          </w:p>
        </w:tc>
        <w:tc>
          <w:tcPr>
            <w:tcW w:w="878" w:type="dxa"/>
            <w:vMerge w:val="restart"/>
            <w:tcBorders>
              <w:left w:val="nil"/>
              <w:right w:val="single" w:color="auto" w:sz="4" w:space="0"/>
            </w:tcBorders>
            <w:noWrap w:val="0"/>
            <w:vAlign w:val="center"/>
          </w:tcPr>
          <w:p w14:paraId="590FD6C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20</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086E2AEE">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服务人员应具备丰富的相关经验和专业判断能力。服务商派出的人员如无法对厨房设备维保过程需处理的问题能够作出专业判断、诊断和处理方案。</w:t>
            </w:r>
          </w:p>
        </w:tc>
        <w:tc>
          <w:tcPr>
            <w:tcW w:w="1065" w:type="dxa"/>
            <w:tcBorders>
              <w:top w:val="single" w:color="auto" w:sz="4" w:space="0"/>
              <w:left w:val="nil"/>
              <w:bottom w:val="single" w:color="auto" w:sz="4" w:space="0"/>
              <w:right w:val="single" w:color="auto" w:sz="4" w:space="0"/>
            </w:tcBorders>
            <w:noWrap w:val="0"/>
            <w:vAlign w:val="center"/>
          </w:tcPr>
          <w:p w14:paraId="5AA4835A">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4</w:t>
            </w:r>
            <w:r>
              <w:rPr>
                <w:rFonts w:hint="eastAsia" w:ascii="宋体" w:hAnsi="宋体" w:eastAsia="宋体" w:cs="宋体"/>
                <w:b w:val="0"/>
                <w:bCs w:val="0"/>
                <w:color w:val="auto"/>
                <w:sz w:val="20"/>
                <w:szCs w:val="20"/>
                <w:highlight w:val="none"/>
              </w:rPr>
              <w:t>分/</w:t>
            </w:r>
            <w:r>
              <w:rPr>
                <w:rFonts w:hint="eastAsia" w:ascii="宋体" w:hAnsi="宋体" w:eastAsia="宋体" w:cs="宋体"/>
                <w:b w:val="0"/>
                <w:bCs w:val="0"/>
                <w:color w:val="auto"/>
                <w:sz w:val="20"/>
                <w:szCs w:val="20"/>
                <w:highlight w:val="none"/>
                <w:lang w:val="en-US" w:eastAsia="zh-CN"/>
              </w:rPr>
              <w:t>次</w:t>
            </w:r>
          </w:p>
        </w:tc>
        <w:tc>
          <w:tcPr>
            <w:tcW w:w="750" w:type="dxa"/>
            <w:tcBorders>
              <w:top w:val="single" w:color="auto" w:sz="4" w:space="0"/>
              <w:left w:val="nil"/>
              <w:bottom w:val="single" w:color="auto" w:sz="4" w:space="0"/>
              <w:right w:val="single" w:color="auto" w:sz="4" w:space="0"/>
            </w:tcBorders>
            <w:noWrap w:val="0"/>
            <w:vAlign w:val="top"/>
          </w:tcPr>
          <w:p w14:paraId="5AA14C7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240DF46A">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41C8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645" w:type="dxa"/>
            <w:vMerge w:val="continue"/>
            <w:tcBorders>
              <w:left w:val="single" w:color="auto" w:sz="4" w:space="0"/>
              <w:right w:val="single" w:color="auto" w:sz="4" w:space="0"/>
            </w:tcBorders>
            <w:noWrap w:val="0"/>
            <w:vAlign w:val="center"/>
          </w:tcPr>
          <w:p w14:paraId="61A35C4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5AE4AAD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7C0101A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0912E5BD">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服务人员服务态度良好，应对采购方或员工提出的问题耐心解答，对反馈的问题及时跟进。如服务人员态度恶劣，消极怠工。</w:t>
            </w:r>
          </w:p>
        </w:tc>
        <w:tc>
          <w:tcPr>
            <w:tcW w:w="1065" w:type="dxa"/>
            <w:tcBorders>
              <w:top w:val="single" w:color="auto" w:sz="4" w:space="0"/>
              <w:left w:val="nil"/>
              <w:bottom w:val="single" w:color="auto" w:sz="4" w:space="0"/>
              <w:right w:val="single" w:color="auto" w:sz="4" w:space="0"/>
            </w:tcBorders>
            <w:noWrap w:val="0"/>
            <w:vAlign w:val="center"/>
          </w:tcPr>
          <w:p w14:paraId="137C971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0C86999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1D6960F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3352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restart"/>
            <w:tcBorders>
              <w:left w:val="single" w:color="auto" w:sz="4" w:space="0"/>
              <w:right w:val="single" w:color="auto" w:sz="4" w:space="0"/>
            </w:tcBorders>
            <w:noWrap w:val="0"/>
            <w:vAlign w:val="center"/>
          </w:tcPr>
          <w:p w14:paraId="2923C9F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819" w:type="dxa"/>
            <w:vMerge w:val="restart"/>
            <w:tcBorders>
              <w:left w:val="nil"/>
              <w:right w:val="single" w:color="auto" w:sz="4" w:space="0"/>
            </w:tcBorders>
            <w:noWrap w:val="0"/>
            <w:vAlign w:val="center"/>
          </w:tcPr>
          <w:p w14:paraId="259CAEA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val="0"/>
                <w:color w:val="auto"/>
                <w:sz w:val="20"/>
                <w:szCs w:val="20"/>
                <w:highlight w:val="none"/>
              </w:rPr>
            </w:pPr>
            <w:r>
              <w:rPr>
                <w:rFonts w:hint="eastAsia" w:ascii="宋体" w:hAnsi="宋体" w:eastAsia="宋体" w:cs="宋体"/>
                <w:b w:val="0"/>
                <w:bCs/>
                <w:color w:val="auto"/>
                <w:sz w:val="20"/>
                <w:szCs w:val="20"/>
                <w:highlight w:val="none"/>
                <w:lang w:val="en-US" w:eastAsia="zh-CN"/>
              </w:rPr>
              <w:t>安全管理</w:t>
            </w:r>
          </w:p>
        </w:tc>
        <w:tc>
          <w:tcPr>
            <w:tcW w:w="878" w:type="dxa"/>
            <w:vMerge w:val="restart"/>
            <w:tcBorders>
              <w:left w:val="nil"/>
              <w:right w:val="single" w:color="auto" w:sz="4" w:space="0"/>
            </w:tcBorders>
            <w:noWrap w:val="0"/>
            <w:vAlign w:val="center"/>
          </w:tcPr>
          <w:p w14:paraId="1B8E1DA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7AF2FAC0">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服务商必须严格执行采购方的安全规定。每出现一次安全事故。</w:t>
            </w:r>
          </w:p>
        </w:tc>
        <w:tc>
          <w:tcPr>
            <w:tcW w:w="1065" w:type="dxa"/>
            <w:tcBorders>
              <w:top w:val="single" w:color="auto" w:sz="4" w:space="0"/>
              <w:left w:val="nil"/>
              <w:bottom w:val="single" w:color="auto" w:sz="4" w:space="0"/>
              <w:right w:val="single" w:color="auto" w:sz="4" w:space="0"/>
            </w:tcBorders>
            <w:noWrap w:val="0"/>
            <w:vAlign w:val="center"/>
          </w:tcPr>
          <w:p w14:paraId="2F9AA21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493C7B0C">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56BBD8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3B63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continue"/>
            <w:tcBorders>
              <w:left w:val="single" w:color="auto" w:sz="4" w:space="0"/>
              <w:right w:val="single" w:color="auto" w:sz="4" w:space="0"/>
            </w:tcBorders>
            <w:noWrap w:val="0"/>
            <w:vAlign w:val="center"/>
          </w:tcPr>
          <w:p w14:paraId="5EF90AF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367679A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731B431B">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339EDC11">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服务商必须严格执行采购方的安全规定。每出现一次重大安全事故。</w:t>
            </w:r>
          </w:p>
        </w:tc>
        <w:tc>
          <w:tcPr>
            <w:tcW w:w="1065" w:type="dxa"/>
            <w:tcBorders>
              <w:top w:val="single" w:color="auto" w:sz="4" w:space="0"/>
              <w:left w:val="nil"/>
              <w:bottom w:val="single" w:color="auto" w:sz="4" w:space="0"/>
              <w:right w:val="single" w:color="auto" w:sz="4" w:space="0"/>
            </w:tcBorders>
            <w:noWrap w:val="0"/>
            <w:vAlign w:val="center"/>
          </w:tcPr>
          <w:p w14:paraId="7D22A09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006B6FC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63AB06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tr w14:paraId="15907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tcBorders>
              <w:left w:val="single" w:color="auto" w:sz="4" w:space="0"/>
              <w:right w:val="single" w:color="auto" w:sz="4" w:space="0"/>
            </w:tcBorders>
            <w:noWrap w:val="0"/>
            <w:vAlign w:val="center"/>
          </w:tcPr>
          <w:p w14:paraId="453AC51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819" w:type="dxa"/>
            <w:tcBorders>
              <w:left w:val="nil"/>
              <w:right w:val="single" w:color="auto" w:sz="4" w:space="0"/>
            </w:tcBorders>
            <w:noWrap w:val="0"/>
            <w:vAlign w:val="center"/>
          </w:tcPr>
          <w:p w14:paraId="0F7BCB5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操作安全得当</w:t>
            </w:r>
          </w:p>
        </w:tc>
        <w:tc>
          <w:tcPr>
            <w:tcW w:w="878" w:type="dxa"/>
            <w:tcBorders>
              <w:left w:val="nil"/>
              <w:right w:val="single" w:color="auto" w:sz="4" w:space="0"/>
            </w:tcBorders>
            <w:noWrap w:val="0"/>
            <w:vAlign w:val="center"/>
          </w:tcPr>
          <w:p w14:paraId="48E60FC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2D534AA3">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操作人员操作失误或不当造成采购方设备损坏。</w:t>
            </w:r>
          </w:p>
        </w:tc>
        <w:tc>
          <w:tcPr>
            <w:tcW w:w="1065" w:type="dxa"/>
            <w:tcBorders>
              <w:top w:val="single" w:color="auto" w:sz="4" w:space="0"/>
              <w:left w:val="nil"/>
              <w:bottom w:val="single" w:color="auto" w:sz="4" w:space="0"/>
              <w:right w:val="single" w:color="auto" w:sz="4" w:space="0"/>
            </w:tcBorders>
            <w:noWrap w:val="0"/>
            <w:vAlign w:val="center"/>
          </w:tcPr>
          <w:p w14:paraId="01761DD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5-10</w:t>
            </w:r>
            <w:r>
              <w:rPr>
                <w:rFonts w:hint="eastAsia" w:ascii="宋体" w:hAnsi="宋体" w:eastAsia="宋体" w:cs="宋体"/>
                <w:b w:val="0"/>
                <w:bCs w:val="0"/>
                <w:color w:val="auto"/>
                <w:sz w:val="20"/>
                <w:szCs w:val="20"/>
                <w:highlight w:val="none"/>
              </w:rPr>
              <w:t>分/次</w:t>
            </w:r>
            <w:r>
              <w:rPr>
                <w:rFonts w:hint="eastAsia" w:ascii="宋体" w:hAnsi="宋体" w:eastAsia="宋体" w:cs="宋体"/>
                <w:b w:val="0"/>
                <w:bCs w:val="0"/>
                <w:color w:val="auto"/>
                <w:sz w:val="20"/>
                <w:szCs w:val="20"/>
                <w:highlight w:val="none"/>
                <w:lang w:eastAsia="zh-CN"/>
              </w:rPr>
              <w:t>，</w:t>
            </w:r>
            <w:r>
              <w:rPr>
                <w:rFonts w:hint="eastAsia" w:ascii="宋体" w:hAnsi="宋体" w:eastAsia="宋体" w:cs="宋体"/>
                <w:b w:val="0"/>
                <w:bCs w:val="0"/>
                <w:color w:val="auto"/>
                <w:sz w:val="20"/>
                <w:szCs w:val="20"/>
                <w:highlight w:val="none"/>
                <w:lang w:val="en-US" w:eastAsia="zh-CN"/>
              </w:rPr>
              <w:t>并等价进行赔偿。</w:t>
            </w:r>
          </w:p>
        </w:tc>
        <w:tc>
          <w:tcPr>
            <w:tcW w:w="750" w:type="dxa"/>
            <w:tcBorders>
              <w:top w:val="single" w:color="auto" w:sz="4" w:space="0"/>
              <w:left w:val="nil"/>
              <w:bottom w:val="single" w:color="auto" w:sz="4" w:space="0"/>
              <w:right w:val="single" w:color="auto" w:sz="4" w:space="0"/>
            </w:tcBorders>
            <w:noWrap w:val="0"/>
            <w:vAlign w:val="top"/>
          </w:tcPr>
          <w:p w14:paraId="70CB2BC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B9C5F6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 w:val="0"/>
                <w:bCs w:val="0"/>
                <w:color w:val="auto"/>
                <w:sz w:val="20"/>
                <w:szCs w:val="20"/>
                <w:highlight w:val="none"/>
              </w:rPr>
            </w:pPr>
          </w:p>
        </w:tc>
      </w:tr>
      <w:bookmarkEnd w:id="596"/>
      <w:tr w14:paraId="33BE8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042" w:hRule="atLeast"/>
          <w:jc w:val="center"/>
        </w:trPr>
        <w:tc>
          <w:tcPr>
            <w:tcW w:w="9876"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1A83D0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3DC51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042" w:hRule="atLeast"/>
          <w:jc w:val="center"/>
        </w:trPr>
        <w:tc>
          <w:tcPr>
            <w:tcW w:w="9876"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9CDC08B">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7204D062">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24ABB6A1">
            <w:pPr>
              <w:adjustRightInd w:val="0"/>
              <w:snapToGrid w:val="0"/>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                                                   日期：</w:t>
            </w:r>
          </w:p>
        </w:tc>
      </w:tr>
    </w:tbl>
    <w:p w14:paraId="4049BC6A">
      <w:pPr>
        <w:rPr>
          <w:rFonts w:hint="eastAsia" w:ascii="宋体" w:hAnsi="宋体" w:eastAsia="宋体" w:cs="宋体"/>
          <w:b/>
          <w:bCs w:val="0"/>
          <w:color w:val="auto"/>
          <w:sz w:val="20"/>
          <w:szCs w:val="20"/>
          <w:highlight w:val="none"/>
          <w:lang w:val="en-US" w:eastAsia="zh-CN"/>
        </w:rPr>
      </w:pPr>
    </w:p>
    <w:p w14:paraId="1EB889B9">
      <w:pPr>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　</w:t>
      </w:r>
    </w:p>
    <w:p w14:paraId="1832E4AF">
      <w:pPr>
        <w:rPr>
          <w:rFonts w:hint="eastAsia"/>
          <w:sz w:val="20"/>
          <w:szCs w:val="20"/>
          <w:highlight w:val="none"/>
          <w:lang w:val="en-US" w:eastAsia="zh-CN"/>
        </w:rPr>
      </w:pPr>
      <w:bookmarkStart w:id="600" w:name="_Toc7482_WPSOffice_Level2"/>
      <w:r>
        <w:rPr>
          <w:rFonts w:hint="eastAsia"/>
          <w:sz w:val="20"/>
          <w:szCs w:val="20"/>
          <w:highlight w:val="none"/>
          <w:lang w:val="en-US" w:eastAsia="zh-CN"/>
        </w:rPr>
        <w:br w:type="page"/>
      </w:r>
    </w:p>
    <w:p w14:paraId="20762F6E">
      <w:pPr>
        <w:pStyle w:val="4"/>
        <w:bidi w:val="0"/>
        <w:jc w:val="center"/>
        <w:rPr>
          <w:rFonts w:hint="eastAsia"/>
          <w:sz w:val="20"/>
          <w:szCs w:val="20"/>
          <w:highlight w:val="none"/>
          <w:lang w:val="en-US" w:eastAsia="zh-CN"/>
        </w:rPr>
      </w:pPr>
      <w:bookmarkStart w:id="601" w:name="_Toc14688"/>
      <w:bookmarkStart w:id="602" w:name="_Toc3959"/>
      <w:r>
        <w:rPr>
          <w:rFonts w:hint="eastAsia"/>
          <w:sz w:val="20"/>
          <w:szCs w:val="20"/>
          <w:highlight w:val="none"/>
          <w:lang w:val="en-US" w:eastAsia="zh-CN"/>
        </w:rPr>
        <w:t>（十七）办公设备维保服务项目</w:t>
      </w:r>
      <w:bookmarkEnd w:id="600"/>
      <w:bookmarkEnd w:id="601"/>
      <w:bookmarkEnd w:id="602"/>
    </w:p>
    <w:p w14:paraId="37EE9C64">
      <w:pPr>
        <w:bidi w:val="0"/>
        <w:rPr>
          <w:rFonts w:hint="eastAsia" w:ascii="宋体" w:hAnsi="宋体" w:eastAsia="宋体" w:cs="宋体"/>
          <w:b/>
          <w:bCs/>
          <w:sz w:val="20"/>
          <w:szCs w:val="20"/>
          <w:highlight w:val="none"/>
          <w:lang w:val="en-US" w:eastAsia="zh-CN"/>
        </w:rPr>
      </w:pPr>
      <w:r>
        <w:rPr>
          <w:rFonts w:hint="eastAsia" w:ascii="宋体" w:hAnsi="宋体" w:eastAsia="宋体" w:cs="宋体"/>
          <w:b/>
          <w:bCs/>
          <w:sz w:val="20"/>
          <w:szCs w:val="20"/>
          <w:highlight w:val="none"/>
          <w:lang w:val="en-US" w:eastAsia="zh-CN"/>
        </w:rPr>
        <w:t>1.项目服务标准</w:t>
      </w:r>
    </w:p>
    <w:tbl>
      <w:tblPr>
        <w:tblStyle w:val="16"/>
        <w:tblW w:w="9215" w:type="dxa"/>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
        <w:gridCol w:w="1660"/>
        <w:gridCol w:w="7085"/>
      </w:tblGrid>
      <w:tr w14:paraId="2DF8C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 w:type="dxa"/>
            <w:noWrap w:val="0"/>
            <w:vAlign w:val="center"/>
          </w:tcPr>
          <w:p w14:paraId="7CF90C23">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color w:val="000000" w:themeColor="text1"/>
                <w:sz w:val="20"/>
                <w:szCs w:val="20"/>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0"/>
                <w:szCs w:val="20"/>
                <w:highlight w:val="none"/>
                <w:vertAlign w:val="baseline"/>
                <w:lang w:val="en-US" w:eastAsia="zh-CN"/>
                <w14:textFill>
                  <w14:solidFill>
                    <w14:schemeClr w14:val="tx1"/>
                  </w14:solidFill>
                </w14:textFill>
              </w:rPr>
              <w:t>1</w:t>
            </w:r>
          </w:p>
        </w:tc>
        <w:tc>
          <w:tcPr>
            <w:tcW w:w="1660" w:type="dxa"/>
            <w:noWrap w:val="0"/>
            <w:vAlign w:val="center"/>
          </w:tcPr>
          <w:p w14:paraId="159CCCC6">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u w:val="none"/>
                <w:lang w:val="en-US" w:eastAsia="zh-CN"/>
                <w14:textFill>
                  <w14:solidFill>
                    <w14:schemeClr w14:val="tx1"/>
                  </w14:solidFill>
                </w14:textFill>
              </w:rPr>
              <w:t>办公设备维保</w:t>
            </w:r>
          </w:p>
        </w:tc>
        <w:tc>
          <w:tcPr>
            <w:tcW w:w="7085" w:type="dxa"/>
            <w:noWrap w:val="0"/>
            <w:vAlign w:val="center"/>
          </w:tcPr>
          <w:p w14:paraId="09D4C90D">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themeColor="text1"/>
                <w:sz w:val="20"/>
                <w:szCs w:val="20"/>
                <w:highlight w:val="none"/>
                <w:u w:val="none"/>
                <w:lang w:val="en-US" w:eastAsia="zh-CN"/>
                <w14:textFill>
                  <w14:solidFill>
                    <w14:schemeClr w14:val="tx1"/>
                  </w14:solidFill>
                </w14:textFill>
              </w:rPr>
            </w:pPr>
            <w:r>
              <w:rPr>
                <w:rFonts w:hint="eastAsia" w:ascii="宋体" w:hAnsi="宋体" w:cs="宋体"/>
                <w:color w:val="000000" w:themeColor="text1"/>
                <w:sz w:val="20"/>
                <w:szCs w:val="20"/>
                <w:highlight w:val="none"/>
                <w:u w:val="none"/>
                <w:lang w:val="en-US" w:eastAsia="zh-CN"/>
                <w14:textFill>
                  <w14:solidFill>
                    <w14:schemeClr w14:val="tx1"/>
                  </w14:solidFill>
                </w14:textFill>
              </w:rPr>
              <w:t>服务商</w:t>
            </w:r>
            <w:r>
              <w:rPr>
                <w:rFonts w:hint="eastAsia" w:ascii="宋体" w:hAnsi="宋体" w:eastAsia="宋体" w:cs="宋体"/>
                <w:color w:val="000000" w:themeColor="text1"/>
                <w:sz w:val="20"/>
                <w:szCs w:val="20"/>
                <w:highlight w:val="none"/>
                <w:u w:val="none"/>
                <w:lang w:val="en-US" w:eastAsia="zh-CN"/>
                <w14:textFill>
                  <w14:solidFill>
                    <w14:schemeClr w14:val="tx1"/>
                  </w14:solidFill>
                </w14:textFill>
              </w:rPr>
              <w:t>需指派专人进行对接，对采购方整体办公设备运行状况进行全面摸查和了解。</w:t>
            </w:r>
          </w:p>
          <w:p w14:paraId="7F35AD36">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themeColor="text1"/>
                <w:sz w:val="20"/>
                <w:szCs w:val="20"/>
                <w:highlight w:val="none"/>
                <w:u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u w:val="none"/>
                <w:lang w:val="en-US" w:eastAsia="zh-CN"/>
                <w14:textFill>
                  <w14:solidFill>
                    <w14:schemeClr w14:val="tx1"/>
                  </w14:solidFill>
                </w14:textFill>
              </w:rPr>
              <w:t>为保证工作正常有序开展，</w:t>
            </w:r>
            <w:r>
              <w:rPr>
                <w:rFonts w:hint="eastAsia" w:ascii="宋体" w:hAnsi="宋体" w:cs="宋体"/>
                <w:color w:val="000000" w:themeColor="text1"/>
                <w:sz w:val="20"/>
                <w:szCs w:val="20"/>
                <w:highlight w:val="none"/>
                <w:u w:val="none"/>
                <w:lang w:val="en-US" w:eastAsia="zh-CN"/>
                <w14:textFill>
                  <w14:solidFill>
                    <w14:schemeClr w14:val="tx1"/>
                  </w14:solidFill>
                </w14:textFill>
              </w:rPr>
              <w:t>服务商</w:t>
            </w:r>
            <w:r>
              <w:rPr>
                <w:rFonts w:hint="eastAsia" w:ascii="宋体" w:hAnsi="宋体" w:eastAsia="宋体" w:cs="宋体"/>
                <w:color w:val="000000" w:themeColor="text1"/>
                <w:sz w:val="20"/>
                <w:szCs w:val="20"/>
                <w:highlight w:val="none"/>
                <w:u w:val="none"/>
                <w:lang w:val="en-US" w:eastAsia="zh-CN"/>
                <w14:textFill>
                  <w14:solidFill>
                    <w14:schemeClr w14:val="tx1"/>
                  </w14:solidFill>
                </w14:textFill>
              </w:rPr>
              <w:t>必须按照采购方的要求执行。按时按质地提供相关服务。</w:t>
            </w:r>
          </w:p>
          <w:p w14:paraId="0E07C494">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u w:val="none"/>
                <w:lang w:val="en-US" w:eastAsia="zh-CN"/>
                <w14:textFill>
                  <w14:solidFill>
                    <w14:schemeClr w14:val="tx1"/>
                  </w14:solidFill>
                </w14:textFill>
              </w:rPr>
              <w:t>服务商</w:t>
            </w:r>
            <w:r>
              <w:rPr>
                <w:rFonts w:hint="eastAsia" w:ascii="宋体" w:hAnsi="宋体" w:eastAsia="宋体" w:cs="宋体"/>
                <w:color w:val="000000" w:themeColor="text1"/>
                <w:sz w:val="20"/>
                <w:szCs w:val="20"/>
                <w:highlight w:val="none"/>
                <w:u w:val="none"/>
                <w:lang w:val="en-US" w:eastAsia="zh-CN"/>
                <w14:textFill>
                  <w14:solidFill>
                    <w14:schemeClr w14:val="tx1"/>
                  </w14:solidFill>
                </w14:textFill>
              </w:rPr>
              <w:t>提供24小时服务热线（热线电话、微信、传真、电子邮件等）。</w:t>
            </w:r>
            <w:r>
              <w:rPr>
                <w:rFonts w:hint="eastAsia" w:ascii="宋体" w:hAnsi="宋体" w:cs="宋体"/>
                <w:color w:val="000000" w:themeColor="text1"/>
                <w:sz w:val="20"/>
                <w:szCs w:val="20"/>
                <w:highlight w:val="none"/>
                <w:u w:val="none"/>
                <w:lang w:val="en-US" w:eastAsia="zh-CN"/>
                <w14:textFill>
                  <w14:solidFill>
                    <w14:schemeClr w14:val="tx1"/>
                  </w14:solidFill>
                </w14:textFill>
              </w:rPr>
              <w:t>服务商</w:t>
            </w:r>
            <w:r>
              <w:rPr>
                <w:rFonts w:hint="eastAsia" w:ascii="宋体" w:hAnsi="宋体" w:eastAsia="宋体" w:cs="宋体"/>
                <w:color w:val="000000" w:themeColor="text1"/>
                <w:sz w:val="20"/>
                <w:szCs w:val="20"/>
                <w:highlight w:val="none"/>
                <w:u w:val="none"/>
                <w:lang w:val="en-US" w:eastAsia="zh-CN"/>
                <w14:textFill>
                  <w14:solidFill>
                    <w14:schemeClr w14:val="tx1"/>
                  </w14:solidFill>
                </w14:textFill>
              </w:rPr>
              <w:t>在接到办公设备故障报修电话后，必须在1小时内作出响应，并派出专业的技术人员按采购方的时间要求到达现场。在采购方规定的时间内，恢复故障，如果故障在检修24小时后仍无法排除，应与采购协商解决。</w:t>
            </w:r>
          </w:p>
        </w:tc>
      </w:tr>
    </w:tbl>
    <w:p w14:paraId="7B5731A0">
      <w:pPr>
        <w:bidi w:val="0"/>
        <w:rPr>
          <w:rFonts w:hint="eastAsia" w:ascii="宋体" w:hAnsi="宋体" w:eastAsia="宋体" w:cs="宋体"/>
          <w:b/>
          <w:bCs/>
          <w:sz w:val="20"/>
          <w:szCs w:val="20"/>
          <w:highlight w:val="none"/>
          <w:lang w:val="en-US" w:eastAsia="zh-CN"/>
        </w:rPr>
      </w:pPr>
      <w:r>
        <w:rPr>
          <w:rFonts w:hint="eastAsia" w:ascii="宋体" w:hAnsi="宋体" w:eastAsia="宋体" w:cs="宋体"/>
          <w:b/>
          <w:bCs/>
          <w:sz w:val="20"/>
          <w:szCs w:val="20"/>
          <w:highlight w:val="none"/>
          <w:lang w:val="en-US" w:eastAsia="zh-CN"/>
        </w:rPr>
        <w:t>2项目服务要求</w:t>
      </w:r>
    </w:p>
    <w:p w14:paraId="73AB60A4">
      <w:pPr>
        <w:bidi w:val="0"/>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val="en-US" w:eastAsia="zh-CN"/>
        </w:rPr>
        <w:t>2.1</w:t>
      </w:r>
      <w:r>
        <w:rPr>
          <w:rFonts w:hint="eastAsia" w:ascii="宋体" w:hAnsi="宋体" w:eastAsia="宋体" w:cs="宋体"/>
          <w:b/>
          <w:bCs/>
          <w:sz w:val="20"/>
          <w:szCs w:val="20"/>
          <w:highlight w:val="none"/>
        </w:rPr>
        <w:t>办公设备故障处理</w:t>
      </w:r>
    </w:p>
    <w:p w14:paraId="49FC9793">
      <w:pPr>
        <w:pStyle w:val="32"/>
        <w:pageBreakBefore w:val="0"/>
        <w:numPr>
          <w:ilvl w:val="3"/>
          <w:numId w:val="0"/>
        </w:numPr>
        <w:kinsoku/>
        <w:wordWrap/>
        <w:overflowPunct/>
        <w:topLinePunct w:val="0"/>
        <w:autoSpaceDE/>
        <w:autoSpaceDN/>
        <w:bidi w:val="0"/>
        <w:adjustRightInd/>
        <w:snapToGrid/>
        <w:spacing w:line="480" w:lineRule="exact"/>
        <w:ind w:leftChars="0"/>
        <w:textAlignment w:val="auto"/>
        <w:rPr>
          <w:rFonts w:hint="eastAsia"/>
          <w:sz w:val="20"/>
          <w:szCs w:val="20"/>
          <w:highlight w:val="none"/>
        </w:rPr>
      </w:pPr>
      <w:r>
        <w:rPr>
          <w:rFonts w:hint="eastAsia"/>
          <w:sz w:val="20"/>
          <w:szCs w:val="20"/>
          <w:highlight w:val="none"/>
          <w:lang w:val="en-US" w:eastAsia="zh-CN"/>
        </w:rPr>
        <w:t>2.1.1</w:t>
      </w:r>
      <w:r>
        <w:rPr>
          <w:rFonts w:hint="eastAsia"/>
          <w:sz w:val="20"/>
          <w:szCs w:val="20"/>
          <w:highlight w:val="none"/>
          <w:lang w:eastAsia="zh-CN"/>
        </w:rPr>
        <w:t>响应人</w:t>
      </w:r>
      <w:r>
        <w:rPr>
          <w:rFonts w:hint="eastAsia"/>
          <w:sz w:val="20"/>
          <w:szCs w:val="20"/>
          <w:highlight w:val="none"/>
        </w:rPr>
        <w:t>须按</w:t>
      </w:r>
      <w:r>
        <w:rPr>
          <w:rFonts w:hint="eastAsia"/>
          <w:sz w:val="20"/>
          <w:szCs w:val="20"/>
          <w:highlight w:val="none"/>
          <w:lang w:eastAsia="zh-CN"/>
        </w:rPr>
        <w:t>采购人</w:t>
      </w:r>
      <w:r>
        <w:rPr>
          <w:rFonts w:hint="eastAsia"/>
          <w:sz w:val="20"/>
          <w:szCs w:val="20"/>
          <w:highlight w:val="none"/>
        </w:rPr>
        <w:t>要求处理用户申报的办公设备类事件，包括设备使用故障等。</w:t>
      </w:r>
    </w:p>
    <w:p w14:paraId="04C5A0D6">
      <w:pPr>
        <w:bidi w:val="0"/>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val="en-US" w:eastAsia="zh-CN"/>
        </w:rPr>
        <w:t>2.2</w:t>
      </w:r>
      <w:r>
        <w:rPr>
          <w:rFonts w:hint="eastAsia" w:ascii="宋体" w:hAnsi="宋体" w:eastAsia="宋体" w:cs="宋体"/>
          <w:b/>
          <w:bCs/>
          <w:sz w:val="20"/>
          <w:szCs w:val="20"/>
          <w:highlight w:val="none"/>
        </w:rPr>
        <w:t>办公设备修</w:t>
      </w:r>
      <w:r>
        <w:rPr>
          <w:rFonts w:hint="eastAsia" w:ascii="宋体" w:hAnsi="宋体" w:eastAsia="宋体" w:cs="宋体"/>
          <w:b/>
          <w:bCs/>
          <w:sz w:val="20"/>
          <w:szCs w:val="20"/>
          <w:highlight w:val="none"/>
          <w:lang w:eastAsia="zh-CN"/>
        </w:rPr>
        <w:t>理</w:t>
      </w:r>
    </w:p>
    <w:p w14:paraId="51880E3C">
      <w:pPr>
        <w:pStyle w:val="31"/>
        <w:pageBreakBefore w:val="0"/>
        <w:numPr>
          <w:ilvl w:val="2"/>
          <w:numId w:val="0"/>
        </w:numPr>
        <w:kinsoku/>
        <w:wordWrap/>
        <w:overflowPunct/>
        <w:topLinePunct w:val="0"/>
        <w:autoSpaceDE/>
        <w:autoSpaceDN/>
        <w:bidi w:val="0"/>
        <w:adjustRightInd/>
        <w:snapToGrid/>
        <w:spacing w:line="480" w:lineRule="exact"/>
        <w:ind w:leftChars="0"/>
        <w:textAlignment w:val="auto"/>
        <w:rPr>
          <w:rFonts w:hint="eastAsia"/>
          <w:bCs/>
          <w:color w:val="000000"/>
          <w:sz w:val="20"/>
          <w:szCs w:val="20"/>
          <w:highlight w:val="none"/>
        </w:rPr>
      </w:pPr>
      <w:r>
        <w:rPr>
          <w:rFonts w:hint="eastAsia"/>
          <w:bCs/>
          <w:color w:val="000000"/>
          <w:sz w:val="20"/>
          <w:szCs w:val="20"/>
          <w:highlight w:val="none"/>
          <w:lang w:val="en-US" w:eastAsia="zh-CN"/>
        </w:rPr>
        <w:t>2.2.1</w:t>
      </w:r>
      <w:r>
        <w:rPr>
          <w:rFonts w:hint="eastAsia"/>
          <w:bCs/>
          <w:color w:val="000000"/>
          <w:sz w:val="20"/>
          <w:szCs w:val="20"/>
          <w:highlight w:val="none"/>
        </w:rPr>
        <w:t>在设备运行维护过程中，</w:t>
      </w:r>
      <w:r>
        <w:rPr>
          <w:rFonts w:hint="eastAsia"/>
          <w:color w:val="000000"/>
          <w:sz w:val="20"/>
          <w:szCs w:val="20"/>
          <w:highlight w:val="none"/>
        </w:rPr>
        <w:t>如发现设备零配件已损坏时，</w:t>
      </w:r>
      <w:r>
        <w:rPr>
          <w:rFonts w:hint="eastAsia"/>
          <w:color w:val="000000"/>
          <w:sz w:val="20"/>
          <w:szCs w:val="20"/>
          <w:highlight w:val="none"/>
          <w:lang w:eastAsia="zh-CN"/>
        </w:rPr>
        <w:t>响应人</w:t>
      </w:r>
      <w:r>
        <w:rPr>
          <w:rFonts w:hint="eastAsia"/>
          <w:color w:val="000000"/>
          <w:sz w:val="20"/>
          <w:szCs w:val="20"/>
          <w:highlight w:val="none"/>
        </w:rPr>
        <w:t>须及时处理。质保期内设备，</w:t>
      </w:r>
      <w:r>
        <w:rPr>
          <w:rFonts w:hint="eastAsia"/>
          <w:color w:val="000000"/>
          <w:sz w:val="20"/>
          <w:szCs w:val="20"/>
          <w:highlight w:val="none"/>
          <w:lang w:eastAsia="zh-CN"/>
        </w:rPr>
        <w:t>响应人</w:t>
      </w:r>
      <w:r>
        <w:rPr>
          <w:rFonts w:hint="eastAsia"/>
          <w:color w:val="000000"/>
          <w:sz w:val="20"/>
          <w:szCs w:val="20"/>
          <w:highlight w:val="none"/>
        </w:rPr>
        <w:t>负责联系设备供应商处理；质保期外设备，由</w:t>
      </w:r>
      <w:r>
        <w:rPr>
          <w:rFonts w:hint="eastAsia"/>
          <w:color w:val="000000"/>
          <w:sz w:val="20"/>
          <w:szCs w:val="20"/>
          <w:highlight w:val="none"/>
          <w:lang w:eastAsia="zh-CN"/>
        </w:rPr>
        <w:t>响应人</w:t>
      </w:r>
      <w:r>
        <w:rPr>
          <w:rFonts w:hint="eastAsia"/>
          <w:color w:val="000000"/>
          <w:sz w:val="20"/>
          <w:szCs w:val="20"/>
          <w:highlight w:val="none"/>
        </w:rPr>
        <w:t>负责对</w:t>
      </w:r>
      <w:r>
        <w:rPr>
          <w:rFonts w:hint="eastAsia"/>
          <w:bCs/>
          <w:color w:val="000000"/>
          <w:sz w:val="20"/>
          <w:szCs w:val="20"/>
          <w:highlight w:val="none"/>
        </w:rPr>
        <w:t>发生故障或损坏的零配件进行维修或更换</w:t>
      </w:r>
      <w:r>
        <w:rPr>
          <w:rFonts w:hint="eastAsia"/>
          <w:color w:val="000000"/>
          <w:sz w:val="20"/>
          <w:szCs w:val="20"/>
          <w:highlight w:val="none"/>
        </w:rPr>
        <w:t>。</w:t>
      </w:r>
    </w:p>
    <w:p w14:paraId="249473AE">
      <w:pPr>
        <w:pStyle w:val="31"/>
        <w:pageBreakBefore w:val="0"/>
        <w:numPr>
          <w:ilvl w:val="2"/>
          <w:numId w:val="0"/>
        </w:numPr>
        <w:kinsoku/>
        <w:wordWrap/>
        <w:overflowPunct/>
        <w:topLinePunct w:val="0"/>
        <w:autoSpaceDE/>
        <w:autoSpaceDN/>
        <w:bidi w:val="0"/>
        <w:adjustRightInd/>
        <w:snapToGrid/>
        <w:spacing w:line="480" w:lineRule="exact"/>
        <w:ind w:leftChars="0"/>
        <w:textAlignment w:val="auto"/>
        <w:rPr>
          <w:rFonts w:hint="eastAsia" w:eastAsia="宋体"/>
          <w:color w:val="000000"/>
          <w:sz w:val="20"/>
          <w:szCs w:val="20"/>
          <w:highlight w:val="none"/>
        </w:rPr>
      </w:pPr>
      <w:r>
        <w:rPr>
          <w:rFonts w:hint="eastAsia"/>
          <w:color w:val="000000"/>
          <w:sz w:val="20"/>
          <w:szCs w:val="20"/>
          <w:highlight w:val="none"/>
          <w:lang w:val="en-US" w:eastAsia="zh-CN"/>
        </w:rPr>
        <w:t>2.2.2</w:t>
      </w:r>
      <w:r>
        <w:rPr>
          <w:rFonts w:hint="eastAsia"/>
          <w:color w:val="000000"/>
          <w:sz w:val="20"/>
          <w:szCs w:val="20"/>
          <w:highlight w:val="none"/>
        </w:rPr>
        <w:t>需更换零配件的维护时间不超过1个工作日；零配件需订货的维护时间原则上不超过5个工</w:t>
      </w:r>
      <w:r>
        <w:rPr>
          <w:rFonts w:hint="eastAsia" w:eastAsia="宋体"/>
          <w:color w:val="000000"/>
          <w:sz w:val="20"/>
          <w:szCs w:val="20"/>
          <w:highlight w:val="none"/>
        </w:rPr>
        <w:t>作日，如因设备厂商供货原因导致零配件不能及时到货，须向</w:t>
      </w:r>
      <w:r>
        <w:rPr>
          <w:rFonts w:hint="eastAsia" w:eastAsia="宋体"/>
          <w:color w:val="000000"/>
          <w:sz w:val="20"/>
          <w:szCs w:val="20"/>
          <w:highlight w:val="none"/>
          <w:lang w:eastAsia="zh-CN"/>
        </w:rPr>
        <w:t>采购人</w:t>
      </w:r>
      <w:r>
        <w:rPr>
          <w:rFonts w:hint="eastAsia" w:eastAsia="宋体"/>
          <w:color w:val="000000"/>
          <w:sz w:val="20"/>
          <w:szCs w:val="20"/>
          <w:highlight w:val="none"/>
        </w:rPr>
        <w:t>进行说明。</w:t>
      </w:r>
    </w:p>
    <w:p w14:paraId="7301DF36">
      <w:pPr>
        <w:pStyle w:val="31"/>
        <w:pageBreakBefore w:val="0"/>
        <w:numPr>
          <w:ilvl w:val="2"/>
          <w:numId w:val="0"/>
        </w:numPr>
        <w:kinsoku/>
        <w:wordWrap/>
        <w:overflowPunct/>
        <w:topLinePunct w:val="0"/>
        <w:autoSpaceDE/>
        <w:autoSpaceDN/>
        <w:bidi w:val="0"/>
        <w:adjustRightInd/>
        <w:snapToGrid/>
        <w:spacing w:line="480" w:lineRule="exact"/>
        <w:ind w:leftChars="0"/>
        <w:textAlignment w:val="auto"/>
        <w:rPr>
          <w:rFonts w:hint="eastAsia" w:eastAsia="宋体"/>
          <w:color w:val="000000"/>
          <w:sz w:val="20"/>
          <w:szCs w:val="20"/>
          <w:highlight w:val="none"/>
        </w:rPr>
      </w:pPr>
      <w:r>
        <w:rPr>
          <w:rFonts w:hint="eastAsia" w:eastAsia="宋体"/>
          <w:color w:val="000000"/>
          <w:sz w:val="20"/>
          <w:szCs w:val="20"/>
          <w:highlight w:val="none"/>
        </w:rPr>
        <w:t>损坏设备的送修，原则上不超过设备厂家提供的正常维修周期。</w:t>
      </w:r>
    </w:p>
    <w:p w14:paraId="18D4C7DA">
      <w:pPr>
        <w:pStyle w:val="31"/>
        <w:pageBreakBefore w:val="0"/>
        <w:numPr>
          <w:ilvl w:val="2"/>
          <w:numId w:val="0"/>
        </w:numPr>
        <w:kinsoku/>
        <w:wordWrap/>
        <w:overflowPunct/>
        <w:topLinePunct w:val="0"/>
        <w:autoSpaceDE/>
        <w:autoSpaceDN/>
        <w:bidi w:val="0"/>
        <w:adjustRightInd/>
        <w:snapToGrid/>
        <w:spacing w:line="480" w:lineRule="exact"/>
        <w:ind w:leftChars="0"/>
        <w:textAlignment w:val="auto"/>
        <w:rPr>
          <w:rFonts w:hint="eastAsia" w:eastAsia="宋体"/>
          <w:color w:val="000000"/>
          <w:sz w:val="20"/>
          <w:szCs w:val="20"/>
          <w:highlight w:val="none"/>
          <w:lang w:val="en-US" w:eastAsia="zh-CN"/>
        </w:rPr>
      </w:pPr>
      <w:bookmarkStart w:id="603" w:name="_Toc93490801"/>
      <w:bookmarkStart w:id="604" w:name="_Toc137397828"/>
      <w:bookmarkStart w:id="605" w:name="_Toc93490580"/>
      <w:bookmarkStart w:id="606" w:name="_Toc6820"/>
      <w:bookmarkStart w:id="607" w:name="_Toc351129176"/>
      <w:bookmarkStart w:id="608" w:name="_Toc93490630"/>
      <w:bookmarkStart w:id="609" w:name="_Toc167003829"/>
      <w:r>
        <w:rPr>
          <w:rFonts w:hint="eastAsia" w:eastAsia="宋体"/>
          <w:color w:val="000000"/>
          <w:sz w:val="20"/>
          <w:szCs w:val="20"/>
          <w:highlight w:val="none"/>
          <w:lang w:val="en-US" w:eastAsia="zh-CN"/>
        </w:rPr>
        <w:t>2.2.3所有服务方式均为响应人派员到用户使用现场进行维护服务。由此产生的一切费用均由响应人承担。</w:t>
      </w:r>
    </w:p>
    <w:p w14:paraId="18855671">
      <w:pPr>
        <w:pStyle w:val="31"/>
        <w:pageBreakBefore w:val="0"/>
        <w:numPr>
          <w:ilvl w:val="2"/>
          <w:numId w:val="0"/>
        </w:numPr>
        <w:kinsoku/>
        <w:wordWrap/>
        <w:overflowPunct/>
        <w:topLinePunct w:val="0"/>
        <w:autoSpaceDE/>
        <w:autoSpaceDN/>
        <w:bidi w:val="0"/>
        <w:adjustRightInd/>
        <w:snapToGrid/>
        <w:spacing w:line="480" w:lineRule="exact"/>
        <w:ind w:leftChars="0"/>
        <w:textAlignment w:val="auto"/>
        <w:rPr>
          <w:rFonts w:hint="eastAsia" w:eastAsia="宋体"/>
          <w:color w:val="000000"/>
          <w:sz w:val="20"/>
          <w:szCs w:val="20"/>
          <w:highlight w:val="none"/>
        </w:rPr>
      </w:pPr>
      <w:r>
        <w:rPr>
          <w:rFonts w:hint="eastAsia" w:eastAsia="宋体"/>
          <w:color w:val="000000"/>
          <w:sz w:val="20"/>
          <w:szCs w:val="20"/>
          <w:highlight w:val="none"/>
          <w:lang w:val="en-US" w:eastAsia="zh-CN"/>
        </w:rPr>
        <w:t>2.2.4</w:t>
      </w:r>
      <w:r>
        <w:rPr>
          <w:rFonts w:hint="eastAsia" w:eastAsia="宋体"/>
          <w:color w:val="000000"/>
          <w:sz w:val="20"/>
          <w:szCs w:val="20"/>
          <w:highlight w:val="none"/>
        </w:rPr>
        <w:t>对于不能明确是否是</w:t>
      </w:r>
      <w:r>
        <w:rPr>
          <w:rFonts w:hint="eastAsia" w:eastAsia="宋体"/>
          <w:color w:val="000000"/>
          <w:sz w:val="20"/>
          <w:szCs w:val="20"/>
          <w:highlight w:val="none"/>
          <w:lang w:eastAsia="zh-CN"/>
        </w:rPr>
        <w:t>响应人</w:t>
      </w:r>
      <w:r>
        <w:rPr>
          <w:rFonts w:hint="eastAsia" w:eastAsia="宋体"/>
          <w:color w:val="000000"/>
          <w:sz w:val="20"/>
          <w:szCs w:val="20"/>
          <w:highlight w:val="none"/>
        </w:rPr>
        <w:t>工作产品出现故障时，</w:t>
      </w:r>
      <w:r>
        <w:rPr>
          <w:rFonts w:hint="eastAsia" w:eastAsia="宋体"/>
          <w:color w:val="000000"/>
          <w:sz w:val="20"/>
          <w:szCs w:val="20"/>
          <w:highlight w:val="none"/>
          <w:lang w:eastAsia="zh-CN"/>
        </w:rPr>
        <w:t>响应人</w:t>
      </w:r>
      <w:r>
        <w:rPr>
          <w:rFonts w:hint="eastAsia" w:eastAsia="宋体"/>
          <w:color w:val="000000"/>
          <w:sz w:val="20"/>
          <w:szCs w:val="20"/>
          <w:highlight w:val="none"/>
        </w:rPr>
        <w:t>应尽力配合</w:t>
      </w:r>
      <w:r>
        <w:rPr>
          <w:rFonts w:hint="eastAsia" w:eastAsia="宋体"/>
          <w:color w:val="000000"/>
          <w:sz w:val="20"/>
          <w:szCs w:val="20"/>
          <w:highlight w:val="none"/>
          <w:lang w:eastAsia="zh-CN"/>
        </w:rPr>
        <w:t>采购人</w:t>
      </w:r>
      <w:r>
        <w:rPr>
          <w:rFonts w:hint="eastAsia" w:eastAsia="宋体"/>
          <w:color w:val="000000"/>
          <w:sz w:val="20"/>
          <w:szCs w:val="20"/>
          <w:highlight w:val="none"/>
        </w:rPr>
        <w:t>和其他供应商进行检查，在必要时，能在上述响应时间内到达现场协助排除问题。</w:t>
      </w:r>
    </w:p>
    <w:p w14:paraId="5F71E81B">
      <w:pPr>
        <w:pStyle w:val="31"/>
        <w:pageBreakBefore w:val="0"/>
        <w:numPr>
          <w:ilvl w:val="2"/>
          <w:numId w:val="0"/>
        </w:numPr>
        <w:kinsoku/>
        <w:wordWrap/>
        <w:overflowPunct/>
        <w:topLinePunct w:val="0"/>
        <w:autoSpaceDE/>
        <w:autoSpaceDN/>
        <w:bidi w:val="0"/>
        <w:adjustRightInd/>
        <w:snapToGrid/>
        <w:spacing w:line="480" w:lineRule="exact"/>
        <w:ind w:leftChars="0"/>
        <w:textAlignment w:val="auto"/>
        <w:rPr>
          <w:rFonts w:hint="eastAsia" w:eastAsia="宋体"/>
          <w:color w:val="000000"/>
          <w:sz w:val="20"/>
          <w:szCs w:val="20"/>
          <w:highlight w:val="none"/>
        </w:rPr>
      </w:pPr>
      <w:r>
        <w:rPr>
          <w:rFonts w:hint="eastAsia" w:eastAsia="宋体"/>
          <w:color w:val="000000"/>
          <w:sz w:val="20"/>
          <w:szCs w:val="20"/>
          <w:highlight w:val="none"/>
          <w:lang w:val="en-US" w:eastAsia="zh-CN"/>
        </w:rPr>
        <w:t>2.2.5</w:t>
      </w:r>
      <w:r>
        <w:rPr>
          <w:rFonts w:hint="eastAsia" w:eastAsia="宋体"/>
          <w:color w:val="000000"/>
          <w:sz w:val="20"/>
          <w:szCs w:val="20"/>
          <w:highlight w:val="none"/>
          <w:lang w:eastAsia="zh-CN"/>
        </w:rPr>
        <w:t>响应人</w:t>
      </w:r>
      <w:r>
        <w:rPr>
          <w:rFonts w:hint="eastAsia" w:eastAsia="宋体"/>
          <w:color w:val="000000"/>
          <w:sz w:val="20"/>
          <w:szCs w:val="20"/>
          <w:highlight w:val="none"/>
        </w:rPr>
        <w:t>必须有专门的维护部门及规范的维护服务管理体系，须在</w:t>
      </w:r>
      <w:r>
        <w:rPr>
          <w:rFonts w:hint="eastAsia" w:eastAsia="宋体"/>
          <w:color w:val="000000"/>
          <w:sz w:val="20"/>
          <w:szCs w:val="20"/>
          <w:highlight w:val="none"/>
          <w:lang w:eastAsia="zh-CN"/>
        </w:rPr>
        <w:t>采购人</w:t>
      </w:r>
      <w:r>
        <w:rPr>
          <w:rFonts w:hint="eastAsia" w:eastAsia="宋体"/>
          <w:color w:val="000000"/>
          <w:sz w:val="20"/>
          <w:szCs w:val="20"/>
          <w:highlight w:val="none"/>
        </w:rPr>
        <w:t>当地有专业维护人员，能按要求及时响应。</w:t>
      </w:r>
    </w:p>
    <w:bookmarkEnd w:id="603"/>
    <w:bookmarkEnd w:id="604"/>
    <w:bookmarkEnd w:id="605"/>
    <w:bookmarkEnd w:id="606"/>
    <w:bookmarkEnd w:id="607"/>
    <w:bookmarkEnd w:id="608"/>
    <w:bookmarkEnd w:id="609"/>
    <w:p w14:paraId="659AE7BC">
      <w:pPr>
        <w:pStyle w:val="31"/>
        <w:pageBreakBefore w:val="0"/>
        <w:numPr>
          <w:ilvl w:val="2"/>
          <w:numId w:val="0"/>
        </w:numPr>
        <w:kinsoku/>
        <w:wordWrap/>
        <w:overflowPunct/>
        <w:topLinePunct w:val="0"/>
        <w:autoSpaceDE/>
        <w:autoSpaceDN/>
        <w:bidi w:val="0"/>
        <w:adjustRightInd/>
        <w:snapToGrid/>
        <w:spacing w:line="480" w:lineRule="exact"/>
        <w:ind w:firstLine="400" w:firstLineChars="200"/>
        <w:textAlignment w:val="auto"/>
        <w:rPr>
          <w:rFonts w:hint="eastAsia" w:eastAsia="宋体"/>
          <w:color w:val="000000"/>
          <w:sz w:val="20"/>
          <w:szCs w:val="20"/>
          <w:highlight w:val="none"/>
          <w:lang w:val="en-US" w:eastAsia="zh-CN"/>
        </w:rPr>
      </w:pPr>
      <w:r>
        <w:rPr>
          <w:rFonts w:hint="eastAsia" w:eastAsia="宋体"/>
          <w:color w:val="000000"/>
          <w:sz w:val="20"/>
          <w:szCs w:val="20"/>
          <w:highlight w:val="none"/>
          <w:lang w:val="en-US" w:eastAsia="zh-CN"/>
        </w:rPr>
        <w:t>1、当复印机、投影机等办公设备发生故障，</w:t>
      </w:r>
      <w:r>
        <w:rPr>
          <w:rFonts w:hint="eastAsia"/>
          <w:color w:val="000000"/>
          <w:sz w:val="20"/>
          <w:szCs w:val="20"/>
          <w:highlight w:val="none"/>
          <w:lang w:val="en-US" w:eastAsia="zh-CN"/>
        </w:rPr>
        <w:t>采购方</w:t>
      </w:r>
      <w:r>
        <w:rPr>
          <w:rFonts w:hint="eastAsia" w:eastAsia="宋体"/>
          <w:color w:val="000000"/>
          <w:sz w:val="20"/>
          <w:szCs w:val="20"/>
          <w:highlight w:val="none"/>
          <w:lang w:val="en-US" w:eastAsia="zh-CN"/>
        </w:rPr>
        <w:t>使用部门直接向承包方报修，接到报修电话后保证</w:t>
      </w:r>
      <w:r>
        <w:rPr>
          <w:rFonts w:hint="eastAsia" w:ascii="宋体" w:hAnsi="宋体" w:cs="宋体"/>
          <w:i w:val="0"/>
          <w:iCs w:val="0"/>
          <w:color w:val="FF0000"/>
          <w:kern w:val="0"/>
          <w:sz w:val="20"/>
          <w:szCs w:val="20"/>
          <w:highlight w:val="none"/>
          <w:u w:val="none"/>
          <w:lang w:val="en-US" w:eastAsia="zh-CN" w:bidi="ar"/>
        </w:rPr>
        <w:t>市区内</w:t>
      </w:r>
      <w:r>
        <w:rPr>
          <w:rFonts w:hint="eastAsia" w:eastAsia="宋体"/>
          <w:color w:val="000000"/>
          <w:sz w:val="20"/>
          <w:szCs w:val="20"/>
          <w:highlight w:val="none"/>
          <w:lang w:val="en-US" w:eastAsia="zh-CN"/>
        </w:rPr>
        <w:t>在2小时内到达故障现场，无论节假日，开通24小时服务热线，同样响应本单位的服务需求，而且不再额外收取费用；</w:t>
      </w:r>
    </w:p>
    <w:p w14:paraId="254C6B63">
      <w:pPr>
        <w:keepNext w:val="0"/>
        <w:keepLines w:val="0"/>
        <w:pageBreakBefore w:val="0"/>
        <w:widowControl/>
        <w:kinsoku/>
        <w:wordWrap/>
        <w:overflowPunct/>
        <w:topLinePunct w:val="0"/>
        <w:autoSpaceDE/>
        <w:autoSpaceDN/>
        <w:bidi w:val="0"/>
        <w:adjustRightInd/>
        <w:snapToGrid/>
        <w:spacing w:line="480" w:lineRule="exact"/>
        <w:ind w:firstLine="400" w:firstLineChars="200"/>
        <w:textAlignment w:val="auto"/>
        <w:outlineLvl w:val="9"/>
        <w:rPr>
          <w:rFonts w:hint="eastAsia" w:asciiTheme="minorHAnsi" w:hAnsiTheme="minorHAnsi" w:eastAsiaTheme="minorEastAsia" w:cstheme="minorBidi"/>
          <w:color w:val="000000"/>
          <w:kern w:val="2"/>
          <w:sz w:val="20"/>
          <w:szCs w:val="20"/>
          <w:highlight w:val="none"/>
          <w:lang w:val="en-US" w:eastAsia="zh-CN" w:bidi="ar-SA"/>
        </w:rPr>
      </w:pPr>
      <w:r>
        <w:rPr>
          <w:rFonts w:hint="eastAsia" w:asciiTheme="minorHAnsi" w:hAnsiTheme="minorHAnsi" w:eastAsiaTheme="minorEastAsia" w:cstheme="minorBidi"/>
          <w:color w:val="000000"/>
          <w:kern w:val="2"/>
          <w:sz w:val="20"/>
          <w:szCs w:val="20"/>
          <w:highlight w:val="none"/>
          <w:lang w:val="en-US" w:eastAsia="zh-CN" w:bidi="ar-SA"/>
        </w:rPr>
        <w:t>2、接到维护通知，2小时内到现场开展维护，并在2小时内完成修复并交付使用，硬件故障需更换配件的，要在48小时内完成并交付使用；</w:t>
      </w:r>
    </w:p>
    <w:p w14:paraId="07BCA285">
      <w:pPr>
        <w:keepNext w:val="0"/>
        <w:keepLines w:val="0"/>
        <w:pageBreakBefore w:val="0"/>
        <w:kinsoku/>
        <w:wordWrap/>
        <w:overflowPunct/>
        <w:topLinePunct w:val="0"/>
        <w:autoSpaceDE/>
        <w:autoSpaceDN/>
        <w:bidi w:val="0"/>
        <w:adjustRightInd/>
        <w:snapToGrid/>
        <w:spacing w:line="480" w:lineRule="exact"/>
        <w:ind w:firstLine="400" w:firstLineChars="200"/>
        <w:textAlignment w:val="auto"/>
        <w:outlineLvl w:val="9"/>
        <w:rPr>
          <w:rFonts w:hint="eastAsia" w:asciiTheme="minorHAnsi" w:hAnsiTheme="minorHAnsi" w:eastAsiaTheme="minorEastAsia" w:cstheme="minorBidi"/>
          <w:color w:val="000000"/>
          <w:kern w:val="2"/>
          <w:sz w:val="20"/>
          <w:szCs w:val="20"/>
          <w:highlight w:val="none"/>
          <w:lang w:val="en-US" w:eastAsia="zh-CN" w:bidi="ar-SA"/>
        </w:rPr>
      </w:pPr>
      <w:r>
        <w:rPr>
          <w:rFonts w:hint="eastAsia" w:asciiTheme="minorHAnsi" w:hAnsiTheme="minorHAnsi" w:eastAsiaTheme="minorEastAsia" w:cstheme="minorBidi"/>
          <w:color w:val="000000"/>
          <w:kern w:val="2"/>
          <w:sz w:val="20"/>
          <w:szCs w:val="20"/>
          <w:highlight w:val="none"/>
          <w:lang w:val="en-US" w:eastAsia="zh-CN" w:bidi="ar-SA"/>
        </w:rPr>
        <w:t>3、服务商对更换的零配件，从更换验收合格之日起提供为期 3 月的保修，保修期内因零配件质量或服务商修理原因再次损坏的，服务商应予无偿更换并修复；</w:t>
      </w:r>
    </w:p>
    <w:p w14:paraId="18723BB8">
      <w:pPr>
        <w:keepNext w:val="0"/>
        <w:keepLines w:val="0"/>
        <w:pageBreakBefore w:val="0"/>
        <w:widowControl/>
        <w:kinsoku/>
        <w:wordWrap/>
        <w:overflowPunct/>
        <w:topLinePunct w:val="0"/>
        <w:autoSpaceDE/>
        <w:autoSpaceDN/>
        <w:bidi w:val="0"/>
        <w:adjustRightInd/>
        <w:snapToGrid/>
        <w:spacing w:line="480" w:lineRule="exact"/>
        <w:ind w:firstLine="560"/>
        <w:textAlignment w:val="auto"/>
        <w:outlineLvl w:val="9"/>
        <w:rPr>
          <w:rFonts w:hint="eastAsia" w:asciiTheme="minorHAnsi" w:hAnsiTheme="minorHAnsi" w:eastAsiaTheme="minorEastAsia" w:cstheme="minorBidi"/>
          <w:color w:val="000000"/>
          <w:kern w:val="2"/>
          <w:sz w:val="20"/>
          <w:szCs w:val="20"/>
          <w:highlight w:val="none"/>
          <w:lang w:val="en-US" w:eastAsia="zh-CN" w:bidi="ar-SA"/>
        </w:rPr>
      </w:pPr>
      <w:r>
        <w:rPr>
          <w:rFonts w:hint="eastAsia" w:asciiTheme="minorHAnsi" w:hAnsiTheme="minorHAnsi" w:eastAsiaTheme="minorEastAsia" w:cstheme="minorBidi"/>
          <w:color w:val="000000"/>
          <w:kern w:val="2"/>
          <w:sz w:val="20"/>
          <w:szCs w:val="20"/>
          <w:highlight w:val="none"/>
          <w:lang w:val="en-US" w:eastAsia="zh-CN" w:bidi="ar-SA"/>
        </w:rPr>
        <w:t>4、服务商应严格按照采购方提出的维护维修指令及计划进行作业，经采购方签字确认后方可进行维护维修；</w:t>
      </w:r>
    </w:p>
    <w:p w14:paraId="4B4F019A">
      <w:pPr>
        <w:keepNext w:val="0"/>
        <w:keepLines w:val="0"/>
        <w:pageBreakBefore w:val="0"/>
        <w:kinsoku/>
        <w:wordWrap/>
        <w:overflowPunct/>
        <w:topLinePunct w:val="0"/>
        <w:autoSpaceDE/>
        <w:autoSpaceDN/>
        <w:bidi w:val="0"/>
        <w:adjustRightInd/>
        <w:snapToGrid/>
        <w:spacing w:line="480" w:lineRule="exact"/>
        <w:ind w:firstLine="560"/>
        <w:textAlignment w:val="auto"/>
        <w:outlineLvl w:val="9"/>
        <w:rPr>
          <w:rFonts w:hint="eastAsia" w:asciiTheme="minorHAnsi" w:hAnsiTheme="minorHAnsi" w:eastAsiaTheme="minorEastAsia" w:cstheme="minorBidi"/>
          <w:color w:val="000000"/>
          <w:kern w:val="2"/>
          <w:sz w:val="20"/>
          <w:szCs w:val="20"/>
          <w:highlight w:val="none"/>
          <w:lang w:val="en-US" w:eastAsia="zh-CN" w:bidi="ar-SA"/>
        </w:rPr>
      </w:pPr>
      <w:r>
        <w:rPr>
          <w:rFonts w:hint="eastAsia" w:asciiTheme="minorHAnsi" w:hAnsiTheme="minorHAnsi" w:eastAsiaTheme="minorEastAsia" w:cstheme="minorBidi"/>
          <w:color w:val="000000"/>
          <w:kern w:val="2"/>
          <w:sz w:val="20"/>
          <w:szCs w:val="20"/>
          <w:highlight w:val="none"/>
          <w:lang w:val="en-US" w:eastAsia="zh-CN" w:bidi="ar-SA"/>
        </w:rPr>
        <w:t>5、无法在规定时间内修复的，服务商应在上述规定时间内免费提供备机供采购方使用，并在120小时内修复；</w:t>
      </w:r>
      <w:r>
        <w:rPr>
          <w:rFonts w:hint="eastAsia" w:asciiTheme="minorHAnsi" w:hAnsiTheme="minorHAnsi" w:eastAsiaTheme="minorEastAsia" w:cstheme="minorBidi"/>
          <w:color w:val="000000"/>
          <w:kern w:val="2"/>
          <w:sz w:val="20"/>
          <w:szCs w:val="20"/>
          <w:highlight w:val="none"/>
          <w:lang w:val="en-US" w:eastAsia="zh-CN" w:bidi="ar-SA"/>
        </w:rPr>
        <w:br w:type="textWrapping"/>
      </w:r>
      <w:r>
        <w:rPr>
          <w:rFonts w:hint="eastAsia" w:asciiTheme="minorHAnsi" w:hAnsiTheme="minorHAnsi" w:eastAsiaTheme="minorEastAsia" w:cstheme="minorBidi"/>
          <w:color w:val="000000"/>
          <w:kern w:val="2"/>
          <w:sz w:val="20"/>
          <w:szCs w:val="20"/>
          <w:highlight w:val="none"/>
          <w:lang w:val="en-US" w:eastAsia="zh-CN" w:bidi="ar-SA"/>
        </w:rPr>
        <w:t xml:space="preserve">    6、复印机等设备维护保养后3个月内打印机等设备提示需再次维护保养或运行不顺畅运行质量不高等问题需再次维护保养的，将再次进行免费维护保养，配件更换维修后一年出现相同配体问题的，将再次进行免费更换维修；直至周期完整才会重新进行相关计费；</w:t>
      </w:r>
    </w:p>
    <w:p w14:paraId="4F7AE351">
      <w:pPr>
        <w:pStyle w:val="31"/>
        <w:pageBreakBefore w:val="0"/>
        <w:numPr>
          <w:ilvl w:val="2"/>
          <w:numId w:val="0"/>
        </w:numPr>
        <w:kinsoku/>
        <w:wordWrap/>
        <w:overflowPunct/>
        <w:topLinePunct w:val="0"/>
        <w:autoSpaceDE/>
        <w:autoSpaceDN/>
        <w:bidi w:val="0"/>
        <w:adjustRightInd/>
        <w:snapToGrid/>
        <w:spacing w:line="480" w:lineRule="exact"/>
        <w:ind w:leftChars="0" w:firstLine="400" w:firstLineChars="200"/>
        <w:textAlignment w:val="auto"/>
        <w:rPr>
          <w:rFonts w:hint="eastAsia" w:eastAsia="宋体"/>
          <w:bCs/>
          <w:color w:val="000000"/>
          <w:sz w:val="20"/>
          <w:szCs w:val="20"/>
          <w:highlight w:val="none"/>
          <w:lang w:val="en-US" w:eastAsia="zh-CN"/>
        </w:rPr>
      </w:pPr>
      <w:r>
        <w:rPr>
          <w:rFonts w:hint="eastAsia" w:asciiTheme="minorHAnsi" w:hAnsiTheme="minorHAnsi" w:eastAsiaTheme="minorEastAsia" w:cstheme="minorBidi"/>
          <w:color w:val="000000"/>
          <w:kern w:val="2"/>
          <w:sz w:val="20"/>
          <w:szCs w:val="20"/>
          <w:highlight w:val="none"/>
          <w:lang w:val="en-US" w:eastAsia="zh-CN" w:bidi="ar-SA"/>
        </w:rPr>
        <w:t>7、</w:t>
      </w:r>
      <w:r>
        <w:rPr>
          <w:rFonts w:hint="eastAsia" w:eastAsia="宋体"/>
          <w:bCs/>
          <w:color w:val="000000"/>
          <w:sz w:val="20"/>
          <w:szCs w:val="20"/>
          <w:highlight w:val="none"/>
          <w:lang w:val="en-US" w:eastAsia="zh-CN"/>
        </w:rPr>
        <w:t>免费提供合同内维护设备以及不在合同范围内的其他办公设备的技术咨询；</w:t>
      </w:r>
    </w:p>
    <w:p w14:paraId="63230C09">
      <w:pPr>
        <w:pStyle w:val="31"/>
        <w:pageBreakBefore w:val="0"/>
        <w:numPr>
          <w:ilvl w:val="2"/>
          <w:numId w:val="0"/>
        </w:numPr>
        <w:kinsoku/>
        <w:wordWrap/>
        <w:overflowPunct/>
        <w:topLinePunct w:val="0"/>
        <w:autoSpaceDE/>
        <w:autoSpaceDN/>
        <w:bidi w:val="0"/>
        <w:adjustRightInd/>
        <w:snapToGrid/>
        <w:spacing w:line="480" w:lineRule="exact"/>
        <w:ind w:leftChars="0" w:firstLine="400" w:firstLineChars="200"/>
        <w:textAlignment w:val="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8、</w:t>
      </w:r>
      <w:r>
        <w:rPr>
          <w:rFonts w:hint="eastAsia" w:ascii="宋体" w:hAnsi="宋体" w:cs="宋体"/>
          <w:bCs/>
          <w:color w:val="000000"/>
          <w:sz w:val="20"/>
          <w:szCs w:val="20"/>
          <w:highlight w:val="none"/>
          <w:lang w:val="en-US" w:eastAsia="zh-CN"/>
        </w:rPr>
        <w:t>采购方</w:t>
      </w:r>
      <w:r>
        <w:rPr>
          <w:rFonts w:hint="eastAsia" w:ascii="宋体" w:hAnsi="宋体" w:eastAsia="宋体" w:cs="宋体"/>
          <w:bCs/>
          <w:color w:val="000000"/>
          <w:sz w:val="20"/>
          <w:szCs w:val="20"/>
          <w:highlight w:val="none"/>
          <w:lang w:val="en-US" w:eastAsia="zh-CN"/>
        </w:rPr>
        <w:t>所属的各个乡镇供电所、变电站进行机器维护及维修所产生一切费用由</w:t>
      </w:r>
      <w:r>
        <w:rPr>
          <w:rFonts w:hint="eastAsia" w:ascii="宋体" w:hAnsi="宋体" w:cs="宋体"/>
          <w:bCs/>
          <w:color w:val="000000"/>
          <w:sz w:val="20"/>
          <w:szCs w:val="20"/>
          <w:highlight w:val="none"/>
          <w:lang w:val="en-US" w:eastAsia="zh-CN"/>
        </w:rPr>
        <w:t>服务商</w:t>
      </w:r>
      <w:r>
        <w:rPr>
          <w:rFonts w:hint="eastAsia" w:ascii="宋体" w:hAnsi="宋体" w:eastAsia="宋体" w:cs="宋体"/>
          <w:bCs/>
          <w:color w:val="000000"/>
          <w:sz w:val="20"/>
          <w:szCs w:val="20"/>
          <w:highlight w:val="none"/>
          <w:lang w:val="en-US" w:eastAsia="zh-CN"/>
        </w:rPr>
        <w:t>自行承担，</w:t>
      </w:r>
      <w:r>
        <w:rPr>
          <w:rFonts w:hint="eastAsia" w:ascii="宋体" w:hAnsi="宋体" w:cs="宋体"/>
          <w:bCs/>
          <w:color w:val="000000"/>
          <w:sz w:val="20"/>
          <w:szCs w:val="20"/>
          <w:highlight w:val="none"/>
          <w:lang w:val="en-US" w:eastAsia="zh-CN"/>
        </w:rPr>
        <w:t>服务商</w:t>
      </w:r>
      <w:r>
        <w:rPr>
          <w:rFonts w:hint="eastAsia" w:ascii="宋体" w:hAnsi="宋体" w:eastAsia="宋体" w:cs="宋体"/>
          <w:bCs/>
          <w:color w:val="000000"/>
          <w:sz w:val="20"/>
          <w:szCs w:val="20"/>
          <w:highlight w:val="none"/>
          <w:lang w:val="en-US" w:eastAsia="zh-CN"/>
        </w:rPr>
        <w:t>不得收取额外费用。</w:t>
      </w:r>
    </w:p>
    <w:p w14:paraId="3B2A9383">
      <w:pPr>
        <w:bidi w:val="0"/>
        <w:rPr>
          <w:rFonts w:hint="eastAsia" w:ascii="宋体" w:hAnsi="宋体" w:eastAsia="宋体" w:cs="宋体"/>
          <w:b/>
          <w:bCs/>
          <w:sz w:val="20"/>
          <w:szCs w:val="20"/>
          <w:highlight w:val="none"/>
          <w:lang w:val="en-US" w:eastAsia="zh-CN"/>
        </w:rPr>
      </w:pPr>
    </w:p>
    <w:p w14:paraId="36FD03EC">
      <w:pPr>
        <w:bidi w:val="0"/>
        <w:ind w:firstLine="402" w:firstLineChars="200"/>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val="en-US" w:eastAsia="zh-CN"/>
        </w:rPr>
        <w:t>2.3</w:t>
      </w:r>
      <w:r>
        <w:rPr>
          <w:rFonts w:hint="eastAsia" w:ascii="宋体" w:hAnsi="宋体" w:eastAsia="宋体" w:cs="宋体"/>
          <w:b/>
          <w:bCs/>
          <w:sz w:val="20"/>
          <w:szCs w:val="20"/>
          <w:highlight w:val="none"/>
        </w:rPr>
        <w:t>安全及保密要求</w:t>
      </w:r>
    </w:p>
    <w:p w14:paraId="2E4FCFFD">
      <w:pPr>
        <w:pageBreakBefore w:val="0"/>
        <w:kinsoku/>
        <w:wordWrap/>
        <w:overflowPunct/>
        <w:topLinePunct w:val="0"/>
        <w:autoSpaceDE/>
        <w:autoSpaceDN/>
        <w:bidi w:val="0"/>
        <w:adjustRightInd/>
        <w:snapToGrid/>
        <w:spacing w:line="480" w:lineRule="exact"/>
        <w:ind w:firstLine="400" w:firstLineChars="200"/>
        <w:textAlignment w:val="auto"/>
        <w:rPr>
          <w:rFonts w:hint="eastAsia" w:ascii="宋体" w:hAnsi="宋体" w:eastAsia="宋体" w:cs="宋体"/>
          <w:b/>
          <w:bCs w:val="0"/>
          <w:color w:val="auto"/>
          <w:sz w:val="20"/>
          <w:szCs w:val="20"/>
          <w:highlight w:val="none"/>
          <w:lang w:val="en-US" w:eastAsia="zh-CN"/>
        </w:rPr>
      </w:pPr>
      <w:r>
        <w:rPr>
          <w:rFonts w:hint="eastAsia"/>
          <w:color w:val="000000"/>
          <w:sz w:val="20"/>
          <w:szCs w:val="20"/>
          <w:highlight w:val="none"/>
        </w:rPr>
        <w:t>不发生轻伤及以上人身事故；不发生有责任的设备损坏事故；不发生一般火灾事故；不发生环境污染事故；不发生重大质量事故；不发生信息泄密事件；维护过程中不发生用户文档资料丢失事件。</w:t>
      </w:r>
      <w:bookmarkStart w:id="610" w:name="_Toc28362"/>
      <w:bookmarkStart w:id="611" w:name="_Toc2216"/>
    </w:p>
    <w:bookmarkEnd w:id="610"/>
    <w:bookmarkEnd w:id="611"/>
    <w:p w14:paraId="3658356F">
      <w:pPr>
        <w:rPr>
          <w:rFonts w:hint="eastAsia" w:ascii="宋体" w:hAnsi="宋体"/>
          <w:b/>
          <w:bCs/>
          <w:sz w:val="20"/>
          <w:szCs w:val="20"/>
          <w:highlight w:val="none"/>
          <w:lang w:val="en-US" w:eastAsia="zh-CN"/>
        </w:rPr>
      </w:pPr>
    </w:p>
    <w:p w14:paraId="3E4E7E70">
      <w:pPr>
        <w:bidi w:val="0"/>
        <w:rPr>
          <w:rFonts w:hint="eastAsia" w:ascii="宋体" w:hAnsi="宋体" w:eastAsia="宋体" w:cs="宋体"/>
          <w:b/>
          <w:bCs/>
          <w:sz w:val="20"/>
          <w:szCs w:val="20"/>
          <w:highlight w:val="none"/>
          <w:lang w:val="en-US" w:eastAsia="zh-CN"/>
        </w:rPr>
      </w:pPr>
      <w:r>
        <w:rPr>
          <w:rFonts w:hint="eastAsia" w:ascii="宋体" w:hAnsi="宋体" w:eastAsia="宋体" w:cs="宋体"/>
          <w:b/>
          <w:bCs/>
          <w:sz w:val="20"/>
          <w:szCs w:val="20"/>
          <w:highlight w:val="none"/>
          <w:lang w:val="en-US" w:eastAsia="zh-CN"/>
        </w:rPr>
        <w:t>3.</w:t>
      </w:r>
      <w:r>
        <w:rPr>
          <w:rFonts w:hint="eastAsia" w:ascii="宋体" w:hAnsi="宋体" w:eastAsia="宋体" w:cs="宋体"/>
          <w:b/>
          <w:bCs/>
          <w:sz w:val="20"/>
          <w:szCs w:val="20"/>
          <w:highlight w:val="none"/>
        </w:rPr>
        <w:t>服务履约考核</w:t>
      </w:r>
    </w:p>
    <w:p w14:paraId="3A7D2192">
      <w:pPr>
        <w:pageBreakBefore w:val="0"/>
        <w:kinsoku/>
        <w:wordWrap/>
        <w:overflowPunct/>
        <w:topLinePunct w:val="0"/>
        <w:autoSpaceDE/>
        <w:autoSpaceDN/>
        <w:bidi w:val="0"/>
        <w:adjustRightInd/>
        <w:snapToGrid/>
        <w:spacing w:line="480" w:lineRule="exact"/>
        <w:ind w:firstLine="400" w:firstLineChars="200"/>
        <w:textAlignment w:val="auto"/>
        <w:rPr>
          <w:rFonts w:hint="eastAsia"/>
          <w:color w:val="000000"/>
          <w:sz w:val="20"/>
          <w:szCs w:val="20"/>
          <w:highlight w:val="none"/>
          <w:lang w:val="en-US" w:eastAsia="zh-CN"/>
        </w:rPr>
      </w:pPr>
      <w:r>
        <w:rPr>
          <w:rFonts w:hint="eastAsia"/>
          <w:color w:val="000000"/>
          <w:sz w:val="20"/>
          <w:szCs w:val="20"/>
          <w:highlight w:val="none"/>
          <w:lang w:val="en-US" w:eastAsia="zh-CN"/>
        </w:rPr>
        <w:t>采购方每月对服务商工作进行考核，考核结果作为对服务商履约考核的评价</w:t>
      </w:r>
      <w:r>
        <w:rPr>
          <w:rFonts w:hint="eastAsia"/>
          <w:color w:val="000000"/>
          <w:sz w:val="20"/>
          <w:szCs w:val="20"/>
          <w:highlight w:val="none"/>
          <w:lang w:eastAsia="zh-CN"/>
        </w:rPr>
        <w:t>，</w:t>
      </w:r>
      <w:r>
        <w:rPr>
          <w:rFonts w:hint="eastAsia"/>
          <w:color w:val="000000"/>
          <w:sz w:val="20"/>
          <w:szCs w:val="20"/>
          <w:highlight w:val="none"/>
          <w:lang w:val="en-US" w:eastAsia="zh-CN"/>
        </w:rPr>
        <w:t>每扣1分折合人民币100元。</w:t>
      </w:r>
    </w:p>
    <w:tbl>
      <w:tblPr>
        <w:tblStyle w:val="15"/>
        <w:tblW w:w="101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1"/>
        <w:gridCol w:w="758"/>
        <w:gridCol w:w="1976"/>
        <w:gridCol w:w="828"/>
        <w:gridCol w:w="3606"/>
        <w:gridCol w:w="860"/>
        <w:gridCol w:w="758"/>
        <w:gridCol w:w="608"/>
      </w:tblGrid>
      <w:tr w14:paraId="59941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781" w:type="dxa"/>
            <w:tcBorders>
              <w:top w:val="single" w:color="000000" w:sz="8" w:space="0"/>
              <w:left w:val="single" w:color="000000" w:sz="8" w:space="0"/>
              <w:bottom w:val="single" w:color="auto" w:sz="4" w:space="0"/>
              <w:right w:val="single" w:color="000000" w:sz="8" w:space="0"/>
            </w:tcBorders>
            <w:noWrap w:val="0"/>
            <w:vAlign w:val="center"/>
          </w:tcPr>
          <w:p w14:paraId="6000E8EA">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758" w:type="dxa"/>
            <w:tcBorders>
              <w:top w:val="single" w:color="000000" w:sz="8" w:space="0"/>
              <w:left w:val="single" w:color="000000" w:sz="8" w:space="0"/>
              <w:bottom w:val="single" w:color="auto" w:sz="4" w:space="0"/>
              <w:right w:val="single" w:color="000000" w:sz="8" w:space="0"/>
            </w:tcBorders>
            <w:noWrap w:val="0"/>
            <w:vAlign w:val="center"/>
          </w:tcPr>
          <w:p w14:paraId="592C2A5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考核项目</w:t>
            </w:r>
          </w:p>
        </w:tc>
        <w:tc>
          <w:tcPr>
            <w:tcW w:w="1976" w:type="dxa"/>
            <w:tcBorders>
              <w:top w:val="single" w:color="000000" w:sz="8" w:space="0"/>
              <w:left w:val="single" w:color="000000" w:sz="8" w:space="0"/>
              <w:bottom w:val="single" w:color="auto" w:sz="4" w:space="0"/>
              <w:right w:val="single" w:color="000000" w:sz="8" w:space="0"/>
            </w:tcBorders>
            <w:noWrap w:val="0"/>
            <w:vAlign w:val="center"/>
          </w:tcPr>
          <w:p w14:paraId="6359F5E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服务内容及标准要求</w:t>
            </w:r>
          </w:p>
        </w:tc>
        <w:tc>
          <w:tcPr>
            <w:tcW w:w="828" w:type="dxa"/>
            <w:tcBorders>
              <w:top w:val="single" w:color="000000" w:sz="8" w:space="0"/>
              <w:left w:val="single" w:color="000000" w:sz="8" w:space="0"/>
              <w:bottom w:val="single" w:color="auto" w:sz="4" w:space="0"/>
              <w:right w:val="single" w:color="000000" w:sz="8" w:space="0"/>
            </w:tcBorders>
            <w:noWrap w:val="0"/>
            <w:vAlign w:val="center"/>
          </w:tcPr>
          <w:p w14:paraId="0C1297F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标准分</w:t>
            </w:r>
          </w:p>
        </w:tc>
        <w:tc>
          <w:tcPr>
            <w:tcW w:w="3606" w:type="dxa"/>
            <w:tcBorders>
              <w:top w:val="single" w:color="000000" w:sz="8" w:space="0"/>
              <w:left w:val="single" w:color="000000" w:sz="8" w:space="0"/>
              <w:bottom w:val="single" w:color="auto" w:sz="4" w:space="0"/>
              <w:right w:val="single" w:color="000000" w:sz="8" w:space="0"/>
            </w:tcBorders>
            <w:noWrap w:val="0"/>
            <w:vAlign w:val="center"/>
          </w:tcPr>
          <w:p w14:paraId="4475A31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检查内容</w:t>
            </w:r>
          </w:p>
        </w:tc>
        <w:tc>
          <w:tcPr>
            <w:tcW w:w="860" w:type="dxa"/>
            <w:tcBorders>
              <w:top w:val="single" w:color="000000" w:sz="8" w:space="0"/>
              <w:left w:val="single" w:color="000000" w:sz="8" w:space="0"/>
              <w:bottom w:val="single" w:color="auto" w:sz="4" w:space="0"/>
              <w:right w:val="single" w:color="000000" w:sz="8" w:space="0"/>
            </w:tcBorders>
            <w:noWrap w:val="0"/>
            <w:vAlign w:val="center"/>
          </w:tcPr>
          <w:p w14:paraId="5D8616D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扣分标准</w:t>
            </w:r>
          </w:p>
        </w:tc>
        <w:tc>
          <w:tcPr>
            <w:tcW w:w="758" w:type="dxa"/>
            <w:tcBorders>
              <w:top w:val="single" w:color="000000" w:sz="8" w:space="0"/>
              <w:left w:val="single" w:color="000000" w:sz="8" w:space="0"/>
              <w:bottom w:val="single" w:color="auto" w:sz="4" w:space="0"/>
              <w:right w:val="single" w:color="000000" w:sz="8" w:space="0"/>
            </w:tcBorders>
            <w:noWrap w:val="0"/>
            <w:vAlign w:val="center"/>
          </w:tcPr>
          <w:p w14:paraId="49549FE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实际扣分</w:t>
            </w:r>
          </w:p>
        </w:tc>
        <w:tc>
          <w:tcPr>
            <w:tcW w:w="608" w:type="dxa"/>
            <w:tcBorders>
              <w:top w:val="single" w:color="000000" w:sz="8" w:space="0"/>
              <w:left w:val="single" w:color="000000" w:sz="8" w:space="0"/>
              <w:bottom w:val="single" w:color="auto" w:sz="4" w:space="0"/>
              <w:right w:val="single" w:color="000000" w:sz="8" w:space="0"/>
            </w:tcBorders>
            <w:noWrap w:val="0"/>
            <w:vAlign w:val="center"/>
          </w:tcPr>
          <w:p w14:paraId="73C783F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20F4E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33031F04">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16D71133">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highlight w:val="none"/>
                <w:u w:val="none"/>
                <w:lang w:eastAsia="zh-CN"/>
              </w:rPr>
            </w:pPr>
            <w:r>
              <w:rPr>
                <w:rFonts w:hint="eastAsia" w:ascii="宋体" w:hAnsi="宋体" w:eastAsia="宋体" w:cs="宋体"/>
                <w:b w:val="0"/>
                <w:bCs w:val="0"/>
                <w:i w:val="0"/>
                <w:iCs w:val="0"/>
                <w:color w:val="auto"/>
                <w:sz w:val="20"/>
                <w:szCs w:val="20"/>
                <w:highlight w:val="none"/>
                <w:u w:val="none"/>
                <w:lang w:eastAsia="zh-CN"/>
              </w:rPr>
              <w:t>服务响应</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2431D887">
            <w:pPr>
              <w:keepNext w:val="0"/>
              <w:keepLines w:val="0"/>
              <w:widowControl/>
              <w:suppressLineNumbers w:val="0"/>
              <w:jc w:val="left"/>
              <w:textAlignment w:val="center"/>
              <w:rPr>
                <w:rFonts w:hint="eastAsia" w:ascii="宋体" w:hAnsi="宋体" w:eastAsia="宋体" w:cs="宋体"/>
                <w:b w:val="0"/>
                <w:bCs w:val="0"/>
                <w:i w:val="0"/>
                <w:iCs w:val="0"/>
                <w:color w:val="auto"/>
                <w:sz w:val="20"/>
                <w:szCs w:val="20"/>
                <w:highlight w:val="none"/>
                <w:u w:val="none"/>
                <w:lang w:eastAsia="zh-CN"/>
              </w:rPr>
            </w:pPr>
            <w:r>
              <w:rPr>
                <w:rFonts w:hint="eastAsia" w:ascii="宋体" w:hAnsi="宋体" w:eastAsia="宋体" w:cs="宋体"/>
                <w:b w:val="0"/>
                <w:bCs w:val="0"/>
                <w:i w:val="0"/>
                <w:iCs w:val="0"/>
                <w:color w:val="auto"/>
                <w:sz w:val="20"/>
                <w:szCs w:val="20"/>
                <w:highlight w:val="none"/>
                <w:u w:val="none"/>
              </w:rPr>
              <w:t>按合同约定实施</w:t>
            </w:r>
            <w:r>
              <w:rPr>
                <w:rFonts w:hint="eastAsia" w:ascii="宋体" w:hAnsi="宋体" w:eastAsia="宋体" w:cs="宋体"/>
                <w:b w:val="0"/>
                <w:bCs w:val="0"/>
                <w:i w:val="0"/>
                <w:iCs w:val="0"/>
                <w:color w:val="auto"/>
                <w:sz w:val="20"/>
                <w:szCs w:val="20"/>
                <w:highlight w:val="none"/>
                <w:u w:val="none"/>
                <w:lang w:val="en-US" w:eastAsia="zh-CN"/>
              </w:rPr>
              <w:t>办公设备</w:t>
            </w:r>
            <w:r>
              <w:rPr>
                <w:rFonts w:hint="eastAsia" w:ascii="宋体" w:hAnsi="宋体" w:eastAsia="宋体" w:cs="宋体"/>
                <w:b w:val="0"/>
                <w:bCs w:val="0"/>
                <w:i w:val="0"/>
                <w:iCs w:val="0"/>
                <w:color w:val="auto"/>
                <w:sz w:val="20"/>
                <w:szCs w:val="20"/>
                <w:highlight w:val="none"/>
                <w:u w:val="none"/>
              </w:rPr>
              <w:t>维护保养服务工作</w:t>
            </w:r>
            <w:r>
              <w:rPr>
                <w:rFonts w:hint="eastAsia" w:ascii="宋体" w:hAnsi="宋体" w:cs="宋体"/>
                <w:b w:val="0"/>
                <w:bCs w:val="0"/>
                <w:i w:val="0"/>
                <w:iCs w:val="0"/>
                <w:color w:val="auto"/>
                <w:sz w:val="20"/>
                <w:szCs w:val="20"/>
                <w:highlight w:val="none"/>
                <w:u w:val="none"/>
                <w:lang w:eastAsia="zh-CN"/>
              </w:rPr>
              <w:t>。</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435D0451">
            <w:pPr>
              <w:keepNext w:val="0"/>
              <w:keepLines w:val="0"/>
              <w:widowControl/>
              <w:suppressLineNumbers w:val="0"/>
              <w:jc w:val="center"/>
              <w:textAlignment w:val="center"/>
              <w:rPr>
                <w:rFonts w:hint="default"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20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2D36DC1F">
            <w:pPr>
              <w:keepNext w:val="0"/>
              <w:keepLines w:val="0"/>
              <w:widowControl/>
              <w:suppressLineNumbers w:val="0"/>
              <w:jc w:val="both"/>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cs="宋体"/>
                <w:b w:val="0"/>
                <w:bCs w:val="0"/>
                <w:i w:val="0"/>
                <w:iCs w:val="0"/>
                <w:color w:val="auto"/>
                <w:sz w:val="20"/>
                <w:szCs w:val="20"/>
                <w:highlight w:val="none"/>
                <w:u w:val="none"/>
                <w:lang w:eastAsia="zh-CN"/>
              </w:rPr>
              <w:t>服务商</w:t>
            </w:r>
            <w:r>
              <w:rPr>
                <w:rFonts w:hint="eastAsia" w:ascii="宋体" w:hAnsi="宋体" w:eastAsia="宋体" w:cs="宋体"/>
                <w:b w:val="0"/>
                <w:bCs w:val="0"/>
                <w:i w:val="0"/>
                <w:iCs w:val="0"/>
                <w:color w:val="auto"/>
                <w:sz w:val="20"/>
                <w:szCs w:val="20"/>
                <w:highlight w:val="none"/>
                <w:u w:val="none"/>
                <w:lang w:eastAsia="zh-CN"/>
              </w:rPr>
              <w:t>维修</w:t>
            </w:r>
            <w:r>
              <w:rPr>
                <w:rFonts w:hint="eastAsia" w:ascii="宋体" w:hAnsi="宋体" w:eastAsia="宋体" w:cs="宋体"/>
                <w:b w:val="0"/>
                <w:bCs w:val="0"/>
                <w:i w:val="0"/>
                <w:iCs w:val="0"/>
                <w:color w:val="auto"/>
                <w:sz w:val="20"/>
                <w:szCs w:val="20"/>
                <w:highlight w:val="none"/>
                <w:u w:val="none"/>
              </w:rPr>
              <w:t>不到位，存在缺陷，</w:t>
            </w:r>
            <w:r>
              <w:rPr>
                <w:rFonts w:hint="eastAsia" w:ascii="宋体" w:hAnsi="宋体" w:cs="宋体"/>
                <w:b w:val="0"/>
                <w:bCs w:val="0"/>
                <w:i w:val="0"/>
                <w:iCs w:val="0"/>
                <w:color w:val="auto"/>
                <w:sz w:val="20"/>
                <w:szCs w:val="20"/>
                <w:highlight w:val="none"/>
                <w:u w:val="none"/>
                <w:lang w:eastAsia="zh-CN"/>
              </w:rPr>
              <w:t>采购方</w:t>
            </w:r>
            <w:r>
              <w:rPr>
                <w:rFonts w:hint="eastAsia" w:ascii="宋体" w:hAnsi="宋体" w:eastAsia="宋体" w:cs="宋体"/>
                <w:b w:val="0"/>
                <w:bCs w:val="0"/>
                <w:i w:val="0"/>
                <w:iCs w:val="0"/>
                <w:color w:val="auto"/>
                <w:sz w:val="20"/>
                <w:szCs w:val="20"/>
                <w:highlight w:val="none"/>
                <w:u w:val="none"/>
              </w:rPr>
              <w:t>口头或书面通知催促整改后，仍不能及时修复。</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7A0192A">
            <w:pPr>
              <w:keepNext w:val="0"/>
              <w:keepLines w:val="0"/>
              <w:widowControl/>
              <w:suppressLineNumbers w:val="0"/>
              <w:jc w:val="both"/>
              <w:textAlignment w:val="center"/>
              <w:rPr>
                <w:rFonts w:hint="default"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36BBC6E2">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0646D295">
            <w:pPr>
              <w:jc w:val="center"/>
              <w:rPr>
                <w:rFonts w:hint="eastAsia" w:ascii="宋体" w:hAnsi="宋体" w:eastAsia="宋体" w:cs="宋体"/>
                <w:b w:val="0"/>
                <w:bCs w:val="0"/>
                <w:i w:val="0"/>
                <w:iCs w:val="0"/>
                <w:color w:val="auto"/>
                <w:sz w:val="20"/>
                <w:szCs w:val="20"/>
                <w:highlight w:val="none"/>
                <w:u w:val="none"/>
              </w:rPr>
            </w:pPr>
          </w:p>
        </w:tc>
      </w:tr>
      <w:tr w14:paraId="5CDB0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25A13816">
            <w:pPr>
              <w:jc w:val="center"/>
              <w:rPr>
                <w:rFonts w:hint="eastAsia" w:ascii="宋体" w:hAnsi="宋体" w:eastAsia="宋体" w:cs="宋体"/>
                <w:b w:val="0"/>
                <w:bCs w:val="0"/>
                <w:i w:val="0"/>
                <w:iCs w:val="0"/>
                <w:color w:val="auto"/>
                <w:sz w:val="20"/>
                <w:szCs w:val="20"/>
                <w:highlight w:val="none"/>
                <w:u w:val="none"/>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51E9F03F">
            <w:pPr>
              <w:jc w:val="center"/>
              <w:rPr>
                <w:rFonts w:hint="eastAsia" w:ascii="宋体" w:hAnsi="宋体" w:eastAsia="宋体" w:cs="宋体"/>
                <w:b w:val="0"/>
                <w:bCs w:val="0"/>
                <w:i w:val="0"/>
                <w:iCs w:val="0"/>
                <w:color w:val="auto"/>
                <w:sz w:val="20"/>
                <w:szCs w:val="20"/>
                <w:highlight w:val="none"/>
                <w:u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2A1E2005">
            <w:pPr>
              <w:keepNext w:val="0"/>
              <w:keepLines w:val="0"/>
              <w:widowControl/>
              <w:suppressLineNumbers w:val="0"/>
              <w:jc w:val="left"/>
              <w:textAlignment w:val="center"/>
              <w:rPr>
                <w:rFonts w:hint="eastAsia" w:ascii="宋体" w:hAnsi="宋体" w:eastAsia="宋体" w:cs="宋体"/>
                <w:b w:val="0"/>
                <w:bCs w:val="0"/>
                <w:i w:val="0"/>
                <w:iCs w:val="0"/>
                <w:color w:val="auto"/>
                <w:sz w:val="20"/>
                <w:szCs w:val="20"/>
                <w:highlight w:val="none"/>
                <w:u w:val="none"/>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59A267F2">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highlight w:val="none"/>
                <w:u w:val="none"/>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69139AF1">
            <w:pPr>
              <w:keepNext w:val="0"/>
              <w:keepLines w:val="0"/>
              <w:widowControl/>
              <w:suppressLineNumbers w:val="0"/>
              <w:jc w:val="both"/>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sz w:val="20"/>
                <w:szCs w:val="20"/>
                <w:highlight w:val="none"/>
                <w:u w:val="none"/>
              </w:rPr>
              <w:t>合同期内发生两次以上不能按合同要求履行</w:t>
            </w:r>
            <w:r>
              <w:rPr>
                <w:rFonts w:hint="eastAsia" w:ascii="宋体" w:hAnsi="宋体" w:eastAsia="宋体" w:cs="宋体"/>
                <w:b w:val="0"/>
                <w:bCs w:val="0"/>
                <w:i w:val="0"/>
                <w:iCs w:val="0"/>
                <w:color w:val="auto"/>
                <w:sz w:val="20"/>
                <w:szCs w:val="20"/>
                <w:highlight w:val="none"/>
                <w:u w:val="none"/>
                <w:lang w:eastAsia="zh-CN"/>
              </w:rPr>
              <w:t>维修</w:t>
            </w:r>
            <w:r>
              <w:rPr>
                <w:rFonts w:hint="eastAsia" w:ascii="宋体" w:hAnsi="宋体" w:eastAsia="宋体" w:cs="宋体"/>
                <w:b w:val="0"/>
                <w:bCs w:val="0"/>
                <w:i w:val="0"/>
                <w:iCs w:val="0"/>
                <w:color w:val="auto"/>
                <w:sz w:val="20"/>
                <w:szCs w:val="20"/>
                <w:highlight w:val="none"/>
                <w:u w:val="none"/>
              </w:rPr>
              <w:t>责任，</w:t>
            </w:r>
            <w:r>
              <w:rPr>
                <w:rFonts w:hint="eastAsia" w:ascii="宋体" w:hAnsi="宋体" w:cs="宋体"/>
                <w:b w:val="0"/>
                <w:bCs w:val="0"/>
                <w:i w:val="0"/>
                <w:iCs w:val="0"/>
                <w:color w:val="auto"/>
                <w:sz w:val="20"/>
                <w:szCs w:val="20"/>
                <w:highlight w:val="none"/>
                <w:u w:val="none"/>
                <w:lang w:eastAsia="zh-CN"/>
              </w:rPr>
              <w:t>采购方</w:t>
            </w:r>
            <w:r>
              <w:rPr>
                <w:rFonts w:hint="eastAsia" w:ascii="宋体" w:hAnsi="宋体" w:eastAsia="宋体" w:cs="宋体"/>
                <w:b w:val="0"/>
                <w:bCs w:val="0"/>
                <w:i w:val="0"/>
                <w:iCs w:val="0"/>
                <w:color w:val="auto"/>
                <w:sz w:val="20"/>
                <w:szCs w:val="20"/>
                <w:highlight w:val="none"/>
                <w:u w:val="none"/>
              </w:rPr>
              <w:t>口头或书面通知催促整改后，仍不及时履行。</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068E678">
            <w:pPr>
              <w:keepNext w:val="0"/>
              <w:keepLines w:val="0"/>
              <w:widowControl/>
              <w:suppressLineNumbers w:val="0"/>
              <w:jc w:val="both"/>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-2分/次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01C61287">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1F06BA6F">
            <w:pPr>
              <w:jc w:val="center"/>
              <w:rPr>
                <w:rFonts w:hint="eastAsia" w:ascii="宋体" w:hAnsi="宋体" w:eastAsia="宋体" w:cs="宋体"/>
                <w:b w:val="0"/>
                <w:bCs w:val="0"/>
                <w:i w:val="0"/>
                <w:iCs w:val="0"/>
                <w:color w:val="auto"/>
                <w:sz w:val="20"/>
                <w:szCs w:val="20"/>
                <w:highlight w:val="none"/>
                <w:u w:val="none"/>
              </w:rPr>
            </w:pPr>
          </w:p>
        </w:tc>
      </w:tr>
      <w:tr w14:paraId="0CCFB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6F689AA5">
            <w:pPr>
              <w:jc w:val="center"/>
              <w:rPr>
                <w:rFonts w:hint="eastAsia" w:ascii="宋体" w:hAnsi="宋体" w:eastAsia="宋体" w:cs="宋体"/>
                <w:b w:val="0"/>
                <w:bCs w:val="0"/>
                <w:i w:val="0"/>
                <w:iCs w:val="0"/>
                <w:color w:val="auto"/>
                <w:sz w:val="20"/>
                <w:szCs w:val="20"/>
                <w:highlight w:val="none"/>
                <w:u w:val="none"/>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08C89AAE">
            <w:pPr>
              <w:jc w:val="center"/>
              <w:rPr>
                <w:rFonts w:hint="eastAsia" w:ascii="宋体" w:hAnsi="宋体" w:eastAsia="宋体" w:cs="宋体"/>
                <w:b w:val="0"/>
                <w:bCs w:val="0"/>
                <w:i w:val="0"/>
                <w:iCs w:val="0"/>
                <w:color w:val="auto"/>
                <w:sz w:val="20"/>
                <w:szCs w:val="20"/>
                <w:highlight w:val="none"/>
                <w:u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27F6DD51">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7F52A5D1">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5D9D871E">
            <w:pPr>
              <w:keepNext w:val="0"/>
              <w:keepLines w:val="0"/>
              <w:widowControl/>
              <w:suppressLineNumbers w:val="0"/>
              <w:jc w:val="both"/>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办公设备维保存在缺陷，未能及时进行“消缺”处理。</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44BD1EF9">
            <w:pPr>
              <w:keepNext w:val="0"/>
              <w:keepLines w:val="0"/>
              <w:widowControl/>
              <w:suppressLineNumbers w:val="0"/>
              <w:jc w:val="both"/>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-2分/项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3694253D">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6A902A2A">
            <w:pPr>
              <w:jc w:val="center"/>
              <w:rPr>
                <w:rFonts w:hint="eastAsia" w:ascii="宋体" w:hAnsi="宋体" w:eastAsia="宋体" w:cs="宋体"/>
                <w:b w:val="0"/>
                <w:bCs w:val="0"/>
                <w:i w:val="0"/>
                <w:iCs w:val="0"/>
                <w:color w:val="auto"/>
                <w:sz w:val="20"/>
                <w:szCs w:val="20"/>
                <w:highlight w:val="none"/>
                <w:u w:val="none"/>
              </w:rPr>
            </w:pPr>
          </w:p>
        </w:tc>
      </w:tr>
      <w:tr w14:paraId="460F5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6CA790C9">
            <w:pPr>
              <w:jc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2</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436BA885">
            <w:pPr>
              <w:jc w:val="center"/>
              <w:rPr>
                <w:rFonts w:hint="eastAsia" w:ascii="宋体" w:hAnsi="宋体" w:eastAsia="宋体" w:cs="宋体"/>
                <w:b w:val="0"/>
                <w:bCs w:val="0"/>
                <w:i w:val="0"/>
                <w:iCs w:val="0"/>
                <w:color w:val="auto"/>
                <w:sz w:val="20"/>
                <w:szCs w:val="20"/>
                <w:highlight w:val="none"/>
                <w:u w:val="none"/>
                <w:lang w:eastAsia="zh-CN"/>
              </w:rPr>
            </w:pPr>
            <w:r>
              <w:rPr>
                <w:rFonts w:hint="eastAsia" w:ascii="宋体" w:hAnsi="宋体" w:eastAsia="宋体" w:cs="宋体"/>
                <w:b w:val="0"/>
                <w:bCs w:val="0"/>
                <w:i w:val="0"/>
                <w:iCs w:val="0"/>
                <w:color w:val="auto"/>
                <w:sz w:val="20"/>
                <w:szCs w:val="20"/>
                <w:highlight w:val="none"/>
                <w:u w:val="none"/>
                <w:lang w:eastAsia="zh-CN"/>
              </w:rPr>
              <w:t>服务队伍响应</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02A045DE">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color w:val="auto"/>
                <w:sz w:val="20"/>
                <w:szCs w:val="20"/>
                <w:highlight w:val="none"/>
                <w:lang w:eastAsia="zh-CN"/>
              </w:rPr>
              <w:t>有</w:t>
            </w:r>
            <w:r>
              <w:rPr>
                <w:rFonts w:hint="eastAsia" w:ascii="宋体" w:hAnsi="宋体" w:eastAsia="宋体" w:cs="宋体"/>
                <w:b w:val="0"/>
                <w:bCs w:val="0"/>
                <w:color w:val="auto"/>
                <w:sz w:val="20"/>
                <w:szCs w:val="20"/>
                <w:highlight w:val="none"/>
              </w:rPr>
              <w:t>1年及以上</w:t>
            </w:r>
            <w:r>
              <w:rPr>
                <w:rFonts w:hint="eastAsia" w:ascii="宋体" w:hAnsi="宋体" w:eastAsia="宋体" w:cs="宋体"/>
                <w:b w:val="0"/>
                <w:bCs w:val="0"/>
                <w:color w:val="auto"/>
                <w:sz w:val="20"/>
                <w:szCs w:val="20"/>
                <w:highlight w:val="none"/>
                <w:lang w:eastAsia="zh-CN"/>
              </w:rPr>
              <w:t>工作经验</w:t>
            </w:r>
            <w:r>
              <w:rPr>
                <w:rFonts w:hint="eastAsia" w:ascii="宋体" w:hAnsi="宋体" w:cs="宋体"/>
                <w:b w:val="0"/>
                <w:bCs w:val="0"/>
                <w:color w:val="auto"/>
                <w:sz w:val="20"/>
                <w:szCs w:val="20"/>
                <w:highlight w:val="none"/>
                <w:lang w:eastAsia="zh-CN"/>
              </w:rPr>
              <w:t>。</w:t>
            </w:r>
          </w:p>
        </w:tc>
        <w:tc>
          <w:tcPr>
            <w:tcW w:w="828" w:type="dxa"/>
            <w:tcBorders>
              <w:top w:val="single" w:color="auto" w:sz="4" w:space="0"/>
              <w:left w:val="single" w:color="auto" w:sz="4" w:space="0"/>
              <w:bottom w:val="single" w:color="auto" w:sz="4" w:space="0"/>
              <w:right w:val="single" w:color="auto" w:sz="4" w:space="0"/>
            </w:tcBorders>
            <w:noWrap w:val="0"/>
            <w:vAlign w:val="center"/>
          </w:tcPr>
          <w:p w14:paraId="4E41FC2A">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609F61B4">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未按要求委派人员实施办公设备维修服务。</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9B31C20">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6A9910BE">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183438F3">
            <w:pPr>
              <w:jc w:val="center"/>
              <w:rPr>
                <w:rFonts w:hint="eastAsia" w:ascii="宋体" w:hAnsi="宋体" w:eastAsia="宋体" w:cs="宋体"/>
                <w:b w:val="0"/>
                <w:bCs w:val="0"/>
                <w:i w:val="0"/>
                <w:iCs w:val="0"/>
                <w:color w:val="auto"/>
                <w:sz w:val="20"/>
                <w:szCs w:val="20"/>
                <w:highlight w:val="none"/>
                <w:u w:val="none"/>
              </w:rPr>
            </w:pPr>
          </w:p>
        </w:tc>
      </w:tr>
      <w:tr w14:paraId="45EE5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restart"/>
            <w:tcBorders>
              <w:top w:val="single" w:color="auto" w:sz="4" w:space="0"/>
              <w:left w:val="single" w:color="auto" w:sz="4" w:space="0"/>
              <w:right w:val="single" w:color="auto" w:sz="4" w:space="0"/>
            </w:tcBorders>
            <w:noWrap w:val="0"/>
            <w:vAlign w:val="center"/>
          </w:tcPr>
          <w:p w14:paraId="7E7ADF54">
            <w:pPr>
              <w:jc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3</w:t>
            </w:r>
          </w:p>
        </w:tc>
        <w:tc>
          <w:tcPr>
            <w:tcW w:w="758" w:type="dxa"/>
            <w:vMerge w:val="restart"/>
            <w:tcBorders>
              <w:top w:val="single" w:color="auto" w:sz="4" w:space="0"/>
              <w:left w:val="single" w:color="auto" w:sz="4" w:space="0"/>
              <w:right w:val="single" w:color="auto" w:sz="4" w:space="0"/>
            </w:tcBorders>
            <w:noWrap w:val="0"/>
            <w:vAlign w:val="center"/>
          </w:tcPr>
          <w:p w14:paraId="02817448">
            <w:pPr>
              <w:jc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服务请求响应</w:t>
            </w:r>
          </w:p>
        </w:tc>
        <w:tc>
          <w:tcPr>
            <w:tcW w:w="1976" w:type="dxa"/>
            <w:vMerge w:val="restart"/>
            <w:tcBorders>
              <w:top w:val="single" w:color="auto" w:sz="4" w:space="0"/>
              <w:left w:val="single" w:color="auto" w:sz="4" w:space="0"/>
              <w:right w:val="single" w:color="auto" w:sz="4" w:space="0"/>
            </w:tcBorders>
            <w:noWrap w:val="0"/>
            <w:vAlign w:val="center"/>
          </w:tcPr>
          <w:p w14:paraId="201E420F">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提供7天x24小时的故障/缺陷服务请求接受渠道；设立热线。</w:t>
            </w:r>
          </w:p>
        </w:tc>
        <w:tc>
          <w:tcPr>
            <w:tcW w:w="828" w:type="dxa"/>
            <w:vMerge w:val="restart"/>
            <w:tcBorders>
              <w:top w:val="single" w:color="auto" w:sz="4" w:space="0"/>
              <w:left w:val="single" w:color="auto" w:sz="4" w:space="0"/>
              <w:right w:val="single" w:color="auto" w:sz="4" w:space="0"/>
            </w:tcBorders>
            <w:noWrap w:val="0"/>
            <w:vAlign w:val="center"/>
          </w:tcPr>
          <w:p w14:paraId="4E300F2B">
            <w:pPr>
              <w:keepNext w:val="0"/>
              <w:keepLines w:val="0"/>
              <w:widowControl/>
              <w:suppressLineNumbers w:val="0"/>
              <w:jc w:val="center"/>
              <w:textAlignment w:val="center"/>
              <w:rPr>
                <w:rFonts w:hint="default"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10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0987252D">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未提供每周7天x24小时的故障/缺陷服务请求</w:t>
            </w:r>
            <w:r>
              <w:rPr>
                <w:rFonts w:hint="eastAsia" w:ascii="宋体" w:hAnsi="宋体" w:cs="宋体"/>
                <w:b w:val="0"/>
                <w:bCs w:val="0"/>
                <w:color w:val="auto"/>
                <w:kern w:val="2"/>
                <w:sz w:val="20"/>
                <w:szCs w:val="20"/>
                <w:highlight w:val="none"/>
                <w:lang w:val="en-US" w:eastAsia="zh-CN" w:bidi="ar-SA"/>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21DF28EF">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28149C3E">
            <w:pPr>
              <w:jc w:val="center"/>
              <w:rPr>
                <w:rFonts w:hint="eastAsia" w:ascii="宋体" w:hAnsi="宋体" w:eastAsia="宋体" w:cs="宋体"/>
                <w:b w:val="0"/>
                <w:bCs w:val="0"/>
                <w:color w:val="auto"/>
                <w:kern w:val="2"/>
                <w:sz w:val="20"/>
                <w:szCs w:val="20"/>
                <w:highlight w:val="none"/>
                <w:lang w:val="en-US" w:eastAsia="zh-CN" w:bidi="ar-SA"/>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492212FD">
            <w:pPr>
              <w:jc w:val="center"/>
              <w:rPr>
                <w:rFonts w:hint="eastAsia" w:ascii="宋体" w:hAnsi="宋体" w:eastAsia="宋体" w:cs="宋体"/>
                <w:b w:val="0"/>
                <w:bCs w:val="0"/>
                <w:i w:val="0"/>
                <w:iCs w:val="0"/>
                <w:color w:val="auto"/>
                <w:sz w:val="20"/>
                <w:szCs w:val="20"/>
                <w:highlight w:val="none"/>
                <w:u w:val="none"/>
              </w:rPr>
            </w:pPr>
          </w:p>
        </w:tc>
      </w:tr>
      <w:tr w14:paraId="790CF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781" w:type="dxa"/>
            <w:vMerge w:val="continue"/>
            <w:tcBorders>
              <w:left w:val="single" w:color="auto" w:sz="4" w:space="0"/>
              <w:bottom w:val="single" w:color="auto" w:sz="4" w:space="0"/>
              <w:right w:val="single" w:color="auto" w:sz="4" w:space="0"/>
            </w:tcBorders>
            <w:noWrap w:val="0"/>
            <w:vAlign w:val="center"/>
          </w:tcPr>
          <w:p w14:paraId="4347D76E">
            <w:pPr>
              <w:jc w:val="center"/>
              <w:rPr>
                <w:rFonts w:hint="eastAsia" w:ascii="宋体" w:hAnsi="宋体" w:eastAsia="宋体" w:cs="宋体"/>
                <w:b w:val="0"/>
                <w:bCs w:val="0"/>
                <w:color w:val="auto"/>
                <w:kern w:val="2"/>
                <w:sz w:val="20"/>
                <w:szCs w:val="20"/>
                <w:highlight w:val="none"/>
                <w:lang w:val="en-US" w:eastAsia="zh-CN" w:bidi="ar-SA"/>
              </w:rPr>
            </w:pPr>
          </w:p>
        </w:tc>
        <w:tc>
          <w:tcPr>
            <w:tcW w:w="758" w:type="dxa"/>
            <w:vMerge w:val="continue"/>
            <w:tcBorders>
              <w:left w:val="single" w:color="auto" w:sz="4" w:space="0"/>
              <w:bottom w:val="single" w:color="auto" w:sz="4" w:space="0"/>
              <w:right w:val="single" w:color="auto" w:sz="4" w:space="0"/>
            </w:tcBorders>
            <w:noWrap w:val="0"/>
            <w:vAlign w:val="center"/>
          </w:tcPr>
          <w:p w14:paraId="26BD531B">
            <w:pPr>
              <w:jc w:val="center"/>
              <w:rPr>
                <w:rFonts w:hint="eastAsia" w:ascii="宋体" w:hAnsi="宋体" w:eastAsia="宋体" w:cs="宋体"/>
                <w:b w:val="0"/>
                <w:bCs w:val="0"/>
                <w:color w:val="auto"/>
                <w:kern w:val="2"/>
                <w:sz w:val="20"/>
                <w:szCs w:val="20"/>
                <w:highlight w:val="none"/>
                <w:lang w:val="en-US" w:eastAsia="zh-CN" w:bidi="ar-SA"/>
              </w:rPr>
            </w:pPr>
          </w:p>
        </w:tc>
        <w:tc>
          <w:tcPr>
            <w:tcW w:w="1976" w:type="dxa"/>
            <w:vMerge w:val="continue"/>
            <w:tcBorders>
              <w:left w:val="single" w:color="auto" w:sz="4" w:space="0"/>
              <w:bottom w:val="single" w:color="auto" w:sz="4" w:space="0"/>
              <w:right w:val="single" w:color="auto" w:sz="4" w:space="0"/>
            </w:tcBorders>
            <w:noWrap w:val="0"/>
            <w:vAlign w:val="center"/>
          </w:tcPr>
          <w:p w14:paraId="0791620E">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p>
        </w:tc>
        <w:tc>
          <w:tcPr>
            <w:tcW w:w="828" w:type="dxa"/>
            <w:vMerge w:val="continue"/>
            <w:tcBorders>
              <w:left w:val="single" w:color="auto" w:sz="4" w:space="0"/>
              <w:bottom w:val="single" w:color="auto" w:sz="4" w:space="0"/>
              <w:right w:val="single" w:color="auto" w:sz="4" w:space="0"/>
            </w:tcBorders>
            <w:noWrap w:val="0"/>
            <w:vAlign w:val="center"/>
          </w:tcPr>
          <w:p w14:paraId="7BA94F1B">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1CBB3D07">
            <w:pPr>
              <w:keepNext w:val="0"/>
              <w:keepLines w:val="0"/>
              <w:widowControl/>
              <w:suppressLineNumbers w:val="0"/>
              <w:jc w:val="both"/>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未设立报修热线，无专人负责。</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E3A06DF">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-1分/</w:t>
            </w:r>
            <w:r>
              <w:rPr>
                <w:rFonts w:hint="eastAsia" w:ascii="宋体" w:hAnsi="宋体" w:cs="宋体"/>
                <w:b w:val="0"/>
                <w:bCs w:val="0"/>
                <w:i w:val="0"/>
                <w:iCs w:val="0"/>
                <w:color w:val="auto"/>
                <w:kern w:val="0"/>
                <w:sz w:val="20"/>
                <w:szCs w:val="20"/>
                <w:highlight w:val="none"/>
                <w:u w:val="none"/>
                <w:lang w:val="en-US" w:eastAsia="zh-CN" w:bidi="ar"/>
              </w:rPr>
              <w:t>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36B1E292">
            <w:pPr>
              <w:jc w:val="center"/>
              <w:rPr>
                <w:rFonts w:hint="eastAsia" w:ascii="宋体" w:hAnsi="宋体" w:eastAsia="宋体" w:cs="宋体"/>
                <w:b w:val="0"/>
                <w:bCs w:val="0"/>
                <w:color w:val="auto"/>
                <w:kern w:val="2"/>
                <w:sz w:val="20"/>
                <w:szCs w:val="20"/>
                <w:highlight w:val="none"/>
                <w:lang w:val="en-US" w:eastAsia="zh-CN" w:bidi="ar-SA"/>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F406DDA">
            <w:pPr>
              <w:jc w:val="center"/>
              <w:rPr>
                <w:rFonts w:hint="eastAsia" w:ascii="宋体" w:hAnsi="宋体" w:eastAsia="宋体" w:cs="宋体"/>
                <w:b w:val="0"/>
                <w:bCs w:val="0"/>
                <w:i w:val="0"/>
                <w:iCs w:val="0"/>
                <w:color w:val="auto"/>
                <w:sz w:val="20"/>
                <w:szCs w:val="20"/>
                <w:highlight w:val="none"/>
                <w:u w:val="none"/>
              </w:rPr>
            </w:pPr>
          </w:p>
        </w:tc>
      </w:tr>
      <w:tr w14:paraId="1CD19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4BC718D1">
            <w:pPr>
              <w:jc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4</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6EC1B32B">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安全目标</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4C659181">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严格执行国家规范和标准，开展系统的运行维护工作</w:t>
            </w:r>
            <w:r>
              <w:rPr>
                <w:rFonts w:hint="eastAsia" w:ascii="宋体" w:hAnsi="宋体" w:cs="宋体"/>
                <w:b w:val="0"/>
                <w:bCs w:val="0"/>
                <w:color w:val="auto"/>
                <w:kern w:val="2"/>
                <w:sz w:val="20"/>
                <w:szCs w:val="20"/>
                <w:highlight w:val="none"/>
                <w:lang w:val="en-US" w:eastAsia="zh-CN" w:bidi="ar-SA"/>
              </w:rPr>
              <w:t>。</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05DA0488">
            <w:pPr>
              <w:keepNext w:val="0"/>
              <w:keepLines w:val="0"/>
              <w:widowControl/>
              <w:suppressLineNumbers w:val="0"/>
              <w:jc w:val="center"/>
              <w:textAlignment w:val="center"/>
              <w:rPr>
                <w:rFonts w:hint="default"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20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6C3A5AF0">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未按要求开展办公设备的运行维护工作，发生安全责任事故</w:t>
            </w:r>
            <w:r>
              <w:rPr>
                <w:rFonts w:hint="eastAsia" w:ascii="宋体" w:hAnsi="宋体" w:cs="宋体"/>
                <w:b w:val="0"/>
                <w:bCs w:val="0"/>
                <w:color w:val="auto"/>
                <w:kern w:val="2"/>
                <w:sz w:val="20"/>
                <w:szCs w:val="20"/>
                <w:highlight w:val="none"/>
                <w:lang w:val="en-US" w:eastAsia="zh-CN" w:bidi="ar-SA"/>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381F1AD7">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w:t>
            </w:r>
            <w:r>
              <w:rPr>
                <w:rFonts w:hint="eastAsia" w:ascii="宋体" w:hAnsi="宋体" w:cs="宋体"/>
                <w:b w:val="0"/>
                <w:bCs w:val="0"/>
                <w:i w:val="0"/>
                <w:iCs w:val="0"/>
                <w:color w:val="auto"/>
                <w:kern w:val="0"/>
                <w:sz w:val="20"/>
                <w:szCs w:val="20"/>
                <w:highlight w:val="none"/>
                <w:u w:val="none"/>
                <w:lang w:val="en-US" w:eastAsia="zh-CN" w:bidi="ar"/>
              </w:rPr>
              <w:t>5</w:t>
            </w:r>
            <w:r>
              <w:rPr>
                <w:rFonts w:hint="eastAsia" w:ascii="宋体" w:hAnsi="宋体" w:eastAsia="宋体" w:cs="宋体"/>
                <w:b w:val="0"/>
                <w:bCs w:val="0"/>
                <w:i w:val="0"/>
                <w:iCs w:val="0"/>
                <w:color w:val="auto"/>
                <w:kern w:val="0"/>
                <w:sz w:val="20"/>
                <w:szCs w:val="20"/>
                <w:highlight w:val="none"/>
                <w:u w:val="none"/>
                <w:lang w:val="en-US" w:eastAsia="zh-CN" w:bidi="ar"/>
              </w:rPr>
              <w:t>分/</w:t>
            </w:r>
            <w:r>
              <w:rPr>
                <w:rFonts w:hint="eastAsia" w:ascii="宋体" w:hAnsi="宋体" w:cs="宋体"/>
                <w:b w:val="0"/>
                <w:bCs w:val="0"/>
                <w:i w:val="0"/>
                <w:iCs w:val="0"/>
                <w:color w:val="auto"/>
                <w:kern w:val="0"/>
                <w:sz w:val="20"/>
                <w:szCs w:val="20"/>
                <w:highlight w:val="none"/>
                <w:u w:val="none"/>
                <w:lang w:val="en-US" w:eastAsia="zh-CN" w:bidi="ar"/>
              </w:rPr>
              <w:t>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09980164">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D6275B9">
            <w:pPr>
              <w:jc w:val="center"/>
              <w:rPr>
                <w:rFonts w:hint="eastAsia" w:ascii="宋体" w:hAnsi="宋体" w:eastAsia="宋体" w:cs="宋体"/>
                <w:b w:val="0"/>
                <w:bCs w:val="0"/>
                <w:i w:val="0"/>
                <w:iCs w:val="0"/>
                <w:color w:val="auto"/>
                <w:sz w:val="20"/>
                <w:szCs w:val="20"/>
                <w:highlight w:val="none"/>
                <w:u w:val="none"/>
              </w:rPr>
            </w:pPr>
          </w:p>
        </w:tc>
      </w:tr>
      <w:tr w14:paraId="61210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593F2C64">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74F71CF9">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6B22820C">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08DA711D">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7DDD3FB2">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因</w:t>
            </w:r>
            <w:r>
              <w:rPr>
                <w:rFonts w:hint="eastAsia" w:ascii="宋体" w:hAnsi="宋体" w:cs="宋体"/>
                <w:b w:val="0"/>
                <w:bCs w:val="0"/>
                <w:color w:val="auto"/>
                <w:kern w:val="2"/>
                <w:sz w:val="20"/>
                <w:szCs w:val="20"/>
                <w:highlight w:val="none"/>
                <w:lang w:val="en-US" w:eastAsia="zh-CN" w:bidi="ar-SA"/>
              </w:rPr>
              <w:t>服务商</w:t>
            </w:r>
            <w:r>
              <w:rPr>
                <w:rFonts w:hint="eastAsia" w:ascii="宋体" w:hAnsi="宋体" w:eastAsia="宋体" w:cs="宋体"/>
                <w:b w:val="0"/>
                <w:bCs w:val="0"/>
                <w:color w:val="auto"/>
                <w:kern w:val="2"/>
                <w:sz w:val="20"/>
                <w:szCs w:val="20"/>
                <w:highlight w:val="none"/>
                <w:lang w:val="en-US" w:eastAsia="zh-CN" w:bidi="ar-SA"/>
              </w:rPr>
              <w:t>原因造成的发生系统崩溃、业务数据丢失、系统数据泄密的安全事件。</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540F9B8F">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w:t>
            </w:r>
            <w:r>
              <w:rPr>
                <w:rFonts w:hint="eastAsia" w:ascii="宋体" w:hAnsi="宋体" w:cs="宋体"/>
                <w:b w:val="0"/>
                <w:bCs w:val="0"/>
                <w:i w:val="0"/>
                <w:iCs w:val="0"/>
                <w:color w:val="auto"/>
                <w:kern w:val="0"/>
                <w:sz w:val="20"/>
                <w:szCs w:val="20"/>
                <w:highlight w:val="none"/>
                <w:u w:val="none"/>
                <w:lang w:val="en-US" w:eastAsia="zh-CN" w:bidi="ar"/>
              </w:rPr>
              <w:t>5</w:t>
            </w:r>
            <w:r>
              <w:rPr>
                <w:rFonts w:hint="eastAsia" w:ascii="宋体" w:hAnsi="宋体" w:eastAsia="宋体" w:cs="宋体"/>
                <w:b w:val="0"/>
                <w:bCs w:val="0"/>
                <w:i w:val="0"/>
                <w:iCs w:val="0"/>
                <w:color w:val="auto"/>
                <w:kern w:val="0"/>
                <w:sz w:val="20"/>
                <w:szCs w:val="20"/>
                <w:highlight w:val="none"/>
                <w:u w:val="none"/>
                <w:lang w:val="en-US" w:eastAsia="zh-CN" w:bidi="ar"/>
              </w:rPr>
              <w:t>分/</w:t>
            </w:r>
            <w:r>
              <w:rPr>
                <w:rFonts w:hint="eastAsia" w:ascii="宋体" w:hAnsi="宋体" w:cs="宋体"/>
                <w:b w:val="0"/>
                <w:bCs w:val="0"/>
                <w:i w:val="0"/>
                <w:iCs w:val="0"/>
                <w:color w:val="auto"/>
                <w:kern w:val="0"/>
                <w:sz w:val="20"/>
                <w:szCs w:val="20"/>
                <w:highlight w:val="none"/>
                <w:u w:val="none"/>
                <w:lang w:val="en-US" w:eastAsia="zh-CN" w:bidi="ar"/>
              </w:rPr>
              <w:t>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1AAC7A94">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1219A123">
            <w:pPr>
              <w:jc w:val="center"/>
              <w:rPr>
                <w:rFonts w:hint="eastAsia" w:ascii="宋体" w:hAnsi="宋体" w:eastAsia="宋体" w:cs="宋体"/>
                <w:b w:val="0"/>
                <w:bCs w:val="0"/>
                <w:i w:val="0"/>
                <w:iCs w:val="0"/>
                <w:color w:val="auto"/>
                <w:sz w:val="20"/>
                <w:szCs w:val="20"/>
                <w:highlight w:val="none"/>
                <w:u w:val="none"/>
              </w:rPr>
            </w:pPr>
          </w:p>
        </w:tc>
      </w:tr>
      <w:tr w14:paraId="63FB3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7E6E5787">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7F7F4ED7">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13A91932">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1651B0A5">
            <w:pPr>
              <w:keepNext w:val="0"/>
              <w:keepLines w:val="0"/>
              <w:widowControl/>
              <w:suppressLineNumbers w:val="0"/>
              <w:jc w:val="center"/>
              <w:textAlignment w:val="center"/>
              <w:rPr>
                <w:rFonts w:hint="eastAsia" w:ascii="宋体" w:hAnsi="宋体" w:eastAsia="宋体" w:cs="宋体"/>
                <w:b w:val="0"/>
                <w:bCs w:val="0"/>
                <w:color w:val="auto"/>
                <w:kern w:val="2"/>
                <w:sz w:val="20"/>
                <w:szCs w:val="20"/>
                <w:highlight w:val="none"/>
                <w:lang w:val="en-US" w:eastAsia="zh-CN" w:bidi="ar-SA"/>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36ECA37E">
            <w:pPr>
              <w:keepNext w:val="0"/>
              <w:keepLines w:val="0"/>
              <w:widowControl/>
              <w:suppressLineNumbers w:val="0"/>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因</w:t>
            </w:r>
            <w:r>
              <w:rPr>
                <w:rFonts w:hint="eastAsia" w:ascii="宋体" w:hAnsi="宋体" w:cs="宋体"/>
                <w:b w:val="0"/>
                <w:bCs w:val="0"/>
                <w:color w:val="auto"/>
                <w:kern w:val="2"/>
                <w:sz w:val="20"/>
                <w:szCs w:val="20"/>
                <w:highlight w:val="none"/>
                <w:lang w:val="en-US" w:eastAsia="zh-CN" w:bidi="ar-SA"/>
              </w:rPr>
              <w:t>服务商</w:t>
            </w:r>
            <w:r>
              <w:rPr>
                <w:rFonts w:hint="eastAsia" w:ascii="宋体" w:hAnsi="宋体" w:eastAsia="宋体" w:cs="宋体"/>
                <w:b w:val="0"/>
                <w:bCs w:val="0"/>
                <w:color w:val="auto"/>
                <w:kern w:val="2"/>
                <w:sz w:val="20"/>
                <w:szCs w:val="20"/>
                <w:highlight w:val="none"/>
                <w:lang w:val="en-US" w:eastAsia="zh-CN" w:bidi="ar-SA"/>
              </w:rPr>
              <w:t>原因造成的发生</w:t>
            </w:r>
            <w:r>
              <w:rPr>
                <w:rFonts w:hint="eastAsia" w:ascii="宋体" w:hAnsi="宋体" w:cs="宋体"/>
                <w:b w:val="0"/>
                <w:bCs w:val="0"/>
                <w:color w:val="auto"/>
                <w:kern w:val="2"/>
                <w:sz w:val="20"/>
                <w:szCs w:val="20"/>
                <w:highlight w:val="none"/>
                <w:lang w:val="en-US" w:eastAsia="zh-CN" w:bidi="ar-SA"/>
              </w:rPr>
              <w:t>采购方</w:t>
            </w:r>
            <w:r>
              <w:rPr>
                <w:rFonts w:hint="eastAsia" w:ascii="宋体" w:hAnsi="宋体" w:eastAsia="宋体" w:cs="宋体"/>
                <w:b w:val="0"/>
                <w:bCs w:val="0"/>
                <w:color w:val="auto"/>
                <w:kern w:val="2"/>
                <w:sz w:val="20"/>
                <w:szCs w:val="20"/>
                <w:highlight w:val="none"/>
                <w:lang w:val="en-US" w:eastAsia="zh-CN" w:bidi="ar-SA"/>
              </w:rPr>
              <w:t>文档资料丢失事件</w:t>
            </w:r>
            <w:r>
              <w:rPr>
                <w:rFonts w:hint="eastAsia" w:ascii="宋体" w:hAnsi="宋体" w:cs="宋体"/>
                <w:b w:val="0"/>
                <w:bCs w:val="0"/>
                <w:color w:val="auto"/>
                <w:kern w:val="2"/>
                <w:sz w:val="20"/>
                <w:szCs w:val="20"/>
                <w:highlight w:val="none"/>
                <w:lang w:val="en-US" w:eastAsia="zh-CN" w:bidi="ar-SA"/>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C178A0B">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w:t>
            </w:r>
            <w:r>
              <w:rPr>
                <w:rFonts w:hint="eastAsia" w:ascii="宋体" w:hAnsi="宋体" w:cs="宋体"/>
                <w:b w:val="0"/>
                <w:bCs w:val="0"/>
                <w:i w:val="0"/>
                <w:iCs w:val="0"/>
                <w:color w:val="auto"/>
                <w:kern w:val="0"/>
                <w:sz w:val="20"/>
                <w:szCs w:val="20"/>
                <w:highlight w:val="none"/>
                <w:u w:val="none"/>
                <w:lang w:val="en-US" w:eastAsia="zh-CN" w:bidi="ar"/>
              </w:rPr>
              <w:t>1</w:t>
            </w:r>
            <w:r>
              <w:rPr>
                <w:rFonts w:hint="eastAsia" w:ascii="宋体" w:hAnsi="宋体" w:eastAsia="宋体" w:cs="宋体"/>
                <w:b w:val="0"/>
                <w:bCs w:val="0"/>
                <w:i w:val="0"/>
                <w:iCs w:val="0"/>
                <w:color w:val="auto"/>
                <w:kern w:val="0"/>
                <w:sz w:val="20"/>
                <w:szCs w:val="20"/>
                <w:highlight w:val="none"/>
                <w:u w:val="none"/>
                <w:lang w:val="en-US" w:eastAsia="zh-CN" w:bidi="ar"/>
              </w:rPr>
              <w:t>分/</w:t>
            </w:r>
            <w:r>
              <w:rPr>
                <w:rFonts w:hint="eastAsia" w:ascii="宋体" w:hAnsi="宋体" w:cs="宋体"/>
                <w:b w:val="0"/>
                <w:bCs w:val="0"/>
                <w:i w:val="0"/>
                <w:iCs w:val="0"/>
                <w:color w:val="auto"/>
                <w:kern w:val="0"/>
                <w:sz w:val="20"/>
                <w:szCs w:val="20"/>
                <w:highlight w:val="none"/>
                <w:u w:val="none"/>
                <w:lang w:val="en-US" w:eastAsia="zh-CN" w:bidi="ar"/>
              </w:rPr>
              <w:t>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6CAB53D4">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08920931">
            <w:pPr>
              <w:jc w:val="center"/>
              <w:rPr>
                <w:rFonts w:hint="eastAsia" w:ascii="宋体" w:hAnsi="宋体" w:eastAsia="宋体" w:cs="宋体"/>
                <w:b w:val="0"/>
                <w:bCs w:val="0"/>
                <w:i w:val="0"/>
                <w:iCs w:val="0"/>
                <w:color w:val="auto"/>
                <w:sz w:val="20"/>
                <w:szCs w:val="20"/>
                <w:highlight w:val="none"/>
                <w:u w:val="none"/>
              </w:rPr>
            </w:pPr>
          </w:p>
        </w:tc>
      </w:tr>
      <w:tr w14:paraId="1A1B8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78DB2451">
            <w:pPr>
              <w:jc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5</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7CAA05E4">
            <w:pPr>
              <w:jc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color w:val="auto"/>
                <w:sz w:val="20"/>
                <w:szCs w:val="20"/>
                <w:highlight w:val="none"/>
              </w:rPr>
              <w:t>故障诊断及排除</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4A46E5E8">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按合同约定对</w:t>
            </w:r>
            <w:r>
              <w:rPr>
                <w:rFonts w:hint="eastAsia" w:ascii="宋体" w:hAnsi="宋体" w:eastAsia="宋体" w:cs="宋体"/>
                <w:b w:val="0"/>
                <w:bCs w:val="0"/>
                <w:color w:val="auto"/>
                <w:sz w:val="20"/>
                <w:szCs w:val="20"/>
                <w:highlight w:val="none"/>
                <w:lang w:val="en-US" w:eastAsia="zh-CN"/>
              </w:rPr>
              <w:t>办公设备</w:t>
            </w:r>
            <w:r>
              <w:rPr>
                <w:rFonts w:hint="eastAsia" w:ascii="宋体" w:hAnsi="宋体" w:eastAsia="宋体" w:cs="宋体"/>
                <w:b w:val="0"/>
                <w:bCs w:val="0"/>
                <w:color w:val="auto"/>
                <w:sz w:val="20"/>
                <w:szCs w:val="20"/>
                <w:highlight w:val="none"/>
                <w:lang w:eastAsia="zh-CN"/>
              </w:rPr>
              <w:t>的故障进行诊断和排除</w:t>
            </w:r>
            <w:r>
              <w:rPr>
                <w:rFonts w:hint="eastAsia" w:ascii="宋体" w:hAnsi="宋体" w:cs="宋体"/>
                <w:b w:val="0"/>
                <w:bCs w:val="0"/>
                <w:color w:val="auto"/>
                <w:sz w:val="20"/>
                <w:szCs w:val="20"/>
                <w:highlight w:val="none"/>
                <w:lang w:eastAsia="zh-CN"/>
              </w:rPr>
              <w:t>。</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0296900E">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2</w:t>
            </w:r>
            <w:r>
              <w:rPr>
                <w:rFonts w:hint="eastAsia" w:ascii="宋体" w:hAnsi="宋体" w:cs="宋体"/>
                <w:b w:val="0"/>
                <w:bCs w:val="0"/>
                <w:i w:val="0"/>
                <w:iCs w:val="0"/>
                <w:color w:val="auto"/>
                <w:kern w:val="0"/>
                <w:sz w:val="20"/>
                <w:szCs w:val="20"/>
                <w:highlight w:val="none"/>
                <w:u w:val="none"/>
                <w:lang w:val="en-US" w:eastAsia="zh-CN" w:bidi="ar"/>
              </w:rPr>
              <w:t>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2727846C">
            <w:pPr>
              <w:keepNext w:val="0"/>
              <w:keepLines w:val="0"/>
              <w:widowControl/>
              <w:suppressLineNumbers w:val="0"/>
              <w:jc w:val="both"/>
              <w:textAlignment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eastAsia="zh-CN"/>
              </w:rPr>
              <w:t>未</w:t>
            </w:r>
            <w:r>
              <w:rPr>
                <w:rFonts w:hint="eastAsia" w:ascii="宋体" w:hAnsi="宋体" w:eastAsia="宋体" w:cs="宋体"/>
                <w:b w:val="0"/>
                <w:bCs w:val="0"/>
                <w:color w:val="auto"/>
                <w:sz w:val="20"/>
                <w:szCs w:val="20"/>
                <w:highlight w:val="none"/>
              </w:rPr>
              <w:t>要求对</w:t>
            </w:r>
            <w:r>
              <w:rPr>
                <w:rFonts w:hint="eastAsia" w:ascii="宋体" w:hAnsi="宋体" w:eastAsia="宋体" w:cs="宋体"/>
                <w:b w:val="0"/>
                <w:bCs w:val="0"/>
                <w:color w:val="auto"/>
                <w:sz w:val="20"/>
                <w:szCs w:val="20"/>
                <w:highlight w:val="none"/>
                <w:lang w:val="en-US" w:eastAsia="zh-CN"/>
              </w:rPr>
              <w:t>办公设备</w:t>
            </w:r>
            <w:r>
              <w:rPr>
                <w:rFonts w:hint="eastAsia" w:ascii="宋体" w:hAnsi="宋体" w:eastAsia="宋体" w:cs="宋体"/>
                <w:b w:val="0"/>
                <w:bCs w:val="0"/>
                <w:color w:val="auto"/>
                <w:sz w:val="20"/>
                <w:szCs w:val="20"/>
                <w:highlight w:val="none"/>
              </w:rPr>
              <w:t>故障、缺陷、服务请求进行分析并处理。</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7A23BB32">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2499C620">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35E520C5">
            <w:pPr>
              <w:jc w:val="center"/>
              <w:rPr>
                <w:rFonts w:hint="eastAsia" w:ascii="宋体" w:hAnsi="宋体" w:eastAsia="宋体" w:cs="宋体"/>
                <w:b w:val="0"/>
                <w:bCs w:val="0"/>
                <w:i w:val="0"/>
                <w:iCs w:val="0"/>
                <w:color w:val="auto"/>
                <w:sz w:val="20"/>
                <w:szCs w:val="20"/>
                <w:highlight w:val="none"/>
                <w:u w:val="none"/>
              </w:rPr>
            </w:pPr>
          </w:p>
        </w:tc>
      </w:tr>
      <w:tr w14:paraId="6BF47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1DB39AC3">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76338F91">
            <w:pPr>
              <w:jc w:val="center"/>
              <w:rPr>
                <w:rFonts w:hint="eastAsia" w:ascii="宋体" w:hAnsi="宋体" w:eastAsia="宋体" w:cs="宋体"/>
                <w:b w:val="0"/>
                <w:bCs w:val="0"/>
                <w:color w:val="auto"/>
                <w:sz w:val="20"/>
                <w:szCs w:val="20"/>
                <w:highlight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17116885">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24C37211">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4F4714AC">
            <w:pPr>
              <w:keepNext w:val="0"/>
              <w:keepLines w:val="0"/>
              <w:widowControl/>
              <w:suppressLineNumbers w:val="0"/>
              <w:jc w:val="both"/>
              <w:textAlignment w:val="cente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eastAsia="zh-CN"/>
              </w:rPr>
              <w:t>未对</w:t>
            </w:r>
            <w:r>
              <w:rPr>
                <w:rFonts w:hint="eastAsia" w:ascii="宋体" w:hAnsi="宋体" w:eastAsia="宋体" w:cs="宋体"/>
                <w:b w:val="0"/>
                <w:bCs w:val="0"/>
                <w:color w:val="auto"/>
                <w:sz w:val="20"/>
                <w:szCs w:val="20"/>
                <w:highlight w:val="none"/>
              </w:rPr>
              <w:t>发生故障或者损坏的部件进行维修及更换</w:t>
            </w:r>
            <w:r>
              <w:rPr>
                <w:rFonts w:hint="eastAsia" w:ascii="宋体" w:hAnsi="宋体" w:cs="宋体"/>
                <w:b w:val="0"/>
                <w:bCs w:val="0"/>
                <w:color w:val="auto"/>
                <w:sz w:val="20"/>
                <w:szCs w:val="20"/>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3E6433E">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28338D65">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2F9DCD0">
            <w:pPr>
              <w:jc w:val="center"/>
              <w:rPr>
                <w:rFonts w:hint="eastAsia" w:ascii="宋体" w:hAnsi="宋体" w:eastAsia="宋体" w:cs="宋体"/>
                <w:b w:val="0"/>
                <w:bCs w:val="0"/>
                <w:i w:val="0"/>
                <w:iCs w:val="0"/>
                <w:color w:val="auto"/>
                <w:sz w:val="20"/>
                <w:szCs w:val="20"/>
                <w:highlight w:val="none"/>
                <w:u w:val="none"/>
              </w:rPr>
            </w:pPr>
          </w:p>
        </w:tc>
      </w:tr>
      <w:tr w14:paraId="3B6D4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1CF655B6">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71F92439">
            <w:pPr>
              <w:jc w:val="center"/>
              <w:rPr>
                <w:rFonts w:hint="eastAsia" w:ascii="宋体" w:hAnsi="宋体" w:eastAsia="宋体" w:cs="宋体"/>
                <w:b w:val="0"/>
                <w:bCs w:val="0"/>
                <w:color w:val="auto"/>
                <w:sz w:val="20"/>
                <w:szCs w:val="20"/>
                <w:highlight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44E923AF">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5B1091F4">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6CF7383F">
            <w:pPr>
              <w:keepNext w:val="0"/>
              <w:keepLines w:val="0"/>
              <w:widowControl/>
              <w:suppressLineNumbers w:val="0"/>
              <w:jc w:val="both"/>
              <w:textAlignment w:val="cente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更换零配件的维护时间</w:t>
            </w:r>
            <w:r>
              <w:rPr>
                <w:rFonts w:hint="eastAsia" w:ascii="宋体" w:hAnsi="宋体" w:eastAsia="宋体" w:cs="宋体"/>
                <w:b w:val="0"/>
                <w:bCs w:val="0"/>
                <w:color w:val="auto"/>
                <w:sz w:val="20"/>
                <w:szCs w:val="20"/>
                <w:highlight w:val="none"/>
                <w:lang w:eastAsia="zh-CN"/>
              </w:rPr>
              <w:t>超过约定时间，且未有合理的理由向</w:t>
            </w:r>
            <w:r>
              <w:rPr>
                <w:rFonts w:hint="eastAsia" w:ascii="宋体" w:hAnsi="宋体" w:cs="宋体"/>
                <w:b w:val="0"/>
                <w:bCs w:val="0"/>
                <w:color w:val="auto"/>
                <w:sz w:val="20"/>
                <w:szCs w:val="20"/>
                <w:highlight w:val="none"/>
                <w:lang w:eastAsia="zh-CN"/>
              </w:rPr>
              <w:t>采购方</w:t>
            </w:r>
            <w:r>
              <w:rPr>
                <w:rFonts w:hint="eastAsia" w:ascii="宋体" w:hAnsi="宋体" w:eastAsia="宋体" w:cs="宋体"/>
                <w:b w:val="0"/>
                <w:bCs w:val="0"/>
                <w:color w:val="auto"/>
                <w:sz w:val="20"/>
                <w:szCs w:val="20"/>
                <w:highlight w:val="none"/>
                <w:lang w:eastAsia="zh-CN"/>
              </w:rPr>
              <w:t>说明。</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35B25F3">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-1分/次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6063260B">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038A9C30">
            <w:pPr>
              <w:jc w:val="center"/>
              <w:rPr>
                <w:rFonts w:hint="eastAsia" w:ascii="宋体" w:hAnsi="宋体" w:eastAsia="宋体" w:cs="宋体"/>
                <w:b w:val="0"/>
                <w:bCs w:val="0"/>
                <w:i w:val="0"/>
                <w:iCs w:val="0"/>
                <w:color w:val="auto"/>
                <w:sz w:val="20"/>
                <w:szCs w:val="20"/>
                <w:highlight w:val="none"/>
                <w:u w:val="none"/>
              </w:rPr>
            </w:pPr>
          </w:p>
        </w:tc>
      </w:tr>
      <w:tr w14:paraId="0E819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6B04B321">
            <w:pPr>
              <w:jc w:val="center"/>
              <w:rPr>
                <w:rFonts w:hint="default"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6</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33841CF5">
            <w:pPr>
              <w:jc w:val="center"/>
              <w:rPr>
                <w:rFonts w:hint="default" w:ascii="宋体" w:hAnsi="宋体" w:eastAsia="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服务质量响应</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7539BBF6">
            <w:pPr>
              <w:keepNext w:val="0"/>
              <w:keepLines w:val="0"/>
              <w:widowControl/>
              <w:suppressLineNumbers w:val="0"/>
              <w:jc w:val="left"/>
              <w:textAlignment w:val="center"/>
              <w:rPr>
                <w:rFonts w:hint="default" w:ascii="宋体" w:hAnsi="宋体" w:eastAsia="宋体" w:cs="宋体"/>
                <w:b w:val="0"/>
                <w:bCs w:val="0"/>
                <w:color w:val="auto"/>
                <w:sz w:val="20"/>
                <w:szCs w:val="20"/>
                <w:highlight w:val="none"/>
                <w:lang w:val="en-US" w:eastAsia="zh-CN"/>
              </w:rPr>
            </w:pPr>
            <w:r>
              <w:rPr>
                <w:rFonts w:hint="eastAsia" w:ascii="宋体" w:hAnsi="宋体" w:cs="宋体"/>
                <w:color w:val="auto"/>
                <w:sz w:val="20"/>
                <w:szCs w:val="20"/>
                <w:highlight w:val="none"/>
                <w:lang w:eastAsia="zh-CN"/>
              </w:rPr>
              <w:t>服务商</w:t>
            </w:r>
            <w:r>
              <w:rPr>
                <w:rFonts w:hint="eastAsia" w:ascii="宋体" w:hAnsi="宋体" w:cs="宋体"/>
                <w:color w:val="auto"/>
                <w:sz w:val="20"/>
                <w:szCs w:val="20"/>
                <w:highlight w:val="none"/>
              </w:rPr>
              <w:t>应对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布置的工作要求、任务予以积极响应。做到对</w:t>
            </w:r>
            <w:r>
              <w:rPr>
                <w:rFonts w:hint="eastAsia" w:ascii="宋体" w:hAnsi="宋体" w:cs="宋体"/>
                <w:color w:val="auto"/>
                <w:sz w:val="20"/>
                <w:szCs w:val="20"/>
                <w:highlight w:val="none"/>
                <w:lang w:eastAsia="zh-CN"/>
              </w:rPr>
              <w:t>采购方</w:t>
            </w:r>
            <w:r>
              <w:rPr>
                <w:rFonts w:hint="eastAsia" w:ascii="宋体" w:hAnsi="宋体" w:cs="宋体"/>
                <w:color w:val="auto"/>
                <w:sz w:val="20"/>
                <w:szCs w:val="20"/>
                <w:highlight w:val="none"/>
              </w:rPr>
              <w:t>布置的工作要求、任务有落实，有反馈。</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550FB2C7">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cs="宋体"/>
                <w:b w:val="0"/>
                <w:bCs w:val="0"/>
                <w:i w:val="0"/>
                <w:iCs w:val="0"/>
                <w:color w:val="auto"/>
                <w:kern w:val="0"/>
                <w:sz w:val="20"/>
                <w:szCs w:val="20"/>
                <w:highlight w:val="none"/>
                <w:u w:val="none"/>
                <w:lang w:val="en-US" w:eastAsia="zh-CN" w:bidi="ar"/>
              </w:rPr>
              <w:t>10</w:t>
            </w:r>
          </w:p>
        </w:tc>
        <w:tc>
          <w:tcPr>
            <w:tcW w:w="36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4118C8">
            <w:pPr>
              <w:rPr>
                <w:rFonts w:hint="default"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不按时完成布置的工作</w:t>
            </w:r>
            <w:r>
              <w:rPr>
                <w:rFonts w:hint="eastAsia" w:ascii="宋体" w:hAnsi="宋体" w:cs="宋体"/>
                <w:color w:val="auto"/>
                <w:sz w:val="20"/>
                <w:szCs w:val="20"/>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D5DF19">
            <w:pPr>
              <w:jc w:val="left"/>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rPr>
              <w:t>分/次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7D9D392E">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1390D938">
            <w:pPr>
              <w:jc w:val="center"/>
              <w:rPr>
                <w:rFonts w:hint="eastAsia" w:ascii="宋体" w:hAnsi="宋体" w:eastAsia="宋体" w:cs="宋体"/>
                <w:b w:val="0"/>
                <w:bCs w:val="0"/>
                <w:i w:val="0"/>
                <w:iCs w:val="0"/>
                <w:color w:val="auto"/>
                <w:sz w:val="20"/>
                <w:szCs w:val="20"/>
                <w:highlight w:val="none"/>
                <w:u w:val="none"/>
              </w:rPr>
            </w:pPr>
          </w:p>
        </w:tc>
      </w:tr>
      <w:tr w14:paraId="4BD46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continue"/>
            <w:tcBorders>
              <w:left w:val="single" w:color="auto" w:sz="4" w:space="0"/>
              <w:right w:val="single" w:color="auto" w:sz="4" w:space="0"/>
            </w:tcBorders>
            <w:noWrap w:val="0"/>
            <w:vAlign w:val="center"/>
          </w:tcPr>
          <w:p w14:paraId="3DE7A869">
            <w:pPr>
              <w:jc w:val="center"/>
              <w:rPr>
                <w:rFonts w:hint="eastAsia" w:ascii="宋体" w:hAnsi="宋体" w:cs="宋体"/>
                <w:b w:val="0"/>
                <w:bCs w:val="0"/>
                <w:i w:val="0"/>
                <w:iCs w:val="0"/>
                <w:color w:val="auto"/>
                <w:sz w:val="20"/>
                <w:szCs w:val="20"/>
                <w:highlight w:val="none"/>
                <w:u w:val="none"/>
                <w:lang w:val="en-US" w:eastAsia="zh-CN"/>
              </w:rPr>
            </w:pPr>
          </w:p>
        </w:tc>
        <w:tc>
          <w:tcPr>
            <w:tcW w:w="758" w:type="dxa"/>
            <w:vMerge w:val="continue"/>
            <w:tcBorders>
              <w:left w:val="single" w:color="auto" w:sz="4" w:space="0"/>
              <w:right w:val="single" w:color="auto" w:sz="4" w:space="0"/>
            </w:tcBorders>
            <w:noWrap w:val="0"/>
            <w:vAlign w:val="center"/>
          </w:tcPr>
          <w:p w14:paraId="0CB86796">
            <w:pPr>
              <w:jc w:val="center"/>
              <w:rPr>
                <w:rFonts w:hint="eastAsia" w:ascii="宋体" w:hAnsi="宋体" w:cs="宋体"/>
                <w:b w:val="0"/>
                <w:bCs w:val="0"/>
                <w:color w:val="auto"/>
                <w:sz w:val="20"/>
                <w:szCs w:val="20"/>
                <w:highlight w:val="none"/>
                <w:lang w:val="en-US" w:eastAsia="zh-CN"/>
              </w:rPr>
            </w:pPr>
          </w:p>
        </w:tc>
        <w:tc>
          <w:tcPr>
            <w:tcW w:w="1976" w:type="dxa"/>
            <w:vMerge w:val="continue"/>
            <w:tcBorders>
              <w:left w:val="single" w:color="auto" w:sz="4" w:space="0"/>
              <w:right w:val="single" w:color="auto" w:sz="4" w:space="0"/>
            </w:tcBorders>
            <w:noWrap w:val="0"/>
            <w:vAlign w:val="center"/>
          </w:tcPr>
          <w:p w14:paraId="58E87CB2">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left w:val="single" w:color="auto" w:sz="4" w:space="0"/>
              <w:right w:val="single" w:color="auto" w:sz="4" w:space="0"/>
            </w:tcBorders>
            <w:noWrap w:val="0"/>
            <w:vAlign w:val="center"/>
          </w:tcPr>
          <w:p w14:paraId="6C0E152A">
            <w:pPr>
              <w:keepNext w:val="0"/>
              <w:keepLines w:val="0"/>
              <w:widowControl/>
              <w:suppressLineNumbers w:val="0"/>
              <w:jc w:val="center"/>
              <w:textAlignment w:val="center"/>
              <w:rPr>
                <w:rFonts w:hint="eastAsia" w:ascii="宋体" w:hAnsi="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2A72AB">
            <w:pPr>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因工作管理不到位，接收到采购方发出的整改批示的文件（包括整改通知书、函件等），每发出一份</w:t>
            </w:r>
            <w:r>
              <w:rPr>
                <w:rFonts w:hint="eastAsia" w:ascii="宋体" w:hAnsi="宋体" w:cs="宋体"/>
                <w:color w:val="auto"/>
                <w:sz w:val="20"/>
                <w:szCs w:val="20"/>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47A8A8">
            <w:pPr>
              <w:jc w:val="left"/>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rPr>
              <w:t>-</w:t>
            </w: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分/</w:t>
            </w:r>
            <w:r>
              <w:rPr>
                <w:rFonts w:hint="eastAsia" w:ascii="宋体" w:hAnsi="宋体" w:cs="宋体"/>
                <w:color w:val="auto"/>
                <w:sz w:val="20"/>
                <w:szCs w:val="20"/>
                <w:highlight w:val="none"/>
                <w:lang w:val="en-US" w:eastAsia="zh-CN"/>
              </w:rPr>
              <w:t>份</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395F4AA0">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6C8BDB4A">
            <w:pPr>
              <w:jc w:val="center"/>
              <w:rPr>
                <w:rFonts w:hint="eastAsia" w:ascii="宋体" w:hAnsi="宋体" w:eastAsia="宋体" w:cs="宋体"/>
                <w:b w:val="0"/>
                <w:bCs w:val="0"/>
                <w:i w:val="0"/>
                <w:iCs w:val="0"/>
                <w:color w:val="auto"/>
                <w:sz w:val="20"/>
                <w:szCs w:val="20"/>
                <w:highlight w:val="none"/>
                <w:u w:val="none"/>
              </w:rPr>
            </w:pPr>
          </w:p>
        </w:tc>
      </w:tr>
      <w:tr w14:paraId="2989D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4801B319">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39B0780F">
            <w:pPr>
              <w:jc w:val="center"/>
              <w:rPr>
                <w:rFonts w:hint="eastAsia" w:ascii="宋体" w:hAnsi="宋体" w:eastAsia="宋体" w:cs="宋体"/>
                <w:b w:val="0"/>
                <w:bCs w:val="0"/>
                <w:color w:val="auto"/>
                <w:sz w:val="20"/>
                <w:szCs w:val="20"/>
                <w:highlight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2CBE267E">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16AB4FD4">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B3922E">
            <w:pPr>
              <w:rPr>
                <w:rFonts w:hint="default"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因工作执行不到位，对采购方造成重大不良影响，每出现一项。</w:t>
            </w:r>
          </w:p>
        </w:tc>
        <w:tc>
          <w:tcPr>
            <w:tcW w:w="8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4E1700">
            <w:pPr>
              <w:jc w:val="left"/>
              <w:rPr>
                <w:rFonts w:hint="eastAsia" w:ascii="宋体" w:hAnsi="宋体" w:cs="宋体" w:eastAsiaTheme="minorEastAsia"/>
                <w:color w:val="auto"/>
                <w:kern w:val="2"/>
                <w:sz w:val="20"/>
                <w:szCs w:val="20"/>
                <w:highlight w:val="none"/>
                <w:lang w:val="en-US" w:eastAsia="zh-CN" w:bidi="ar-SA"/>
              </w:rPr>
            </w:pP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lang w:val="en-US" w:eastAsia="zh-CN"/>
              </w:rPr>
              <w:t>至-</w:t>
            </w:r>
            <w:r>
              <w:rPr>
                <w:rFonts w:hint="eastAsia" w:ascii="宋体" w:hAnsi="宋体" w:cs="宋体"/>
                <w:color w:val="auto"/>
                <w:sz w:val="20"/>
                <w:szCs w:val="20"/>
                <w:highlight w:val="none"/>
                <w:lang w:val="en-US" w:eastAsia="zh-CN"/>
              </w:rPr>
              <w:t>10分/项</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6C35672F">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70142316">
            <w:pPr>
              <w:jc w:val="center"/>
              <w:rPr>
                <w:rFonts w:hint="eastAsia" w:ascii="宋体" w:hAnsi="宋体" w:eastAsia="宋体" w:cs="宋体"/>
                <w:b w:val="0"/>
                <w:bCs w:val="0"/>
                <w:i w:val="0"/>
                <w:iCs w:val="0"/>
                <w:color w:val="auto"/>
                <w:sz w:val="20"/>
                <w:szCs w:val="20"/>
                <w:highlight w:val="none"/>
                <w:u w:val="none"/>
              </w:rPr>
            </w:pPr>
          </w:p>
        </w:tc>
      </w:tr>
      <w:tr w14:paraId="6174D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restart"/>
            <w:tcBorders>
              <w:top w:val="single" w:color="auto" w:sz="4" w:space="0"/>
              <w:left w:val="single" w:color="auto" w:sz="4" w:space="0"/>
              <w:bottom w:val="single" w:color="auto" w:sz="4" w:space="0"/>
              <w:right w:val="single" w:color="auto" w:sz="4" w:space="0"/>
            </w:tcBorders>
            <w:noWrap w:val="0"/>
            <w:vAlign w:val="center"/>
          </w:tcPr>
          <w:p w14:paraId="3042E85F">
            <w:pPr>
              <w:jc w:val="center"/>
              <w:rPr>
                <w:rFonts w:hint="default"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758" w:type="dxa"/>
            <w:vMerge w:val="restart"/>
            <w:tcBorders>
              <w:top w:val="single" w:color="auto" w:sz="4" w:space="0"/>
              <w:left w:val="single" w:color="auto" w:sz="4" w:space="0"/>
              <w:bottom w:val="single" w:color="auto" w:sz="4" w:space="0"/>
              <w:right w:val="single" w:color="auto" w:sz="4" w:space="0"/>
            </w:tcBorders>
            <w:noWrap w:val="0"/>
            <w:vAlign w:val="center"/>
          </w:tcPr>
          <w:p w14:paraId="41194BCB">
            <w:pPr>
              <w:jc w:val="center"/>
              <w:rPr>
                <w:rFonts w:hint="default" w:ascii="宋体" w:hAnsi="宋体" w:eastAsia="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安全管理</w:t>
            </w:r>
          </w:p>
        </w:tc>
        <w:tc>
          <w:tcPr>
            <w:tcW w:w="1976" w:type="dxa"/>
            <w:vMerge w:val="restart"/>
            <w:tcBorders>
              <w:top w:val="single" w:color="auto" w:sz="4" w:space="0"/>
              <w:left w:val="single" w:color="auto" w:sz="4" w:space="0"/>
              <w:bottom w:val="single" w:color="auto" w:sz="4" w:space="0"/>
              <w:right w:val="single" w:color="auto" w:sz="4" w:space="0"/>
            </w:tcBorders>
            <w:noWrap w:val="0"/>
            <w:vAlign w:val="center"/>
          </w:tcPr>
          <w:p w14:paraId="60C7966B">
            <w:pPr>
              <w:keepNext w:val="0"/>
              <w:keepLines w:val="0"/>
              <w:widowControl/>
              <w:suppressLineNumbers w:val="0"/>
              <w:jc w:val="left"/>
              <w:textAlignment w:val="center"/>
              <w:rPr>
                <w:rFonts w:hint="default" w:ascii="宋体" w:hAnsi="宋体" w:eastAsia="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自行做好安全措施、现场防护措施及其他相关的安全管理工作。对服务人员进行安全教育培训不少于1次。</w:t>
            </w:r>
          </w:p>
        </w:tc>
        <w:tc>
          <w:tcPr>
            <w:tcW w:w="828" w:type="dxa"/>
            <w:vMerge w:val="restart"/>
            <w:tcBorders>
              <w:top w:val="single" w:color="auto" w:sz="4" w:space="0"/>
              <w:left w:val="single" w:color="auto" w:sz="4" w:space="0"/>
              <w:bottom w:val="single" w:color="auto" w:sz="4" w:space="0"/>
              <w:right w:val="single" w:color="auto" w:sz="4" w:space="0"/>
            </w:tcBorders>
            <w:noWrap w:val="0"/>
            <w:vAlign w:val="center"/>
          </w:tcPr>
          <w:p w14:paraId="6839E24A">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cs="宋体"/>
                <w:b w:val="0"/>
                <w:bCs w:val="0"/>
                <w:i w:val="0"/>
                <w:iCs w:val="0"/>
                <w:color w:val="auto"/>
                <w:kern w:val="0"/>
                <w:sz w:val="20"/>
                <w:szCs w:val="20"/>
                <w:highlight w:val="none"/>
                <w:u w:val="none"/>
                <w:lang w:val="en-US" w:eastAsia="zh-CN" w:bidi="ar"/>
              </w:rPr>
              <w:t>10</w:t>
            </w:r>
          </w:p>
        </w:tc>
        <w:tc>
          <w:tcPr>
            <w:tcW w:w="3606" w:type="dxa"/>
            <w:tcBorders>
              <w:top w:val="single" w:color="auto" w:sz="4" w:space="0"/>
              <w:left w:val="single" w:color="auto" w:sz="4" w:space="0"/>
              <w:bottom w:val="single" w:color="auto" w:sz="4" w:space="0"/>
              <w:right w:val="single" w:color="auto" w:sz="4" w:space="0"/>
            </w:tcBorders>
            <w:noWrap w:val="0"/>
            <w:vAlign w:val="center"/>
          </w:tcPr>
          <w:p w14:paraId="29CF01EB">
            <w:pPr>
              <w:keepNext w:val="0"/>
              <w:keepLines w:val="0"/>
              <w:widowControl/>
              <w:suppressLineNumbers w:val="0"/>
              <w:jc w:val="both"/>
              <w:textAlignment w:val="center"/>
              <w:rPr>
                <w:rFonts w:hint="default" w:ascii="宋体" w:hAnsi="宋体" w:eastAsia="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没有做好安全措施和现场防护措施。</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5FDAAE6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w:t>
            </w:r>
            <w:r>
              <w:rPr>
                <w:rFonts w:hint="eastAsia" w:ascii="宋体" w:hAnsi="宋体" w:cs="宋体"/>
                <w:b w:val="0"/>
                <w:bCs w:val="0"/>
                <w:i w:val="0"/>
                <w:iCs w:val="0"/>
                <w:color w:val="auto"/>
                <w:kern w:val="0"/>
                <w:sz w:val="20"/>
                <w:szCs w:val="20"/>
                <w:highlight w:val="none"/>
                <w:u w:val="none"/>
                <w:lang w:val="en-US" w:eastAsia="zh-CN" w:bidi="ar"/>
              </w:rPr>
              <w:t>2</w:t>
            </w:r>
            <w:r>
              <w:rPr>
                <w:rFonts w:hint="eastAsia" w:ascii="宋体" w:hAnsi="宋体" w:eastAsia="宋体" w:cs="宋体"/>
                <w:b w:val="0"/>
                <w:bCs w:val="0"/>
                <w:i w:val="0"/>
                <w:iCs w:val="0"/>
                <w:color w:val="auto"/>
                <w:kern w:val="0"/>
                <w:sz w:val="20"/>
                <w:szCs w:val="20"/>
                <w:highlight w:val="none"/>
                <w:u w:val="none"/>
                <w:lang w:val="en-US" w:eastAsia="zh-CN" w:bidi="ar"/>
              </w:rPr>
              <w:t>分/</w:t>
            </w:r>
            <w:r>
              <w:rPr>
                <w:rFonts w:hint="eastAsia" w:ascii="宋体" w:hAnsi="宋体" w:cs="宋体"/>
                <w:b w:val="0"/>
                <w:bCs w:val="0"/>
                <w:i w:val="0"/>
                <w:iCs w:val="0"/>
                <w:color w:val="auto"/>
                <w:kern w:val="0"/>
                <w:sz w:val="20"/>
                <w:szCs w:val="20"/>
                <w:highlight w:val="none"/>
                <w:u w:val="none"/>
                <w:lang w:val="en-US" w:eastAsia="zh-CN" w:bidi="ar"/>
              </w:rPr>
              <w:t>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1B0C1355">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4961EC13">
            <w:pPr>
              <w:jc w:val="center"/>
              <w:rPr>
                <w:rFonts w:hint="eastAsia" w:ascii="宋体" w:hAnsi="宋体" w:eastAsia="宋体" w:cs="宋体"/>
                <w:b w:val="0"/>
                <w:bCs w:val="0"/>
                <w:i w:val="0"/>
                <w:iCs w:val="0"/>
                <w:color w:val="auto"/>
                <w:sz w:val="20"/>
                <w:szCs w:val="20"/>
                <w:highlight w:val="none"/>
                <w:u w:val="none"/>
              </w:rPr>
            </w:pPr>
          </w:p>
        </w:tc>
      </w:tr>
      <w:tr w14:paraId="4661B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81" w:type="dxa"/>
            <w:vMerge w:val="continue"/>
            <w:tcBorders>
              <w:top w:val="single" w:color="auto" w:sz="4" w:space="0"/>
              <w:left w:val="single" w:color="auto" w:sz="4" w:space="0"/>
              <w:bottom w:val="single" w:color="auto" w:sz="4" w:space="0"/>
              <w:right w:val="single" w:color="auto" w:sz="4" w:space="0"/>
            </w:tcBorders>
            <w:noWrap w:val="0"/>
            <w:vAlign w:val="center"/>
          </w:tcPr>
          <w:p w14:paraId="0A570E48">
            <w:pPr>
              <w:jc w:val="center"/>
              <w:rPr>
                <w:rFonts w:hint="eastAsia" w:ascii="宋体" w:hAnsi="宋体" w:eastAsia="宋体" w:cs="宋体"/>
                <w:b w:val="0"/>
                <w:bCs w:val="0"/>
                <w:i w:val="0"/>
                <w:iCs w:val="0"/>
                <w:color w:val="auto"/>
                <w:sz w:val="20"/>
                <w:szCs w:val="20"/>
                <w:highlight w:val="none"/>
                <w:u w:val="none"/>
                <w:lang w:val="en-US" w:eastAsia="zh-CN"/>
              </w:rPr>
            </w:pPr>
          </w:p>
        </w:tc>
        <w:tc>
          <w:tcPr>
            <w:tcW w:w="758" w:type="dxa"/>
            <w:vMerge w:val="continue"/>
            <w:tcBorders>
              <w:top w:val="single" w:color="auto" w:sz="4" w:space="0"/>
              <w:left w:val="single" w:color="auto" w:sz="4" w:space="0"/>
              <w:bottom w:val="single" w:color="auto" w:sz="4" w:space="0"/>
              <w:right w:val="single" w:color="auto" w:sz="4" w:space="0"/>
            </w:tcBorders>
            <w:noWrap w:val="0"/>
            <w:vAlign w:val="center"/>
          </w:tcPr>
          <w:p w14:paraId="7A3EE638">
            <w:pPr>
              <w:jc w:val="center"/>
              <w:rPr>
                <w:rFonts w:hint="eastAsia" w:ascii="宋体" w:hAnsi="宋体" w:eastAsia="宋体" w:cs="宋体"/>
                <w:b w:val="0"/>
                <w:bCs w:val="0"/>
                <w:color w:val="auto"/>
                <w:sz w:val="20"/>
                <w:szCs w:val="20"/>
                <w:highlight w:val="none"/>
              </w:rPr>
            </w:pPr>
          </w:p>
        </w:tc>
        <w:tc>
          <w:tcPr>
            <w:tcW w:w="1976" w:type="dxa"/>
            <w:vMerge w:val="continue"/>
            <w:tcBorders>
              <w:top w:val="single" w:color="auto" w:sz="4" w:space="0"/>
              <w:left w:val="single" w:color="auto" w:sz="4" w:space="0"/>
              <w:bottom w:val="single" w:color="auto" w:sz="4" w:space="0"/>
              <w:right w:val="single" w:color="auto" w:sz="4" w:space="0"/>
            </w:tcBorders>
            <w:noWrap w:val="0"/>
            <w:vAlign w:val="center"/>
          </w:tcPr>
          <w:p w14:paraId="616912F3">
            <w:pPr>
              <w:keepNext w:val="0"/>
              <w:keepLines w:val="0"/>
              <w:widowControl/>
              <w:suppressLineNumbers w:val="0"/>
              <w:jc w:val="left"/>
              <w:textAlignment w:val="center"/>
              <w:rPr>
                <w:rFonts w:hint="eastAsia" w:ascii="宋体" w:hAnsi="宋体" w:eastAsia="宋体" w:cs="宋体"/>
                <w:b w:val="0"/>
                <w:bCs w:val="0"/>
                <w:color w:val="auto"/>
                <w:sz w:val="20"/>
                <w:szCs w:val="20"/>
                <w:highlight w:val="none"/>
                <w:lang w:eastAsia="zh-CN"/>
              </w:rPr>
            </w:pPr>
          </w:p>
        </w:tc>
        <w:tc>
          <w:tcPr>
            <w:tcW w:w="828" w:type="dxa"/>
            <w:vMerge w:val="continue"/>
            <w:tcBorders>
              <w:top w:val="single" w:color="auto" w:sz="4" w:space="0"/>
              <w:left w:val="single" w:color="auto" w:sz="4" w:space="0"/>
              <w:bottom w:val="single" w:color="auto" w:sz="4" w:space="0"/>
              <w:right w:val="single" w:color="auto" w:sz="4" w:space="0"/>
            </w:tcBorders>
            <w:noWrap w:val="0"/>
            <w:vAlign w:val="center"/>
          </w:tcPr>
          <w:p w14:paraId="3A8750D0">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606" w:type="dxa"/>
            <w:tcBorders>
              <w:top w:val="single" w:color="auto" w:sz="4" w:space="0"/>
              <w:left w:val="single" w:color="auto" w:sz="4" w:space="0"/>
              <w:bottom w:val="single" w:color="auto" w:sz="4" w:space="0"/>
              <w:right w:val="single" w:color="auto" w:sz="4" w:space="0"/>
            </w:tcBorders>
            <w:noWrap w:val="0"/>
            <w:vAlign w:val="center"/>
          </w:tcPr>
          <w:p w14:paraId="79370AF5">
            <w:pPr>
              <w:keepNext w:val="0"/>
              <w:keepLines w:val="0"/>
              <w:widowControl/>
              <w:suppressLineNumbers w:val="0"/>
              <w:jc w:val="both"/>
              <w:textAlignment w:val="center"/>
              <w:rPr>
                <w:rFonts w:hint="eastAsia" w:ascii="宋体" w:hAnsi="宋体" w:eastAsia="宋体" w:cs="宋体"/>
                <w:b w:val="0"/>
                <w:bCs w:val="0"/>
                <w:color w:val="auto"/>
                <w:sz w:val="20"/>
                <w:szCs w:val="20"/>
                <w:highlight w:val="none"/>
                <w:lang w:eastAsia="zh-CN"/>
              </w:rPr>
            </w:pPr>
            <w:r>
              <w:rPr>
                <w:rFonts w:hint="eastAsia" w:ascii="宋体" w:hAnsi="宋体" w:cs="宋体"/>
                <w:b w:val="0"/>
                <w:bCs w:val="0"/>
                <w:color w:val="auto"/>
                <w:sz w:val="20"/>
                <w:szCs w:val="20"/>
                <w:highlight w:val="none"/>
                <w:lang w:val="en-US" w:eastAsia="zh-CN"/>
              </w:rPr>
              <w:t>未按要求开展安全教育培训。</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91ED905">
            <w:pPr>
              <w:keepNext w:val="0"/>
              <w:keepLines w:val="0"/>
              <w:widowControl/>
              <w:suppressLineNumbers w:val="0"/>
              <w:jc w:val="left"/>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w:t>
            </w:r>
            <w:r>
              <w:rPr>
                <w:rFonts w:hint="eastAsia" w:ascii="宋体" w:hAnsi="宋体" w:cs="宋体"/>
                <w:b w:val="0"/>
                <w:bCs w:val="0"/>
                <w:i w:val="0"/>
                <w:iCs w:val="0"/>
                <w:color w:val="auto"/>
                <w:kern w:val="0"/>
                <w:sz w:val="20"/>
                <w:szCs w:val="20"/>
                <w:highlight w:val="none"/>
                <w:u w:val="none"/>
                <w:lang w:val="en-US" w:eastAsia="zh-CN" w:bidi="ar"/>
              </w:rPr>
              <w:t>2</w:t>
            </w:r>
            <w:r>
              <w:rPr>
                <w:rFonts w:hint="eastAsia" w:ascii="宋体" w:hAnsi="宋体" w:eastAsia="宋体" w:cs="宋体"/>
                <w:b w:val="0"/>
                <w:bCs w:val="0"/>
                <w:i w:val="0"/>
                <w:iCs w:val="0"/>
                <w:color w:val="auto"/>
                <w:kern w:val="0"/>
                <w:sz w:val="20"/>
                <w:szCs w:val="20"/>
                <w:highlight w:val="none"/>
                <w:u w:val="none"/>
                <w:lang w:val="en-US" w:eastAsia="zh-CN" w:bidi="ar"/>
              </w:rPr>
              <w:t>分/</w:t>
            </w:r>
            <w:r>
              <w:rPr>
                <w:rFonts w:hint="eastAsia" w:ascii="宋体" w:hAnsi="宋体" w:cs="宋体"/>
                <w:b w:val="0"/>
                <w:bCs w:val="0"/>
                <w:i w:val="0"/>
                <w:iCs w:val="0"/>
                <w:color w:val="auto"/>
                <w:kern w:val="0"/>
                <w:sz w:val="20"/>
                <w:szCs w:val="20"/>
                <w:highlight w:val="none"/>
                <w:u w:val="none"/>
                <w:lang w:val="en-US" w:eastAsia="zh-CN" w:bidi="ar"/>
              </w:rPr>
              <w:t>次</w:t>
            </w:r>
          </w:p>
        </w:tc>
        <w:tc>
          <w:tcPr>
            <w:tcW w:w="758" w:type="dxa"/>
            <w:tcBorders>
              <w:top w:val="single" w:color="auto" w:sz="4" w:space="0"/>
              <w:left w:val="single" w:color="auto" w:sz="4" w:space="0"/>
              <w:bottom w:val="single" w:color="auto" w:sz="4" w:space="0"/>
              <w:right w:val="single" w:color="auto" w:sz="4" w:space="0"/>
            </w:tcBorders>
            <w:noWrap w:val="0"/>
            <w:vAlign w:val="center"/>
          </w:tcPr>
          <w:p w14:paraId="2AF2563F">
            <w:pPr>
              <w:jc w:val="center"/>
              <w:rPr>
                <w:rFonts w:hint="eastAsia" w:ascii="宋体" w:hAnsi="宋体" w:eastAsia="宋体" w:cs="宋体"/>
                <w:b w:val="0"/>
                <w:bCs w:val="0"/>
                <w:i w:val="0"/>
                <w:iCs w:val="0"/>
                <w:color w:val="auto"/>
                <w:sz w:val="20"/>
                <w:szCs w:val="20"/>
                <w:highlight w:val="none"/>
                <w:u w:val="none"/>
              </w:rPr>
            </w:pPr>
          </w:p>
        </w:tc>
        <w:tc>
          <w:tcPr>
            <w:tcW w:w="608" w:type="dxa"/>
            <w:tcBorders>
              <w:top w:val="single" w:color="auto" w:sz="4" w:space="0"/>
              <w:left w:val="single" w:color="auto" w:sz="4" w:space="0"/>
              <w:bottom w:val="single" w:color="auto" w:sz="4" w:space="0"/>
              <w:right w:val="single" w:color="auto" w:sz="4" w:space="0"/>
            </w:tcBorders>
            <w:noWrap w:val="0"/>
            <w:vAlign w:val="center"/>
          </w:tcPr>
          <w:p w14:paraId="29B267ED">
            <w:pPr>
              <w:jc w:val="center"/>
              <w:rPr>
                <w:rFonts w:hint="eastAsia" w:ascii="宋体" w:hAnsi="宋体" w:eastAsia="宋体" w:cs="宋体"/>
                <w:b w:val="0"/>
                <w:bCs w:val="0"/>
                <w:i w:val="0"/>
                <w:iCs w:val="0"/>
                <w:color w:val="auto"/>
                <w:sz w:val="20"/>
                <w:szCs w:val="20"/>
                <w:highlight w:val="none"/>
                <w:u w:val="none"/>
              </w:rPr>
            </w:pPr>
          </w:p>
        </w:tc>
      </w:tr>
      <w:tr w14:paraId="66FA9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10175" w:type="dxa"/>
            <w:gridSpan w:val="8"/>
            <w:tcBorders>
              <w:top w:val="single" w:color="auto" w:sz="4" w:space="0"/>
              <w:left w:val="single" w:color="auto" w:sz="4" w:space="0"/>
              <w:bottom w:val="single" w:color="auto" w:sz="4" w:space="0"/>
              <w:right w:val="single" w:color="auto" w:sz="4" w:space="0"/>
            </w:tcBorders>
            <w:noWrap w:val="0"/>
            <w:vAlign w:val="center"/>
          </w:tcPr>
          <w:p w14:paraId="60F533EB">
            <w:pPr>
              <w:jc w:val="center"/>
              <w:rPr>
                <w:rFonts w:hint="default" w:ascii="宋体" w:hAnsi="宋体" w:eastAsia="宋体" w:cs="宋体"/>
                <w:b w:val="0"/>
                <w:bCs w:val="0"/>
                <w:i w:val="0"/>
                <w:iCs w:val="0"/>
                <w:color w:val="auto"/>
                <w:sz w:val="20"/>
                <w:szCs w:val="20"/>
                <w:highlight w:val="none"/>
                <w:u w:val="none"/>
                <w:lang w:val="en-US" w:eastAsia="zh-CN"/>
              </w:rPr>
            </w:pPr>
            <w:r>
              <w:rPr>
                <w:rFonts w:hint="eastAsia" w:ascii="宋体" w:hAnsi="宋体" w:eastAsia="宋体" w:cs="宋体"/>
                <w:b w:val="0"/>
                <w:bCs w:val="0"/>
                <w:i w:val="0"/>
                <w:iCs w:val="0"/>
                <w:color w:val="auto"/>
                <w:sz w:val="20"/>
                <w:szCs w:val="20"/>
                <w:highlight w:val="none"/>
                <w:u w:val="none"/>
                <w:lang w:val="en-US" w:eastAsia="zh-CN"/>
              </w:rPr>
              <w:t xml:space="preserve">                                      考核得分：</w:t>
            </w:r>
          </w:p>
        </w:tc>
      </w:tr>
      <w:tr w14:paraId="27BEF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6" w:hRule="atLeast"/>
          <w:jc w:val="center"/>
        </w:trPr>
        <w:tc>
          <w:tcPr>
            <w:tcW w:w="10175" w:type="dxa"/>
            <w:gridSpan w:val="8"/>
            <w:tcBorders>
              <w:top w:val="single" w:color="auto" w:sz="4" w:space="0"/>
              <w:left w:val="single" w:color="auto" w:sz="4" w:space="0"/>
              <w:bottom w:val="single" w:color="auto" w:sz="4" w:space="0"/>
              <w:right w:val="single" w:color="auto" w:sz="4" w:space="0"/>
            </w:tcBorders>
            <w:noWrap w:val="0"/>
            <w:vAlign w:val="center"/>
          </w:tcPr>
          <w:p w14:paraId="02BD68B6">
            <w:pPr>
              <w:jc w:val="both"/>
              <w:rPr>
                <w:rFonts w:hint="eastAsia"/>
                <w:b w:val="0"/>
                <w:bCs w:val="0"/>
                <w:color w:val="auto"/>
                <w:sz w:val="20"/>
                <w:szCs w:val="20"/>
                <w:highlight w:val="none"/>
              </w:rPr>
            </w:pPr>
            <w:r>
              <w:rPr>
                <w:rFonts w:hint="eastAsia"/>
                <w:b w:val="0"/>
                <w:bCs w:val="0"/>
                <w:color w:val="auto"/>
                <w:sz w:val="20"/>
                <w:szCs w:val="20"/>
                <w:highlight w:val="none"/>
                <w:lang w:eastAsia="zh-CN"/>
              </w:rPr>
              <w:t>考核意见</w:t>
            </w:r>
          </w:p>
          <w:p w14:paraId="69CF1938">
            <w:pPr>
              <w:ind w:left="7448" w:leftChars="3724" w:firstLine="0" w:firstLineChars="0"/>
              <w:jc w:val="left"/>
              <w:rPr>
                <w:rFonts w:hint="default" w:eastAsia="宋体"/>
                <w:b w:val="0"/>
                <w:bCs w:val="0"/>
                <w:color w:val="auto"/>
                <w:sz w:val="20"/>
                <w:szCs w:val="20"/>
                <w:highlight w:val="none"/>
                <w:lang w:val="en-US" w:eastAsia="zh-CN"/>
              </w:rPr>
            </w:pPr>
            <w:r>
              <w:rPr>
                <w:rFonts w:hint="eastAsia"/>
                <w:b w:val="0"/>
                <w:bCs w:val="0"/>
                <w:color w:val="auto"/>
                <w:sz w:val="20"/>
                <w:szCs w:val="20"/>
                <w:highlight w:val="none"/>
                <w:lang w:val="en-US" w:eastAsia="zh-CN"/>
              </w:rPr>
              <w:t xml:space="preserve">                                            签名：</w:t>
            </w:r>
          </w:p>
          <w:p w14:paraId="6BEDCFE9">
            <w:pPr>
              <w:pStyle w:val="18"/>
              <w:rPr>
                <w:rFonts w:hint="default" w:eastAsia="宋体"/>
                <w:b w:val="0"/>
                <w:bCs w:val="0"/>
                <w:color w:val="auto"/>
                <w:sz w:val="20"/>
                <w:szCs w:val="20"/>
                <w:highlight w:val="none"/>
                <w:lang w:val="en-US" w:eastAsia="zh-CN"/>
              </w:rPr>
            </w:pPr>
            <w:r>
              <w:rPr>
                <w:rFonts w:hint="eastAsia"/>
                <w:b w:val="0"/>
                <w:bCs w:val="0"/>
                <w:color w:val="auto"/>
                <w:sz w:val="20"/>
                <w:szCs w:val="20"/>
                <w:highlight w:val="none"/>
                <w:lang w:val="en-US" w:eastAsia="zh-CN"/>
              </w:rPr>
              <w:t xml:space="preserve">                                                    日期：</w:t>
            </w:r>
          </w:p>
        </w:tc>
      </w:tr>
    </w:tbl>
    <w:p w14:paraId="6F221C00">
      <w:pPr>
        <w:rPr>
          <w:rFonts w:hint="eastAsia" w:ascii="宋体" w:hAnsi="宋体" w:cs="宋体"/>
          <w:color w:val="auto"/>
          <w:kern w:val="0"/>
          <w:sz w:val="20"/>
          <w:szCs w:val="20"/>
          <w:highlight w:val="none"/>
          <w:lang w:val="en-US" w:eastAsia="zh-CN"/>
        </w:rPr>
      </w:pPr>
      <w:bookmarkStart w:id="612" w:name="_Toc3471"/>
      <w:r>
        <w:rPr>
          <w:rFonts w:hint="eastAsia" w:ascii="宋体" w:hAnsi="宋体" w:cs="宋体"/>
          <w:color w:val="auto"/>
          <w:kern w:val="0"/>
          <w:sz w:val="20"/>
          <w:szCs w:val="20"/>
          <w:highlight w:val="none"/>
          <w:lang w:val="en-US" w:eastAsia="zh-CN"/>
        </w:rPr>
        <w:br w:type="page"/>
      </w:r>
    </w:p>
    <w:p w14:paraId="719A1C37">
      <w:pPr>
        <w:pStyle w:val="4"/>
        <w:keepNext/>
        <w:keepLines/>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cs="宋体"/>
          <w:color w:val="auto"/>
          <w:kern w:val="0"/>
          <w:sz w:val="20"/>
          <w:szCs w:val="20"/>
          <w:highlight w:val="none"/>
          <w:lang w:val="en-US" w:eastAsia="zh-CN"/>
        </w:rPr>
      </w:pPr>
      <w:bookmarkStart w:id="613" w:name="_Toc1220"/>
      <w:bookmarkStart w:id="614" w:name="_Toc28872"/>
      <w:r>
        <w:rPr>
          <w:rFonts w:hint="eastAsia" w:ascii="宋体" w:hAnsi="宋体" w:cs="宋体"/>
          <w:color w:val="auto"/>
          <w:kern w:val="0"/>
          <w:sz w:val="20"/>
          <w:szCs w:val="20"/>
          <w:highlight w:val="none"/>
          <w:lang w:val="en-US" w:eastAsia="zh-CN"/>
        </w:rPr>
        <w:t>（十八）蚁害防治及除四害服务项目</w:t>
      </w:r>
      <w:bookmarkEnd w:id="612"/>
      <w:bookmarkEnd w:id="613"/>
      <w:bookmarkEnd w:id="614"/>
    </w:p>
    <w:p w14:paraId="25D6AE84">
      <w:pPr>
        <w:keepNext w:val="0"/>
        <w:keepLines w:val="0"/>
        <w:pageBreakBefore w:val="0"/>
        <w:widowControl w:val="0"/>
        <w:kinsoku/>
        <w:wordWrap/>
        <w:overflowPunct/>
        <w:topLinePunct w:val="0"/>
        <w:autoSpaceDE/>
        <w:autoSpaceDN/>
        <w:bidi w:val="0"/>
        <w:adjustRightInd/>
        <w:snapToGrid/>
        <w:spacing w:line="560" w:lineRule="exact"/>
        <w:ind w:firstLine="402" w:firstLineChars="200"/>
        <w:outlineLvl w:val="0"/>
        <w:rPr>
          <w:rFonts w:hint="eastAsia" w:ascii="宋体" w:hAnsi="宋体" w:eastAsia="宋体" w:cs="宋体"/>
          <w:b/>
          <w:bCs/>
          <w:color w:val="auto"/>
          <w:sz w:val="20"/>
          <w:szCs w:val="20"/>
          <w:highlight w:val="none"/>
          <w:lang w:eastAsia="zh-CN"/>
        </w:rPr>
      </w:pPr>
      <w:bookmarkStart w:id="615" w:name="_Toc9265"/>
      <w:bookmarkStart w:id="616" w:name="_Toc24579"/>
      <w:bookmarkStart w:id="617" w:name="_Toc18219"/>
      <w:r>
        <w:rPr>
          <w:rFonts w:hint="eastAsia" w:ascii="宋体" w:hAnsi="宋体" w:eastAsia="宋体" w:cs="宋体"/>
          <w:b/>
          <w:bCs/>
          <w:color w:val="auto"/>
          <w:sz w:val="20"/>
          <w:szCs w:val="20"/>
          <w:highlight w:val="none"/>
          <w:lang w:val="en-US" w:eastAsia="zh-CN"/>
        </w:rPr>
        <w:t>1.</w:t>
      </w:r>
      <w:r>
        <w:rPr>
          <w:rFonts w:hint="eastAsia" w:ascii="宋体" w:hAnsi="宋体" w:eastAsia="宋体" w:cs="宋体"/>
          <w:b/>
          <w:bCs/>
          <w:color w:val="auto"/>
          <w:sz w:val="20"/>
          <w:szCs w:val="20"/>
          <w:highlight w:val="none"/>
        </w:rPr>
        <w:t>项目服务标准</w:t>
      </w:r>
      <w:bookmarkEnd w:id="615"/>
      <w:r>
        <w:rPr>
          <w:rFonts w:hint="eastAsia" w:ascii="宋体" w:hAnsi="宋体" w:eastAsia="宋体" w:cs="宋体"/>
          <w:b/>
          <w:bCs/>
          <w:color w:val="auto"/>
          <w:sz w:val="20"/>
          <w:szCs w:val="20"/>
          <w:highlight w:val="none"/>
          <w:lang w:eastAsia="zh-CN"/>
        </w:rPr>
        <w:t>及要求</w:t>
      </w:r>
      <w:bookmarkEnd w:id="616"/>
      <w:bookmarkEnd w:id="617"/>
    </w:p>
    <w:p w14:paraId="1211669C">
      <w:pPr>
        <w:keepNext w:val="0"/>
        <w:keepLines w:val="0"/>
        <w:pageBreakBefore w:val="0"/>
        <w:widowControl w:val="0"/>
        <w:kinsoku/>
        <w:wordWrap/>
        <w:overflowPunct/>
        <w:topLinePunct w:val="0"/>
        <w:autoSpaceDE/>
        <w:autoSpaceDN/>
        <w:bidi w:val="0"/>
        <w:adjustRightInd/>
        <w:snapToGrid/>
        <w:spacing w:line="560" w:lineRule="exact"/>
        <w:ind w:firstLine="402" w:firstLineChars="200"/>
        <w:outlineLvl w:val="1"/>
        <w:rPr>
          <w:rFonts w:hint="eastAsia" w:ascii="宋体" w:hAnsi="宋体" w:eastAsia="宋体" w:cs="宋体"/>
          <w:b/>
          <w:bCs/>
          <w:color w:val="auto"/>
          <w:sz w:val="20"/>
          <w:szCs w:val="20"/>
          <w:highlight w:val="none"/>
        </w:rPr>
      </w:pPr>
      <w:bookmarkStart w:id="618" w:name="_Toc27837"/>
      <w:bookmarkStart w:id="619" w:name="_Toc9117"/>
      <w:bookmarkStart w:id="620" w:name="_Toc22433"/>
      <w:bookmarkStart w:id="621" w:name="_Toc11903"/>
      <w:bookmarkStart w:id="622" w:name="_Toc10387"/>
      <w:bookmarkStart w:id="623" w:name="_Toc16473"/>
      <w:bookmarkStart w:id="624" w:name="_Toc6545"/>
      <w:bookmarkStart w:id="625" w:name="_Toc13217"/>
      <w:bookmarkStart w:id="626" w:name="_Toc16249"/>
      <w:bookmarkStart w:id="627" w:name="_Toc11456"/>
      <w:r>
        <w:rPr>
          <w:rFonts w:hint="eastAsia" w:ascii="宋体" w:hAnsi="宋体" w:eastAsia="宋体" w:cs="宋体"/>
          <w:b/>
          <w:bCs/>
          <w:color w:val="auto"/>
          <w:sz w:val="20"/>
          <w:szCs w:val="20"/>
          <w:highlight w:val="none"/>
          <w:lang w:val="en-US" w:eastAsia="zh-CN"/>
        </w:rPr>
        <w:t>1.1</w:t>
      </w:r>
      <w:r>
        <w:rPr>
          <w:rFonts w:hint="eastAsia" w:ascii="宋体" w:hAnsi="宋体" w:eastAsia="宋体" w:cs="宋体"/>
          <w:b/>
          <w:bCs/>
          <w:color w:val="auto"/>
          <w:sz w:val="20"/>
          <w:szCs w:val="20"/>
          <w:highlight w:val="none"/>
        </w:rPr>
        <w:t>项目服务标准</w:t>
      </w:r>
      <w:bookmarkEnd w:id="618"/>
      <w:bookmarkEnd w:id="619"/>
      <w:bookmarkEnd w:id="620"/>
      <w:bookmarkEnd w:id="621"/>
      <w:bookmarkEnd w:id="622"/>
      <w:bookmarkEnd w:id="623"/>
      <w:bookmarkEnd w:id="624"/>
      <w:bookmarkEnd w:id="625"/>
      <w:bookmarkEnd w:id="626"/>
      <w:bookmarkEnd w:id="627"/>
    </w:p>
    <w:p w14:paraId="2F6E077B">
      <w:pPr>
        <w:spacing w:line="560" w:lineRule="exact"/>
        <w:ind w:firstLine="400" w:firstLineChars="200"/>
        <w:rPr>
          <w:rFonts w:hint="eastAsia" w:ascii="宋体" w:hAnsi="宋体" w:eastAsia="宋体" w:cs="宋体"/>
          <w:color w:val="auto"/>
          <w:sz w:val="20"/>
          <w:szCs w:val="20"/>
          <w:highlight w:val="none"/>
        </w:rPr>
      </w:pPr>
      <w:r>
        <w:rPr>
          <w:rFonts w:hint="eastAsia" w:ascii="华光书宋一_CNKI" w:hAnsi="华光书宋一_CNKI" w:eastAsia="华光书宋一_CNKI" w:cs="华光书宋一_CNKI"/>
          <w:color w:val="auto"/>
          <w:sz w:val="20"/>
          <w:szCs w:val="20"/>
          <w:highlight w:val="none"/>
        </w:rPr>
        <w:t>服务商在提供蚁害防治服务时，需按照如下标准执行，要求所用标准必须为最新版本，如果这些标准有矛盾时，应按最高标准的条款执行或按双方商定的标准执行。此外，如果在合同执行期间国家颁布新的标准时，应按最新的条款执行</w:t>
      </w:r>
      <w:r>
        <w:rPr>
          <w:rFonts w:hint="eastAsia" w:ascii="宋体" w:hAnsi="宋体" w:eastAsia="宋体" w:cs="宋体"/>
          <w:color w:val="auto"/>
          <w:sz w:val="20"/>
          <w:szCs w:val="20"/>
          <w:highlight w:val="none"/>
        </w:rPr>
        <w:t>。</w:t>
      </w:r>
    </w:p>
    <w:tbl>
      <w:tblPr>
        <w:tblStyle w:val="16"/>
        <w:tblW w:w="908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8332"/>
      </w:tblGrid>
      <w:tr w14:paraId="20B1D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blHeader/>
        </w:trPr>
        <w:tc>
          <w:tcPr>
            <w:tcW w:w="750" w:type="dxa"/>
            <w:vAlign w:val="center"/>
          </w:tcPr>
          <w:p w14:paraId="13CAF8D1">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8332" w:type="dxa"/>
            <w:vAlign w:val="center"/>
          </w:tcPr>
          <w:p w14:paraId="209B63F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相关标准</w:t>
            </w:r>
          </w:p>
        </w:tc>
      </w:tr>
      <w:tr w14:paraId="6690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62D39689">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8332" w:type="dxa"/>
            <w:vAlign w:val="center"/>
          </w:tcPr>
          <w:p w14:paraId="58FE3861">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《卫生害虫检查通则》</w:t>
            </w:r>
          </w:p>
        </w:tc>
      </w:tr>
      <w:tr w14:paraId="07EB6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026F2EFD">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8332" w:type="dxa"/>
            <w:vAlign w:val="center"/>
          </w:tcPr>
          <w:p w14:paraId="68415FBE">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《城市绿化树木定点养护管理规范》</w:t>
            </w:r>
          </w:p>
        </w:tc>
      </w:tr>
      <w:tr w14:paraId="342A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750" w:type="dxa"/>
            <w:vAlign w:val="center"/>
          </w:tcPr>
          <w:p w14:paraId="0E389DE8">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w:t>
            </w:r>
          </w:p>
        </w:tc>
        <w:tc>
          <w:tcPr>
            <w:tcW w:w="8332" w:type="dxa"/>
            <w:vAlign w:val="center"/>
          </w:tcPr>
          <w:p w14:paraId="7549861F">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《蚂蚁防制技术规范》</w:t>
            </w:r>
          </w:p>
        </w:tc>
      </w:tr>
      <w:tr w14:paraId="08D3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0B334007">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w:t>
            </w:r>
          </w:p>
        </w:tc>
        <w:tc>
          <w:tcPr>
            <w:tcW w:w="8332" w:type="dxa"/>
            <w:vAlign w:val="center"/>
          </w:tcPr>
          <w:p w14:paraId="19E402F8">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《家庭防治卫生害虫服务规范》（CJJ 19-2005）</w:t>
            </w:r>
          </w:p>
        </w:tc>
      </w:tr>
      <w:tr w14:paraId="1688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652EADC9">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8332" w:type="dxa"/>
            <w:vAlign w:val="center"/>
          </w:tcPr>
          <w:p w14:paraId="191B6790">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《蚂蚁防治技术操作规范》</w:t>
            </w:r>
          </w:p>
        </w:tc>
      </w:tr>
      <w:tr w14:paraId="56386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142C2A42">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w:t>
            </w:r>
          </w:p>
        </w:tc>
        <w:tc>
          <w:tcPr>
            <w:tcW w:w="8332" w:type="dxa"/>
            <w:vAlign w:val="center"/>
          </w:tcPr>
          <w:p w14:paraId="112BF1BF">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《卫生害虫防制技术操作规范》</w:t>
            </w:r>
          </w:p>
        </w:tc>
      </w:tr>
      <w:tr w14:paraId="6346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0" w:hRule="atLeast"/>
        </w:trPr>
        <w:tc>
          <w:tcPr>
            <w:tcW w:w="750" w:type="dxa"/>
            <w:vAlign w:val="center"/>
          </w:tcPr>
          <w:p w14:paraId="4B8D1F63">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w:t>
            </w:r>
          </w:p>
        </w:tc>
        <w:tc>
          <w:tcPr>
            <w:tcW w:w="8332" w:type="dxa"/>
            <w:vAlign w:val="center"/>
          </w:tcPr>
          <w:p w14:paraId="694EDEEC">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《卫生害虫防治技术规范》</w:t>
            </w:r>
          </w:p>
        </w:tc>
      </w:tr>
      <w:tr w14:paraId="2CAEA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4862071F">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w:t>
            </w:r>
          </w:p>
        </w:tc>
        <w:tc>
          <w:tcPr>
            <w:tcW w:w="8332" w:type="dxa"/>
            <w:vAlign w:val="center"/>
          </w:tcPr>
          <w:p w14:paraId="6FBFA50A">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《卫生防疫条例》</w:t>
            </w:r>
          </w:p>
        </w:tc>
      </w:tr>
      <w:tr w14:paraId="36F4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033DD59C">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9</w:t>
            </w:r>
          </w:p>
        </w:tc>
        <w:tc>
          <w:tcPr>
            <w:tcW w:w="8332" w:type="dxa"/>
            <w:vAlign w:val="center"/>
          </w:tcPr>
          <w:p w14:paraId="7DBC8E65">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《木材防虫（蚁）技术规范》（GB/T 29399-2012）</w:t>
            </w:r>
          </w:p>
        </w:tc>
      </w:tr>
      <w:tr w14:paraId="128C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611AC99F">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w:t>
            </w:r>
          </w:p>
        </w:tc>
        <w:tc>
          <w:tcPr>
            <w:tcW w:w="8332" w:type="dxa"/>
            <w:vAlign w:val="center"/>
          </w:tcPr>
          <w:p w14:paraId="6AADAD4F">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《红火蚁化学防控技术规程》（NY/T 2415-2013）</w:t>
            </w:r>
          </w:p>
        </w:tc>
      </w:tr>
      <w:tr w14:paraId="166C8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64BECBA4">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8332" w:type="dxa"/>
            <w:vAlign w:val="center"/>
          </w:tcPr>
          <w:p w14:paraId="0B34BB73">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《主要病虫害防治技术规程》（DB 14/T 1676-2018）</w:t>
            </w:r>
          </w:p>
        </w:tc>
      </w:tr>
      <w:tr w14:paraId="3A07D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721BE2A7">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8332" w:type="dxa"/>
            <w:vAlign w:val="center"/>
          </w:tcPr>
          <w:p w14:paraId="7ACFEF5C">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w:t>
            </w:r>
            <w:r>
              <w:rPr>
                <w:rFonts w:hint="eastAsia" w:ascii="宋体" w:hAnsi="宋体" w:cs="宋体"/>
                <w:color w:val="auto"/>
                <w:sz w:val="20"/>
                <w:szCs w:val="20"/>
                <w:highlight w:val="none"/>
                <w:lang w:eastAsia="zh-CN"/>
              </w:rPr>
              <w:t>房源</w:t>
            </w:r>
            <w:r>
              <w:rPr>
                <w:rFonts w:hint="eastAsia" w:ascii="宋体" w:hAnsi="宋体" w:eastAsia="宋体" w:cs="宋体"/>
                <w:color w:val="auto"/>
                <w:sz w:val="20"/>
                <w:szCs w:val="20"/>
                <w:highlight w:val="none"/>
                <w:lang w:eastAsia="zh-CN"/>
              </w:rPr>
              <w:t>白蚁预防技术规程》</w:t>
            </w:r>
            <w:r>
              <w:rPr>
                <w:rFonts w:hint="eastAsia" w:ascii="宋体" w:hAnsi="宋体" w:eastAsia="宋体" w:cs="宋体"/>
                <w:color w:val="auto"/>
                <w:sz w:val="20"/>
                <w:szCs w:val="20"/>
                <w:highlight w:val="none"/>
                <w:lang w:val="en-US" w:eastAsia="zh-CN"/>
              </w:rPr>
              <w:t>JGJ/T 245-2024</w:t>
            </w:r>
          </w:p>
        </w:tc>
      </w:tr>
      <w:tr w14:paraId="47F92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437B93BF">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8332" w:type="dxa"/>
            <w:vAlign w:val="center"/>
          </w:tcPr>
          <w:p w14:paraId="3C490AA0">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《广西壮族自治区</w:t>
            </w:r>
            <w:r>
              <w:rPr>
                <w:rFonts w:hint="eastAsia" w:ascii="宋体" w:hAnsi="宋体" w:cs="宋体"/>
                <w:color w:val="auto"/>
                <w:sz w:val="20"/>
                <w:szCs w:val="20"/>
                <w:highlight w:val="none"/>
                <w:lang w:val="en-US" w:eastAsia="zh-CN"/>
              </w:rPr>
              <w:t>房源</w:t>
            </w:r>
            <w:r>
              <w:rPr>
                <w:rFonts w:hint="eastAsia" w:ascii="宋体" w:hAnsi="宋体" w:eastAsia="宋体" w:cs="宋体"/>
                <w:color w:val="auto"/>
                <w:sz w:val="20"/>
                <w:szCs w:val="20"/>
                <w:highlight w:val="none"/>
                <w:lang w:val="en-US" w:eastAsia="zh-CN"/>
              </w:rPr>
              <w:t>白蚁预防工程施工技术规程》</w:t>
            </w:r>
          </w:p>
        </w:tc>
      </w:tr>
      <w:tr w14:paraId="23919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59CB00C1">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8332" w:type="dxa"/>
            <w:vAlign w:val="center"/>
          </w:tcPr>
          <w:p w14:paraId="5E361E06">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《城市</w:t>
            </w:r>
            <w:r>
              <w:rPr>
                <w:rFonts w:hint="eastAsia" w:ascii="宋体" w:hAnsi="宋体" w:cs="宋体"/>
                <w:color w:val="auto"/>
                <w:sz w:val="20"/>
                <w:szCs w:val="20"/>
                <w:highlight w:val="none"/>
                <w:lang w:val="en-US" w:eastAsia="zh-CN"/>
              </w:rPr>
              <w:t>房源</w:t>
            </w:r>
            <w:r>
              <w:rPr>
                <w:rFonts w:hint="eastAsia" w:ascii="宋体" w:hAnsi="宋体" w:eastAsia="宋体" w:cs="宋体"/>
                <w:color w:val="auto"/>
                <w:sz w:val="20"/>
                <w:szCs w:val="20"/>
                <w:highlight w:val="none"/>
                <w:lang w:val="en-US" w:eastAsia="zh-CN"/>
              </w:rPr>
              <w:t>白蚁防治管理规定》</w:t>
            </w:r>
          </w:p>
        </w:tc>
      </w:tr>
      <w:tr w14:paraId="7E194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42A98704">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15</w:t>
            </w:r>
          </w:p>
        </w:tc>
        <w:tc>
          <w:tcPr>
            <w:tcW w:w="8332" w:type="dxa"/>
            <w:vAlign w:val="center"/>
          </w:tcPr>
          <w:p w14:paraId="1F3E119B">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《红火蚁化学防控技术规程》NY/T2415-2013</w:t>
            </w:r>
          </w:p>
        </w:tc>
      </w:tr>
      <w:tr w14:paraId="2F18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497E4B76">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16</w:t>
            </w:r>
          </w:p>
        </w:tc>
        <w:tc>
          <w:tcPr>
            <w:tcW w:w="8332" w:type="dxa"/>
            <w:vAlign w:val="center"/>
          </w:tcPr>
          <w:p w14:paraId="26FD1B4A">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《防治红火蚁安全用药规程》T/CCPIA 212-2023</w:t>
            </w:r>
          </w:p>
        </w:tc>
      </w:tr>
      <w:tr w14:paraId="7E2E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5DB472DB">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17</w:t>
            </w:r>
          </w:p>
        </w:tc>
        <w:tc>
          <w:tcPr>
            <w:tcW w:w="8332" w:type="dxa"/>
            <w:vAlign w:val="center"/>
          </w:tcPr>
          <w:p w14:paraId="09885E79">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《红火蚁毒饵防控技术规程》DB45/T 1354-2016</w:t>
            </w:r>
          </w:p>
        </w:tc>
      </w:tr>
      <w:tr w14:paraId="568A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1CEB6797">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18</w:t>
            </w:r>
          </w:p>
        </w:tc>
        <w:tc>
          <w:tcPr>
            <w:tcW w:w="8332" w:type="dxa"/>
            <w:vAlign w:val="center"/>
          </w:tcPr>
          <w:p w14:paraId="65615140">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《红火蚁专业防控技术规程》NY/T3541-2020</w:t>
            </w:r>
          </w:p>
        </w:tc>
      </w:tr>
      <w:tr w14:paraId="5422B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0F81A0F7">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19</w:t>
            </w:r>
          </w:p>
        </w:tc>
        <w:tc>
          <w:tcPr>
            <w:tcW w:w="8332" w:type="dxa"/>
            <w:vAlign w:val="center"/>
          </w:tcPr>
          <w:p w14:paraId="170FFB52">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广西壮族自治区农业农村办公室关于印发红火蚁防控技术方案的通知（桂农厅办发[2023]85号）</w:t>
            </w:r>
          </w:p>
        </w:tc>
      </w:tr>
    </w:tbl>
    <w:p w14:paraId="244B5458">
      <w:pPr>
        <w:keepNext w:val="0"/>
        <w:keepLines w:val="0"/>
        <w:pageBreakBefore w:val="0"/>
        <w:widowControl w:val="0"/>
        <w:kinsoku/>
        <w:wordWrap/>
        <w:overflowPunct/>
        <w:topLinePunct w:val="0"/>
        <w:autoSpaceDE/>
        <w:autoSpaceDN/>
        <w:bidi w:val="0"/>
        <w:adjustRightInd/>
        <w:snapToGrid/>
        <w:spacing w:line="560" w:lineRule="exact"/>
        <w:ind w:firstLine="402" w:firstLineChars="200"/>
        <w:outlineLvl w:val="1"/>
        <w:rPr>
          <w:rFonts w:hint="eastAsia" w:ascii="宋体" w:hAnsi="宋体" w:eastAsia="宋体" w:cs="宋体"/>
          <w:b/>
          <w:bCs/>
          <w:color w:val="auto"/>
          <w:sz w:val="20"/>
          <w:szCs w:val="20"/>
          <w:highlight w:val="none"/>
        </w:rPr>
      </w:pPr>
      <w:bookmarkStart w:id="628" w:name="_Toc24572"/>
      <w:bookmarkStart w:id="629" w:name="_Toc3450"/>
      <w:bookmarkStart w:id="630" w:name="_Toc12045"/>
      <w:bookmarkStart w:id="631" w:name="_Toc8756"/>
      <w:bookmarkStart w:id="632" w:name="_Toc27040"/>
      <w:bookmarkStart w:id="633" w:name="_Toc1190"/>
      <w:bookmarkStart w:id="634" w:name="_Toc17623"/>
      <w:bookmarkStart w:id="635" w:name="_Toc17287"/>
      <w:bookmarkStart w:id="636" w:name="_Toc23058"/>
      <w:r>
        <w:rPr>
          <w:rFonts w:hint="eastAsia" w:ascii="宋体" w:hAnsi="宋体" w:eastAsia="宋体" w:cs="宋体"/>
          <w:b/>
          <w:bCs/>
          <w:color w:val="auto"/>
          <w:sz w:val="20"/>
          <w:szCs w:val="20"/>
          <w:highlight w:val="none"/>
          <w:lang w:val="en-US" w:eastAsia="zh-CN"/>
        </w:rPr>
        <w:t>2.</w:t>
      </w:r>
      <w:r>
        <w:rPr>
          <w:rFonts w:hint="eastAsia" w:ascii="宋体" w:hAnsi="宋体" w:eastAsia="宋体" w:cs="宋体"/>
          <w:b/>
          <w:bCs/>
          <w:color w:val="auto"/>
          <w:sz w:val="20"/>
          <w:szCs w:val="20"/>
          <w:highlight w:val="none"/>
        </w:rPr>
        <w:t>项目服务要求</w:t>
      </w:r>
      <w:bookmarkEnd w:id="628"/>
      <w:bookmarkEnd w:id="629"/>
      <w:bookmarkEnd w:id="630"/>
      <w:bookmarkEnd w:id="631"/>
      <w:bookmarkEnd w:id="632"/>
      <w:bookmarkEnd w:id="633"/>
      <w:bookmarkEnd w:id="634"/>
      <w:bookmarkEnd w:id="635"/>
      <w:bookmarkEnd w:id="636"/>
    </w:p>
    <w:p w14:paraId="6C2D5864">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2.1合同实施前，服务商需指派专人进行对接，对采购方蚁害防治的需求进行全面摸查和理解。</w:t>
      </w:r>
    </w:p>
    <w:p w14:paraId="07D3A9CC">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华光书宋一_CNKI" w:hAnsi="华光书宋一_CNKI" w:eastAsia="华光书宋一_CNKI" w:cs="华光书宋一_CNKI"/>
          <w:color w:val="auto"/>
          <w:sz w:val="20"/>
          <w:szCs w:val="20"/>
          <w:highlight w:val="none"/>
        </w:rPr>
      </w:pPr>
      <w:r>
        <w:rPr>
          <w:rFonts w:hint="eastAsia" w:ascii="华光书宋一_CNKI" w:hAnsi="华光书宋一_CNKI" w:eastAsia="华光书宋一_CNKI" w:cs="华光书宋一_CNKI"/>
          <w:color w:val="auto"/>
          <w:sz w:val="20"/>
          <w:szCs w:val="20"/>
          <w:highlight w:val="none"/>
          <w:lang w:val="en-US" w:eastAsia="zh-CN"/>
        </w:rPr>
        <w:t>2.2</w:t>
      </w:r>
      <w:r>
        <w:rPr>
          <w:rFonts w:hint="eastAsia" w:ascii="华光书宋一_CNKI" w:hAnsi="华光书宋一_CNKI" w:eastAsia="华光书宋一_CNKI" w:cs="华光书宋一_CNKI"/>
          <w:color w:val="auto"/>
          <w:sz w:val="20"/>
          <w:szCs w:val="20"/>
          <w:highlight w:val="none"/>
        </w:rPr>
        <w:t>服务商</w:t>
      </w:r>
      <w:r>
        <w:rPr>
          <w:rFonts w:hint="eastAsia" w:ascii="华光书宋一_CNKI" w:hAnsi="华光书宋一_CNKI" w:eastAsia="华光书宋一_CNKI" w:cs="华光书宋一_CNKI"/>
          <w:color w:val="auto"/>
          <w:sz w:val="20"/>
          <w:szCs w:val="20"/>
          <w:highlight w:val="none"/>
          <w:lang w:val="en-US" w:eastAsia="zh-CN"/>
        </w:rPr>
        <w:t>每半年一</w:t>
      </w:r>
      <w:r>
        <w:rPr>
          <w:rFonts w:hint="eastAsia" w:ascii="华光书宋一_CNKI" w:hAnsi="华光书宋一_CNKI" w:eastAsia="华光书宋一_CNKI" w:cs="华光书宋一_CNKI"/>
          <w:color w:val="auto"/>
          <w:sz w:val="20"/>
          <w:szCs w:val="20"/>
          <w:highlight w:val="none"/>
        </w:rPr>
        <w:t>次到所管辖区域进行巡检。服务商使用的药物必须是使用的药物必须是目前</w:t>
      </w:r>
      <w:r>
        <w:rPr>
          <w:rFonts w:hint="eastAsia" w:ascii="华光书宋一_CNKI" w:hAnsi="华光书宋一_CNKI" w:eastAsia="华光书宋一_CNKI" w:cs="华光书宋一_CNKI"/>
          <w:color w:val="auto"/>
          <w:sz w:val="20"/>
          <w:szCs w:val="20"/>
          <w:highlight w:val="none"/>
          <w:lang w:val="en-US" w:eastAsia="zh-CN"/>
        </w:rPr>
        <w:t>蚁害</w:t>
      </w:r>
      <w:r>
        <w:rPr>
          <w:rFonts w:hint="eastAsia" w:ascii="华光书宋一_CNKI" w:hAnsi="华光书宋一_CNKI" w:eastAsia="华光书宋一_CNKI" w:cs="华光书宋一_CNKI"/>
          <w:color w:val="auto"/>
          <w:sz w:val="20"/>
          <w:szCs w:val="20"/>
          <w:highlight w:val="none"/>
        </w:rPr>
        <w:t>防治方面的灭</w:t>
      </w:r>
      <w:r>
        <w:rPr>
          <w:rFonts w:hint="eastAsia" w:ascii="华光书宋一_CNKI" w:hAnsi="华光书宋一_CNKI" w:eastAsia="华光书宋一_CNKI" w:cs="华光书宋一_CNKI"/>
          <w:color w:val="auto"/>
          <w:sz w:val="20"/>
          <w:szCs w:val="20"/>
          <w:highlight w:val="none"/>
          <w:lang w:val="en-US" w:eastAsia="zh-CN"/>
        </w:rPr>
        <w:t>蚁害</w:t>
      </w:r>
      <w:r>
        <w:rPr>
          <w:rFonts w:hint="eastAsia" w:ascii="华光书宋一_CNKI" w:hAnsi="华光书宋一_CNKI" w:eastAsia="华光书宋一_CNKI" w:cs="华光书宋一_CNKI"/>
          <w:color w:val="auto"/>
          <w:sz w:val="20"/>
          <w:szCs w:val="20"/>
          <w:highlight w:val="none"/>
        </w:rPr>
        <w:t>饵剂，符合产品相关标准。具有高效、低毒、残效期长、环保无污染等特点，而且放时对物体破坏性小、有灭治</w:t>
      </w:r>
      <w:r>
        <w:rPr>
          <w:rFonts w:hint="eastAsia" w:ascii="华光书宋一_CNKI" w:hAnsi="华光书宋一_CNKI" w:eastAsia="华光书宋一_CNKI" w:cs="华光书宋一_CNKI"/>
          <w:color w:val="auto"/>
          <w:sz w:val="20"/>
          <w:szCs w:val="20"/>
          <w:highlight w:val="none"/>
          <w:lang w:val="en-US" w:eastAsia="zh-CN"/>
        </w:rPr>
        <w:t>蚁害</w:t>
      </w:r>
      <w:r>
        <w:rPr>
          <w:rFonts w:hint="eastAsia" w:ascii="华光书宋一_CNKI" w:hAnsi="华光书宋一_CNKI" w:eastAsia="华光书宋一_CNKI" w:cs="华光书宋一_CNKI"/>
          <w:color w:val="auto"/>
          <w:sz w:val="20"/>
          <w:szCs w:val="20"/>
          <w:highlight w:val="none"/>
        </w:rPr>
        <w:t>的效果。</w:t>
      </w:r>
    </w:p>
    <w:p w14:paraId="456573D7">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华光书宋一_CNKI" w:hAnsi="华光书宋一_CNKI" w:eastAsia="华光书宋一_CNKI" w:cs="华光书宋一_CNKI"/>
          <w:color w:val="auto"/>
          <w:sz w:val="20"/>
          <w:szCs w:val="20"/>
          <w:highlight w:val="none"/>
          <w:lang w:eastAsia="zh-CN"/>
        </w:rPr>
      </w:pPr>
      <w:r>
        <w:rPr>
          <w:rFonts w:hint="eastAsia" w:ascii="华光书宋一_CNKI" w:hAnsi="华光书宋一_CNKI" w:eastAsia="华光书宋一_CNKI" w:cs="华光书宋一_CNKI"/>
          <w:color w:val="auto"/>
          <w:sz w:val="20"/>
          <w:szCs w:val="20"/>
          <w:highlight w:val="none"/>
          <w:lang w:val="en-US" w:eastAsia="zh-CN"/>
        </w:rPr>
        <w:t>（1）</w:t>
      </w:r>
      <w:r>
        <w:rPr>
          <w:rFonts w:hint="eastAsia" w:ascii="华光书宋一_CNKI" w:hAnsi="华光书宋一_CNKI" w:eastAsia="华光书宋一_CNKI" w:cs="华光书宋一_CNKI"/>
          <w:color w:val="auto"/>
          <w:sz w:val="20"/>
          <w:szCs w:val="20"/>
          <w:highlight w:val="none"/>
          <w:lang w:eastAsia="zh-CN"/>
        </w:rPr>
        <w:t>使用药物必须遵守《中华人民共和国农药管理规定》，所使用的药物必须取得农药登记证书【登记范围包括白蚁防治】、农药生产许可证或者农药生产批准文件、产品质量标准、产品质量检验合格证。使用产品的药物必须标明名称、生产厂家、产品批号、登记证号、有效成分和出厂日期，并且附有产品使用说明书和批次检测合格证。</w:t>
      </w:r>
    </w:p>
    <w:p w14:paraId="532FBBDE">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华光书宋一_CNKI" w:hAnsi="华光书宋一_CNKI" w:eastAsia="华光书宋一_CNKI" w:cs="华光书宋一_CNKI"/>
          <w:color w:val="auto"/>
          <w:sz w:val="20"/>
          <w:szCs w:val="20"/>
          <w:highlight w:val="none"/>
          <w:lang w:eastAsia="zh-CN"/>
        </w:rPr>
      </w:pPr>
      <w:r>
        <w:rPr>
          <w:rFonts w:hint="eastAsia" w:ascii="华光书宋一_CNKI" w:hAnsi="华光书宋一_CNKI" w:eastAsia="华光书宋一_CNKI" w:cs="华光书宋一_CNKI"/>
          <w:color w:val="auto"/>
          <w:sz w:val="20"/>
          <w:szCs w:val="20"/>
          <w:highlight w:val="none"/>
          <w:lang w:val="en-US" w:eastAsia="zh-CN"/>
        </w:rPr>
        <w:t>（2）</w:t>
      </w:r>
      <w:r>
        <w:rPr>
          <w:rFonts w:hint="eastAsia" w:ascii="华光书宋一_CNKI" w:hAnsi="华光书宋一_CNKI" w:eastAsia="华光书宋一_CNKI" w:cs="华光书宋一_CNKI"/>
          <w:color w:val="auto"/>
          <w:sz w:val="20"/>
          <w:szCs w:val="20"/>
          <w:highlight w:val="none"/>
          <w:lang w:eastAsia="zh-CN"/>
        </w:rPr>
        <w:t>严禁使用国家明令禁止生产或者撤销登记的药物，严禁把只取得农业或者其他卫生害虫登记的农药用于房源白蚁防治工程。</w:t>
      </w:r>
    </w:p>
    <w:p w14:paraId="5682A292">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华光书宋一_CNKI" w:hAnsi="华光书宋一_CNKI" w:eastAsia="华光书宋一_CNKI" w:cs="华光书宋一_CNKI"/>
          <w:color w:val="auto"/>
          <w:sz w:val="20"/>
          <w:szCs w:val="20"/>
          <w:highlight w:val="none"/>
          <w:lang w:eastAsia="zh-CN"/>
        </w:rPr>
      </w:pPr>
      <w:r>
        <w:rPr>
          <w:rFonts w:hint="eastAsia" w:ascii="华光书宋一_CNKI" w:hAnsi="华光书宋一_CNKI" w:eastAsia="华光书宋一_CNKI" w:cs="华光书宋一_CNKI"/>
          <w:color w:val="auto"/>
          <w:sz w:val="20"/>
          <w:szCs w:val="20"/>
          <w:highlight w:val="none"/>
          <w:lang w:val="en-US" w:eastAsia="zh-CN"/>
        </w:rPr>
        <w:t>（3）</w:t>
      </w:r>
      <w:r>
        <w:rPr>
          <w:rFonts w:hint="eastAsia" w:ascii="华光书宋一_CNKI" w:hAnsi="华光书宋一_CNKI" w:eastAsia="华光书宋一_CNKI" w:cs="华光书宋一_CNKI"/>
          <w:color w:val="auto"/>
          <w:sz w:val="20"/>
          <w:szCs w:val="20"/>
          <w:highlight w:val="none"/>
          <w:lang w:eastAsia="zh-CN"/>
        </w:rPr>
        <w:t>必须按照红火蚁防控技术股份和要求进行操作，确保防控效果。</w:t>
      </w:r>
    </w:p>
    <w:p w14:paraId="3DB3F0AA">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2.3</w:t>
      </w:r>
      <w:r>
        <w:rPr>
          <w:rFonts w:hint="eastAsia" w:ascii="华光书宋一_CNKI" w:hAnsi="华光书宋一_CNKI" w:eastAsia="华光书宋一_CNKI" w:cs="华光书宋一_CNKI"/>
          <w:color w:val="auto"/>
          <w:sz w:val="20"/>
          <w:szCs w:val="20"/>
          <w:highlight w:val="none"/>
        </w:rPr>
        <w:t>服务商应根据</w:t>
      </w:r>
      <w:r>
        <w:rPr>
          <w:rFonts w:hint="eastAsia" w:ascii="华光书宋一_CNKI" w:hAnsi="华光书宋一_CNKI" w:eastAsia="华光书宋一_CNKI" w:cs="华光书宋一_CNKI"/>
          <w:color w:val="auto"/>
          <w:sz w:val="20"/>
          <w:szCs w:val="20"/>
          <w:highlight w:val="none"/>
          <w:lang w:val="en-US" w:eastAsia="zh-CN"/>
        </w:rPr>
        <w:t>蚁害</w:t>
      </w:r>
      <w:r>
        <w:rPr>
          <w:rFonts w:hint="eastAsia" w:ascii="华光书宋一_CNKI" w:hAnsi="华光书宋一_CNKI" w:eastAsia="华光书宋一_CNKI" w:cs="华光书宋一_CNKI"/>
          <w:color w:val="auto"/>
          <w:sz w:val="20"/>
          <w:szCs w:val="20"/>
          <w:highlight w:val="none"/>
        </w:rPr>
        <w:t>出现的区域、规模等因素科学判断</w:t>
      </w:r>
      <w:r>
        <w:rPr>
          <w:rFonts w:hint="eastAsia" w:ascii="华光书宋一_CNKI" w:hAnsi="华光书宋一_CNKI" w:eastAsia="华光书宋一_CNKI" w:cs="华光书宋一_CNKI"/>
          <w:color w:val="auto"/>
          <w:sz w:val="20"/>
          <w:szCs w:val="20"/>
          <w:highlight w:val="none"/>
          <w:lang w:val="en-US" w:eastAsia="zh-CN"/>
        </w:rPr>
        <w:t>蚁害</w:t>
      </w:r>
      <w:r>
        <w:rPr>
          <w:rFonts w:hint="eastAsia" w:ascii="华光书宋一_CNKI" w:hAnsi="华光书宋一_CNKI" w:eastAsia="华光书宋一_CNKI" w:cs="华光书宋一_CNKI"/>
          <w:color w:val="auto"/>
          <w:sz w:val="20"/>
          <w:szCs w:val="20"/>
          <w:highlight w:val="none"/>
        </w:rPr>
        <w:t>防治的方法，提高</w:t>
      </w:r>
      <w:r>
        <w:rPr>
          <w:rFonts w:hint="eastAsia" w:ascii="华光书宋一_CNKI" w:hAnsi="华光书宋一_CNKI" w:eastAsia="华光书宋一_CNKI" w:cs="华光书宋一_CNKI"/>
          <w:color w:val="auto"/>
          <w:sz w:val="20"/>
          <w:szCs w:val="20"/>
          <w:highlight w:val="none"/>
          <w:lang w:val="en-US" w:eastAsia="zh-CN"/>
        </w:rPr>
        <w:t>蚁害</w:t>
      </w:r>
      <w:r>
        <w:rPr>
          <w:rFonts w:hint="eastAsia" w:ascii="华光书宋一_CNKI" w:hAnsi="华光书宋一_CNKI" w:eastAsia="华光书宋一_CNKI" w:cs="华光书宋一_CNKI"/>
          <w:color w:val="auto"/>
          <w:sz w:val="20"/>
          <w:szCs w:val="20"/>
          <w:highlight w:val="none"/>
        </w:rPr>
        <w:t>防治效率，降低</w:t>
      </w:r>
      <w:r>
        <w:rPr>
          <w:rFonts w:hint="eastAsia" w:ascii="华光书宋一_CNKI" w:hAnsi="华光书宋一_CNKI" w:eastAsia="华光书宋一_CNKI" w:cs="华光书宋一_CNKI"/>
          <w:color w:val="auto"/>
          <w:sz w:val="20"/>
          <w:szCs w:val="20"/>
          <w:highlight w:val="none"/>
          <w:lang w:val="en-US" w:eastAsia="zh-CN"/>
        </w:rPr>
        <w:t>蚁害</w:t>
      </w:r>
      <w:r>
        <w:rPr>
          <w:rFonts w:hint="eastAsia" w:ascii="华光书宋一_CNKI" w:hAnsi="华光书宋一_CNKI" w:eastAsia="华光书宋一_CNKI" w:cs="华光书宋一_CNKI"/>
          <w:color w:val="auto"/>
          <w:sz w:val="20"/>
          <w:szCs w:val="20"/>
          <w:highlight w:val="none"/>
        </w:rPr>
        <w:t>防治给员工正常工作和身体健康带来的不良</w:t>
      </w:r>
      <w:r>
        <w:rPr>
          <w:rFonts w:hint="eastAsia" w:ascii="华光书宋一_CNKI" w:hAnsi="华光书宋一_CNKI" w:eastAsia="华光书宋一_CNKI" w:cs="华光书宋一_CNKI"/>
          <w:color w:val="auto"/>
          <w:sz w:val="20"/>
          <w:szCs w:val="20"/>
          <w:highlight w:val="none"/>
          <w:lang w:eastAsia="zh-CN"/>
        </w:rPr>
        <w:t>影响。</w:t>
      </w:r>
    </w:p>
    <w:p w14:paraId="52E46547">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2.4服务商提供24小时服务热线（热线电话、微信、传真、电子邮件等）。服务商在接到采购方的需求后，必须在1小时内作出响应，并在采购方规定的时间内，满足要求。若服务商预期无法按规定时间完成需求，则需提前通知采购方，采购方同意后，方可执行。</w:t>
      </w:r>
    </w:p>
    <w:p w14:paraId="4E5942BD">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2.5服务商所派人员进入采购方的相关场所时，需要严格遵守和执行采购方的相关管理规定。</w:t>
      </w:r>
    </w:p>
    <w:p w14:paraId="4251E056">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2.6服务商在每次完成蚁害防治后，需记录相关信息，并经采购方值班人员或管理员合适签字认可后，作为服务商进行蚁害防治的重要依据。</w:t>
      </w:r>
    </w:p>
    <w:p w14:paraId="0DE6C8D4">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华光书宋一_CNKI" w:hAnsi="华光书宋一_CNKI" w:eastAsia="华光书宋一_CNKI" w:cs="华光书宋一_CNKI"/>
          <w:color w:val="auto"/>
          <w:sz w:val="20"/>
          <w:szCs w:val="20"/>
          <w:highlight w:val="none"/>
          <w:lang w:val="en-US" w:eastAsia="zh-CN"/>
        </w:rPr>
      </w:pPr>
      <w:r>
        <w:rPr>
          <w:rFonts w:hint="eastAsia" w:ascii="华光书宋一_CNKI" w:hAnsi="华光书宋一_CNKI" w:eastAsia="华光书宋一_CNKI" w:cs="华光书宋一_CNKI"/>
          <w:color w:val="auto"/>
          <w:sz w:val="20"/>
          <w:szCs w:val="20"/>
          <w:highlight w:val="none"/>
          <w:lang w:val="en-US" w:eastAsia="zh-CN"/>
        </w:rPr>
        <w:t>2.7服务商加强人员管理，合理安排人员，保障项目工作进度。确因不可抗力影响项目实施，需与采购人协商修订项目实施计划，达成一致后执行。</w:t>
      </w:r>
    </w:p>
    <w:p w14:paraId="5E2030EC">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2.8安全措施：</w:t>
      </w:r>
    </w:p>
    <w:p w14:paraId="2E9EFEC7">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（1）服务商必须遵守《中华人民共和国安全生产法》和公司生产安全管理规定，必须建立健全严格的安全管理制度，在开展蚁害防治工作中严格执行安全管理规定。</w:t>
      </w:r>
    </w:p>
    <w:p w14:paraId="3D759C04">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（2）施工人员必须持证上岗，进入施工场所应佩戴本公司，严格按照有关安全规定和施工方案用药。</w:t>
      </w:r>
    </w:p>
    <w:p w14:paraId="3816B56F">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（3）进入施工现场必须按操作要求佩戴响应的工作服及安全帽，严禁施工现场和操作期间抽烟和进食。对于防治人员对沾到皮肤上的药液要及时清洗。施工完毕后应及时清洗工具和双手、头、脸等外露部位。</w:t>
      </w:r>
    </w:p>
    <w:p w14:paraId="6061192C">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（4）要加强对环境的保护，严禁在离水源6m范围内及地下水位以下的土层使用水溶剂。严禁向周围植物随意喷药。严禁将清洗工具的污水随意倾倒。严禁把用空的废弃物随意乱抛。</w:t>
      </w:r>
    </w:p>
    <w:p w14:paraId="5AA47651">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（5）在室内进行药剂低压喷洒或施工完毕后，必须保持室内的通风良好，保证安全操作。对药剂过敏的人员，不能进行施药操作。</w:t>
      </w:r>
    </w:p>
    <w:p w14:paraId="0A6DA43B">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（6）施工操作需接电源时，应有具备电工专业岗位证书的人员操作。登高作业应佩带符合安全生产规定标准的安全带。</w:t>
      </w:r>
    </w:p>
    <w:p w14:paraId="06BEB8E1">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7）房源防治药物的选择和使用，必须遵守《农药管理规定》，并且使用的防治药物必须取得农药登记证（登记范围包括白蚁防治）、农药生产许可证或者农药生产批准文件、企业产品标准。白蚁防治使用的药物必须标明产品名称、生产厂家、产品批号、登记证号、有效成分及用量和出厂日期，并且负有产品使用说明书和质量证明书。</w:t>
      </w:r>
    </w:p>
    <w:p w14:paraId="15237265">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（8）不得使用国家命令禁止生产或撤销登记的药物，严禁把只取得农业登记或其他卫生害登记的农药用于房源白蚁工程。</w:t>
      </w:r>
    </w:p>
    <w:p w14:paraId="0810423B">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（9）施工结束，服务商应该妥善保管。及时清理现场，保护场地环境不受污染。</w:t>
      </w:r>
    </w:p>
    <w:p w14:paraId="6817FAC4">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（10）各工序施药完毕后，应该向各参与防治的单位交代安全事宜，防治药物中毒事故的发生。</w:t>
      </w:r>
    </w:p>
    <w:p w14:paraId="4F6FE62E">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（11）如因非采购方原因导致的安全问题，由服务商承担责任，并按国家法律法规及相关要求进行赔偿。</w:t>
      </w:r>
    </w:p>
    <w:p w14:paraId="529E01C0">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2.9防治工程质量监督：</w:t>
      </w:r>
    </w:p>
    <w:p w14:paraId="575E3068">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（1）白蚁防治工程必须制定项目方案，经技术负责人审核，方可执行防治施工操作。</w:t>
      </w:r>
    </w:p>
    <w:p w14:paraId="29C5BE97">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（2）工程施工人员必须严格按照施工方案固定的药剂配比进行操作。</w:t>
      </w:r>
    </w:p>
    <w:p w14:paraId="2CFA8081">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2.10必须提供《安全承诺书》，应包含但不限于以下内容：</w:t>
      </w:r>
    </w:p>
    <w:p w14:paraId="633405B2">
      <w:pPr>
        <w:keepNext w:val="0"/>
        <w:keepLines w:val="0"/>
        <w:pageBreakBefore w:val="0"/>
        <w:widowControl w:val="0"/>
        <w:kinsoku/>
        <w:wordWrap/>
        <w:overflowPunct/>
        <w:topLinePunct w:val="0"/>
        <w:autoSpaceDE/>
        <w:autoSpaceDN/>
        <w:bidi w:val="0"/>
        <w:adjustRightInd w:val="0"/>
        <w:snapToGrid/>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（1）承诺在白蚁防治期间，严格按照相关法律法规，明确安全责任，服从相关部门的日常管理和检查。</w:t>
      </w:r>
    </w:p>
    <w:p w14:paraId="38E77B26">
      <w:pPr>
        <w:keepNext w:val="0"/>
        <w:keepLines w:val="0"/>
        <w:pageBreakBefore w:val="0"/>
        <w:widowControl w:val="0"/>
        <w:kinsoku/>
        <w:wordWrap/>
        <w:overflowPunct/>
        <w:topLinePunct w:val="0"/>
        <w:autoSpaceDE/>
        <w:autoSpaceDN/>
        <w:bidi w:val="0"/>
        <w:adjustRightInd w:val="0"/>
        <w:snapToGrid/>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（2）承诺对本单位白蚁防治人员进行安全教育，有健全的安全管理制度和培训教育记录，保证白蚁防治人员安全、规范操作。</w:t>
      </w:r>
    </w:p>
    <w:p w14:paraId="1C47417F">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3）承诺文明防治，保证现场不出现安全事故，设立现场安全负责人，向相关主管部门解释实施情况，保证白蚁防治人员和主管单位人员、财产安全。如因防治服务发生任何意外或者造成人员伤亡，由服务商完全负责。</w:t>
      </w:r>
    </w:p>
    <w:p w14:paraId="7FC4FB30">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2.10“四害”、白蚁等防治验收要求：</w:t>
      </w:r>
    </w:p>
    <w:p w14:paraId="6E9488BD">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灭鼠标准：</w:t>
      </w:r>
    </w:p>
    <w:p w14:paraId="52CA05B8">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（1）15平方米标准房间布放20X20厘米滑石粉块两块, 一夜后阳性粉块不超过3% ;有鼠洞、鼠粪、鼠咬痕等鼠迹的房间不超过2% ;重点单位防鼠设施不合格处不超过5%。</w:t>
      </w:r>
    </w:p>
    <w:p w14:paraId="20C3E307">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不同类型的外环境累计2000米,鼠迹不超过5处。</w:t>
      </w:r>
    </w:p>
    <w:p w14:paraId="1691CD72">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灭蚊标准：</w:t>
      </w:r>
    </w:p>
    <w:p w14:paraId="2D91F075">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（2）单位内外环境各种存水容器和积水中,蚊幼及蛹的阳性率不超过3%。</w:t>
      </w:r>
    </w:p>
    <w:p w14:paraId="73726CF2">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（3）用500ml收集勺采集城区内大中型水体中的蚊幼或蛹阳标准性率不超过 3% ,阳性勺内幼虫或蛹的平均数不超过5只。</w:t>
      </w:r>
    </w:p>
    <w:p w14:paraId="5C86D34C">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（4）特殊场所白天人诱蚊30分钟,平均每人次诱获成蚊数不超过1只。</w:t>
      </w:r>
    </w:p>
    <w:p w14:paraId="175C5568">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灭蝇标准：</w:t>
      </w:r>
    </w:p>
    <w:p w14:paraId="245792D2">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（1）重点单位有蝇房间不超过1% ,其它单位不超过3% , 平均每阳性房间不超过3只;重点单位防蝇设施不合格房间不超过5% ;加工、销售直接人口食品的场所不得有蝇。</w:t>
      </w:r>
    </w:p>
    <w:p w14:paraId="063FD17C">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（2）蝇类孳生地得到有效治理,幼虫和蛹的检出率不超过3%</w:t>
      </w:r>
    </w:p>
    <w:p w14:paraId="323B980F">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灭蟑螂标准：</w:t>
      </w:r>
    </w:p>
    <w:p w14:paraId="02F82690">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（1）室内有蟑螂成虫或若虫阳性房间不超过3% , 平均每间房大蠊不超过5只,小蠊不超过10只。</w:t>
      </w:r>
    </w:p>
    <w:p w14:paraId="1B2AF3EC">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（2）有活蟑螂卵鞘房间不超过2% ,平均每间房不超过4只。</w:t>
      </w:r>
    </w:p>
    <w:p w14:paraId="08DFE383">
      <w:pPr>
        <w:keepNext w:val="0"/>
        <w:keepLines w:val="0"/>
        <w:pageBreakBefore w:val="0"/>
        <w:widowControl w:val="0"/>
        <w:kinsoku/>
        <w:wordWrap/>
        <w:overflowPunct/>
        <w:topLinePunct w:val="0"/>
        <w:autoSpaceDE/>
        <w:autoSpaceDN/>
        <w:bidi w:val="0"/>
        <w:adjustRightInd w:val="0"/>
        <w:snapToGrid w:val="0"/>
        <w:spacing w:line="360" w:lineRule="auto"/>
        <w:ind w:firstLine="400" w:firstLineChars="200"/>
        <w:textAlignment w:val="auto"/>
        <w:outlineLvl w:val="9"/>
        <w:rPr>
          <w:rFonts w:hint="eastAsia" w:ascii="华光书宋一_CNKI" w:hAnsi="华光书宋一_CNKI" w:eastAsia="华光书宋一_CNKI" w:cs="华光书宋一_CNKI"/>
          <w:b w:val="0"/>
          <w:bCs w:val="0"/>
          <w:color w:val="auto"/>
          <w:sz w:val="20"/>
          <w:szCs w:val="20"/>
          <w:highlight w:val="none"/>
          <w:lang w:val="en-US" w:eastAsia="zh-CN"/>
        </w:rPr>
      </w:pPr>
      <w:r>
        <w:rPr>
          <w:rFonts w:hint="eastAsia" w:ascii="华光书宋一_CNKI" w:hAnsi="华光书宋一_CNKI" w:eastAsia="华光书宋一_CNKI" w:cs="华光书宋一_CNKI"/>
          <w:b w:val="0"/>
          <w:bCs w:val="0"/>
          <w:color w:val="auto"/>
          <w:sz w:val="20"/>
          <w:szCs w:val="20"/>
          <w:highlight w:val="none"/>
          <w:lang w:val="en-US" w:eastAsia="zh-CN"/>
        </w:rPr>
        <w:t>（3）有蟑螂粪便、蜕皮等蟑迹的房间不超过5%。</w:t>
      </w:r>
    </w:p>
    <w:p w14:paraId="6425D2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auto"/>
          <w:sz w:val="20"/>
          <w:szCs w:val="20"/>
          <w:highlight w:val="none"/>
        </w:rPr>
      </w:pPr>
      <w:bookmarkStart w:id="637" w:name="_Toc2892"/>
      <w:bookmarkStart w:id="638" w:name="_Toc17383"/>
      <w:bookmarkStart w:id="639" w:name="_Toc25598"/>
      <w:r>
        <w:rPr>
          <w:rFonts w:hint="eastAsia" w:ascii="宋体" w:hAnsi="宋体" w:eastAsia="宋体" w:cs="宋体"/>
          <w:b/>
          <w:bCs/>
          <w:color w:val="auto"/>
          <w:sz w:val="20"/>
          <w:szCs w:val="20"/>
          <w:highlight w:val="none"/>
          <w:lang w:val="en-US" w:eastAsia="zh-CN"/>
        </w:rPr>
        <w:t>3.</w:t>
      </w:r>
      <w:r>
        <w:rPr>
          <w:rFonts w:hint="eastAsia" w:ascii="宋体" w:hAnsi="宋体" w:eastAsia="宋体" w:cs="宋体"/>
          <w:b/>
          <w:bCs/>
          <w:color w:val="auto"/>
          <w:sz w:val="20"/>
          <w:szCs w:val="20"/>
          <w:highlight w:val="none"/>
        </w:rPr>
        <w:t>服务履约考核</w:t>
      </w:r>
      <w:bookmarkEnd w:id="637"/>
      <w:bookmarkEnd w:id="638"/>
      <w:bookmarkEnd w:id="639"/>
    </w:p>
    <w:p w14:paraId="75E04970">
      <w:pPr>
        <w:keepNext w:val="0"/>
        <w:keepLines w:val="0"/>
        <w:pageBreakBefore w:val="0"/>
        <w:widowControl w:val="0"/>
        <w:kinsoku/>
        <w:wordWrap/>
        <w:overflowPunct/>
        <w:topLinePunct w:val="0"/>
        <w:autoSpaceDE/>
        <w:autoSpaceDN/>
        <w:bidi w:val="0"/>
        <w:adjustRightInd/>
        <w:snapToGrid/>
        <w:spacing w:line="560" w:lineRule="exact"/>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819"/>
        <w:gridCol w:w="878"/>
        <w:gridCol w:w="2940"/>
        <w:gridCol w:w="1065"/>
        <w:gridCol w:w="750"/>
        <w:gridCol w:w="779"/>
      </w:tblGrid>
      <w:tr w14:paraId="1A36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29739C5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2819" w:type="dxa"/>
            <w:tcBorders>
              <w:top w:val="single" w:color="auto" w:sz="4" w:space="0"/>
              <w:left w:val="nil"/>
              <w:bottom w:val="single" w:color="auto" w:sz="4" w:space="0"/>
              <w:right w:val="single" w:color="auto" w:sz="4" w:space="0"/>
            </w:tcBorders>
            <w:noWrap w:val="0"/>
            <w:vAlign w:val="center"/>
          </w:tcPr>
          <w:p w14:paraId="1621407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878" w:type="dxa"/>
            <w:tcBorders>
              <w:top w:val="single" w:color="auto" w:sz="4" w:space="0"/>
              <w:left w:val="nil"/>
              <w:bottom w:val="single" w:color="auto" w:sz="4" w:space="0"/>
              <w:right w:val="single" w:color="auto" w:sz="4" w:space="0"/>
            </w:tcBorders>
            <w:noWrap w:val="0"/>
            <w:vAlign w:val="center"/>
          </w:tcPr>
          <w:p w14:paraId="035E360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2940" w:type="dxa"/>
            <w:tcBorders>
              <w:top w:val="single" w:color="auto" w:sz="4" w:space="0"/>
              <w:left w:val="nil"/>
              <w:bottom w:val="single" w:color="auto" w:sz="4" w:space="0"/>
              <w:right w:val="single" w:color="auto" w:sz="4" w:space="0"/>
            </w:tcBorders>
            <w:noWrap w:val="0"/>
            <w:vAlign w:val="center"/>
          </w:tcPr>
          <w:p w14:paraId="4BEE96A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1065" w:type="dxa"/>
            <w:tcBorders>
              <w:top w:val="single" w:color="auto" w:sz="4" w:space="0"/>
              <w:left w:val="nil"/>
              <w:bottom w:val="single" w:color="auto" w:sz="4" w:space="0"/>
              <w:right w:val="single" w:color="auto" w:sz="4" w:space="0"/>
            </w:tcBorders>
            <w:noWrap w:val="0"/>
            <w:vAlign w:val="center"/>
          </w:tcPr>
          <w:p w14:paraId="15F4850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1EF13537">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750" w:type="dxa"/>
            <w:tcBorders>
              <w:top w:val="single" w:color="auto" w:sz="4" w:space="0"/>
              <w:left w:val="nil"/>
              <w:bottom w:val="single" w:color="auto" w:sz="4" w:space="0"/>
              <w:right w:val="single" w:color="auto" w:sz="4" w:space="0"/>
            </w:tcBorders>
            <w:noWrap w:val="0"/>
            <w:vAlign w:val="center"/>
          </w:tcPr>
          <w:p w14:paraId="3F6916E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3C91CC4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779" w:type="dxa"/>
            <w:tcBorders>
              <w:top w:val="single" w:color="auto" w:sz="4" w:space="0"/>
              <w:left w:val="nil"/>
              <w:bottom w:val="single" w:color="auto" w:sz="4" w:space="0"/>
              <w:right w:val="single" w:color="auto" w:sz="4" w:space="0"/>
            </w:tcBorders>
            <w:noWrap w:val="0"/>
            <w:vAlign w:val="center"/>
          </w:tcPr>
          <w:p w14:paraId="046B52FA">
            <w:pPr>
              <w:keepNext w:val="0"/>
              <w:keepLines w:val="0"/>
              <w:pageBreakBefore w:val="0"/>
              <w:widowControl w:val="0"/>
              <w:kinsoku/>
              <w:wordWrap/>
              <w:overflowPunct/>
              <w:topLinePunct w:val="0"/>
              <w:autoSpaceDE/>
              <w:autoSpaceDN/>
              <w:bidi w:val="0"/>
              <w:spacing w:line="240" w:lineRule="auto"/>
              <w:ind w:firstLine="201" w:firstLineChars="10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5F48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45" w:type="dxa"/>
            <w:vMerge w:val="restart"/>
            <w:tcBorders>
              <w:top w:val="single" w:color="auto" w:sz="4" w:space="0"/>
              <w:left w:val="single" w:color="auto" w:sz="4" w:space="0"/>
              <w:right w:val="single" w:color="auto" w:sz="4" w:space="0"/>
            </w:tcBorders>
            <w:noWrap w:val="0"/>
            <w:vAlign w:val="center"/>
          </w:tcPr>
          <w:p w14:paraId="264C643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1</w:t>
            </w:r>
          </w:p>
        </w:tc>
        <w:tc>
          <w:tcPr>
            <w:tcW w:w="2819" w:type="dxa"/>
            <w:vMerge w:val="restart"/>
            <w:tcBorders>
              <w:top w:val="single" w:color="auto" w:sz="4" w:space="0"/>
              <w:left w:val="nil"/>
              <w:right w:val="single" w:color="auto" w:sz="4" w:space="0"/>
            </w:tcBorders>
            <w:noWrap w:val="0"/>
            <w:vAlign w:val="center"/>
          </w:tcPr>
          <w:p w14:paraId="34A07FEB">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lang w:val="en-US"/>
              </w:rPr>
            </w:pPr>
            <w:r>
              <w:rPr>
                <w:rFonts w:hint="eastAsia" w:ascii="宋体" w:hAnsi="宋体" w:eastAsia="宋体" w:cs="宋体"/>
                <w:b w:val="0"/>
                <w:bCs w:val="0"/>
                <w:color w:val="auto"/>
                <w:sz w:val="20"/>
                <w:szCs w:val="20"/>
                <w:highlight w:val="none"/>
                <w:vertAlign w:val="baseline"/>
                <w:lang w:val="en-US" w:eastAsia="zh-CN"/>
              </w:rPr>
              <w:t>按时按质按量完成采购方的防治服务工作任务，及时响应采购方的需求（含临时或紧急需求），积极与采购方沟通，使用的消杀药物符合相关标准，消杀记录齐全，制定有应急预案。</w:t>
            </w:r>
          </w:p>
        </w:tc>
        <w:tc>
          <w:tcPr>
            <w:tcW w:w="878" w:type="dxa"/>
            <w:vMerge w:val="restart"/>
            <w:tcBorders>
              <w:top w:val="single" w:color="auto" w:sz="4" w:space="0"/>
              <w:left w:val="nil"/>
              <w:right w:val="single" w:color="auto" w:sz="4" w:space="0"/>
            </w:tcBorders>
            <w:noWrap w:val="0"/>
            <w:vAlign w:val="center"/>
          </w:tcPr>
          <w:p w14:paraId="3E8A408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40</w:t>
            </w:r>
          </w:p>
        </w:tc>
        <w:tc>
          <w:tcPr>
            <w:tcW w:w="2940" w:type="dxa"/>
            <w:tcBorders>
              <w:top w:val="single" w:color="auto" w:sz="4" w:space="0"/>
              <w:left w:val="nil"/>
              <w:bottom w:val="single" w:color="auto" w:sz="4" w:space="0"/>
              <w:right w:val="single" w:color="auto" w:sz="4" w:space="0"/>
            </w:tcBorders>
            <w:noWrap w:val="0"/>
            <w:vAlign w:val="center"/>
          </w:tcPr>
          <w:p w14:paraId="20AA664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u w:val="single"/>
              </w:rPr>
            </w:pPr>
            <w:r>
              <w:rPr>
                <w:rFonts w:hint="eastAsia" w:ascii="宋体" w:hAnsi="宋体" w:eastAsia="宋体" w:cs="宋体"/>
                <w:b w:val="0"/>
                <w:bCs/>
                <w:color w:val="auto"/>
                <w:sz w:val="20"/>
                <w:szCs w:val="20"/>
                <w:highlight w:val="none"/>
                <w:lang w:val="en-US" w:eastAsia="zh-CN"/>
              </w:rPr>
              <w:t>未按采购方要求，按时按质提供服务，存在怠于响应、迟到、敷衍开展工作等现象。</w:t>
            </w:r>
          </w:p>
        </w:tc>
        <w:tc>
          <w:tcPr>
            <w:tcW w:w="1065" w:type="dxa"/>
            <w:tcBorders>
              <w:top w:val="single" w:color="auto" w:sz="4" w:space="0"/>
              <w:left w:val="nil"/>
              <w:bottom w:val="single" w:color="auto" w:sz="4" w:space="0"/>
              <w:right w:val="single" w:color="auto" w:sz="4" w:space="0"/>
            </w:tcBorders>
            <w:noWrap w:val="0"/>
            <w:vAlign w:val="center"/>
          </w:tcPr>
          <w:p w14:paraId="032FAB6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7A70BBD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C05D35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r>
      <w:tr w14:paraId="31EE5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7B0958AA">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6661685C">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13EE48A8">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100B82DB">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color w:val="auto"/>
                <w:sz w:val="20"/>
                <w:szCs w:val="20"/>
                <w:highlight w:val="none"/>
                <w:lang w:val="en-US" w:eastAsia="zh-CN"/>
              </w:rPr>
              <w:t>未按采购方要求服务，响应速度慢，影响采购方现场开展勘察的计划</w:t>
            </w:r>
            <w:r>
              <w:rPr>
                <w:rFonts w:hint="eastAsia" w:ascii="宋体" w:hAnsi="宋体" w:eastAsia="宋体" w:cs="宋体"/>
                <w:b w:val="0"/>
                <w:bCs w:val="0"/>
                <w:color w:val="auto"/>
                <w:sz w:val="20"/>
                <w:szCs w:val="20"/>
                <w:highlight w:val="none"/>
                <w:lang w:eastAsia="zh-CN"/>
              </w:rPr>
              <w:t>。</w:t>
            </w:r>
          </w:p>
        </w:tc>
        <w:tc>
          <w:tcPr>
            <w:tcW w:w="1065" w:type="dxa"/>
            <w:tcBorders>
              <w:top w:val="single" w:color="auto" w:sz="4" w:space="0"/>
              <w:left w:val="nil"/>
              <w:bottom w:val="single" w:color="auto" w:sz="4" w:space="0"/>
              <w:right w:val="single" w:color="auto" w:sz="4" w:space="0"/>
            </w:tcBorders>
            <w:noWrap w:val="0"/>
            <w:vAlign w:val="center"/>
          </w:tcPr>
          <w:p w14:paraId="3502261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17487AEB">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56ACE29">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2A71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2CA3EB9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2FC594C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30C2CBB0">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31E91CF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无正当理由及未与采购方沟通的，未按规定时间提供服务。</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6A8ED843">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01E43064">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16C5DA2C">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036C6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66283AA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6D11012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6F56006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7F476EB1">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在防治的过程中，使用劣质的消杀药物，每发现一次扣2分；如因为使用劣质消杀药物造成了</w:t>
            </w:r>
            <w:r>
              <w:rPr>
                <w:rFonts w:hint="eastAsia" w:ascii="宋体" w:hAnsi="宋体" w:cs="宋体"/>
                <w:b w:val="0"/>
                <w:bCs/>
                <w:color w:val="auto"/>
                <w:sz w:val="20"/>
                <w:szCs w:val="20"/>
                <w:highlight w:val="none"/>
                <w:lang w:val="en-US" w:eastAsia="zh-CN"/>
              </w:rPr>
              <w:t>采购方</w:t>
            </w:r>
            <w:r>
              <w:rPr>
                <w:rFonts w:hint="eastAsia" w:ascii="宋体" w:hAnsi="宋体" w:eastAsia="宋体" w:cs="宋体"/>
                <w:b w:val="0"/>
                <w:bCs/>
                <w:color w:val="auto"/>
                <w:sz w:val="20"/>
                <w:szCs w:val="20"/>
                <w:highlight w:val="none"/>
                <w:lang w:val="en-US" w:eastAsia="zh-CN"/>
              </w:rPr>
              <w:t>有重大损失。</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247351A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4</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1697D725">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378171B6">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6D759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7DD9A7B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710F02B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5C944895">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1DE0F4EC">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未按采购方要求做好消杀记录和档案管理工作。</w:t>
            </w:r>
          </w:p>
        </w:tc>
        <w:tc>
          <w:tcPr>
            <w:tcW w:w="1065" w:type="dxa"/>
            <w:tcBorders>
              <w:top w:val="single" w:color="auto" w:sz="4" w:space="0"/>
              <w:left w:val="nil"/>
              <w:bottom w:val="single" w:color="auto" w:sz="4" w:space="0"/>
              <w:right w:val="single" w:color="auto" w:sz="4" w:space="0"/>
            </w:tcBorders>
            <w:shd w:val="clear" w:color="auto" w:fill="auto"/>
            <w:noWrap w:val="0"/>
            <w:vAlign w:val="center"/>
          </w:tcPr>
          <w:p w14:paraId="192CFFF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70200192">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A58C712">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5DC2F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4035E96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034C60A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6071AA88">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7F1E3923">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未配合采购方临时或紧急需求。</w:t>
            </w:r>
          </w:p>
        </w:tc>
        <w:tc>
          <w:tcPr>
            <w:tcW w:w="1065" w:type="dxa"/>
            <w:tcBorders>
              <w:top w:val="single" w:color="auto" w:sz="4" w:space="0"/>
              <w:left w:val="nil"/>
              <w:bottom w:val="single" w:color="auto" w:sz="4" w:space="0"/>
              <w:right w:val="single" w:color="auto" w:sz="4" w:space="0"/>
            </w:tcBorders>
            <w:noWrap w:val="0"/>
            <w:vAlign w:val="center"/>
          </w:tcPr>
          <w:p w14:paraId="4D8CFC7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435DF647">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42BE6963">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218C7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5" w:type="dxa"/>
            <w:vMerge w:val="continue"/>
            <w:tcBorders>
              <w:left w:val="single" w:color="auto" w:sz="4" w:space="0"/>
              <w:right w:val="single" w:color="auto" w:sz="4" w:space="0"/>
            </w:tcBorders>
            <w:noWrap w:val="0"/>
            <w:vAlign w:val="center"/>
          </w:tcPr>
          <w:p w14:paraId="6D6B4C96">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0E7DDA5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15B12982">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noWrap w:val="0"/>
            <w:vAlign w:val="center"/>
          </w:tcPr>
          <w:p w14:paraId="3EAF0F8E">
            <w:pPr>
              <w:keepNext w:val="0"/>
              <w:keepLines w:val="0"/>
              <w:pageBreakBefore w:val="0"/>
              <w:widowControl w:val="0"/>
              <w:kinsoku/>
              <w:wordWrap/>
              <w:overflowPunct/>
              <w:topLinePunct w:val="0"/>
              <w:autoSpaceDE/>
              <w:autoSpaceDN/>
              <w:bidi w:val="0"/>
              <w:spacing w:line="240" w:lineRule="auto"/>
              <w:jc w:val="both"/>
              <w:textAlignment w:val="auto"/>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未制定应急方案，且在紧急事件发生时，不能及时处理，给采购方带来损失。</w:t>
            </w:r>
          </w:p>
        </w:tc>
        <w:tc>
          <w:tcPr>
            <w:tcW w:w="1065" w:type="dxa"/>
            <w:tcBorders>
              <w:top w:val="single" w:color="auto" w:sz="4" w:space="0"/>
              <w:left w:val="nil"/>
              <w:bottom w:val="single" w:color="auto" w:sz="4" w:space="0"/>
              <w:right w:val="single" w:color="auto" w:sz="4" w:space="0"/>
            </w:tcBorders>
            <w:noWrap w:val="0"/>
            <w:vAlign w:val="center"/>
          </w:tcPr>
          <w:p w14:paraId="4282D50B">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21F7D22A">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3461A54">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2200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jc w:val="center"/>
        </w:trPr>
        <w:tc>
          <w:tcPr>
            <w:tcW w:w="645" w:type="dxa"/>
            <w:vMerge w:val="restart"/>
            <w:tcBorders>
              <w:left w:val="single" w:color="auto" w:sz="4" w:space="0"/>
              <w:right w:val="single" w:color="auto" w:sz="4" w:space="0"/>
            </w:tcBorders>
            <w:noWrap w:val="0"/>
            <w:vAlign w:val="center"/>
          </w:tcPr>
          <w:p w14:paraId="6734AB9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2</w:t>
            </w:r>
          </w:p>
        </w:tc>
        <w:tc>
          <w:tcPr>
            <w:tcW w:w="2819" w:type="dxa"/>
            <w:vMerge w:val="restart"/>
            <w:tcBorders>
              <w:left w:val="nil"/>
              <w:right w:val="single" w:color="auto" w:sz="4" w:space="0"/>
            </w:tcBorders>
            <w:noWrap w:val="0"/>
            <w:vAlign w:val="center"/>
          </w:tcPr>
          <w:p w14:paraId="4688099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人员持证上岗、工作经验丰富，服务态度良好，处理问题及反馈及时。</w:t>
            </w:r>
          </w:p>
        </w:tc>
        <w:tc>
          <w:tcPr>
            <w:tcW w:w="878" w:type="dxa"/>
            <w:vMerge w:val="restart"/>
            <w:tcBorders>
              <w:left w:val="nil"/>
              <w:right w:val="single" w:color="auto" w:sz="4" w:space="0"/>
            </w:tcBorders>
            <w:noWrap w:val="0"/>
            <w:vAlign w:val="center"/>
          </w:tcPr>
          <w:p w14:paraId="141FEC42">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30</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0A2EFC8E">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相关法规要求的服务人员必须持证上岗，包括国家法规要求、行业要求、特种岗位要求、从业资格证等。如发现服务人员存在没有持证上岗的情况。</w:t>
            </w:r>
          </w:p>
        </w:tc>
        <w:tc>
          <w:tcPr>
            <w:tcW w:w="1065" w:type="dxa"/>
            <w:tcBorders>
              <w:top w:val="single" w:color="auto" w:sz="4" w:space="0"/>
              <w:left w:val="nil"/>
              <w:bottom w:val="single" w:color="auto" w:sz="4" w:space="0"/>
              <w:right w:val="single" w:color="auto" w:sz="4" w:space="0"/>
            </w:tcBorders>
            <w:noWrap w:val="0"/>
            <w:vAlign w:val="center"/>
          </w:tcPr>
          <w:p w14:paraId="034DE965">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4</w:t>
            </w:r>
            <w:r>
              <w:rPr>
                <w:rFonts w:hint="eastAsia" w:ascii="宋体" w:hAnsi="宋体" w:eastAsia="宋体" w:cs="宋体"/>
                <w:b w:val="0"/>
                <w:bCs w:val="0"/>
                <w:color w:val="auto"/>
                <w:sz w:val="20"/>
                <w:szCs w:val="20"/>
                <w:highlight w:val="none"/>
              </w:rPr>
              <w:t>分/</w:t>
            </w:r>
            <w:r>
              <w:rPr>
                <w:rFonts w:hint="eastAsia" w:ascii="宋体" w:hAnsi="宋体" w:eastAsia="宋体" w:cs="宋体"/>
                <w:b w:val="0"/>
                <w:bCs w:val="0"/>
                <w:color w:val="auto"/>
                <w:sz w:val="20"/>
                <w:szCs w:val="20"/>
                <w:highlight w:val="none"/>
                <w:lang w:val="en-US" w:eastAsia="zh-CN"/>
              </w:rPr>
              <w:t>人</w:t>
            </w:r>
          </w:p>
        </w:tc>
        <w:tc>
          <w:tcPr>
            <w:tcW w:w="750" w:type="dxa"/>
            <w:tcBorders>
              <w:top w:val="single" w:color="auto" w:sz="4" w:space="0"/>
              <w:left w:val="nil"/>
              <w:bottom w:val="single" w:color="auto" w:sz="4" w:space="0"/>
              <w:right w:val="single" w:color="auto" w:sz="4" w:space="0"/>
            </w:tcBorders>
            <w:noWrap w:val="0"/>
            <w:vAlign w:val="top"/>
          </w:tcPr>
          <w:p w14:paraId="244A822E">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65933CA9">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C1AA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jc w:val="center"/>
        </w:trPr>
        <w:tc>
          <w:tcPr>
            <w:tcW w:w="645" w:type="dxa"/>
            <w:vMerge w:val="continue"/>
            <w:tcBorders>
              <w:left w:val="single" w:color="auto" w:sz="4" w:space="0"/>
              <w:right w:val="single" w:color="auto" w:sz="4" w:space="0"/>
            </w:tcBorders>
            <w:noWrap w:val="0"/>
            <w:vAlign w:val="center"/>
          </w:tcPr>
          <w:p w14:paraId="0E11CCD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54CD049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5EDECE3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13FE3D69">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服务人员应具备丰富的相关经验和专业判断能力。服务商派出的人员如无法对白蚁造成的问题能够作出专业判断、诊断和消杀处理方案。</w:t>
            </w:r>
          </w:p>
        </w:tc>
        <w:tc>
          <w:tcPr>
            <w:tcW w:w="1065" w:type="dxa"/>
            <w:tcBorders>
              <w:top w:val="single" w:color="auto" w:sz="4" w:space="0"/>
              <w:left w:val="nil"/>
              <w:bottom w:val="single" w:color="auto" w:sz="4" w:space="0"/>
              <w:right w:val="single" w:color="auto" w:sz="4" w:space="0"/>
            </w:tcBorders>
            <w:noWrap w:val="0"/>
            <w:vAlign w:val="center"/>
          </w:tcPr>
          <w:p w14:paraId="4BF86F0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7243A94E">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F3C7588">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08725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645" w:type="dxa"/>
            <w:vMerge w:val="continue"/>
            <w:tcBorders>
              <w:left w:val="single" w:color="auto" w:sz="4" w:space="0"/>
              <w:right w:val="single" w:color="auto" w:sz="4" w:space="0"/>
            </w:tcBorders>
            <w:noWrap w:val="0"/>
            <w:vAlign w:val="center"/>
          </w:tcPr>
          <w:p w14:paraId="42F17D0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819" w:type="dxa"/>
            <w:vMerge w:val="continue"/>
            <w:tcBorders>
              <w:left w:val="nil"/>
              <w:right w:val="single" w:color="auto" w:sz="4" w:space="0"/>
            </w:tcBorders>
            <w:noWrap w:val="0"/>
            <w:vAlign w:val="center"/>
          </w:tcPr>
          <w:p w14:paraId="481ABB8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color w:val="auto"/>
                <w:sz w:val="20"/>
                <w:szCs w:val="20"/>
                <w:highlight w:val="none"/>
              </w:rPr>
            </w:pPr>
          </w:p>
        </w:tc>
        <w:tc>
          <w:tcPr>
            <w:tcW w:w="878" w:type="dxa"/>
            <w:vMerge w:val="continue"/>
            <w:tcBorders>
              <w:left w:val="nil"/>
              <w:right w:val="single" w:color="auto" w:sz="4" w:space="0"/>
            </w:tcBorders>
            <w:noWrap w:val="0"/>
            <w:vAlign w:val="center"/>
          </w:tcPr>
          <w:p w14:paraId="348D9EE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69A595E5">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服务人员服务态度良好，应对采购方提出的问题耐心解答，对反馈的问题及时跟进。如服务人员态度恶劣，消极怠工。</w:t>
            </w:r>
          </w:p>
        </w:tc>
        <w:tc>
          <w:tcPr>
            <w:tcW w:w="1065" w:type="dxa"/>
            <w:tcBorders>
              <w:top w:val="single" w:color="auto" w:sz="4" w:space="0"/>
              <w:left w:val="nil"/>
              <w:bottom w:val="single" w:color="auto" w:sz="4" w:space="0"/>
              <w:right w:val="single" w:color="auto" w:sz="4" w:space="0"/>
            </w:tcBorders>
            <w:noWrap w:val="0"/>
            <w:vAlign w:val="center"/>
          </w:tcPr>
          <w:p w14:paraId="77B92B4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2</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680DCE7A">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67789D3">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040A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restart"/>
            <w:tcBorders>
              <w:left w:val="single" w:color="auto" w:sz="4" w:space="0"/>
              <w:right w:val="single" w:color="auto" w:sz="4" w:space="0"/>
            </w:tcBorders>
            <w:noWrap w:val="0"/>
            <w:vAlign w:val="center"/>
          </w:tcPr>
          <w:p w14:paraId="6426C9E1">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3</w:t>
            </w:r>
          </w:p>
        </w:tc>
        <w:tc>
          <w:tcPr>
            <w:tcW w:w="2819" w:type="dxa"/>
            <w:vMerge w:val="restart"/>
            <w:tcBorders>
              <w:left w:val="nil"/>
              <w:right w:val="single" w:color="auto" w:sz="4" w:space="0"/>
            </w:tcBorders>
            <w:noWrap w:val="0"/>
            <w:vAlign w:val="center"/>
          </w:tcPr>
          <w:p w14:paraId="681EBB98">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val="0"/>
                <w:color w:val="auto"/>
                <w:sz w:val="20"/>
                <w:szCs w:val="20"/>
                <w:highlight w:val="none"/>
              </w:rPr>
            </w:pPr>
            <w:r>
              <w:rPr>
                <w:rFonts w:hint="eastAsia" w:ascii="宋体" w:hAnsi="宋体" w:eastAsia="宋体" w:cs="宋体"/>
                <w:b w:val="0"/>
                <w:bCs/>
                <w:color w:val="auto"/>
                <w:sz w:val="20"/>
                <w:szCs w:val="20"/>
                <w:highlight w:val="none"/>
                <w:lang w:val="en-US" w:eastAsia="zh-CN"/>
              </w:rPr>
              <w:t>安全管理</w:t>
            </w:r>
          </w:p>
        </w:tc>
        <w:tc>
          <w:tcPr>
            <w:tcW w:w="878" w:type="dxa"/>
            <w:vMerge w:val="restart"/>
            <w:tcBorders>
              <w:left w:val="nil"/>
              <w:right w:val="single" w:color="auto" w:sz="4" w:space="0"/>
            </w:tcBorders>
            <w:noWrap w:val="0"/>
            <w:vAlign w:val="center"/>
          </w:tcPr>
          <w:p w14:paraId="10325A44">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7616867E">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服务商必须严格执行采购方的安全规定。每出现一次安全事故。</w:t>
            </w:r>
          </w:p>
        </w:tc>
        <w:tc>
          <w:tcPr>
            <w:tcW w:w="1065" w:type="dxa"/>
            <w:tcBorders>
              <w:top w:val="single" w:color="auto" w:sz="4" w:space="0"/>
              <w:left w:val="nil"/>
              <w:bottom w:val="single" w:color="auto" w:sz="4" w:space="0"/>
              <w:right w:val="single" w:color="auto" w:sz="4" w:space="0"/>
            </w:tcBorders>
            <w:noWrap w:val="0"/>
            <w:vAlign w:val="center"/>
          </w:tcPr>
          <w:p w14:paraId="1E976A1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56DF953A">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3A2C002">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34973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jc w:val="center"/>
        </w:trPr>
        <w:tc>
          <w:tcPr>
            <w:tcW w:w="645" w:type="dxa"/>
            <w:vMerge w:val="continue"/>
            <w:tcBorders>
              <w:left w:val="single" w:color="auto" w:sz="4" w:space="0"/>
              <w:right w:val="single" w:color="auto" w:sz="4" w:space="0"/>
            </w:tcBorders>
            <w:noWrap w:val="0"/>
            <w:vAlign w:val="center"/>
          </w:tcPr>
          <w:p w14:paraId="3C25553F">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19B3FE4F">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0F24F76E">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3E86DE3A">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服务商必须严格执行采购方的安全规定。每出现一次重大安全事故。</w:t>
            </w:r>
          </w:p>
        </w:tc>
        <w:tc>
          <w:tcPr>
            <w:tcW w:w="1065" w:type="dxa"/>
            <w:tcBorders>
              <w:top w:val="single" w:color="auto" w:sz="4" w:space="0"/>
              <w:left w:val="nil"/>
              <w:bottom w:val="single" w:color="auto" w:sz="4" w:space="0"/>
              <w:right w:val="single" w:color="auto" w:sz="4" w:space="0"/>
            </w:tcBorders>
            <w:noWrap w:val="0"/>
            <w:vAlign w:val="center"/>
          </w:tcPr>
          <w:p w14:paraId="4D6FBD0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4D743342">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21697C30">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0348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645" w:type="dxa"/>
            <w:vMerge w:val="restart"/>
            <w:tcBorders>
              <w:left w:val="single" w:color="auto" w:sz="4" w:space="0"/>
              <w:right w:val="single" w:color="auto" w:sz="4" w:space="0"/>
            </w:tcBorders>
            <w:noWrap w:val="0"/>
            <w:vAlign w:val="center"/>
          </w:tcPr>
          <w:p w14:paraId="4FBD2836">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4</w:t>
            </w:r>
          </w:p>
        </w:tc>
        <w:tc>
          <w:tcPr>
            <w:tcW w:w="2819" w:type="dxa"/>
            <w:vMerge w:val="restart"/>
            <w:tcBorders>
              <w:left w:val="nil"/>
              <w:right w:val="single" w:color="auto" w:sz="4" w:space="0"/>
            </w:tcBorders>
            <w:noWrap w:val="0"/>
            <w:vAlign w:val="center"/>
          </w:tcPr>
          <w:p w14:paraId="48476029">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val="0"/>
                <w:color w:val="auto"/>
                <w:kern w:val="2"/>
                <w:sz w:val="20"/>
                <w:szCs w:val="20"/>
                <w:highlight w:val="none"/>
                <w:vertAlign w:val="baseline"/>
                <w:lang w:val="en-US" w:eastAsia="zh-CN" w:bidi="ar-SA"/>
              </w:rPr>
            </w:pPr>
            <w:r>
              <w:rPr>
                <w:rFonts w:hint="eastAsia" w:ascii="宋体" w:hAnsi="宋体" w:eastAsia="宋体" w:cs="宋体"/>
                <w:b w:val="0"/>
                <w:bCs/>
                <w:color w:val="auto"/>
                <w:sz w:val="20"/>
                <w:szCs w:val="20"/>
                <w:highlight w:val="none"/>
                <w:lang w:val="en-US" w:eastAsia="zh-CN"/>
              </w:rPr>
              <w:t>保密管理</w:t>
            </w:r>
          </w:p>
        </w:tc>
        <w:tc>
          <w:tcPr>
            <w:tcW w:w="878" w:type="dxa"/>
            <w:vMerge w:val="restart"/>
            <w:tcBorders>
              <w:left w:val="nil"/>
              <w:right w:val="single" w:color="auto" w:sz="4" w:space="0"/>
            </w:tcBorders>
            <w:noWrap w:val="0"/>
            <w:vAlign w:val="center"/>
          </w:tcPr>
          <w:p w14:paraId="30545DEC">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r>
              <w:rPr>
                <w:rFonts w:hint="eastAsia" w:ascii="宋体" w:hAnsi="宋体" w:eastAsia="宋体" w:cs="宋体"/>
                <w:b w:val="0"/>
                <w:bCs w:val="0"/>
                <w:color w:val="auto"/>
                <w:sz w:val="20"/>
                <w:szCs w:val="20"/>
                <w:highlight w:val="none"/>
                <w:lang w:val="en-US" w:eastAsia="zh-CN"/>
              </w:rPr>
              <w:t>15</w:t>
            </w: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208B4D2D">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kern w:val="2"/>
                <w:sz w:val="20"/>
                <w:szCs w:val="20"/>
                <w:highlight w:val="none"/>
                <w:lang w:val="en-US" w:eastAsia="zh-CN" w:bidi="ar-SA"/>
              </w:rPr>
            </w:pPr>
            <w:r>
              <w:rPr>
                <w:rFonts w:hint="eastAsia" w:ascii="宋体" w:hAnsi="宋体" w:eastAsia="宋体" w:cs="宋体"/>
                <w:b w:val="0"/>
                <w:bCs/>
                <w:color w:val="auto"/>
                <w:sz w:val="20"/>
                <w:szCs w:val="20"/>
                <w:highlight w:val="none"/>
                <w:lang w:val="en-US" w:eastAsia="zh-CN"/>
              </w:rPr>
              <w:t>服务人员未做好保密工作，造成了信息泄露。</w:t>
            </w:r>
          </w:p>
        </w:tc>
        <w:tc>
          <w:tcPr>
            <w:tcW w:w="1065" w:type="dxa"/>
            <w:tcBorders>
              <w:top w:val="single" w:color="auto" w:sz="4" w:space="0"/>
              <w:left w:val="nil"/>
              <w:bottom w:val="single" w:color="auto" w:sz="4" w:space="0"/>
              <w:right w:val="single" w:color="auto" w:sz="4" w:space="0"/>
            </w:tcBorders>
            <w:noWrap w:val="0"/>
            <w:vAlign w:val="center"/>
          </w:tcPr>
          <w:p w14:paraId="2A1BFECD">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5</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3475D7D6">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7A22593F">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4914A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645" w:type="dxa"/>
            <w:vMerge w:val="continue"/>
            <w:tcBorders>
              <w:left w:val="single" w:color="auto" w:sz="4" w:space="0"/>
              <w:right w:val="single" w:color="auto" w:sz="4" w:space="0"/>
            </w:tcBorders>
            <w:noWrap w:val="0"/>
            <w:vAlign w:val="center"/>
          </w:tcPr>
          <w:p w14:paraId="6045636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819" w:type="dxa"/>
            <w:vMerge w:val="continue"/>
            <w:tcBorders>
              <w:left w:val="nil"/>
              <w:right w:val="single" w:color="auto" w:sz="4" w:space="0"/>
            </w:tcBorders>
            <w:noWrap w:val="0"/>
            <w:vAlign w:val="center"/>
          </w:tcPr>
          <w:p w14:paraId="092B8CF4">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宋体" w:hAnsi="宋体" w:eastAsia="宋体" w:cs="宋体"/>
                <w:b w:val="0"/>
                <w:bCs/>
                <w:color w:val="auto"/>
                <w:sz w:val="20"/>
                <w:szCs w:val="20"/>
                <w:highlight w:val="none"/>
                <w:lang w:val="en-US" w:eastAsia="zh-CN"/>
              </w:rPr>
            </w:pPr>
          </w:p>
        </w:tc>
        <w:tc>
          <w:tcPr>
            <w:tcW w:w="878" w:type="dxa"/>
            <w:vMerge w:val="continue"/>
            <w:tcBorders>
              <w:left w:val="nil"/>
              <w:right w:val="single" w:color="auto" w:sz="4" w:space="0"/>
            </w:tcBorders>
            <w:noWrap w:val="0"/>
            <w:vAlign w:val="center"/>
          </w:tcPr>
          <w:p w14:paraId="0FA187C8">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lang w:val="en-US" w:eastAsia="zh-CN"/>
              </w:rPr>
            </w:pPr>
          </w:p>
        </w:tc>
        <w:tc>
          <w:tcPr>
            <w:tcW w:w="2940" w:type="dxa"/>
            <w:tcBorders>
              <w:top w:val="single" w:color="auto" w:sz="4" w:space="0"/>
              <w:left w:val="nil"/>
              <w:bottom w:val="single" w:color="auto" w:sz="4" w:space="0"/>
              <w:right w:val="single" w:color="auto" w:sz="4" w:space="0"/>
            </w:tcBorders>
            <w:shd w:val="clear" w:color="auto" w:fill="auto"/>
            <w:noWrap w:val="0"/>
            <w:vAlign w:val="center"/>
          </w:tcPr>
          <w:p w14:paraId="35925C43">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ascii="宋体" w:hAnsi="宋体" w:eastAsia="宋体" w:cs="宋体"/>
                <w:b w:val="0"/>
                <w:bCs/>
                <w:color w:val="auto"/>
                <w:sz w:val="20"/>
                <w:szCs w:val="20"/>
                <w:highlight w:val="none"/>
                <w:lang w:val="en-US" w:eastAsia="zh-CN"/>
              </w:rPr>
            </w:pPr>
            <w:r>
              <w:rPr>
                <w:rFonts w:hint="eastAsia" w:ascii="宋体" w:hAnsi="宋体" w:eastAsia="宋体" w:cs="宋体"/>
                <w:b w:val="0"/>
                <w:bCs/>
                <w:color w:val="auto"/>
                <w:sz w:val="20"/>
                <w:szCs w:val="20"/>
                <w:highlight w:val="none"/>
                <w:lang w:val="en-US" w:eastAsia="zh-CN"/>
              </w:rPr>
              <w:t>服务人员未做好保密工作，造成了信息泄露，信息泄露给采购方带来重大影响。</w:t>
            </w:r>
          </w:p>
        </w:tc>
        <w:tc>
          <w:tcPr>
            <w:tcW w:w="1065" w:type="dxa"/>
            <w:tcBorders>
              <w:top w:val="single" w:color="auto" w:sz="4" w:space="0"/>
              <w:left w:val="nil"/>
              <w:bottom w:val="single" w:color="auto" w:sz="4" w:space="0"/>
              <w:right w:val="single" w:color="auto" w:sz="4" w:space="0"/>
            </w:tcBorders>
            <w:noWrap w:val="0"/>
            <w:vAlign w:val="center"/>
          </w:tcPr>
          <w:p w14:paraId="134F997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w:t>
            </w:r>
            <w:r>
              <w:rPr>
                <w:rFonts w:hint="eastAsia" w:ascii="宋体" w:hAnsi="宋体" w:eastAsia="宋体" w:cs="宋体"/>
                <w:b w:val="0"/>
                <w:bCs w:val="0"/>
                <w:color w:val="auto"/>
                <w:sz w:val="20"/>
                <w:szCs w:val="20"/>
                <w:highlight w:val="none"/>
                <w:lang w:val="en-US" w:eastAsia="zh-CN"/>
              </w:rPr>
              <w:t>10</w:t>
            </w:r>
            <w:r>
              <w:rPr>
                <w:rFonts w:hint="eastAsia" w:ascii="宋体" w:hAnsi="宋体" w:eastAsia="宋体" w:cs="宋体"/>
                <w:b w:val="0"/>
                <w:bCs w:val="0"/>
                <w:color w:val="auto"/>
                <w:sz w:val="20"/>
                <w:szCs w:val="20"/>
                <w:highlight w:val="none"/>
              </w:rPr>
              <w:t>分/次</w:t>
            </w:r>
          </w:p>
        </w:tc>
        <w:tc>
          <w:tcPr>
            <w:tcW w:w="750" w:type="dxa"/>
            <w:tcBorders>
              <w:top w:val="single" w:color="auto" w:sz="4" w:space="0"/>
              <w:left w:val="nil"/>
              <w:bottom w:val="single" w:color="auto" w:sz="4" w:space="0"/>
              <w:right w:val="single" w:color="auto" w:sz="4" w:space="0"/>
            </w:tcBorders>
            <w:noWrap w:val="0"/>
            <w:vAlign w:val="top"/>
          </w:tcPr>
          <w:p w14:paraId="2E18537F">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c>
          <w:tcPr>
            <w:tcW w:w="779" w:type="dxa"/>
            <w:tcBorders>
              <w:top w:val="single" w:color="auto" w:sz="4" w:space="0"/>
              <w:left w:val="nil"/>
              <w:bottom w:val="single" w:color="auto" w:sz="4" w:space="0"/>
              <w:right w:val="single" w:color="auto" w:sz="4" w:space="0"/>
            </w:tcBorders>
            <w:noWrap w:val="0"/>
            <w:vAlign w:val="center"/>
          </w:tcPr>
          <w:p w14:paraId="5B4541CD">
            <w:pPr>
              <w:keepNext w:val="0"/>
              <w:keepLines w:val="0"/>
              <w:pageBreakBefore w:val="0"/>
              <w:widowControl w:val="0"/>
              <w:kinsoku/>
              <w:wordWrap/>
              <w:overflowPunct/>
              <w:topLinePunct w:val="0"/>
              <w:autoSpaceDE/>
              <w:autoSpaceDN/>
              <w:bidi w:val="0"/>
              <w:spacing w:line="240" w:lineRule="auto"/>
              <w:textAlignment w:val="auto"/>
              <w:rPr>
                <w:rFonts w:hint="eastAsia" w:ascii="宋体" w:hAnsi="宋体" w:eastAsia="宋体" w:cs="宋体"/>
                <w:b w:val="0"/>
                <w:bCs w:val="0"/>
                <w:color w:val="auto"/>
                <w:sz w:val="20"/>
                <w:szCs w:val="20"/>
                <w:highlight w:val="none"/>
              </w:rPr>
            </w:pPr>
          </w:p>
        </w:tc>
      </w:tr>
      <w:tr w14:paraId="61A0C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98" w:hRule="atLeast"/>
          <w:jc w:val="center"/>
        </w:trPr>
        <w:tc>
          <w:tcPr>
            <w:tcW w:w="9876"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DCBD80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6366D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98" w:hRule="atLeast"/>
          <w:jc w:val="center"/>
        </w:trPr>
        <w:tc>
          <w:tcPr>
            <w:tcW w:w="9876"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CD94FED">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3C0E4836">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201E3A7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54DB192D">
      <w:pPr>
        <w:rPr>
          <w:rFonts w:hint="eastAsia" w:ascii="宋体" w:hAnsi="宋体" w:cs="宋体"/>
          <w:color w:val="auto"/>
          <w:kern w:val="0"/>
          <w:sz w:val="20"/>
          <w:szCs w:val="20"/>
          <w:highlight w:val="none"/>
          <w:lang w:val="en-US" w:eastAsia="zh-CN"/>
        </w:rPr>
      </w:pPr>
      <w:bookmarkStart w:id="640" w:name="_Toc24108"/>
      <w:bookmarkStart w:id="641" w:name="_Toc4673"/>
      <w:bookmarkStart w:id="642" w:name="_Toc9587"/>
      <w:r>
        <w:rPr>
          <w:rFonts w:hint="eastAsia" w:ascii="宋体" w:hAnsi="宋体" w:cs="宋体"/>
          <w:color w:val="auto"/>
          <w:kern w:val="0"/>
          <w:sz w:val="20"/>
          <w:szCs w:val="20"/>
          <w:highlight w:val="none"/>
          <w:lang w:val="en-US" w:eastAsia="zh-CN"/>
        </w:rPr>
        <w:br w:type="page"/>
      </w:r>
    </w:p>
    <w:p w14:paraId="06E8EA56">
      <w:pPr>
        <w:pStyle w:val="4"/>
        <w:keepNext/>
        <w:keepLines/>
        <w:pageBreakBefore w:val="0"/>
        <w:widowControl w:val="0"/>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cs="宋体"/>
          <w:color w:val="auto"/>
          <w:kern w:val="0"/>
          <w:sz w:val="20"/>
          <w:szCs w:val="20"/>
          <w:highlight w:val="none"/>
          <w:lang w:val="en-US" w:eastAsia="zh-CN"/>
        </w:rPr>
      </w:pPr>
      <w:bookmarkStart w:id="643" w:name="_Toc342"/>
      <w:bookmarkStart w:id="644" w:name="_Toc6204"/>
      <w:r>
        <w:rPr>
          <w:rFonts w:hint="eastAsia" w:ascii="宋体" w:hAnsi="宋体" w:cs="宋体"/>
          <w:color w:val="auto"/>
          <w:kern w:val="0"/>
          <w:sz w:val="20"/>
          <w:szCs w:val="20"/>
          <w:highlight w:val="none"/>
          <w:lang w:val="en-US" w:eastAsia="zh-CN"/>
        </w:rPr>
        <w:t>（十九）行政后勤作业辅助管理服务</w:t>
      </w:r>
      <w:bookmarkEnd w:id="640"/>
      <w:bookmarkEnd w:id="641"/>
      <w:r>
        <w:rPr>
          <w:rFonts w:hint="eastAsia" w:ascii="宋体" w:hAnsi="宋体" w:cs="宋体"/>
          <w:color w:val="auto"/>
          <w:kern w:val="0"/>
          <w:sz w:val="20"/>
          <w:szCs w:val="20"/>
          <w:highlight w:val="none"/>
          <w:lang w:val="en-US" w:eastAsia="zh-CN"/>
        </w:rPr>
        <w:t>项目</w:t>
      </w:r>
      <w:bookmarkEnd w:id="643"/>
      <w:bookmarkEnd w:id="644"/>
    </w:p>
    <w:bookmarkEnd w:id="642"/>
    <w:p w14:paraId="19AC6B51">
      <w:pPr>
        <w:keepNext/>
        <w:keepLines/>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ascii="宋体" w:hAnsi="宋体" w:eastAsia="宋体" w:cs="宋体"/>
          <w:b/>
          <w:bCs/>
          <w:color w:val="auto"/>
          <w:sz w:val="20"/>
          <w:szCs w:val="20"/>
          <w:highlight w:val="none"/>
        </w:rPr>
      </w:pPr>
      <w:bookmarkStart w:id="645" w:name="_Toc26953"/>
      <w:bookmarkStart w:id="646" w:name="_Toc9433"/>
      <w:bookmarkStart w:id="647" w:name="_Toc11814"/>
      <w:bookmarkStart w:id="648" w:name="_Toc15356"/>
      <w:bookmarkStart w:id="649" w:name="_Toc32092"/>
      <w:bookmarkStart w:id="650" w:name="_Toc6570"/>
      <w:r>
        <w:rPr>
          <w:rFonts w:hint="eastAsia" w:ascii="宋体" w:hAnsi="宋体" w:eastAsia="宋体" w:cs="宋体"/>
          <w:b/>
          <w:bCs/>
          <w:color w:val="auto"/>
          <w:sz w:val="20"/>
          <w:szCs w:val="20"/>
          <w:highlight w:val="none"/>
          <w:lang w:val="en-US" w:eastAsia="zh-CN"/>
        </w:rPr>
        <w:t>1.</w:t>
      </w:r>
      <w:r>
        <w:rPr>
          <w:rFonts w:hint="eastAsia" w:ascii="宋体" w:hAnsi="宋体" w:eastAsia="宋体" w:cs="宋体"/>
          <w:b/>
          <w:bCs/>
          <w:color w:val="auto"/>
          <w:sz w:val="20"/>
          <w:szCs w:val="20"/>
          <w:highlight w:val="none"/>
        </w:rPr>
        <w:t>项目服务标准及要求</w:t>
      </w:r>
      <w:bookmarkEnd w:id="645"/>
      <w:bookmarkEnd w:id="646"/>
      <w:bookmarkEnd w:id="647"/>
      <w:bookmarkEnd w:id="648"/>
      <w:bookmarkEnd w:id="649"/>
      <w:bookmarkEnd w:id="650"/>
    </w:p>
    <w:p w14:paraId="75061FEB">
      <w:pPr>
        <w:keepNext/>
        <w:keepLines/>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ascii="宋体" w:hAnsi="宋体" w:eastAsia="宋体" w:cs="宋体"/>
          <w:b/>
          <w:bCs/>
          <w:color w:val="auto"/>
          <w:sz w:val="20"/>
          <w:szCs w:val="20"/>
          <w:highlight w:val="none"/>
        </w:rPr>
      </w:pPr>
      <w:bookmarkStart w:id="651" w:name="_Toc31702"/>
      <w:bookmarkStart w:id="652" w:name="_Toc1226"/>
      <w:bookmarkStart w:id="653" w:name="_Toc23400"/>
      <w:bookmarkStart w:id="654" w:name="_Toc32540"/>
      <w:bookmarkStart w:id="655" w:name="_Toc11828"/>
      <w:bookmarkStart w:id="656" w:name="_Toc24959"/>
      <w:r>
        <w:rPr>
          <w:rFonts w:hint="eastAsia" w:ascii="宋体" w:hAnsi="宋体" w:eastAsia="宋体" w:cs="宋体"/>
          <w:b/>
          <w:bCs/>
          <w:color w:val="auto"/>
          <w:sz w:val="20"/>
          <w:szCs w:val="20"/>
          <w:highlight w:val="none"/>
          <w:lang w:val="en-US" w:eastAsia="zh-CN"/>
        </w:rPr>
        <w:t>1.1</w:t>
      </w:r>
      <w:r>
        <w:rPr>
          <w:rFonts w:hint="eastAsia" w:ascii="宋体" w:hAnsi="宋体" w:eastAsia="宋体" w:cs="宋体"/>
          <w:b/>
          <w:bCs/>
          <w:color w:val="auto"/>
          <w:sz w:val="20"/>
          <w:szCs w:val="20"/>
          <w:highlight w:val="none"/>
        </w:rPr>
        <w:t>项目服务标准</w:t>
      </w:r>
      <w:bookmarkEnd w:id="651"/>
      <w:bookmarkEnd w:id="652"/>
      <w:bookmarkEnd w:id="653"/>
      <w:bookmarkEnd w:id="654"/>
      <w:bookmarkEnd w:id="655"/>
      <w:bookmarkEnd w:id="656"/>
    </w:p>
    <w:p w14:paraId="0DDBFE70">
      <w:pPr>
        <w:keepNext/>
        <w:keepLines/>
        <w:pageBreakBefore w:val="0"/>
        <w:widowControl w:val="0"/>
        <w:kinsoku/>
        <w:wordWrap/>
        <w:overflowPunct/>
        <w:topLinePunct w:val="0"/>
        <w:autoSpaceDE/>
        <w:autoSpaceDN/>
        <w:bidi w:val="0"/>
        <w:adjustRightInd/>
        <w:snapToGrid/>
        <w:spacing w:line="560" w:lineRule="exact"/>
        <w:ind w:firstLine="400" w:firstLineChars="200"/>
        <w:textAlignment w:val="auto"/>
        <w:outlineLvl w:val="9"/>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服务商在提供服务时，需按照如下标准执行，要求所用标准必须为最新版本，如果这些标准有矛盾时，应按最高标准的条款执行或按双方商定的标准执行。此外，如果在合同执行期间国家颁布新的标准时，应按最新的条款执行。</w:t>
      </w:r>
    </w:p>
    <w:p w14:paraId="53973DF5">
      <w:pPr>
        <w:spacing w:line="560" w:lineRule="exact"/>
        <w:jc w:val="center"/>
        <w:rPr>
          <w:b/>
          <w:bCs/>
          <w:color w:val="auto"/>
          <w:sz w:val="20"/>
          <w:szCs w:val="20"/>
          <w:highlight w:val="none"/>
        </w:rPr>
      </w:pPr>
      <w:r>
        <w:rPr>
          <w:rFonts w:hint="eastAsia"/>
          <w:b/>
          <w:bCs/>
          <w:color w:val="auto"/>
          <w:sz w:val="20"/>
          <w:szCs w:val="20"/>
          <w:highlight w:val="none"/>
        </w:rPr>
        <w:t>表：项目服务标准</w:t>
      </w:r>
    </w:p>
    <w:tbl>
      <w:tblPr>
        <w:tblStyle w:val="16"/>
        <w:tblW w:w="8220" w:type="dxa"/>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516"/>
      </w:tblGrid>
      <w:tr w14:paraId="0A21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blHeader/>
        </w:trPr>
        <w:tc>
          <w:tcPr>
            <w:tcW w:w="704" w:type="dxa"/>
            <w:vAlign w:val="center"/>
          </w:tcPr>
          <w:p w14:paraId="28FCC8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7516" w:type="dxa"/>
            <w:vAlign w:val="center"/>
          </w:tcPr>
          <w:p w14:paraId="0D47ED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rPr>
              <w:t>标准</w:t>
            </w:r>
            <w:r>
              <w:rPr>
                <w:rFonts w:hint="eastAsia" w:ascii="宋体" w:hAnsi="宋体" w:eastAsia="宋体" w:cs="宋体"/>
                <w:b/>
                <w:bCs/>
                <w:color w:val="auto"/>
                <w:sz w:val="20"/>
                <w:szCs w:val="20"/>
                <w:highlight w:val="none"/>
                <w:lang w:val="en-US" w:eastAsia="zh-CN"/>
              </w:rPr>
              <w:t>名称</w:t>
            </w:r>
          </w:p>
        </w:tc>
      </w:tr>
      <w:tr w14:paraId="418F5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vAlign w:val="center"/>
          </w:tcPr>
          <w:p w14:paraId="50729D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7516" w:type="dxa"/>
            <w:vAlign w:val="center"/>
          </w:tcPr>
          <w:p w14:paraId="70B59B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《建设工程监理规范》(GB 50300)</w:t>
            </w:r>
          </w:p>
        </w:tc>
      </w:tr>
      <w:tr w14:paraId="3C7E9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vAlign w:val="center"/>
          </w:tcPr>
          <w:p w14:paraId="6A0DD1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2</w:t>
            </w:r>
          </w:p>
        </w:tc>
        <w:tc>
          <w:tcPr>
            <w:tcW w:w="7516" w:type="dxa"/>
            <w:vAlign w:val="center"/>
          </w:tcPr>
          <w:p w14:paraId="5AA9F7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《工程监理资质认定规定》</w:t>
            </w:r>
          </w:p>
        </w:tc>
      </w:tr>
      <w:tr w14:paraId="4C0B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vAlign w:val="center"/>
          </w:tcPr>
          <w:p w14:paraId="07EB2E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3</w:t>
            </w:r>
          </w:p>
        </w:tc>
        <w:tc>
          <w:tcPr>
            <w:tcW w:w="7516" w:type="dxa"/>
            <w:vAlign w:val="center"/>
          </w:tcPr>
          <w:p w14:paraId="7D849F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《工程监理信息交换规范》</w:t>
            </w:r>
          </w:p>
        </w:tc>
      </w:tr>
      <w:tr w14:paraId="748E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vAlign w:val="center"/>
          </w:tcPr>
          <w:p w14:paraId="47E1DD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4</w:t>
            </w:r>
          </w:p>
        </w:tc>
        <w:tc>
          <w:tcPr>
            <w:tcW w:w="7516" w:type="dxa"/>
            <w:vAlign w:val="center"/>
          </w:tcPr>
          <w:p w14:paraId="5EFD4B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《工程建设项目监理管理办法》</w:t>
            </w:r>
          </w:p>
        </w:tc>
      </w:tr>
      <w:tr w14:paraId="3A5C9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vAlign w:val="center"/>
          </w:tcPr>
          <w:p w14:paraId="6E7F96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5</w:t>
            </w:r>
          </w:p>
        </w:tc>
        <w:tc>
          <w:tcPr>
            <w:tcW w:w="7516" w:type="dxa"/>
            <w:vAlign w:val="center"/>
          </w:tcPr>
          <w:p w14:paraId="7708B1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《建设工程质量检验与评定标准》（GBT 20230-2018）</w:t>
            </w:r>
          </w:p>
        </w:tc>
      </w:tr>
      <w:tr w14:paraId="22AFB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vAlign w:val="center"/>
          </w:tcPr>
          <w:p w14:paraId="7EB1C60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6</w:t>
            </w:r>
          </w:p>
        </w:tc>
        <w:tc>
          <w:tcPr>
            <w:tcW w:w="7516" w:type="dxa"/>
            <w:vAlign w:val="center"/>
          </w:tcPr>
          <w:p w14:paraId="00CCB0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《建筑工程监理规范》（JGJ 53-2014）</w:t>
            </w:r>
          </w:p>
        </w:tc>
      </w:tr>
      <w:tr w14:paraId="4A065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vAlign w:val="center"/>
          </w:tcPr>
          <w:p w14:paraId="6352A1F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7</w:t>
            </w:r>
          </w:p>
        </w:tc>
        <w:tc>
          <w:tcPr>
            <w:tcW w:w="7516" w:type="dxa"/>
            <w:vAlign w:val="center"/>
          </w:tcPr>
          <w:p w14:paraId="2464A4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《建设工程监理技术规范》</w:t>
            </w:r>
          </w:p>
        </w:tc>
      </w:tr>
      <w:tr w14:paraId="6155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vAlign w:val="center"/>
          </w:tcPr>
          <w:p w14:paraId="42FF5F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8</w:t>
            </w:r>
          </w:p>
        </w:tc>
        <w:tc>
          <w:tcPr>
            <w:tcW w:w="7516" w:type="dxa"/>
            <w:vAlign w:val="center"/>
          </w:tcPr>
          <w:p w14:paraId="44760D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kern w:val="2"/>
                <w:sz w:val="20"/>
                <w:szCs w:val="20"/>
                <w:highlight w:val="none"/>
                <w:lang w:val="en-US" w:eastAsia="zh-CN" w:bidi="ar-SA"/>
              </w:rPr>
              <w:t>《建筑工程监理程序规范》（GB 50769）</w:t>
            </w:r>
          </w:p>
        </w:tc>
      </w:tr>
      <w:tr w14:paraId="709D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vAlign w:val="center"/>
          </w:tcPr>
          <w:p w14:paraId="28EAEB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9</w:t>
            </w:r>
          </w:p>
        </w:tc>
        <w:tc>
          <w:tcPr>
            <w:tcW w:w="7516" w:type="dxa"/>
            <w:vAlign w:val="center"/>
          </w:tcPr>
          <w:p w14:paraId="2C379D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《工业厂房可靠性鉴定标准》（GB/T 50002-2017）</w:t>
            </w:r>
          </w:p>
        </w:tc>
      </w:tr>
      <w:tr w14:paraId="08BDF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BC96C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10</w:t>
            </w:r>
          </w:p>
        </w:tc>
        <w:tc>
          <w:tcPr>
            <w:tcW w:w="7516" w:type="dxa"/>
            <w:vAlign w:val="center"/>
          </w:tcPr>
          <w:p w14:paraId="56F9A9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《技术改造项目施工与验收监理规程》(GB/T 50317)</w:t>
            </w:r>
          </w:p>
        </w:tc>
      </w:tr>
      <w:tr w14:paraId="15D5D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91F37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11</w:t>
            </w:r>
          </w:p>
        </w:tc>
        <w:tc>
          <w:tcPr>
            <w:tcW w:w="7516" w:type="dxa"/>
            <w:vAlign w:val="center"/>
          </w:tcPr>
          <w:p w14:paraId="41E9C1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《建设工程质量验收规范》(GB 50203)</w:t>
            </w:r>
          </w:p>
        </w:tc>
      </w:tr>
      <w:tr w14:paraId="64A8F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6AEDB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12</w:t>
            </w:r>
          </w:p>
        </w:tc>
        <w:tc>
          <w:tcPr>
            <w:tcW w:w="7516" w:type="dxa"/>
            <w:vAlign w:val="center"/>
          </w:tcPr>
          <w:p w14:paraId="4E2703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《建设工程竣工结算编制与审核规范》(GB 50500)</w:t>
            </w:r>
          </w:p>
        </w:tc>
      </w:tr>
      <w:tr w14:paraId="00F7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D2EDE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w:t>
            </w:r>
          </w:p>
        </w:tc>
        <w:tc>
          <w:tcPr>
            <w:tcW w:w="7516" w:type="dxa"/>
            <w:vAlign w:val="center"/>
          </w:tcPr>
          <w:p w14:paraId="66C1CE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《建筑工程施工合同范本》(GB 50209)</w:t>
            </w:r>
          </w:p>
        </w:tc>
      </w:tr>
      <w:tr w14:paraId="33A1D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3348A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14</w:t>
            </w:r>
          </w:p>
        </w:tc>
        <w:tc>
          <w:tcPr>
            <w:tcW w:w="7516" w:type="dxa"/>
            <w:vAlign w:val="center"/>
          </w:tcPr>
          <w:p w14:paraId="0A598E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《建筑工程监理实施细则》</w:t>
            </w:r>
          </w:p>
        </w:tc>
      </w:tr>
    </w:tbl>
    <w:p w14:paraId="4D9A366E">
      <w:pPr>
        <w:keepNext/>
        <w:keepLines/>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auto"/>
          <w:sz w:val="20"/>
          <w:szCs w:val="20"/>
          <w:highlight w:val="none"/>
        </w:rPr>
      </w:pPr>
      <w:bookmarkStart w:id="657" w:name="_Toc12783"/>
      <w:bookmarkStart w:id="658" w:name="_Toc24564"/>
      <w:bookmarkStart w:id="659" w:name="_Toc5140"/>
      <w:bookmarkStart w:id="660" w:name="_Toc6828"/>
      <w:bookmarkStart w:id="661" w:name="_Toc32376"/>
      <w:bookmarkStart w:id="662" w:name="_Toc22274"/>
      <w:r>
        <w:rPr>
          <w:rFonts w:hint="eastAsia" w:ascii="宋体" w:hAnsi="宋体" w:eastAsia="宋体" w:cs="宋体"/>
          <w:b/>
          <w:bCs/>
          <w:color w:val="auto"/>
          <w:sz w:val="20"/>
          <w:szCs w:val="20"/>
          <w:highlight w:val="none"/>
          <w:lang w:val="en-US" w:eastAsia="zh-CN"/>
        </w:rPr>
        <w:t>1.2</w:t>
      </w:r>
      <w:r>
        <w:rPr>
          <w:rFonts w:hint="eastAsia" w:ascii="宋体" w:hAnsi="宋体" w:eastAsia="宋体" w:cs="宋体"/>
          <w:b/>
          <w:bCs/>
          <w:color w:val="auto"/>
          <w:sz w:val="20"/>
          <w:szCs w:val="20"/>
          <w:highlight w:val="none"/>
        </w:rPr>
        <w:t>项目服务要求</w:t>
      </w:r>
      <w:bookmarkEnd w:id="657"/>
      <w:bookmarkEnd w:id="658"/>
      <w:bookmarkEnd w:id="659"/>
      <w:bookmarkEnd w:id="660"/>
      <w:bookmarkEnd w:id="661"/>
      <w:bookmarkEnd w:id="662"/>
    </w:p>
    <w:p w14:paraId="3E765225">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1.2.1合同实施前，服务商应对采购方的具体状况进行全面摸查和调查，根据摸查情况，应指派专人进行对接。</w:t>
      </w:r>
    </w:p>
    <w:p w14:paraId="62557526">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1.2.2为保证工作正常有序开展，服务商必须按照采购方具体工作要求执行，按时按质地提供相关服务。</w:t>
      </w:r>
    </w:p>
    <w:p w14:paraId="763829DB">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1.2.3服务商应提供24小时的响应接收渠道（热线电话、微信、传真、电子邮件等）。采购方在提出需求后，服务商应在1小时内作出响应，并派出专业的服务人员按采购方的时间要求提供服务。如果未能按规定时间内提供服务的，应与采购方协商解决。</w:t>
      </w:r>
    </w:p>
    <w:p w14:paraId="6767ED67">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1.2.4如遇到不能及时解决的紧急事情，服务商在不影响采购方正常工作的前提下应提供解决建议和解决方案，经采购方同意后作为临时应急措施进行实施。</w:t>
      </w:r>
    </w:p>
    <w:p w14:paraId="46EF2D8B">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1.2.5服务期间，服务商需填写服务活动记录表，并经采购方值班人员或管理员核实签字认可,作为结算的重要依据。</w:t>
      </w:r>
    </w:p>
    <w:p w14:paraId="2968E0B1">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1.2.6服务商负责制定服务范围内紧急事件的工作预案，经服务商和采购方双方审定后由服务商组织实施；在发生紧急事件时，服务商须立即委派经应急培训后合格的人员妥善处理。</w:t>
      </w:r>
    </w:p>
    <w:p w14:paraId="7459941F">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1.2.7服务商应根据项目需求配备专业的服务人员，服务人员应具备项目所需的丰富经验，且应持有国家法规和行业要求的相关的资质证书、从业资格证等。</w:t>
      </w:r>
    </w:p>
    <w:p w14:paraId="0395A442">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1.2.8服务商应配备足够的可随时调遣的后备服务人员，以便随时响应采购方的临时及紧急的工作安排，后备人员也应具备相应的资质证书、从业资格证等。</w:t>
      </w:r>
    </w:p>
    <w:p w14:paraId="63BC926D">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1.2.9服务商应建立规范的档案管理制度，设立专人负责妥善保管和正确使用本合同范围内档案资料。</w:t>
      </w:r>
    </w:p>
    <w:p w14:paraId="0DF51D46">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1.2.10服务商加强人员管理，合理安排人员，保障项目服务的工作进度。确因不可抗力影响项目服务实施，需与采购人协商修订项目服务实施计划，达成一致后执行。</w:t>
      </w:r>
    </w:p>
    <w:p w14:paraId="7400E9B2">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1.2.11根据采购方的需求，提供在服务范围内的相关指导或培训，使采购方相关人员能掌握对应的基础知识或操作方法，达到能独立开展日常基础工作。</w:t>
      </w:r>
    </w:p>
    <w:p w14:paraId="7EA67400">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1.2.12服务商必须建立健全严格的安全管理制度，在开展服务工作中严格执行安全管理规定。在服务期间，服务商应负责落实现场安全防护措施，建立可靠的安全防护措施，保证安全作业。如因非采购方原因导致的安全问题，由服务商承担责任，并按国家法律法规及相关要求进行赔偿。</w:t>
      </w:r>
    </w:p>
    <w:p w14:paraId="1AC60B63">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1.2.13服务商应严格遵守有关法律法规和采购方内部规章制度，不得擅自翻阅、复制、传播所接触的资料或数据，禁止窥窃采购方任何信息。服务商应对采购方作出保密承诺，并负责约束有关员工的保密工作。</w:t>
      </w:r>
    </w:p>
    <w:p w14:paraId="518B90EC">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1.2.14服务商应建立健全的各项规章制度，提高服务管理水平（包含但不限于安全生产责任及管理制度、质量安全及事故呈报与处理制度、回访制度等）。</w:t>
      </w:r>
    </w:p>
    <w:p w14:paraId="6683DB5E">
      <w:pPr>
        <w:spacing w:line="560" w:lineRule="exact"/>
        <w:ind w:firstLine="402" w:firstLineChars="200"/>
        <w:outlineLvl w:val="0"/>
        <w:rPr>
          <w:rFonts w:hint="eastAsia" w:eastAsiaTheme="minorEastAsia"/>
          <w:b/>
          <w:bCs/>
          <w:color w:val="auto"/>
          <w:sz w:val="20"/>
          <w:szCs w:val="20"/>
          <w:highlight w:val="none"/>
          <w:lang w:eastAsia="zh-CN"/>
        </w:rPr>
      </w:pPr>
      <w:bookmarkStart w:id="663" w:name="_Toc18007"/>
      <w:bookmarkStart w:id="664" w:name="_Toc6632"/>
      <w:bookmarkStart w:id="665" w:name="_Toc27968"/>
      <w:bookmarkStart w:id="666" w:name="_Toc22305"/>
      <w:bookmarkStart w:id="667" w:name="_Toc18678"/>
      <w:r>
        <w:rPr>
          <w:rFonts w:hint="eastAsia"/>
          <w:b/>
          <w:bCs/>
          <w:color w:val="auto"/>
          <w:sz w:val="20"/>
          <w:szCs w:val="20"/>
          <w:highlight w:val="none"/>
          <w:lang w:val="en-US" w:eastAsia="zh-CN"/>
        </w:rPr>
        <w:t>2.</w:t>
      </w:r>
      <w:bookmarkEnd w:id="663"/>
      <w:r>
        <w:rPr>
          <w:rFonts w:hint="eastAsia"/>
          <w:b/>
          <w:bCs/>
          <w:color w:val="auto"/>
          <w:sz w:val="20"/>
          <w:szCs w:val="20"/>
          <w:highlight w:val="none"/>
          <w:lang w:eastAsia="zh-CN"/>
        </w:rPr>
        <w:t>具体工作要求</w:t>
      </w:r>
      <w:bookmarkEnd w:id="664"/>
      <w:bookmarkEnd w:id="665"/>
      <w:bookmarkEnd w:id="666"/>
      <w:bookmarkEnd w:id="667"/>
    </w:p>
    <w:tbl>
      <w:tblPr>
        <w:tblStyle w:val="16"/>
        <w:tblW w:w="8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320"/>
        <w:gridCol w:w="5345"/>
      </w:tblGrid>
      <w:tr w14:paraId="4D7E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blHeader/>
        </w:trPr>
        <w:tc>
          <w:tcPr>
            <w:tcW w:w="733" w:type="dxa"/>
            <w:vAlign w:val="center"/>
          </w:tcPr>
          <w:p w14:paraId="69F22C8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序号</w:t>
            </w:r>
          </w:p>
        </w:tc>
        <w:tc>
          <w:tcPr>
            <w:tcW w:w="2320" w:type="dxa"/>
            <w:vAlign w:val="center"/>
          </w:tcPr>
          <w:p w14:paraId="7B4162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工作内容</w:t>
            </w:r>
          </w:p>
        </w:tc>
        <w:tc>
          <w:tcPr>
            <w:tcW w:w="5345" w:type="dxa"/>
            <w:vAlign w:val="center"/>
          </w:tcPr>
          <w:p w14:paraId="17188C2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i w:val="0"/>
                <w:color w:val="auto"/>
                <w:kern w:val="0"/>
                <w:sz w:val="20"/>
                <w:szCs w:val="20"/>
                <w:highlight w:val="none"/>
                <w:u w:val="none"/>
                <w:lang w:val="en-US" w:eastAsia="zh-CN" w:bidi="ar"/>
              </w:rPr>
            </w:pPr>
            <w:r>
              <w:rPr>
                <w:rFonts w:hint="eastAsia" w:ascii="宋体" w:hAnsi="宋体" w:eastAsia="宋体" w:cs="宋体"/>
                <w:b/>
                <w:i w:val="0"/>
                <w:color w:val="auto"/>
                <w:kern w:val="0"/>
                <w:sz w:val="20"/>
                <w:szCs w:val="20"/>
                <w:highlight w:val="none"/>
                <w:u w:val="none"/>
                <w:lang w:val="en-US" w:eastAsia="zh-CN" w:bidi="ar"/>
              </w:rPr>
              <w:t>具体要求</w:t>
            </w:r>
          </w:p>
        </w:tc>
      </w:tr>
      <w:tr w14:paraId="12BA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8" w:hRule="atLeast"/>
        </w:trPr>
        <w:tc>
          <w:tcPr>
            <w:tcW w:w="733" w:type="dxa"/>
            <w:vAlign w:val="center"/>
          </w:tcPr>
          <w:p w14:paraId="10A30A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1</w:t>
            </w:r>
          </w:p>
        </w:tc>
        <w:tc>
          <w:tcPr>
            <w:tcW w:w="2320" w:type="dxa"/>
            <w:vAlign w:val="center"/>
          </w:tcPr>
          <w:p w14:paraId="444EF46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项目施工前期阶段</w:t>
            </w:r>
          </w:p>
        </w:tc>
        <w:tc>
          <w:tcPr>
            <w:tcW w:w="5345" w:type="dxa"/>
            <w:vAlign w:val="center"/>
          </w:tcPr>
          <w:p w14:paraId="7DA97E3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b/>
                <w:bCs/>
                <w:i w:val="0"/>
                <w:color w:val="auto"/>
                <w:kern w:val="0"/>
                <w:sz w:val="20"/>
                <w:szCs w:val="20"/>
                <w:highlight w:val="none"/>
                <w:u w:val="none"/>
                <w:lang w:val="en-US" w:eastAsia="zh-CN" w:bidi="ar"/>
              </w:rPr>
              <w:t>1.</w:t>
            </w:r>
            <w:r>
              <w:rPr>
                <w:rFonts w:hint="eastAsia" w:ascii="宋体" w:hAnsi="宋体" w:eastAsia="宋体" w:cs="宋体"/>
                <w:i w:val="0"/>
                <w:color w:val="auto"/>
                <w:kern w:val="0"/>
                <w:sz w:val="20"/>
                <w:szCs w:val="20"/>
                <w:highlight w:val="none"/>
                <w:u w:val="none"/>
                <w:lang w:val="en-US" w:eastAsia="zh-CN" w:bidi="ar"/>
              </w:rPr>
              <w:t>在项目的前期阶段，协管单位应会同采购方对项目的背景、必要性、技术可行性、市场预测等方面进行全面分析和论证，制定合理的现场监督方案和监督计划，为后续工作提供依据。</w:t>
            </w:r>
            <w:r>
              <w:rPr>
                <w:rFonts w:hint="eastAsia" w:ascii="宋体" w:hAnsi="宋体" w:eastAsia="宋体" w:cs="宋体"/>
                <w:b/>
                <w:bCs/>
                <w:i w:val="0"/>
                <w:color w:val="auto"/>
                <w:kern w:val="0"/>
                <w:sz w:val="20"/>
                <w:szCs w:val="20"/>
                <w:highlight w:val="none"/>
                <w:u w:val="none"/>
                <w:lang w:val="en-US" w:eastAsia="zh-CN" w:bidi="ar"/>
              </w:rPr>
              <w:t>2.</w:t>
            </w:r>
            <w:r>
              <w:rPr>
                <w:rFonts w:hint="eastAsia" w:ascii="宋体" w:hAnsi="宋体" w:eastAsia="宋体" w:cs="宋体"/>
                <w:i w:val="0"/>
                <w:color w:val="auto"/>
                <w:kern w:val="0"/>
                <w:sz w:val="20"/>
                <w:szCs w:val="20"/>
                <w:highlight w:val="none"/>
                <w:u w:val="none"/>
                <w:lang w:val="en-US" w:eastAsia="zh-CN" w:bidi="ar"/>
              </w:rPr>
              <w:t>协助采购方对施工方的项目预算进行审核，对项目预算不规范不合理及时向采购方反馈并提出意见建议，并敦促施工方规范合理预算；</w:t>
            </w:r>
            <w:r>
              <w:rPr>
                <w:rFonts w:hint="eastAsia" w:ascii="宋体" w:hAnsi="宋体" w:eastAsia="宋体" w:cs="宋体"/>
                <w:b/>
                <w:bCs/>
                <w:i w:val="0"/>
                <w:color w:val="auto"/>
                <w:kern w:val="0"/>
                <w:sz w:val="20"/>
                <w:szCs w:val="20"/>
                <w:highlight w:val="none"/>
                <w:u w:val="none"/>
                <w:lang w:val="en-US" w:eastAsia="zh-CN" w:bidi="ar"/>
              </w:rPr>
              <w:t>3.</w:t>
            </w:r>
            <w:r>
              <w:rPr>
                <w:rFonts w:hint="eastAsia" w:ascii="宋体" w:hAnsi="宋体" w:eastAsia="宋体" w:cs="宋体"/>
                <w:i w:val="0"/>
                <w:color w:val="auto"/>
                <w:kern w:val="0"/>
                <w:sz w:val="20"/>
                <w:szCs w:val="20"/>
                <w:highlight w:val="none"/>
                <w:u w:val="none"/>
                <w:lang w:val="en-US" w:eastAsia="zh-CN" w:bidi="ar"/>
              </w:rPr>
              <w:t>协助采购方对项目开工资料进行审核，审核项目资料正确性及规范性，施工方案的合理性、正确性性，严格审核施工工艺及施工安全措施，确保施工作业高效、安全、质量可靠的完成做好准备。</w:t>
            </w:r>
          </w:p>
        </w:tc>
      </w:tr>
      <w:tr w14:paraId="62FBD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1" w:hRule="atLeast"/>
        </w:trPr>
        <w:tc>
          <w:tcPr>
            <w:tcW w:w="733" w:type="dxa"/>
            <w:vAlign w:val="center"/>
          </w:tcPr>
          <w:p w14:paraId="13A8431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2</w:t>
            </w:r>
          </w:p>
        </w:tc>
        <w:tc>
          <w:tcPr>
            <w:tcW w:w="2320" w:type="dxa"/>
            <w:vAlign w:val="center"/>
          </w:tcPr>
          <w:p w14:paraId="024096F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施工阶段</w:t>
            </w:r>
          </w:p>
        </w:tc>
        <w:tc>
          <w:tcPr>
            <w:tcW w:w="5345" w:type="dxa"/>
            <w:vAlign w:val="center"/>
          </w:tcPr>
          <w:p w14:paraId="0712301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b/>
                <w:bCs/>
                <w:i w:val="0"/>
                <w:color w:val="auto"/>
                <w:kern w:val="0"/>
                <w:sz w:val="20"/>
                <w:szCs w:val="20"/>
                <w:highlight w:val="none"/>
                <w:u w:val="none"/>
                <w:lang w:val="en-US" w:eastAsia="zh-CN" w:bidi="ar"/>
              </w:rPr>
              <w:t>1.</w:t>
            </w:r>
            <w:r>
              <w:rPr>
                <w:rFonts w:hint="eastAsia" w:ascii="宋体" w:hAnsi="宋体" w:eastAsia="宋体" w:cs="宋体"/>
                <w:i w:val="0"/>
                <w:color w:val="auto"/>
                <w:kern w:val="0"/>
                <w:sz w:val="20"/>
                <w:szCs w:val="20"/>
                <w:highlight w:val="none"/>
                <w:u w:val="none"/>
                <w:lang w:val="en-US" w:eastAsia="zh-CN" w:bidi="ar"/>
              </w:rPr>
              <w:t>在项目的施工阶段，协助管理单位应对施工过程进行全面监督和管理，监督施工单位按照施工设计施工方案进行施工，对关键施工工序及隐蔽工程应落实旁站制度，做好记录，确保施工过程符合相关的技术标准和规范要求，同时对施工质量进行抽检，确保施工质量符合要求。</w:t>
            </w:r>
            <w:r>
              <w:rPr>
                <w:rFonts w:hint="eastAsia" w:ascii="宋体" w:hAnsi="宋体" w:eastAsia="宋体" w:cs="宋体"/>
                <w:b/>
                <w:bCs/>
                <w:i w:val="0"/>
                <w:color w:val="auto"/>
                <w:kern w:val="0"/>
                <w:sz w:val="20"/>
                <w:szCs w:val="20"/>
                <w:highlight w:val="none"/>
                <w:u w:val="none"/>
                <w:lang w:val="en-US" w:eastAsia="zh-CN" w:bidi="ar"/>
              </w:rPr>
              <w:t>2.</w:t>
            </w:r>
            <w:r>
              <w:rPr>
                <w:rFonts w:hint="eastAsia" w:ascii="宋体" w:hAnsi="宋体" w:eastAsia="宋体" w:cs="宋体"/>
                <w:i w:val="0"/>
                <w:color w:val="auto"/>
                <w:kern w:val="0"/>
                <w:sz w:val="20"/>
                <w:szCs w:val="20"/>
                <w:highlight w:val="none"/>
                <w:u w:val="none"/>
                <w:lang w:val="en-US" w:eastAsia="zh-CN" w:bidi="ar"/>
              </w:rPr>
              <w:t>在项目施工过程中，遇特殊情况，施工单位无法按原有施工设计施工方案继续进行施工的，应及时了解原因，并汇报采购方，协助采购方、施工单位做好解决方案。</w:t>
            </w:r>
          </w:p>
        </w:tc>
      </w:tr>
      <w:tr w14:paraId="004CD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trPr>
        <w:tc>
          <w:tcPr>
            <w:tcW w:w="733" w:type="dxa"/>
            <w:vAlign w:val="center"/>
          </w:tcPr>
          <w:p w14:paraId="727F630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3</w:t>
            </w:r>
          </w:p>
        </w:tc>
        <w:tc>
          <w:tcPr>
            <w:tcW w:w="2320" w:type="dxa"/>
            <w:vAlign w:val="center"/>
          </w:tcPr>
          <w:p w14:paraId="640034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工程质量监督</w:t>
            </w:r>
          </w:p>
        </w:tc>
        <w:tc>
          <w:tcPr>
            <w:tcW w:w="5345" w:type="dxa"/>
            <w:vAlign w:val="center"/>
          </w:tcPr>
          <w:p w14:paraId="621E291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协助管理人员应在施工过程中对工程质量进行监督，包括对施工过程的各个环节进行检查，对施工材料与配件质量进行抽检，对施工关键工序及隐蔽工程进行旁站等，防止施工方在施工过程偷工减料、以次充好，导致工程质量出现问题。</w:t>
            </w:r>
          </w:p>
        </w:tc>
      </w:tr>
      <w:tr w14:paraId="44CA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trPr>
        <w:tc>
          <w:tcPr>
            <w:tcW w:w="733" w:type="dxa"/>
            <w:vAlign w:val="center"/>
          </w:tcPr>
          <w:p w14:paraId="1348E49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4</w:t>
            </w:r>
          </w:p>
        </w:tc>
        <w:tc>
          <w:tcPr>
            <w:tcW w:w="2320" w:type="dxa"/>
            <w:vAlign w:val="center"/>
          </w:tcPr>
          <w:p w14:paraId="492297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工程进度监督</w:t>
            </w:r>
          </w:p>
        </w:tc>
        <w:tc>
          <w:tcPr>
            <w:tcW w:w="5345" w:type="dxa"/>
            <w:vAlign w:val="center"/>
          </w:tcPr>
          <w:p w14:paraId="7321841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协助管理人员应监督施工单位按照施工方案开展施工，并按行政后勤现场作业要求，对工程施工进度编辑月计划周计划上报，按计划开展施工，协助管理人员对现场作业计划进行跟踪和记录。</w:t>
            </w:r>
          </w:p>
        </w:tc>
      </w:tr>
      <w:tr w14:paraId="4AAD6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6" w:hRule="atLeast"/>
        </w:trPr>
        <w:tc>
          <w:tcPr>
            <w:tcW w:w="733" w:type="dxa"/>
            <w:vAlign w:val="center"/>
          </w:tcPr>
          <w:p w14:paraId="37E4F62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5</w:t>
            </w:r>
          </w:p>
        </w:tc>
        <w:tc>
          <w:tcPr>
            <w:tcW w:w="2320" w:type="dxa"/>
            <w:vAlign w:val="center"/>
          </w:tcPr>
          <w:p w14:paraId="3FE58C2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竣工阶段</w:t>
            </w:r>
          </w:p>
        </w:tc>
        <w:tc>
          <w:tcPr>
            <w:tcW w:w="5345" w:type="dxa"/>
            <w:vAlign w:val="center"/>
          </w:tcPr>
          <w:p w14:paraId="468FF91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b/>
                <w:bCs/>
                <w:i w:val="0"/>
                <w:color w:val="auto"/>
                <w:kern w:val="0"/>
                <w:sz w:val="20"/>
                <w:szCs w:val="20"/>
                <w:highlight w:val="none"/>
                <w:u w:val="none"/>
                <w:lang w:val="en-US" w:eastAsia="zh-CN" w:bidi="ar"/>
              </w:rPr>
              <w:t>1.</w:t>
            </w:r>
            <w:r>
              <w:rPr>
                <w:rFonts w:hint="eastAsia" w:ascii="宋体" w:hAnsi="宋体" w:eastAsia="宋体" w:cs="宋体"/>
                <w:i w:val="0"/>
                <w:color w:val="auto"/>
                <w:kern w:val="0"/>
                <w:sz w:val="20"/>
                <w:szCs w:val="20"/>
                <w:highlight w:val="none"/>
                <w:u w:val="none"/>
                <w:lang w:val="en-US" w:eastAsia="zh-CN" w:bidi="ar"/>
              </w:rPr>
              <w:t>在收到施工方的《项目完工工程量清单》后，协助管理人员应结合施工现场监督相关资料记录对工程量清单逐项审核，有异议的及时与施工方核准并敦促施工方修改工程量清单；</w:t>
            </w:r>
            <w:r>
              <w:rPr>
                <w:rFonts w:hint="eastAsia" w:ascii="宋体" w:hAnsi="宋体" w:eastAsia="宋体" w:cs="宋体"/>
                <w:b/>
                <w:bCs/>
                <w:i w:val="0"/>
                <w:color w:val="auto"/>
                <w:kern w:val="0"/>
                <w:sz w:val="20"/>
                <w:szCs w:val="20"/>
                <w:highlight w:val="none"/>
                <w:u w:val="none"/>
                <w:lang w:val="en-US" w:eastAsia="zh-CN" w:bidi="ar"/>
              </w:rPr>
              <w:t>2.</w:t>
            </w:r>
            <w:r>
              <w:rPr>
                <w:rFonts w:hint="eastAsia" w:ascii="宋体" w:hAnsi="宋体" w:eastAsia="宋体" w:cs="宋体"/>
                <w:i w:val="0"/>
                <w:color w:val="auto"/>
                <w:kern w:val="0"/>
                <w:sz w:val="20"/>
                <w:szCs w:val="20"/>
                <w:highlight w:val="none"/>
                <w:u w:val="none"/>
                <w:lang w:val="en-US" w:eastAsia="zh-CN" w:bidi="ar"/>
              </w:rPr>
              <w:t>协助采购方对项目开展竣工验收，对项目竣工验收存在缺陷做好记录并敦促施工方整改消缺，对验收后工程量进行核对，敦促施工方修改《项目完工工程量清单》；</w:t>
            </w:r>
            <w:r>
              <w:rPr>
                <w:rFonts w:hint="eastAsia" w:ascii="宋体" w:hAnsi="宋体" w:eastAsia="宋体" w:cs="宋体"/>
                <w:b/>
                <w:bCs/>
                <w:i w:val="0"/>
                <w:color w:val="auto"/>
                <w:kern w:val="0"/>
                <w:sz w:val="20"/>
                <w:szCs w:val="20"/>
                <w:highlight w:val="none"/>
                <w:u w:val="none"/>
                <w:lang w:val="en-US" w:eastAsia="zh-CN" w:bidi="ar"/>
              </w:rPr>
              <w:t>3.</w:t>
            </w:r>
            <w:r>
              <w:rPr>
                <w:rFonts w:hint="eastAsia" w:ascii="宋体" w:hAnsi="宋体" w:eastAsia="宋体" w:cs="宋体"/>
                <w:i w:val="0"/>
                <w:color w:val="auto"/>
                <w:kern w:val="0"/>
                <w:sz w:val="20"/>
                <w:szCs w:val="20"/>
                <w:highlight w:val="none"/>
                <w:u w:val="none"/>
                <w:lang w:val="en-US" w:eastAsia="zh-CN" w:bidi="ar"/>
              </w:rPr>
              <w:t>审核施工方提交的竣工资料，审核竣工资料的准确、完整、规范性。</w:t>
            </w:r>
          </w:p>
        </w:tc>
      </w:tr>
      <w:tr w14:paraId="1C39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33" w:type="dxa"/>
            <w:vAlign w:val="center"/>
          </w:tcPr>
          <w:p w14:paraId="748D0D5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6</w:t>
            </w:r>
          </w:p>
        </w:tc>
        <w:tc>
          <w:tcPr>
            <w:tcW w:w="2320" w:type="dxa"/>
            <w:vAlign w:val="center"/>
          </w:tcPr>
          <w:p w14:paraId="23645DC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安全生产监督</w:t>
            </w:r>
          </w:p>
        </w:tc>
        <w:tc>
          <w:tcPr>
            <w:tcW w:w="5345" w:type="dxa"/>
            <w:vAlign w:val="center"/>
          </w:tcPr>
          <w:p w14:paraId="665B9980">
            <w:pPr>
              <w:jc w:val="center"/>
              <w:outlineLvl w:val="0"/>
              <w:rPr>
                <w:rFonts w:hint="eastAsia" w:eastAsia="宋体"/>
                <w:b w:val="0"/>
                <w:bCs w:val="0"/>
                <w:color w:val="auto"/>
                <w:sz w:val="20"/>
                <w:szCs w:val="20"/>
                <w:highlight w:val="none"/>
                <w:lang w:eastAsia="zh-CN"/>
              </w:rPr>
            </w:pPr>
            <w:bookmarkStart w:id="668" w:name="_Toc21616"/>
            <w:bookmarkStart w:id="669" w:name="_Toc22499"/>
            <w:bookmarkStart w:id="670" w:name="_Toc28379"/>
            <w:bookmarkStart w:id="671" w:name="_Toc21534"/>
            <w:bookmarkStart w:id="672" w:name="_Toc4142"/>
            <w:bookmarkStart w:id="673" w:name="_Toc31076"/>
            <w:r>
              <w:rPr>
                <w:rFonts w:hint="eastAsia" w:ascii="宋体" w:hAnsi="宋体" w:eastAsia="宋体" w:cs="宋体"/>
                <w:i w:val="0"/>
                <w:color w:val="auto"/>
                <w:kern w:val="0"/>
                <w:sz w:val="20"/>
                <w:szCs w:val="20"/>
                <w:highlight w:val="none"/>
                <w:u w:val="none"/>
                <w:lang w:val="en-US" w:eastAsia="zh-CN" w:bidi="ar"/>
              </w:rPr>
              <w:t>协助管理人员应加强对施工现场的安全监督：1.检查监督施工方对施工现场安全生产措施的落实，是否满足现场安全施工要求，对存在的安全隐患及时提出整改，确保施工现场安全；2.对检查发现违反安全生产行为及时制止并做好记录，保存证据，同时上报采购方，协助采购方依据《</w:t>
            </w:r>
            <w:r>
              <w:rPr>
                <w:rFonts w:hint="eastAsia" w:eastAsia="宋体"/>
                <w:b w:val="0"/>
                <w:bCs w:val="0"/>
                <w:color w:val="auto"/>
                <w:sz w:val="20"/>
                <w:szCs w:val="20"/>
                <w:highlight w:val="none"/>
                <w:lang w:eastAsia="zh-CN"/>
              </w:rPr>
              <w:t>广西电网公司行政办公专业供应商履约评价手册</w:t>
            </w:r>
            <w:bookmarkEnd w:id="668"/>
            <w:bookmarkEnd w:id="669"/>
            <w:bookmarkEnd w:id="670"/>
            <w:bookmarkEnd w:id="671"/>
            <w:bookmarkEnd w:id="672"/>
            <w:bookmarkEnd w:id="673"/>
          </w:p>
          <w:p w14:paraId="499ADA5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》履约评价程序对施工方进行对应考核。</w:t>
            </w:r>
          </w:p>
        </w:tc>
      </w:tr>
      <w:tr w14:paraId="657D5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33" w:type="dxa"/>
            <w:vAlign w:val="center"/>
          </w:tcPr>
          <w:p w14:paraId="724ABBA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7</w:t>
            </w:r>
          </w:p>
        </w:tc>
        <w:tc>
          <w:tcPr>
            <w:tcW w:w="2320" w:type="dxa"/>
            <w:vAlign w:val="center"/>
          </w:tcPr>
          <w:p w14:paraId="2F011D1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文件资料管理</w:t>
            </w:r>
          </w:p>
        </w:tc>
        <w:tc>
          <w:tcPr>
            <w:tcW w:w="5345" w:type="dxa"/>
            <w:vAlign w:val="center"/>
          </w:tcPr>
          <w:p w14:paraId="36F0626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协助管理人员应协助采购方对项目文件和工程资料进行归档管理，施工中关键工序、隐蔽工程相关图片资料应妥善保存不低于三年，以备检查需要，确保工程质量、安全和合同履行的记录和证据完整、准确。</w:t>
            </w:r>
          </w:p>
        </w:tc>
      </w:tr>
    </w:tbl>
    <w:p w14:paraId="3F1CD261">
      <w:pPr>
        <w:keepNext/>
        <w:keepLines/>
        <w:pageBreakBefore w:val="0"/>
        <w:widowControl w:val="0"/>
        <w:kinsoku/>
        <w:wordWrap/>
        <w:overflowPunct/>
        <w:topLinePunct w:val="0"/>
        <w:autoSpaceDE/>
        <w:autoSpaceDN/>
        <w:bidi w:val="0"/>
        <w:adjustRightInd/>
        <w:snapToGrid/>
        <w:spacing w:line="560" w:lineRule="exact"/>
        <w:contextualSpacing/>
        <w:jc w:val="both"/>
        <w:textAlignment w:val="auto"/>
        <w:rPr>
          <w:rFonts w:hint="default" w:ascii="宋体" w:hAnsi="宋体" w:eastAsia="宋体" w:cs="宋体"/>
          <w:b/>
          <w:bCs w:val="0"/>
          <w:color w:val="auto"/>
          <w:sz w:val="20"/>
          <w:szCs w:val="20"/>
          <w:highlight w:val="none"/>
          <w:lang w:val="en-US" w:eastAsia="zh-CN"/>
        </w:rPr>
      </w:pPr>
    </w:p>
    <w:p w14:paraId="54666928">
      <w:pPr>
        <w:rPr>
          <w:rFonts w:hint="eastAsia"/>
          <w:color w:val="auto"/>
          <w:sz w:val="20"/>
          <w:szCs w:val="20"/>
          <w:highlight w:val="none"/>
          <w:lang w:val="en-US" w:eastAsia="zh-CN"/>
        </w:rPr>
        <w:sectPr>
          <w:pgSz w:w="11906" w:h="16838"/>
          <w:pgMar w:top="1440" w:right="1800" w:bottom="1440" w:left="1800" w:header="851" w:footer="992" w:gutter="0"/>
          <w:pgNumType w:fmt="decimal"/>
          <w:cols w:space="425" w:num="1"/>
          <w:docGrid w:type="lines" w:linePitch="312" w:charSpace="0"/>
        </w:sectPr>
      </w:pPr>
    </w:p>
    <w:p w14:paraId="06D15D84">
      <w:pPr>
        <w:keepNext/>
        <w:keepLines/>
        <w:pageBreakBefore w:val="0"/>
        <w:widowControl w:val="0"/>
        <w:kinsoku/>
        <w:wordWrap/>
        <w:overflowPunct/>
        <w:topLinePunct w:val="0"/>
        <w:autoSpaceDE/>
        <w:autoSpaceDN/>
        <w:bidi w:val="0"/>
        <w:adjustRightInd/>
        <w:snapToGrid/>
        <w:spacing w:line="560" w:lineRule="exact"/>
        <w:textAlignment w:val="auto"/>
        <w:outlineLvl w:val="0"/>
        <w:rPr>
          <w:rFonts w:hint="eastAsia" w:ascii="宋体" w:hAnsi="宋体" w:eastAsia="宋体" w:cs="宋体"/>
          <w:b/>
          <w:bCs/>
          <w:color w:val="auto"/>
          <w:sz w:val="20"/>
          <w:szCs w:val="20"/>
          <w:highlight w:val="none"/>
          <w:lang w:val="en-US" w:eastAsia="zh-CN"/>
        </w:rPr>
      </w:pPr>
      <w:bookmarkStart w:id="674" w:name="_Toc7823"/>
      <w:bookmarkStart w:id="675" w:name="_Toc32359"/>
      <w:bookmarkStart w:id="676" w:name="_Toc4602"/>
      <w:bookmarkStart w:id="677" w:name="_Toc9512"/>
      <w:bookmarkStart w:id="678" w:name="_Toc8912"/>
      <w:r>
        <w:rPr>
          <w:rFonts w:hint="eastAsia" w:ascii="宋体" w:hAnsi="宋体" w:eastAsia="宋体" w:cs="宋体"/>
          <w:b/>
          <w:bCs/>
          <w:color w:val="auto"/>
          <w:sz w:val="20"/>
          <w:szCs w:val="20"/>
          <w:highlight w:val="none"/>
          <w:lang w:val="en-US" w:eastAsia="zh-CN"/>
        </w:rPr>
        <w:t>3.</w:t>
      </w:r>
      <w:r>
        <w:rPr>
          <w:rFonts w:hint="eastAsia" w:ascii="宋体" w:hAnsi="宋体" w:eastAsia="宋体" w:cs="宋体"/>
          <w:b/>
          <w:bCs/>
          <w:color w:val="auto"/>
          <w:sz w:val="20"/>
          <w:szCs w:val="20"/>
          <w:highlight w:val="none"/>
        </w:rPr>
        <w:t>服务履约考核</w:t>
      </w:r>
      <w:bookmarkEnd w:id="674"/>
      <w:bookmarkEnd w:id="675"/>
      <w:bookmarkEnd w:id="676"/>
      <w:bookmarkEnd w:id="677"/>
      <w:bookmarkEnd w:id="678"/>
    </w:p>
    <w:p w14:paraId="48D3BFE5">
      <w:pPr>
        <w:keepNext/>
        <w:keepLines/>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采购方定期对服务商工作进行考核，考核结果作为对服务商履约考核的评价。每扣1分折合人民币100元。</w:t>
      </w:r>
    </w:p>
    <w:p w14:paraId="56F268A1">
      <w:pPr>
        <w:keepNext/>
        <w:keepLines/>
        <w:pageBreakBefore w:val="0"/>
        <w:widowControl w:val="0"/>
        <w:kinsoku/>
        <w:wordWrap/>
        <w:overflowPunct/>
        <w:topLinePunct w:val="0"/>
        <w:autoSpaceDE/>
        <w:autoSpaceDN/>
        <w:bidi w:val="0"/>
        <w:adjustRightInd/>
        <w:snapToGrid/>
        <w:spacing w:line="560" w:lineRule="exact"/>
        <w:contextualSpacing/>
        <w:jc w:val="center"/>
        <w:textAlignment w:val="auto"/>
        <w:outlineLvl w:val="9"/>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t>表：服务履约考核</w:t>
      </w:r>
    </w:p>
    <w:tbl>
      <w:tblPr>
        <w:tblStyle w:val="15"/>
        <w:tblW w:w="10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044"/>
        <w:gridCol w:w="754"/>
        <w:gridCol w:w="3301"/>
        <w:gridCol w:w="984"/>
        <w:gridCol w:w="827"/>
        <w:gridCol w:w="693"/>
      </w:tblGrid>
      <w:tr w14:paraId="29022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8" w:hRule="atLeast"/>
          <w:jc w:val="center"/>
        </w:trPr>
        <w:tc>
          <w:tcPr>
            <w:tcW w:w="554" w:type="dxa"/>
            <w:tcBorders>
              <w:top w:val="single" w:color="auto" w:sz="4" w:space="0"/>
              <w:left w:val="single" w:color="auto" w:sz="4" w:space="0"/>
              <w:bottom w:val="single" w:color="auto" w:sz="4" w:space="0"/>
              <w:right w:val="single" w:color="auto" w:sz="4" w:space="0"/>
            </w:tcBorders>
            <w:noWrap w:val="0"/>
            <w:vAlign w:val="center"/>
          </w:tcPr>
          <w:p w14:paraId="1444F94D">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序号</w:t>
            </w:r>
          </w:p>
        </w:tc>
        <w:tc>
          <w:tcPr>
            <w:tcW w:w="3044" w:type="dxa"/>
            <w:tcBorders>
              <w:top w:val="single" w:color="auto" w:sz="4" w:space="0"/>
              <w:left w:val="nil"/>
              <w:bottom w:val="single" w:color="auto" w:sz="4" w:space="0"/>
              <w:right w:val="single" w:color="auto" w:sz="4" w:space="0"/>
            </w:tcBorders>
            <w:noWrap w:val="0"/>
            <w:vAlign w:val="center"/>
          </w:tcPr>
          <w:p w14:paraId="537AD0A5">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服务内容及标准要求</w:t>
            </w:r>
          </w:p>
        </w:tc>
        <w:tc>
          <w:tcPr>
            <w:tcW w:w="754" w:type="dxa"/>
            <w:tcBorders>
              <w:top w:val="single" w:color="auto" w:sz="4" w:space="0"/>
              <w:left w:val="nil"/>
              <w:bottom w:val="single" w:color="auto" w:sz="4" w:space="0"/>
              <w:right w:val="single" w:color="auto" w:sz="4" w:space="0"/>
            </w:tcBorders>
            <w:noWrap w:val="0"/>
            <w:vAlign w:val="center"/>
          </w:tcPr>
          <w:p w14:paraId="4C679BDA">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标准分</w:t>
            </w:r>
          </w:p>
        </w:tc>
        <w:tc>
          <w:tcPr>
            <w:tcW w:w="3301" w:type="dxa"/>
            <w:tcBorders>
              <w:top w:val="single" w:color="auto" w:sz="4" w:space="0"/>
              <w:left w:val="nil"/>
              <w:bottom w:val="single" w:color="auto" w:sz="4" w:space="0"/>
              <w:right w:val="single" w:color="auto" w:sz="4" w:space="0"/>
            </w:tcBorders>
            <w:noWrap w:val="0"/>
            <w:vAlign w:val="center"/>
          </w:tcPr>
          <w:p w14:paraId="4B65492B">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检查内容</w:t>
            </w:r>
          </w:p>
        </w:tc>
        <w:tc>
          <w:tcPr>
            <w:tcW w:w="984" w:type="dxa"/>
            <w:tcBorders>
              <w:top w:val="single" w:color="auto" w:sz="4" w:space="0"/>
              <w:left w:val="nil"/>
              <w:bottom w:val="single" w:color="auto" w:sz="4" w:space="0"/>
              <w:right w:val="single" w:color="auto" w:sz="4" w:space="0"/>
            </w:tcBorders>
            <w:noWrap w:val="0"/>
            <w:vAlign w:val="center"/>
          </w:tcPr>
          <w:p w14:paraId="6838D476">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p w14:paraId="0F7D8680">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标准</w:t>
            </w:r>
          </w:p>
        </w:tc>
        <w:tc>
          <w:tcPr>
            <w:tcW w:w="827" w:type="dxa"/>
            <w:tcBorders>
              <w:top w:val="single" w:color="auto" w:sz="4" w:space="0"/>
              <w:left w:val="nil"/>
              <w:bottom w:val="single" w:color="auto" w:sz="4" w:space="0"/>
              <w:right w:val="single" w:color="auto" w:sz="4" w:space="0"/>
            </w:tcBorders>
            <w:noWrap w:val="0"/>
            <w:vAlign w:val="center"/>
          </w:tcPr>
          <w:p w14:paraId="35661277">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实际</w:t>
            </w:r>
          </w:p>
          <w:p w14:paraId="2BF94D75">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扣分</w:t>
            </w:r>
          </w:p>
        </w:tc>
        <w:tc>
          <w:tcPr>
            <w:tcW w:w="693" w:type="dxa"/>
            <w:tcBorders>
              <w:top w:val="single" w:color="auto" w:sz="4" w:space="0"/>
              <w:left w:val="nil"/>
              <w:bottom w:val="single" w:color="auto" w:sz="4" w:space="0"/>
              <w:right w:val="single" w:color="auto" w:sz="4" w:space="0"/>
            </w:tcBorders>
            <w:noWrap w:val="0"/>
            <w:vAlign w:val="center"/>
          </w:tcPr>
          <w:p w14:paraId="72453127">
            <w:pPr>
              <w:jc w:val="both"/>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备注</w:t>
            </w:r>
          </w:p>
        </w:tc>
      </w:tr>
      <w:tr w14:paraId="16AB4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28" w:hRule="atLeast"/>
          <w:jc w:val="center"/>
        </w:trPr>
        <w:tc>
          <w:tcPr>
            <w:tcW w:w="554" w:type="dxa"/>
            <w:vMerge w:val="restart"/>
            <w:tcBorders>
              <w:left w:val="single" w:color="auto" w:sz="4" w:space="0"/>
              <w:right w:val="single" w:color="auto" w:sz="4" w:space="0"/>
            </w:tcBorders>
            <w:noWrap w:val="0"/>
            <w:vAlign w:val="center"/>
          </w:tcPr>
          <w:p w14:paraId="7DCCE132">
            <w:pPr>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p>
        </w:tc>
        <w:tc>
          <w:tcPr>
            <w:tcW w:w="3044" w:type="dxa"/>
            <w:vMerge w:val="restart"/>
            <w:tcBorders>
              <w:left w:val="nil"/>
              <w:right w:val="single" w:color="auto" w:sz="4" w:space="0"/>
            </w:tcBorders>
            <w:noWrap w:val="0"/>
            <w:vAlign w:val="center"/>
          </w:tcPr>
          <w:p w14:paraId="7CD1266F">
            <w:pPr>
              <w:adjustRightInd w:val="0"/>
              <w:snapToGrid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根据作业计划对施工现场进行检查，并做好检查记录，发现异常情况能现场处理的要及时做好处理，并上报至</w:t>
            </w:r>
            <w:r>
              <w:rPr>
                <w:rFonts w:hint="eastAsia" w:ascii="宋体" w:hAnsi="宋体" w:cs="宋体"/>
                <w:color w:val="auto"/>
                <w:sz w:val="20"/>
                <w:szCs w:val="20"/>
                <w:highlight w:val="none"/>
                <w:lang w:val="en-US" w:eastAsia="zh-CN"/>
              </w:rPr>
              <w:t>采购方</w:t>
            </w:r>
            <w:r>
              <w:rPr>
                <w:rFonts w:hint="eastAsia" w:ascii="宋体" w:hAnsi="宋体" w:eastAsia="宋体" w:cs="宋体"/>
                <w:color w:val="auto"/>
                <w:sz w:val="20"/>
                <w:szCs w:val="20"/>
                <w:highlight w:val="none"/>
                <w:lang w:val="en-US" w:eastAsia="zh-CN"/>
              </w:rPr>
              <w:t>相关管理部门。</w:t>
            </w:r>
          </w:p>
        </w:tc>
        <w:tc>
          <w:tcPr>
            <w:tcW w:w="754" w:type="dxa"/>
            <w:vMerge w:val="restart"/>
            <w:tcBorders>
              <w:left w:val="nil"/>
              <w:right w:val="single" w:color="auto" w:sz="4" w:space="0"/>
            </w:tcBorders>
            <w:noWrap w:val="0"/>
            <w:vAlign w:val="center"/>
          </w:tcPr>
          <w:p w14:paraId="06EB0BC4">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50</w:t>
            </w:r>
          </w:p>
        </w:tc>
        <w:tc>
          <w:tcPr>
            <w:tcW w:w="3301" w:type="dxa"/>
            <w:tcBorders>
              <w:top w:val="single" w:color="auto" w:sz="4" w:space="0"/>
              <w:left w:val="nil"/>
              <w:bottom w:val="single" w:color="auto" w:sz="4" w:space="0"/>
              <w:right w:val="single" w:color="auto" w:sz="4" w:space="0"/>
            </w:tcBorders>
            <w:noWrap w:val="0"/>
            <w:vAlign w:val="center"/>
          </w:tcPr>
          <w:p w14:paraId="7C8AC9AE">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未根据作业计划开展现场检查的。</w:t>
            </w:r>
          </w:p>
        </w:tc>
        <w:tc>
          <w:tcPr>
            <w:tcW w:w="984" w:type="dxa"/>
            <w:tcBorders>
              <w:top w:val="single" w:color="auto" w:sz="4" w:space="0"/>
              <w:left w:val="nil"/>
              <w:bottom w:val="single" w:color="auto" w:sz="4" w:space="0"/>
              <w:right w:val="single" w:color="auto" w:sz="4" w:space="0"/>
            </w:tcBorders>
            <w:noWrap w:val="0"/>
            <w:vAlign w:val="center"/>
          </w:tcPr>
          <w:p w14:paraId="73B2DB70">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-1分/次</w:t>
            </w:r>
          </w:p>
        </w:tc>
        <w:tc>
          <w:tcPr>
            <w:tcW w:w="827" w:type="dxa"/>
            <w:tcBorders>
              <w:top w:val="single" w:color="auto" w:sz="4" w:space="0"/>
              <w:left w:val="nil"/>
              <w:bottom w:val="single" w:color="auto" w:sz="4" w:space="0"/>
              <w:right w:val="single" w:color="auto" w:sz="4" w:space="0"/>
            </w:tcBorders>
            <w:noWrap w:val="0"/>
            <w:vAlign w:val="top"/>
          </w:tcPr>
          <w:p w14:paraId="366D39C6">
            <w:pPr>
              <w:adjustRightInd w:val="0"/>
              <w:snapToGrid w:val="0"/>
              <w:rPr>
                <w:rFonts w:hint="eastAsia" w:ascii="宋体" w:hAnsi="宋体" w:eastAsia="宋体" w:cs="宋体"/>
                <w:color w:val="auto"/>
                <w:sz w:val="20"/>
                <w:szCs w:val="20"/>
                <w:highlight w:val="none"/>
                <w:lang w:val="en-US" w:eastAsia="zh-CN"/>
              </w:rPr>
            </w:pPr>
          </w:p>
        </w:tc>
        <w:tc>
          <w:tcPr>
            <w:tcW w:w="693" w:type="dxa"/>
            <w:tcBorders>
              <w:top w:val="single" w:color="auto" w:sz="4" w:space="0"/>
              <w:left w:val="nil"/>
              <w:bottom w:val="single" w:color="auto" w:sz="4" w:space="0"/>
              <w:right w:val="single" w:color="auto" w:sz="4" w:space="0"/>
            </w:tcBorders>
            <w:noWrap w:val="0"/>
            <w:vAlign w:val="center"/>
          </w:tcPr>
          <w:p w14:paraId="37E3E117">
            <w:pPr>
              <w:rPr>
                <w:rFonts w:hint="eastAsia" w:ascii="宋体" w:hAnsi="宋体" w:eastAsia="宋体" w:cs="宋体"/>
                <w:color w:val="auto"/>
                <w:sz w:val="20"/>
                <w:szCs w:val="20"/>
                <w:highlight w:val="none"/>
              </w:rPr>
            </w:pPr>
          </w:p>
        </w:tc>
      </w:tr>
      <w:tr w14:paraId="42377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554" w:type="dxa"/>
            <w:vMerge w:val="continue"/>
            <w:tcBorders>
              <w:left w:val="single" w:color="auto" w:sz="4" w:space="0"/>
              <w:right w:val="single" w:color="auto" w:sz="4" w:space="0"/>
            </w:tcBorders>
            <w:noWrap w:val="0"/>
            <w:vAlign w:val="center"/>
          </w:tcPr>
          <w:p w14:paraId="4D884737">
            <w:pPr>
              <w:jc w:val="center"/>
              <w:rPr>
                <w:rFonts w:hint="eastAsia" w:ascii="宋体" w:hAnsi="宋体" w:eastAsia="宋体" w:cs="宋体"/>
                <w:color w:val="auto"/>
                <w:sz w:val="20"/>
                <w:szCs w:val="20"/>
                <w:highlight w:val="none"/>
              </w:rPr>
            </w:pPr>
          </w:p>
        </w:tc>
        <w:tc>
          <w:tcPr>
            <w:tcW w:w="3044" w:type="dxa"/>
            <w:vMerge w:val="continue"/>
            <w:tcBorders>
              <w:left w:val="nil"/>
              <w:right w:val="single" w:color="auto" w:sz="4" w:space="0"/>
            </w:tcBorders>
            <w:noWrap w:val="0"/>
            <w:vAlign w:val="center"/>
          </w:tcPr>
          <w:p w14:paraId="361180DD">
            <w:pPr>
              <w:adjustRightInd w:val="0"/>
              <w:snapToGrid w:val="0"/>
              <w:rPr>
                <w:rFonts w:hint="eastAsia" w:ascii="宋体" w:hAnsi="宋体" w:eastAsia="宋体" w:cs="宋体"/>
                <w:color w:val="auto"/>
                <w:sz w:val="20"/>
                <w:szCs w:val="20"/>
                <w:highlight w:val="none"/>
              </w:rPr>
            </w:pPr>
          </w:p>
        </w:tc>
        <w:tc>
          <w:tcPr>
            <w:tcW w:w="754" w:type="dxa"/>
            <w:vMerge w:val="continue"/>
            <w:tcBorders>
              <w:left w:val="nil"/>
              <w:right w:val="single" w:color="auto" w:sz="4" w:space="0"/>
            </w:tcBorders>
            <w:noWrap w:val="0"/>
            <w:vAlign w:val="center"/>
          </w:tcPr>
          <w:p w14:paraId="1617D2AB">
            <w:pPr>
              <w:adjustRightInd w:val="0"/>
              <w:snapToGrid w:val="0"/>
              <w:rPr>
                <w:rFonts w:hint="eastAsia" w:ascii="宋体" w:hAnsi="宋体" w:eastAsia="宋体" w:cs="宋体"/>
                <w:color w:val="auto"/>
                <w:sz w:val="20"/>
                <w:szCs w:val="20"/>
                <w:highlight w:val="none"/>
                <w:lang w:val="en-US" w:eastAsia="zh-CN"/>
              </w:rPr>
            </w:pPr>
          </w:p>
        </w:tc>
        <w:tc>
          <w:tcPr>
            <w:tcW w:w="3301" w:type="dxa"/>
            <w:tcBorders>
              <w:top w:val="single" w:color="auto" w:sz="4" w:space="0"/>
              <w:left w:val="nil"/>
              <w:bottom w:val="single" w:color="auto" w:sz="4" w:space="0"/>
              <w:right w:val="single" w:color="auto" w:sz="4" w:space="0"/>
            </w:tcBorders>
            <w:noWrap w:val="0"/>
            <w:vAlign w:val="center"/>
          </w:tcPr>
          <w:p w14:paraId="74B2926D">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未及时处置异常情况。</w:t>
            </w:r>
          </w:p>
        </w:tc>
        <w:tc>
          <w:tcPr>
            <w:tcW w:w="984" w:type="dxa"/>
            <w:tcBorders>
              <w:top w:val="single" w:color="auto" w:sz="4" w:space="0"/>
              <w:left w:val="nil"/>
              <w:bottom w:val="single" w:color="auto" w:sz="4" w:space="0"/>
              <w:right w:val="single" w:color="auto" w:sz="4" w:space="0"/>
            </w:tcBorders>
            <w:noWrap w:val="0"/>
            <w:vAlign w:val="center"/>
          </w:tcPr>
          <w:p w14:paraId="7F2C187D">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-2分/次</w:t>
            </w:r>
          </w:p>
        </w:tc>
        <w:tc>
          <w:tcPr>
            <w:tcW w:w="827" w:type="dxa"/>
            <w:tcBorders>
              <w:top w:val="single" w:color="auto" w:sz="4" w:space="0"/>
              <w:left w:val="nil"/>
              <w:bottom w:val="single" w:color="auto" w:sz="4" w:space="0"/>
              <w:right w:val="single" w:color="auto" w:sz="4" w:space="0"/>
            </w:tcBorders>
            <w:noWrap w:val="0"/>
            <w:vAlign w:val="top"/>
          </w:tcPr>
          <w:p w14:paraId="69608EEC">
            <w:pPr>
              <w:adjustRightInd w:val="0"/>
              <w:snapToGrid w:val="0"/>
              <w:rPr>
                <w:rFonts w:hint="eastAsia" w:ascii="宋体" w:hAnsi="宋体" w:eastAsia="宋体" w:cs="宋体"/>
                <w:color w:val="auto"/>
                <w:sz w:val="20"/>
                <w:szCs w:val="20"/>
                <w:highlight w:val="none"/>
                <w:lang w:val="en-US" w:eastAsia="zh-CN"/>
              </w:rPr>
            </w:pPr>
          </w:p>
        </w:tc>
        <w:tc>
          <w:tcPr>
            <w:tcW w:w="693" w:type="dxa"/>
            <w:tcBorders>
              <w:top w:val="single" w:color="auto" w:sz="4" w:space="0"/>
              <w:left w:val="nil"/>
              <w:bottom w:val="single" w:color="auto" w:sz="4" w:space="0"/>
              <w:right w:val="single" w:color="auto" w:sz="4" w:space="0"/>
            </w:tcBorders>
            <w:noWrap w:val="0"/>
            <w:vAlign w:val="center"/>
          </w:tcPr>
          <w:p w14:paraId="3705FB1A">
            <w:pPr>
              <w:rPr>
                <w:rFonts w:hint="eastAsia" w:ascii="宋体" w:hAnsi="宋体" w:eastAsia="宋体" w:cs="宋体"/>
                <w:color w:val="auto"/>
                <w:sz w:val="20"/>
                <w:szCs w:val="20"/>
                <w:highlight w:val="none"/>
              </w:rPr>
            </w:pPr>
          </w:p>
        </w:tc>
      </w:tr>
      <w:tr w14:paraId="10F00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554" w:type="dxa"/>
            <w:vMerge w:val="continue"/>
            <w:tcBorders>
              <w:left w:val="single" w:color="auto" w:sz="4" w:space="0"/>
              <w:right w:val="single" w:color="auto" w:sz="4" w:space="0"/>
            </w:tcBorders>
            <w:noWrap w:val="0"/>
            <w:vAlign w:val="center"/>
          </w:tcPr>
          <w:p w14:paraId="1EE9F501">
            <w:pPr>
              <w:jc w:val="center"/>
              <w:rPr>
                <w:rFonts w:hint="eastAsia" w:ascii="宋体" w:hAnsi="宋体" w:eastAsia="宋体" w:cs="宋体"/>
                <w:color w:val="auto"/>
                <w:sz w:val="20"/>
                <w:szCs w:val="20"/>
                <w:highlight w:val="none"/>
              </w:rPr>
            </w:pPr>
          </w:p>
        </w:tc>
        <w:tc>
          <w:tcPr>
            <w:tcW w:w="3044" w:type="dxa"/>
            <w:vMerge w:val="continue"/>
            <w:tcBorders>
              <w:left w:val="nil"/>
              <w:right w:val="single" w:color="auto" w:sz="4" w:space="0"/>
            </w:tcBorders>
            <w:noWrap w:val="0"/>
            <w:vAlign w:val="center"/>
          </w:tcPr>
          <w:p w14:paraId="2CD6727E">
            <w:pPr>
              <w:adjustRightInd w:val="0"/>
              <w:snapToGrid w:val="0"/>
              <w:rPr>
                <w:rFonts w:hint="eastAsia" w:ascii="宋体" w:hAnsi="宋体" w:eastAsia="宋体" w:cs="宋体"/>
                <w:color w:val="auto"/>
                <w:sz w:val="20"/>
                <w:szCs w:val="20"/>
                <w:highlight w:val="none"/>
              </w:rPr>
            </w:pPr>
          </w:p>
        </w:tc>
        <w:tc>
          <w:tcPr>
            <w:tcW w:w="754" w:type="dxa"/>
            <w:vMerge w:val="continue"/>
            <w:tcBorders>
              <w:left w:val="nil"/>
              <w:right w:val="single" w:color="auto" w:sz="4" w:space="0"/>
            </w:tcBorders>
            <w:noWrap w:val="0"/>
            <w:vAlign w:val="center"/>
          </w:tcPr>
          <w:p w14:paraId="52AA15A6">
            <w:pPr>
              <w:adjustRightInd w:val="0"/>
              <w:snapToGrid w:val="0"/>
              <w:rPr>
                <w:rFonts w:hint="eastAsia" w:ascii="宋体" w:hAnsi="宋体" w:eastAsia="宋体" w:cs="宋体"/>
                <w:color w:val="auto"/>
                <w:sz w:val="20"/>
                <w:szCs w:val="20"/>
                <w:highlight w:val="none"/>
                <w:lang w:val="en-US" w:eastAsia="zh-CN"/>
              </w:rPr>
            </w:pPr>
          </w:p>
        </w:tc>
        <w:tc>
          <w:tcPr>
            <w:tcW w:w="3301" w:type="dxa"/>
            <w:tcBorders>
              <w:top w:val="single" w:color="auto" w:sz="4" w:space="0"/>
              <w:left w:val="nil"/>
              <w:bottom w:val="single" w:color="auto" w:sz="4" w:space="0"/>
              <w:right w:val="single" w:color="auto" w:sz="4" w:space="0"/>
            </w:tcBorders>
            <w:noWrap w:val="0"/>
            <w:vAlign w:val="center"/>
          </w:tcPr>
          <w:p w14:paraId="185A727C">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未将异常情况上报综合服务中心。</w:t>
            </w:r>
          </w:p>
        </w:tc>
        <w:tc>
          <w:tcPr>
            <w:tcW w:w="984" w:type="dxa"/>
            <w:tcBorders>
              <w:top w:val="single" w:color="auto" w:sz="4" w:space="0"/>
              <w:left w:val="nil"/>
              <w:bottom w:val="single" w:color="auto" w:sz="4" w:space="0"/>
              <w:right w:val="single" w:color="auto" w:sz="4" w:space="0"/>
            </w:tcBorders>
            <w:noWrap w:val="0"/>
            <w:vAlign w:val="center"/>
          </w:tcPr>
          <w:p w14:paraId="69AFBF55">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-2分/次</w:t>
            </w:r>
          </w:p>
        </w:tc>
        <w:tc>
          <w:tcPr>
            <w:tcW w:w="827" w:type="dxa"/>
            <w:tcBorders>
              <w:top w:val="single" w:color="auto" w:sz="4" w:space="0"/>
              <w:left w:val="nil"/>
              <w:bottom w:val="single" w:color="auto" w:sz="4" w:space="0"/>
              <w:right w:val="single" w:color="auto" w:sz="4" w:space="0"/>
            </w:tcBorders>
            <w:noWrap w:val="0"/>
            <w:vAlign w:val="top"/>
          </w:tcPr>
          <w:p w14:paraId="0EE57073">
            <w:pPr>
              <w:adjustRightInd w:val="0"/>
              <w:snapToGrid w:val="0"/>
              <w:rPr>
                <w:rFonts w:hint="eastAsia" w:ascii="宋体" w:hAnsi="宋体" w:eastAsia="宋体" w:cs="宋体"/>
                <w:color w:val="auto"/>
                <w:sz w:val="20"/>
                <w:szCs w:val="20"/>
                <w:highlight w:val="none"/>
                <w:lang w:val="en-US" w:eastAsia="zh-CN"/>
              </w:rPr>
            </w:pPr>
          </w:p>
        </w:tc>
        <w:tc>
          <w:tcPr>
            <w:tcW w:w="693" w:type="dxa"/>
            <w:tcBorders>
              <w:top w:val="single" w:color="auto" w:sz="4" w:space="0"/>
              <w:left w:val="nil"/>
              <w:bottom w:val="single" w:color="auto" w:sz="4" w:space="0"/>
              <w:right w:val="single" w:color="auto" w:sz="4" w:space="0"/>
            </w:tcBorders>
            <w:noWrap w:val="0"/>
            <w:vAlign w:val="center"/>
          </w:tcPr>
          <w:p w14:paraId="7FC6BDFA">
            <w:pPr>
              <w:rPr>
                <w:rFonts w:hint="eastAsia" w:ascii="宋体" w:hAnsi="宋体" w:eastAsia="宋体" w:cs="宋体"/>
                <w:color w:val="auto"/>
                <w:sz w:val="20"/>
                <w:szCs w:val="20"/>
                <w:highlight w:val="none"/>
              </w:rPr>
            </w:pPr>
          </w:p>
        </w:tc>
      </w:tr>
      <w:tr w14:paraId="285D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jc w:val="center"/>
        </w:trPr>
        <w:tc>
          <w:tcPr>
            <w:tcW w:w="554" w:type="dxa"/>
            <w:vMerge w:val="restart"/>
            <w:tcBorders>
              <w:left w:val="single" w:color="auto" w:sz="4" w:space="0"/>
              <w:right w:val="single" w:color="auto" w:sz="4" w:space="0"/>
            </w:tcBorders>
            <w:noWrap w:val="0"/>
            <w:vAlign w:val="center"/>
          </w:tcPr>
          <w:p w14:paraId="00617B0E">
            <w:pPr>
              <w:adjustRightInd w:val="0"/>
              <w:snapToGrid w:val="0"/>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3044" w:type="dxa"/>
            <w:vMerge w:val="restart"/>
            <w:tcBorders>
              <w:left w:val="nil"/>
              <w:right w:val="single" w:color="auto" w:sz="4" w:space="0"/>
            </w:tcBorders>
            <w:noWrap w:val="0"/>
            <w:vAlign w:val="center"/>
          </w:tcPr>
          <w:p w14:paraId="6AF25256">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服务商应对采购方布置的工作要求、任务予以积极响应。做到对采购方布置的工作要求、任务有落实，有反馈。</w:t>
            </w:r>
          </w:p>
        </w:tc>
        <w:tc>
          <w:tcPr>
            <w:tcW w:w="754" w:type="dxa"/>
            <w:vMerge w:val="restart"/>
            <w:tcBorders>
              <w:left w:val="nil"/>
              <w:right w:val="single" w:color="auto" w:sz="4" w:space="0"/>
            </w:tcBorders>
            <w:noWrap w:val="0"/>
            <w:vAlign w:val="center"/>
          </w:tcPr>
          <w:p w14:paraId="54F60D1F">
            <w:pPr>
              <w:adjustRightInd w:val="0"/>
              <w:snapToGrid w:val="0"/>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50</w:t>
            </w:r>
          </w:p>
        </w:tc>
        <w:tc>
          <w:tcPr>
            <w:tcW w:w="3301" w:type="dxa"/>
            <w:tcBorders>
              <w:top w:val="single" w:color="auto" w:sz="4" w:space="0"/>
              <w:left w:val="nil"/>
              <w:bottom w:val="single" w:color="auto" w:sz="4" w:space="0"/>
              <w:right w:val="single" w:color="auto" w:sz="4" w:space="0"/>
            </w:tcBorders>
            <w:shd w:val="clear" w:color="auto" w:fill="auto"/>
            <w:noWrap w:val="0"/>
            <w:vAlign w:val="center"/>
          </w:tcPr>
          <w:p w14:paraId="13EBCE6D">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不按时完成布置的工作。</w:t>
            </w:r>
          </w:p>
        </w:tc>
        <w:tc>
          <w:tcPr>
            <w:tcW w:w="984" w:type="dxa"/>
            <w:tcBorders>
              <w:top w:val="single" w:color="auto" w:sz="4" w:space="0"/>
              <w:left w:val="nil"/>
              <w:bottom w:val="single" w:color="auto" w:sz="4" w:space="0"/>
              <w:right w:val="single" w:color="auto" w:sz="4" w:space="0"/>
            </w:tcBorders>
            <w:shd w:val="clear" w:color="auto" w:fill="auto"/>
            <w:noWrap w:val="0"/>
            <w:vAlign w:val="center"/>
          </w:tcPr>
          <w:p w14:paraId="250BB7EA">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-5分/次</w:t>
            </w:r>
          </w:p>
        </w:tc>
        <w:tc>
          <w:tcPr>
            <w:tcW w:w="827" w:type="dxa"/>
            <w:tcBorders>
              <w:top w:val="single" w:color="auto" w:sz="4" w:space="0"/>
              <w:left w:val="nil"/>
              <w:bottom w:val="single" w:color="auto" w:sz="4" w:space="0"/>
              <w:right w:val="single" w:color="auto" w:sz="4" w:space="0"/>
            </w:tcBorders>
            <w:noWrap w:val="0"/>
            <w:vAlign w:val="top"/>
          </w:tcPr>
          <w:p w14:paraId="30369620">
            <w:pPr>
              <w:rPr>
                <w:rFonts w:hint="eastAsia" w:ascii="宋体" w:hAnsi="宋体" w:eastAsia="宋体" w:cs="宋体"/>
                <w:color w:val="auto"/>
                <w:sz w:val="20"/>
                <w:szCs w:val="20"/>
                <w:highlight w:val="none"/>
              </w:rPr>
            </w:pPr>
          </w:p>
        </w:tc>
        <w:tc>
          <w:tcPr>
            <w:tcW w:w="693" w:type="dxa"/>
            <w:tcBorders>
              <w:top w:val="single" w:color="auto" w:sz="4" w:space="0"/>
              <w:left w:val="nil"/>
              <w:bottom w:val="single" w:color="auto" w:sz="4" w:space="0"/>
              <w:right w:val="single" w:color="auto" w:sz="4" w:space="0"/>
            </w:tcBorders>
            <w:noWrap w:val="0"/>
            <w:vAlign w:val="center"/>
          </w:tcPr>
          <w:p w14:paraId="6AA9E98C">
            <w:pPr>
              <w:rPr>
                <w:rFonts w:hint="eastAsia" w:ascii="宋体" w:hAnsi="宋体" w:eastAsia="宋体" w:cs="宋体"/>
                <w:color w:val="auto"/>
                <w:sz w:val="20"/>
                <w:szCs w:val="20"/>
                <w:highlight w:val="none"/>
              </w:rPr>
            </w:pPr>
          </w:p>
        </w:tc>
      </w:tr>
      <w:tr w14:paraId="55116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6" w:hRule="atLeast"/>
          <w:jc w:val="center"/>
        </w:trPr>
        <w:tc>
          <w:tcPr>
            <w:tcW w:w="554" w:type="dxa"/>
            <w:vMerge w:val="continue"/>
            <w:tcBorders>
              <w:left w:val="single" w:color="auto" w:sz="4" w:space="0"/>
              <w:right w:val="single" w:color="auto" w:sz="4" w:space="0"/>
            </w:tcBorders>
            <w:noWrap w:val="0"/>
            <w:vAlign w:val="center"/>
          </w:tcPr>
          <w:p w14:paraId="452213D4">
            <w:pPr>
              <w:adjustRightInd w:val="0"/>
              <w:snapToGrid w:val="0"/>
              <w:rPr>
                <w:rFonts w:hint="eastAsia" w:ascii="宋体" w:hAnsi="宋体" w:eastAsia="宋体" w:cs="宋体"/>
                <w:color w:val="auto"/>
                <w:sz w:val="20"/>
                <w:szCs w:val="20"/>
                <w:highlight w:val="none"/>
                <w:lang w:val="en-US" w:eastAsia="zh-CN"/>
              </w:rPr>
            </w:pPr>
          </w:p>
        </w:tc>
        <w:tc>
          <w:tcPr>
            <w:tcW w:w="3044" w:type="dxa"/>
            <w:vMerge w:val="continue"/>
            <w:tcBorders>
              <w:left w:val="nil"/>
              <w:right w:val="single" w:color="auto" w:sz="4" w:space="0"/>
            </w:tcBorders>
            <w:noWrap w:val="0"/>
            <w:vAlign w:val="center"/>
          </w:tcPr>
          <w:p w14:paraId="2987A06C">
            <w:pPr>
              <w:adjustRightInd w:val="0"/>
              <w:snapToGrid w:val="0"/>
              <w:rPr>
                <w:rFonts w:hint="eastAsia" w:ascii="宋体" w:hAnsi="宋体" w:eastAsia="宋体" w:cs="宋体"/>
                <w:color w:val="auto"/>
                <w:sz w:val="20"/>
                <w:szCs w:val="20"/>
                <w:highlight w:val="none"/>
                <w:lang w:val="en-US" w:eastAsia="zh-CN"/>
              </w:rPr>
            </w:pPr>
          </w:p>
        </w:tc>
        <w:tc>
          <w:tcPr>
            <w:tcW w:w="754" w:type="dxa"/>
            <w:vMerge w:val="continue"/>
            <w:tcBorders>
              <w:left w:val="nil"/>
              <w:right w:val="single" w:color="auto" w:sz="4" w:space="0"/>
            </w:tcBorders>
            <w:noWrap w:val="0"/>
            <w:vAlign w:val="center"/>
          </w:tcPr>
          <w:p w14:paraId="67BA0CC1">
            <w:pPr>
              <w:adjustRightInd w:val="0"/>
              <w:snapToGrid w:val="0"/>
              <w:rPr>
                <w:rFonts w:hint="eastAsia" w:ascii="宋体" w:hAnsi="宋体" w:eastAsia="宋体" w:cs="宋体"/>
                <w:color w:val="auto"/>
                <w:sz w:val="20"/>
                <w:szCs w:val="20"/>
                <w:highlight w:val="none"/>
                <w:lang w:val="en-US" w:eastAsia="zh-CN"/>
              </w:rPr>
            </w:pPr>
          </w:p>
        </w:tc>
        <w:tc>
          <w:tcPr>
            <w:tcW w:w="3301" w:type="dxa"/>
            <w:tcBorders>
              <w:top w:val="single" w:color="auto" w:sz="4" w:space="0"/>
              <w:left w:val="nil"/>
              <w:bottom w:val="single" w:color="auto" w:sz="4" w:space="0"/>
              <w:right w:val="single" w:color="auto" w:sz="4" w:space="0"/>
            </w:tcBorders>
            <w:shd w:val="clear" w:color="auto" w:fill="auto"/>
            <w:noWrap w:val="0"/>
            <w:vAlign w:val="center"/>
          </w:tcPr>
          <w:p w14:paraId="1F03BD00">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因工作执行不到位，对采购方照成重大不良影响，每出现一项。</w:t>
            </w:r>
          </w:p>
        </w:tc>
        <w:tc>
          <w:tcPr>
            <w:tcW w:w="984" w:type="dxa"/>
            <w:tcBorders>
              <w:top w:val="single" w:color="auto" w:sz="4" w:space="0"/>
              <w:left w:val="nil"/>
              <w:bottom w:val="single" w:color="auto" w:sz="4" w:space="0"/>
              <w:right w:val="single" w:color="auto" w:sz="4" w:space="0"/>
            </w:tcBorders>
            <w:shd w:val="clear" w:color="auto" w:fill="auto"/>
            <w:noWrap w:val="0"/>
            <w:vAlign w:val="center"/>
          </w:tcPr>
          <w:p w14:paraId="7FE1ED4E">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-10至-20分/项</w:t>
            </w:r>
          </w:p>
        </w:tc>
        <w:tc>
          <w:tcPr>
            <w:tcW w:w="827" w:type="dxa"/>
            <w:tcBorders>
              <w:top w:val="single" w:color="auto" w:sz="4" w:space="0"/>
              <w:left w:val="nil"/>
              <w:bottom w:val="single" w:color="auto" w:sz="4" w:space="0"/>
              <w:right w:val="single" w:color="auto" w:sz="4" w:space="0"/>
            </w:tcBorders>
            <w:noWrap w:val="0"/>
            <w:vAlign w:val="top"/>
          </w:tcPr>
          <w:p w14:paraId="19589852">
            <w:pPr>
              <w:rPr>
                <w:rFonts w:hint="eastAsia" w:ascii="宋体" w:hAnsi="宋体" w:eastAsia="宋体" w:cs="宋体"/>
                <w:color w:val="auto"/>
                <w:sz w:val="20"/>
                <w:szCs w:val="20"/>
                <w:highlight w:val="none"/>
              </w:rPr>
            </w:pPr>
          </w:p>
        </w:tc>
        <w:tc>
          <w:tcPr>
            <w:tcW w:w="693" w:type="dxa"/>
            <w:tcBorders>
              <w:top w:val="single" w:color="auto" w:sz="4" w:space="0"/>
              <w:left w:val="nil"/>
              <w:bottom w:val="single" w:color="auto" w:sz="4" w:space="0"/>
              <w:right w:val="single" w:color="auto" w:sz="4" w:space="0"/>
            </w:tcBorders>
            <w:noWrap w:val="0"/>
            <w:vAlign w:val="center"/>
          </w:tcPr>
          <w:p w14:paraId="0D4D9FFC">
            <w:pPr>
              <w:rPr>
                <w:rFonts w:hint="eastAsia" w:ascii="宋体" w:hAnsi="宋体" w:eastAsia="宋体" w:cs="宋体"/>
                <w:color w:val="auto"/>
                <w:sz w:val="20"/>
                <w:szCs w:val="20"/>
                <w:highlight w:val="none"/>
              </w:rPr>
            </w:pPr>
          </w:p>
        </w:tc>
      </w:tr>
      <w:tr w14:paraId="277B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10157" w:type="dxa"/>
            <w:gridSpan w:val="7"/>
            <w:tcBorders>
              <w:left w:val="single" w:color="auto" w:sz="4" w:space="0"/>
              <w:right w:val="single" w:color="auto" w:sz="4" w:space="0"/>
            </w:tcBorders>
            <w:noWrap w:val="0"/>
            <w:vAlign w:val="center"/>
          </w:tcPr>
          <w:p w14:paraId="41989B33">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考核得分：</w:t>
            </w:r>
          </w:p>
        </w:tc>
      </w:tr>
      <w:tr w14:paraId="721C1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8" w:hRule="atLeast"/>
          <w:jc w:val="center"/>
        </w:trPr>
        <w:tc>
          <w:tcPr>
            <w:tcW w:w="10157" w:type="dxa"/>
            <w:gridSpan w:val="7"/>
            <w:tcBorders>
              <w:left w:val="single" w:color="auto" w:sz="4" w:space="0"/>
              <w:bottom w:val="single" w:color="auto" w:sz="4" w:space="0"/>
              <w:right w:val="single" w:color="auto" w:sz="4" w:space="0"/>
            </w:tcBorders>
            <w:noWrap w:val="0"/>
            <w:vAlign w:val="center"/>
          </w:tcPr>
          <w:p w14:paraId="0AAC5DDB">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0AC05469">
            <w:pPr>
              <w:adjustRightInd w:val="0"/>
              <w:snapToGrid w:val="0"/>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7354725F">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1B77FAAB">
      <w:pPr>
        <w:rPr>
          <w:rFonts w:hint="eastAsia" w:ascii="宋体" w:hAnsi="宋体" w:eastAsia="宋体" w:cs="宋体"/>
          <w:b/>
          <w:bCs w:val="0"/>
          <w:color w:val="auto"/>
          <w:sz w:val="20"/>
          <w:szCs w:val="20"/>
          <w:highlight w:val="none"/>
          <w:lang w:val="en-US" w:eastAsia="zh-CN"/>
        </w:rPr>
      </w:pPr>
      <w:bookmarkStart w:id="679" w:name="_Toc27780"/>
      <w:r>
        <w:rPr>
          <w:rFonts w:hint="eastAsia" w:ascii="宋体" w:hAnsi="宋体" w:eastAsia="宋体" w:cs="宋体"/>
          <w:b/>
          <w:bCs w:val="0"/>
          <w:color w:val="auto"/>
          <w:sz w:val="20"/>
          <w:szCs w:val="20"/>
          <w:highlight w:val="none"/>
          <w:lang w:val="en-US" w:eastAsia="zh-CN"/>
        </w:rPr>
        <w:br w:type="page"/>
      </w:r>
    </w:p>
    <w:p w14:paraId="48051560">
      <w:pPr>
        <w:pStyle w:val="4"/>
        <w:keepNext/>
        <w:keepLines/>
        <w:pageBreakBefore w:val="0"/>
        <w:widowControl w:val="0"/>
        <w:numPr>
          <w:ilvl w:val="0"/>
          <w:numId w:val="0"/>
        </w:numPr>
        <w:kinsoku/>
        <w:wordWrap/>
        <w:overflowPunct/>
        <w:topLinePunct w:val="0"/>
        <w:autoSpaceDE/>
        <w:autoSpaceDN/>
        <w:bidi w:val="0"/>
        <w:adjustRightInd/>
        <w:snapToGrid/>
        <w:spacing w:before="0" w:after="0" w:line="580" w:lineRule="exact"/>
        <w:jc w:val="center"/>
        <w:textAlignment w:val="auto"/>
        <w:rPr>
          <w:rFonts w:hint="eastAsia" w:ascii="宋体" w:hAnsi="宋体" w:eastAsia="宋体" w:cs="宋体"/>
          <w:b/>
          <w:bCs w:val="0"/>
          <w:color w:val="auto"/>
          <w:sz w:val="20"/>
          <w:szCs w:val="20"/>
          <w:highlight w:val="none"/>
          <w:lang w:val="en-US" w:eastAsia="zh-CN"/>
        </w:rPr>
      </w:pPr>
      <w:bookmarkStart w:id="680" w:name="_Toc7530"/>
      <w:bookmarkStart w:id="681" w:name="_Toc5888"/>
      <w:r>
        <w:rPr>
          <w:rFonts w:hint="eastAsia" w:ascii="宋体" w:hAnsi="宋体" w:eastAsia="宋体" w:cs="宋体"/>
          <w:b/>
          <w:bCs w:val="0"/>
          <w:color w:val="auto"/>
          <w:sz w:val="20"/>
          <w:szCs w:val="20"/>
          <w:highlight w:val="none"/>
          <w:lang w:val="en-US" w:eastAsia="zh-CN"/>
        </w:rPr>
        <w:t>（二十）临时性秩序维护服务项目</w:t>
      </w:r>
      <w:bookmarkEnd w:id="679"/>
      <w:bookmarkEnd w:id="680"/>
      <w:bookmarkEnd w:id="681"/>
    </w:p>
    <w:p w14:paraId="49D88B87">
      <w:pPr>
        <w:pStyle w:val="6"/>
        <w:keepNext/>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0"/>
          <w:szCs w:val="20"/>
          <w:highlight w:val="none"/>
          <w:lang w:val="en-US" w:eastAsia="zh-CN"/>
          <w14:textFill>
            <w14:solidFill>
              <w14:schemeClr w14:val="tx1"/>
            </w14:solidFill>
          </w14:textFill>
        </w:rPr>
      </w:pPr>
      <w:bookmarkStart w:id="682" w:name="_Toc11704"/>
      <w:bookmarkStart w:id="683" w:name="_Toc15705"/>
      <w:bookmarkStart w:id="684" w:name="_Toc26568"/>
      <w:bookmarkStart w:id="685" w:name="_Toc11976"/>
      <w:bookmarkStart w:id="686" w:name="_Toc7779"/>
      <w:bookmarkStart w:id="687" w:name="_Toc2801"/>
      <w:r>
        <w:rPr>
          <w:rFonts w:hint="eastAsia" w:ascii="宋体" w:hAnsi="宋体" w:eastAsia="宋体" w:cs="宋体"/>
          <w:color w:val="000000" w:themeColor="text1"/>
          <w:sz w:val="20"/>
          <w:szCs w:val="20"/>
          <w:highlight w:val="none"/>
          <w:lang w:val="en-US" w:eastAsia="zh-CN"/>
          <w14:textFill>
            <w14:solidFill>
              <w14:schemeClr w14:val="tx1"/>
            </w14:solidFill>
          </w14:textFill>
        </w:rPr>
        <w:t>1.项目服务标准及要求</w:t>
      </w:r>
      <w:bookmarkEnd w:id="682"/>
      <w:bookmarkEnd w:id="683"/>
      <w:bookmarkEnd w:id="684"/>
      <w:bookmarkEnd w:id="685"/>
      <w:bookmarkEnd w:id="686"/>
      <w:bookmarkEnd w:id="687"/>
    </w:p>
    <w:p w14:paraId="117BE7FD">
      <w:pPr>
        <w:keepNext/>
        <w:keepLines w:val="0"/>
        <w:pageBreakBefore w:val="0"/>
        <w:widowControl w:val="0"/>
        <w:kinsoku/>
        <w:wordWrap/>
        <w:overflowPunct/>
        <w:topLinePunct w:val="0"/>
        <w:autoSpaceDE/>
        <w:autoSpaceDN/>
        <w:bidi w:val="0"/>
        <w:adjustRightInd/>
        <w:snapToGrid/>
        <w:spacing w:line="240" w:lineRule="auto"/>
        <w:ind w:firstLine="400" w:firstLineChars="200"/>
        <w:contextualSpacing/>
        <w:textAlignment w:val="auto"/>
        <w:rPr>
          <w:rFonts w:hint="eastAsia" w:ascii="宋体" w:hAnsi="宋体" w:eastAsia="宋体" w:cs="宋体"/>
          <w:bCs/>
          <w:color w:val="000000" w:themeColor="text1"/>
          <w:sz w:val="20"/>
          <w:szCs w:val="20"/>
          <w:highlight w:val="none"/>
          <w:lang w:val="en-US" w:eastAsia="zh-CN"/>
          <w14:textFill>
            <w14:solidFill>
              <w14:schemeClr w14:val="tx1"/>
            </w14:solidFill>
          </w14:textFill>
        </w:rPr>
      </w:pPr>
      <w:r>
        <w:rPr>
          <w:rFonts w:hint="eastAsia" w:ascii="宋体" w:hAnsi="宋体" w:eastAsia="宋体" w:cs="宋体"/>
          <w:bCs/>
          <w:color w:val="000000" w:themeColor="text1"/>
          <w:sz w:val="20"/>
          <w:szCs w:val="20"/>
          <w:highlight w:val="none"/>
          <w:lang w:val="en-US" w:eastAsia="zh-CN"/>
          <w14:textFill>
            <w14:solidFill>
              <w14:schemeClr w14:val="tx1"/>
            </w14:solidFill>
          </w14:textFill>
        </w:rPr>
        <w:t>1.1合同实施前，服务商应对采购方的具体状况进行全面摸查和调查，根据摸查情况，应指派专人进行对接。</w:t>
      </w:r>
    </w:p>
    <w:p w14:paraId="60527D32">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000000" w:themeColor="text1"/>
          <w:sz w:val="20"/>
          <w:szCs w:val="20"/>
          <w:highlight w:val="none"/>
          <w:lang w:val="en-US" w:eastAsia="zh-CN"/>
          <w14:textFill>
            <w14:solidFill>
              <w14:schemeClr w14:val="tx1"/>
            </w14:solidFill>
          </w14:textFill>
        </w:rPr>
      </w:pPr>
      <w:r>
        <w:rPr>
          <w:rFonts w:hint="eastAsia" w:ascii="宋体" w:hAnsi="宋体" w:eastAsia="宋体" w:cs="宋体"/>
          <w:bCs/>
          <w:color w:val="000000" w:themeColor="text1"/>
          <w:sz w:val="20"/>
          <w:szCs w:val="20"/>
          <w:highlight w:val="none"/>
          <w:lang w:val="en-US" w:eastAsia="zh-CN"/>
          <w14:textFill>
            <w14:solidFill>
              <w14:schemeClr w14:val="tx1"/>
            </w14:solidFill>
          </w14:textFill>
        </w:rPr>
        <w:t>1.2为保证工作正常有序开展，服务商必须按照采购方的要求执行，按时按质地提供相关服务。</w:t>
      </w:r>
    </w:p>
    <w:p w14:paraId="1874AF77">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000000" w:themeColor="text1"/>
          <w:sz w:val="20"/>
          <w:szCs w:val="20"/>
          <w:highlight w:val="none"/>
          <w:lang w:val="en-US" w:eastAsia="zh-CN"/>
          <w14:textFill>
            <w14:solidFill>
              <w14:schemeClr w14:val="tx1"/>
            </w14:solidFill>
          </w14:textFill>
        </w:rPr>
      </w:pPr>
      <w:r>
        <w:rPr>
          <w:rFonts w:hint="eastAsia" w:ascii="宋体" w:hAnsi="宋体" w:eastAsia="宋体" w:cs="宋体"/>
          <w:bCs/>
          <w:color w:val="000000" w:themeColor="text1"/>
          <w:sz w:val="20"/>
          <w:szCs w:val="20"/>
          <w:highlight w:val="none"/>
          <w:lang w:val="en-US" w:eastAsia="zh-CN"/>
          <w14:textFill>
            <w14:solidFill>
              <w14:schemeClr w14:val="tx1"/>
            </w14:solidFill>
          </w14:textFill>
        </w:rPr>
        <w:t>1.3服务商应提供24小时的响应接收渠道（热线电话、微信、传真、电子邮件等）。采购方在提出需求后，服务商应在1小时内作出响应，并派出专业的服务人员按采购方的时间要求提供服务。如果未能按规定时间内提供服务的，应与采购方协商解决。</w:t>
      </w:r>
    </w:p>
    <w:p w14:paraId="26B637CF">
      <w:pPr>
        <w:keepNext/>
        <w:keepLines w:val="0"/>
        <w:pageBreakBefore w:val="0"/>
        <w:widowControl w:val="0"/>
        <w:kinsoku/>
        <w:wordWrap/>
        <w:overflowPunct/>
        <w:topLinePunct w:val="0"/>
        <w:autoSpaceDE/>
        <w:autoSpaceDN/>
        <w:bidi w:val="0"/>
        <w:adjustRightInd/>
        <w:snapToGrid/>
        <w:spacing w:line="560" w:lineRule="exact"/>
        <w:ind w:firstLine="400" w:firstLineChars="200"/>
        <w:contextualSpacing/>
        <w:textAlignment w:val="auto"/>
        <w:rPr>
          <w:rFonts w:hint="eastAsia" w:ascii="宋体" w:hAnsi="宋体" w:eastAsia="宋体" w:cs="宋体"/>
          <w:bCs/>
          <w:color w:val="000000" w:themeColor="text1"/>
          <w:sz w:val="20"/>
          <w:szCs w:val="20"/>
          <w:highlight w:val="none"/>
          <w:lang w:val="en-US" w:eastAsia="zh-CN"/>
          <w14:textFill>
            <w14:solidFill>
              <w14:schemeClr w14:val="tx1"/>
            </w14:solidFill>
          </w14:textFill>
        </w:rPr>
      </w:pPr>
      <w:r>
        <w:rPr>
          <w:rFonts w:hint="eastAsia" w:ascii="宋体" w:hAnsi="宋体" w:eastAsia="宋体" w:cs="宋体"/>
          <w:bCs/>
          <w:color w:val="000000" w:themeColor="text1"/>
          <w:sz w:val="20"/>
          <w:szCs w:val="20"/>
          <w:highlight w:val="none"/>
          <w:lang w:val="en-US" w:eastAsia="zh-CN"/>
          <w14:textFill>
            <w14:solidFill>
              <w14:schemeClr w14:val="tx1"/>
            </w14:solidFill>
          </w14:textFill>
        </w:rPr>
        <w:t>1.4如遇到不能及时解决的紧急事情，服务商在不影响采购方正常工作的前提下应提供解决建议和解决方案，经采购方同意后作为临时应急措施进行实施。</w:t>
      </w:r>
    </w:p>
    <w:p w14:paraId="35D7DDDC">
      <w:pPr>
        <w:pStyle w:val="6"/>
        <w:bidi w:val="0"/>
        <w:rPr>
          <w:rFonts w:hint="eastAsia" w:ascii="宋体" w:hAnsi="宋体" w:eastAsia="宋体" w:cs="宋体"/>
          <w:color w:val="000000" w:themeColor="text1"/>
          <w:sz w:val="20"/>
          <w:szCs w:val="20"/>
          <w:highlight w:val="none"/>
          <w:lang w:val="en-US" w:eastAsia="zh-CN"/>
          <w14:textFill>
            <w14:solidFill>
              <w14:schemeClr w14:val="tx1"/>
            </w14:solidFill>
          </w14:textFill>
        </w:rPr>
      </w:pPr>
      <w:bookmarkStart w:id="688" w:name="_Toc5440"/>
      <w:bookmarkStart w:id="689" w:name="_Toc9295"/>
      <w:bookmarkStart w:id="690" w:name="_Toc511"/>
      <w:bookmarkStart w:id="691" w:name="_Toc10685"/>
      <w:bookmarkStart w:id="692" w:name="_Toc28888"/>
      <w:bookmarkStart w:id="693" w:name="_Toc32722"/>
      <w:r>
        <w:rPr>
          <w:rFonts w:hint="eastAsia" w:ascii="宋体" w:hAnsi="宋体" w:eastAsia="宋体" w:cs="宋体"/>
          <w:color w:val="000000" w:themeColor="text1"/>
          <w:sz w:val="20"/>
          <w:szCs w:val="20"/>
          <w:highlight w:val="none"/>
          <w:lang w:val="en-US" w:eastAsia="zh-CN"/>
          <w14:textFill>
            <w14:solidFill>
              <w14:schemeClr w14:val="tx1"/>
            </w14:solidFill>
          </w14:textFill>
        </w:rPr>
        <w:t>2.服务达标要求</w:t>
      </w:r>
      <w:bookmarkEnd w:id="688"/>
      <w:bookmarkEnd w:id="689"/>
      <w:bookmarkEnd w:id="690"/>
      <w:bookmarkEnd w:id="691"/>
      <w:bookmarkEnd w:id="692"/>
      <w:bookmarkEnd w:id="693"/>
    </w:p>
    <w:tbl>
      <w:tblPr>
        <w:tblStyle w:val="15"/>
        <w:tblW w:w="8703"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0"/>
        <w:gridCol w:w="4590"/>
        <w:gridCol w:w="2523"/>
      </w:tblGrid>
      <w:tr w14:paraId="64D4A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590" w:type="dxa"/>
            <w:noWrap w:val="0"/>
            <w:vAlign w:val="center"/>
          </w:tcPr>
          <w:p w14:paraId="7B1BCA4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序号</w:t>
            </w:r>
          </w:p>
        </w:tc>
        <w:tc>
          <w:tcPr>
            <w:tcW w:w="4590" w:type="dxa"/>
            <w:noWrap w:val="0"/>
            <w:vAlign w:val="center"/>
          </w:tcPr>
          <w:p w14:paraId="019479B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项       目</w:t>
            </w:r>
          </w:p>
        </w:tc>
        <w:tc>
          <w:tcPr>
            <w:tcW w:w="2523" w:type="dxa"/>
            <w:noWrap w:val="0"/>
            <w:vAlign w:val="center"/>
          </w:tcPr>
          <w:p w14:paraId="67270C9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要求达到标准</w:t>
            </w:r>
          </w:p>
        </w:tc>
      </w:tr>
      <w:tr w14:paraId="6CB17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590" w:type="dxa"/>
            <w:noWrap w:val="0"/>
            <w:vAlign w:val="center"/>
          </w:tcPr>
          <w:p w14:paraId="472DFCA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1</w:t>
            </w:r>
          </w:p>
        </w:tc>
        <w:tc>
          <w:tcPr>
            <w:tcW w:w="4590" w:type="dxa"/>
            <w:noWrap w:val="0"/>
            <w:vAlign w:val="center"/>
          </w:tcPr>
          <w:p w14:paraId="4D75F390">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管理人员培训合格率</w:t>
            </w:r>
          </w:p>
        </w:tc>
        <w:tc>
          <w:tcPr>
            <w:tcW w:w="2523" w:type="dxa"/>
            <w:noWrap w:val="0"/>
            <w:vAlign w:val="center"/>
          </w:tcPr>
          <w:p w14:paraId="0BBD29B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w:t>
            </w:r>
            <w:r>
              <w:rPr>
                <w:rFonts w:hint="eastAsia" w:ascii="宋体" w:hAnsi="宋体" w:eastAsia="宋体" w:cs="宋体"/>
                <w:b w:val="0"/>
                <w:bCs w:val="0"/>
                <w:color w:val="000000" w:themeColor="text1"/>
                <w:kern w:val="0"/>
                <w:sz w:val="20"/>
                <w:szCs w:val="20"/>
                <w:highlight w:val="none"/>
                <w:lang w:val="en-US" w:eastAsia="zh-CN"/>
                <w14:textFill>
                  <w14:solidFill>
                    <w14:schemeClr w14:val="tx1"/>
                  </w14:solidFill>
                </w14:textFill>
              </w:rPr>
              <w:t>90</w:t>
            </w:r>
            <w:r>
              <w:rPr>
                <w:rFonts w:hint="eastAsia" w:ascii="宋体" w:hAnsi="宋体" w:eastAsia="宋体" w:cs="宋体"/>
                <w:b w:val="0"/>
                <w:bCs w:val="0"/>
                <w:color w:val="000000" w:themeColor="text1"/>
                <w:kern w:val="0"/>
                <w:sz w:val="20"/>
                <w:szCs w:val="20"/>
                <w:highlight w:val="none"/>
                <w14:textFill>
                  <w14:solidFill>
                    <w14:schemeClr w14:val="tx1"/>
                  </w14:solidFill>
                </w14:textFill>
              </w:rPr>
              <w:t>%</w:t>
            </w:r>
          </w:p>
        </w:tc>
      </w:tr>
      <w:tr w14:paraId="5EBC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590" w:type="dxa"/>
            <w:noWrap w:val="0"/>
            <w:vAlign w:val="center"/>
          </w:tcPr>
          <w:p w14:paraId="756DEC8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2</w:t>
            </w:r>
          </w:p>
        </w:tc>
        <w:tc>
          <w:tcPr>
            <w:tcW w:w="4590" w:type="dxa"/>
            <w:noWrap w:val="0"/>
            <w:vAlign w:val="center"/>
          </w:tcPr>
          <w:p w14:paraId="749C3500">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治安案件发生率</w:t>
            </w:r>
          </w:p>
        </w:tc>
        <w:tc>
          <w:tcPr>
            <w:tcW w:w="2523" w:type="dxa"/>
            <w:noWrap w:val="0"/>
            <w:vAlign w:val="center"/>
          </w:tcPr>
          <w:p w14:paraId="0F67DAC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≦5‰</w:t>
            </w:r>
          </w:p>
        </w:tc>
      </w:tr>
      <w:tr w14:paraId="3FEE9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590" w:type="dxa"/>
            <w:noWrap w:val="0"/>
            <w:vAlign w:val="center"/>
          </w:tcPr>
          <w:p w14:paraId="00F7A3B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lang w:eastAsia="zh-CN"/>
                <w14:textFill>
                  <w14:solidFill>
                    <w14:schemeClr w14:val="tx1"/>
                  </w14:solidFill>
                </w14:textFill>
              </w:rPr>
            </w:pPr>
            <w:r>
              <w:rPr>
                <w:rFonts w:hint="eastAsia" w:ascii="宋体" w:hAnsi="宋体" w:cs="宋体"/>
                <w:b w:val="0"/>
                <w:bCs w:val="0"/>
                <w:color w:val="000000" w:themeColor="text1"/>
                <w:kern w:val="0"/>
                <w:sz w:val="20"/>
                <w:szCs w:val="20"/>
                <w:highlight w:val="none"/>
                <w:lang w:val="en-US" w:eastAsia="zh-CN"/>
                <w14:textFill>
                  <w14:solidFill>
                    <w14:schemeClr w14:val="tx1"/>
                  </w14:solidFill>
                </w14:textFill>
              </w:rPr>
              <w:t>3</w:t>
            </w:r>
          </w:p>
        </w:tc>
        <w:tc>
          <w:tcPr>
            <w:tcW w:w="4590" w:type="dxa"/>
            <w:noWrap w:val="0"/>
            <w:vAlign w:val="center"/>
          </w:tcPr>
          <w:p w14:paraId="2C6FF249">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cs="宋体"/>
                <w:b w:val="0"/>
                <w:bCs w:val="0"/>
                <w:color w:val="000000" w:themeColor="text1"/>
                <w:kern w:val="0"/>
                <w:sz w:val="20"/>
                <w:szCs w:val="20"/>
                <w:highlight w:val="none"/>
                <w:lang w:val="en-US" w:eastAsia="zh-CN"/>
                <w14:textFill>
                  <w14:solidFill>
                    <w14:schemeClr w14:val="tx1"/>
                  </w14:solidFill>
                </w14:textFill>
              </w:rPr>
              <w:t>秩序维护</w:t>
            </w:r>
            <w:r>
              <w:rPr>
                <w:rFonts w:hint="eastAsia" w:ascii="宋体" w:hAnsi="宋体" w:eastAsia="宋体" w:cs="宋体"/>
                <w:b w:val="0"/>
                <w:bCs w:val="0"/>
                <w:color w:val="000000" w:themeColor="text1"/>
                <w:kern w:val="0"/>
                <w:sz w:val="20"/>
                <w:szCs w:val="20"/>
                <w:highlight w:val="none"/>
                <w:lang w:val="en-US" w:eastAsia="zh-CN"/>
                <w14:textFill>
                  <w14:solidFill>
                    <w14:schemeClr w14:val="tx1"/>
                  </w14:solidFill>
                </w14:textFill>
              </w:rPr>
              <w:t>责任</w:t>
            </w:r>
            <w:r>
              <w:rPr>
                <w:rFonts w:hint="eastAsia" w:ascii="宋体" w:hAnsi="宋体" w:eastAsia="宋体" w:cs="宋体"/>
                <w:b w:val="0"/>
                <w:bCs w:val="0"/>
                <w:color w:val="000000" w:themeColor="text1"/>
                <w:kern w:val="0"/>
                <w:sz w:val="20"/>
                <w:szCs w:val="20"/>
                <w:highlight w:val="none"/>
                <w14:textFill>
                  <w14:solidFill>
                    <w14:schemeClr w14:val="tx1"/>
                  </w14:solidFill>
                </w14:textFill>
              </w:rPr>
              <w:t>事故发生率</w:t>
            </w:r>
          </w:p>
        </w:tc>
        <w:tc>
          <w:tcPr>
            <w:tcW w:w="2523" w:type="dxa"/>
            <w:noWrap w:val="0"/>
            <w:vAlign w:val="center"/>
          </w:tcPr>
          <w:p w14:paraId="111152B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0</w:t>
            </w:r>
          </w:p>
        </w:tc>
      </w:tr>
      <w:tr w14:paraId="68939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590" w:type="dxa"/>
            <w:noWrap w:val="0"/>
            <w:vAlign w:val="center"/>
          </w:tcPr>
          <w:p w14:paraId="06A30A8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lang w:eastAsia="zh-CN"/>
                <w14:textFill>
                  <w14:solidFill>
                    <w14:schemeClr w14:val="tx1"/>
                  </w14:solidFill>
                </w14:textFill>
              </w:rPr>
            </w:pPr>
            <w:r>
              <w:rPr>
                <w:rFonts w:hint="eastAsia" w:ascii="宋体" w:hAnsi="宋体" w:cs="宋体"/>
                <w:b w:val="0"/>
                <w:bCs w:val="0"/>
                <w:color w:val="000000" w:themeColor="text1"/>
                <w:kern w:val="0"/>
                <w:sz w:val="20"/>
                <w:szCs w:val="20"/>
                <w:highlight w:val="none"/>
                <w:lang w:val="en-US" w:eastAsia="zh-CN"/>
                <w14:textFill>
                  <w14:solidFill>
                    <w14:schemeClr w14:val="tx1"/>
                  </w14:solidFill>
                </w14:textFill>
              </w:rPr>
              <w:t>4</w:t>
            </w:r>
          </w:p>
        </w:tc>
        <w:tc>
          <w:tcPr>
            <w:tcW w:w="4590" w:type="dxa"/>
            <w:noWrap w:val="0"/>
            <w:vAlign w:val="center"/>
          </w:tcPr>
          <w:p w14:paraId="06CE7D55">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cs="宋体"/>
                <w:b w:val="0"/>
                <w:bCs w:val="0"/>
                <w:color w:val="000000" w:themeColor="text1"/>
                <w:kern w:val="0"/>
                <w:sz w:val="20"/>
                <w:szCs w:val="20"/>
                <w:highlight w:val="none"/>
                <w:lang w:eastAsia="zh-CN"/>
                <w14:textFill>
                  <w14:solidFill>
                    <w14:schemeClr w14:val="tx1"/>
                  </w14:solidFill>
                </w14:textFill>
              </w:rPr>
              <w:t>采购方</w:t>
            </w:r>
            <w:r>
              <w:rPr>
                <w:rFonts w:hint="eastAsia" w:ascii="宋体" w:hAnsi="宋体" w:eastAsia="宋体" w:cs="宋体"/>
                <w:b w:val="0"/>
                <w:bCs w:val="0"/>
                <w:color w:val="000000" w:themeColor="text1"/>
                <w:kern w:val="0"/>
                <w:sz w:val="20"/>
                <w:szCs w:val="20"/>
                <w:highlight w:val="none"/>
                <w14:textFill>
                  <w14:solidFill>
                    <w14:schemeClr w14:val="tx1"/>
                  </w14:solidFill>
                </w14:textFill>
              </w:rPr>
              <w:t>对</w:t>
            </w:r>
            <w:r>
              <w:rPr>
                <w:rFonts w:hint="eastAsia" w:ascii="宋体" w:hAnsi="宋体" w:eastAsia="宋体" w:cs="宋体"/>
                <w:b w:val="0"/>
                <w:bCs w:val="0"/>
                <w:color w:val="000000" w:themeColor="text1"/>
                <w:kern w:val="0"/>
                <w:sz w:val="20"/>
                <w:szCs w:val="20"/>
                <w:highlight w:val="none"/>
                <w:lang w:val="en-US" w:eastAsia="zh-CN"/>
                <w14:textFill>
                  <w14:solidFill>
                    <w14:schemeClr w14:val="tx1"/>
                  </w14:solidFill>
                </w14:textFill>
              </w:rPr>
              <w:t>秩序维护</w:t>
            </w:r>
            <w:r>
              <w:rPr>
                <w:rFonts w:hint="eastAsia" w:ascii="宋体" w:hAnsi="宋体" w:eastAsia="宋体" w:cs="宋体"/>
                <w:b w:val="0"/>
                <w:bCs w:val="0"/>
                <w:color w:val="000000" w:themeColor="text1"/>
                <w:kern w:val="0"/>
                <w:sz w:val="20"/>
                <w:szCs w:val="20"/>
                <w:highlight w:val="none"/>
                <w14:textFill>
                  <w14:solidFill>
                    <w14:schemeClr w14:val="tx1"/>
                  </w14:solidFill>
                </w14:textFill>
              </w:rPr>
              <w:t>服务满意率</w:t>
            </w:r>
          </w:p>
        </w:tc>
        <w:tc>
          <w:tcPr>
            <w:tcW w:w="2523" w:type="dxa"/>
            <w:noWrap w:val="0"/>
            <w:vAlign w:val="center"/>
          </w:tcPr>
          <w:p w14:paraId="7DABEF3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themeColor="text1"/>
                <w:kern w:val="0"/>
                <w:sz w:val="20"/>
                <w:szCs w:val="20"/>
                <w:highlight w:val="none"/>
                <w14:textFill>
                  <w14:solidFill>
                    <w14:schemeClr w14:val="tx1"/>
                  </w14:solidFill>
                </w14:textFill>
              </w:rPr>
            </w:pPr>
            <w:r>
              <w:rPr>
                <w:rFonts w:hint="eastAsia" w:ascii="宋体" w:hAnsi="宋体" w:eastAsia="宋体" w:cs="宋体"/>
                <w:b w:val="0"/>
                <w:bCs w:val="0"/>
                <w:color w:val="000000" w:themeColor="text1"/>
                <w:kern w:val="0"/>
                <w:sz w:val="20"/>
                <w:szCs w:val="20"/>
                <w:highlight w:val="none"/>
                <w14:textFill>
                  <w14:solidFill>
                    <w14:schemeClr w14:val="tx1"/>
                  </w14:solidFill>
                </w14:textFill>
              </w:rPr>
              <w:t>≥95%</w:t>
            </w:r>
          </w:p>
        </w:tc>
      </w:tr>
    </w:tbl>
    <w:p w14:paraId="57C4E123">
      <w:pPr>
        <w:pStyle w:val="6"/>
        <w:bidi w:val="0"/>
        <w:rPr>
          <w:rFonts w:hint="eastAsia" w:ascii="宋体" w:hAnsi="宋体" w:eastAsia="宋体" w:cs="宋体"/>
          <w:color w:val="000000" w:themeColor="text1"/>
          <w:sz w:val="20"/>
          <w:szCs w:val="20"/>
          <w:highlight w:val="none"/>
          <w:lang w:val="en-US" w:eastAsia="zh-CN"/>
          <w14:textFill>
            <w14:solidFill>
              <w14:schemeClr w14:val="tx1"/>
            </w14:solidFill>
          </w14:textFill>
        </w:rPr>
      </w:pPr>
      <w:bookmarkStart w:id="694" w:name="_Toc3183"/>
      <w:bookmarkStart w:id="695" w:name="_Toc25642"/>
      <w:bookmarkStart w:id="696" w:name="_Toc154"/>
      <w:bookmarkStart w:id="697" w:name="_Toc764"/>
      <w:bookmarkStart w:id="698" w:name="_Toc28674"/>
      <w:r>
        <w:rPr>
          <w:rFonts w:hint="eastAsia" w:ascii="宋体" w:hAnsi="宋体" w:eastAsia="宋体" w:cs="宋体"/>
          <w:color w:val="000000" w:themeColor="text1"/>
          <w:sz w:val="20"/>
          <w:szCs w:val="20"/>
          <w:highlight w:val="none"/>
          <w:lang w:val="en-US" w:eastAsia="zh-CN"/>
          <w14:textFill>
            <w14:solidFill>
              <w14:schemeClr w14:val="tx1"/>
            </w14:solidFill>
          </w14:textFill>
        </w:rPr>
        <w:t>3.具体工作要求</w:t>
      </w:r>
      <w:bookmarkEnd w:id="694"/>
      <w:bookmarkEnd w:id="695"/>
      <w:bookmarkEnd w:id="696"/>
      <w:bookmarkEnd w:id="697"/>
      <w:bookmarkEnd w:id="698"/>
    </w:p>
    <w:tbl>
      <w:tblPr>
        <w:tblStyle w:val="16"/>
        <w:tblW w:w="8289"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712"/>
        <w:gridCol w:w="5854"/>
      </w:tblGrid>
      <w:tr w14:paraId="45CA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blHeader/>
        </w:trPr>
        <w:tc>
          <w:tcPr>
            <w:tcW w:w="723" w:type="dxa"/>
            <w:vAlign w:val="center"/>
          </w:tcPr>
          <w:p w14:paraId="0164E29B">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t>序号</w:t>
            </w:r>
          </w:p>
        </w:tc>
        <w:tc>
          <w:tcPr>
            <w:tcW w:w="1712" w:type="dxa"/>
            <w:vAlign w:val="center"/>
          </w:tcPr>
          <w:p w14:paraId="20E288BE">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t>工作内容</w:t>
            </w:r>
          </w:p>
        </w:tc>
        <w:tc>
          <w:tcPr>
            <w:tcW w:w="5854" w:type="dxa"/>
            <w:vAlign w:val="center"/>
          </w:tcPr>
          <w:p w14:paraId="0AFED8E4">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b/>
                <w:i w:val="0"/>
                <w:color w:val="000000" w:themeColor="text1"/>
                <w:kern w:val="0"/>
                <w:sz w:val="20"/>
                <w:szCs w:val="20"/>
                <w:highlight w:val="none"/>
                <w:u w:val="none"/>
                <w:lang w:val="en-US" w:eastAsia="zh-CN" w:bidi="ar"/>
                <w14:textFill>
                  <w14:solidFill>
                    <w14:schemeClr w14:val="tx1"/>
                  </w14:solidFill>
                </w14:textFill>
              </w:rPr>
              <w:t>具体要求</w:t>
            </w:r>
          </w:p>
        </w:tc>
      </w:tr>
      <w:tr w14:paraId="189E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23" w:type="dxa"/>
            <w:vAlign w:val="center"/>
          </w:tcPr>
          <w:p w14:paraId="0AD526FF">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w:t>
            </w:r>
          </w:p>
        </w:tc>
        <w:tc>
          <w:tcPr>
            <w:tcW w:w="1712" w:type="dxa"/>
            <w:vAlign w:val="center"/>
          </w:tcPr>
          <w:p w14:paraId="68519DC0">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值班岗设置</w:t>
            </w:r>
          </w:p>
        </w:tc>
        <w:tc>
          <w:tcPr>
            <w:tcW w:w="5854" w:type="dxa"/>
            <w:vAlign w:val="center"/>
          </w:tcPr>
          <w:p w14:paraId="57C6CE10">
            <w:pPr>
              <w:keepNext/>
              <w:keepLines w:val="0"/>
              <w:pageBreakBefore w:val="0"/>
              <w:widowControl w:val="0"/>
              <w:numPr>
                <w:ilvl w:val="0"/>
                <w:numId w:val="0"/>
              </w:numPr>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根据采购方要求，在</w:t>
            </w:r>
            <w:r>
              <w:rPr>
                <w:rFonts w:hint="eastAsia" w:ascii="宋体" w:hAnsi="宋体" w:eastAsia="宋体" w:cs="宋体"/>
                <w:color w:val="000000" w:themeColor="text1"/>
                <w:sz w:val="20"/>
                <w:szCs w:val="20"/>
                <w:highlight w:val="none"/>
                <w14:textFill>
                  <w14:solidFill>
                    <w14:schemeClr w14:val="tx1"/>
                  </w14:solidFill>
                </w14:textFill>
              </w:rPr>
              <w:t>物业进出口</w:t>
            </w:r>
            <w:r>
              <w:rPr>
                <w:rFonts w:hint="eastAsia" w:ascii="宋体" w:hAnsi="宋体" w:eastAsia="宋体" w:cs="宋体"/>
                <w:color w:val="000000" w:themeColor="text1"/>
                <w:sz w:val="20"/>
                <w:szCs w:val="20"/>
                <w:highlight w:val="none"/>
                <w:lang w:val="en-US" w:eastAsia="zh-CN"/>
                <w14:textFill>
                  <w14:solidFill>
                    <w14:schemeClr w14:val="tx1"/>
                  </w14:solidFill>
                </w14:textFill>
              </w:rPr>
              <w:t>等关键位置设置</w:t>
            </w:r>
            <w:r>
              <w:rPr>
                <w:rFonts w:hint="eastAsia" w:ascii="宋体" w:hAnsi="宋体" w:eastAsia="宋体" w:cs="宋体"/>
                <w:b w:val="0"/>
                <w:bCs/>
                <w:color w:val="000000" w:themeColor="text1"/>
                <w:sz w:val="20"/>
                <w:szCs w:val="20"/>
                <w:highlight w:val="none"/>
                <w14:textFill>
                  <w14:solidFill>
                    <w14:schemeClr w14:val="tx1"/>
                  </w14:solidFill>
                </w14:textFill>
              </w:rPr>
              <w:t>值班岗</w:t>
            </w:r>
            <w:r>
              <w:rPr>
                <w:rFonts w:hint="eastAsia" w:ascii="宋体" w:hAnsi="宋体" w:eastAsia="宋体" w:cs="宋体"/>
                <w:color w:val="000000" w:themeColor="text1"/>
                <w:sz w:val="20"/>
                <w:szCs w:val="20"/>
                <w:highlight w:val="none"/>
                <w14:textFill>
                  <w14:solidFill>
                    <w14:schemeClr w14:val="tx1"/>
                  </w14:solidFill>
                </w14:textFill>
              </w:rPr>
              <w:t>。</w:t>
            </w:r>
          </w:p>
        </w:tc>
      </w:tr>
      <w:tr w14:paraId="3DAE2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6A63C1FB">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2</w:t>
            </w:r>
          </w:p>
        </w:tc>
        <w:tc>
          <w:tcPr>
            <w:tcW w:w="1712" w:type="dxa"/>
            <w:vAlign w:val="center"/>
          </w:tcPr>
          <w:p w14:paraId="6751D7FE">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来访登记</w:t>
            </w:r>
          </w:p>
        </w:tc>
        <w:tc>
          <w:tcPr>
            <w:tcW w:w="5854" w:type="dxa"/>
            <w:vAlign w:val="center"/>
          </w:tcPr>
          <w:p w14:paraId="2EDB1EBB">
            <w:pPr>
              <w:keepNext/>
              <w:keepLines w:val="0"/>
              <w:pageBreakBefore w:val="0"/>
              <w:widowControl w:val="0"/>
              <w:numPr>
                <w:ilvl w:val="0"/>
                <w:numId w:val="0"/>
              </w:numPr>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对每个来访人员做好登记工作</w:t>
            </w:r>
            <w:r>
              <w:rPr>
                <w:rFonts w:hint="eastAsia" w:ascii="宋体" w:hAnsi="宋体" w:eastAsia="宋体" w:cs="宋体"/>
                <w:color w:val="000000" w:themeColor="text1"/>
                <w:sz w:val="20"/>
                <w:szCs w:val="20"/>
                <w:highlight w:val="none"/>
                <w:lang w:eastAsia="zh-CN"/>
                <w14:textFill>
                  <w14:solidFill>
                    <w14:schemeClr w14:val="tx1"/>
                  </w14:solidFill>
                </w14:textFill>
              </w:rPr>
              <w:t>，</w:t>
            </w:r>
            <w:r>
              <w:rPr>
                <w:rFonts w:hint="eastAsia" w:ascii="宋体" w:hAnsi="宋体" w:eastAsia="宋体" w:cs="宋体"/>
                <w:color w:val="000000" w:themeColor="text1"/>
                <w:sz w:val="20"/>
                <w:szCs w:val="20"/>
                <w:highlight w:val="none"/>
                <w:lang w:val="en-US" w:eastAsia="zh-CN"/>
                <w14:textFill>
                  <w14:solidFill>
                    <w14:schemeClr w14:val="tx1"/>
                  </w14:solidFill>
                </w14:textFill>
              </w:rPr>
              <w:t>协助做好</w:t>
            </w:r>
            <w:r>
              <w:rPr>
                <w:rFonts w:hint="eastAsia" w:ascii="宋体" w:hAnsi="宋体" w:eastAsia="宋体" w:cs="宋体"/>
                <w:color w:val="000000" w:themeColor="text1"/>
                <w:sz w:val="20"/>
                <w:szCs w:val="20"/>
                <w:highlight w:val="none"/>
                <w14:textFill>
                  <w14:solidFill>
                    <w14:schemeClr w14:val="tx1"/>
                  </w14:solidFill>
                </w14:textFill>
              </w:rPr>
              <w:t>人员、车辆、物品出入控制流程，管辖区域受控，秩序良好。</w:t>
            </w:r>
          </w:p>
        </w:tc>
      </w:tr>
      <w:tr w14:paraId="34A59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26FE72A3">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3</w:t>
            </w:r>
          </w:p>
        </w:tc>
        <w:tc>
          <w:tcPr>
            <w:tcW w:w="1712" w:type="dxa"/>
            <w:vAlign w:val="center"/>
          </w:tcPr>
          <w:p w14:paraId="43D120C1">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物品出门查验要求</w:t>
            </w:r>
          </w:p>
        </w:tc>
        <w:tc>
          <w:tcPr>
            <w:tcW w:w="5854" w:type="dxa"/>
            <w:vAlign w:val="center"/>
          </w:tcPr>
          <w:p w14:paraId="29AD35DB">
            <w:pPr>
              <w:keepNext/>
              <w:keepLines w:val="0"/>
              <w:pageBreakBefore w:val="0"/>
              <w:widowControl w:val="0"/>
              <w:numPr>
                <w:ilvl w:val="0"/>
                <w:numId w:val="0"/>
              </w:numPr>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val="en-US"/>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按要求执行物品出门查验要求。</w:t>
            </w:r>
          </w:p>
        </w:tc>
      </w:tr>
      <w:tr w14:paraId="3AE66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6BEAB732">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4</w:t>
            </w:r>
          </w:p>
        </w:tc>
        <w:tc>
          <w:tcPr>
            <w:tcW w:w="1712" w:type="dxa"/>
            <w:vAlign w:val="center"/>
          </w:tcPr>
          <w:p w14:paraId="000A8FF5">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车辆停放要求</w:t>
            </w:r>
          </w:p>
        </w:tc>
        <w:tc>
          <w:tcPr>
            <w:tcW w:w="5854" w:type="dxa"/>
            <w:vAlign w:val="center"/>
          </w:tcPr>
          <w:p w14:paraId="7E07B6F7">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维持车辆秩序，指挥、疏导车辆。</w:t>
            </w:r>
            <w:r>
              <w:rPr>
                <w:rFonts w:hint="eastAsia" w:ascii="宋体" w:hAnsi="宋体" w:eastAsia="宋体" w:cs="宋体"/>
                <w:color w:val="000000" w:themeColor="text1"/>
                <w:sz w:val="20"/>
                <w:szCs w:val="20"/>
                <w:highlight w:val="none"/>
                <w14:textFill>
                  <w14:solidFill>
                    <w14:schemeClr w14:val="tx1"/>
                  </w14:solidFill>
                </w14:textFill>
              </w:rPr>
              <w:t>引导车辆有序通行、安排好车辆在指定位置停放</w:t>
            </w:r>
            <w:r>
              <w:rPr>
                <w:rFonts w:hint="eastAsia" w:ascii="宋体" w:hAnsi="宋体" w:eastAsia="宋体" w:cs="宋体"/>
                <w:color w:val="000000" w:themeColor="text1"/>
                <w:sz w:val="20"/>
                <w:szCs w:val="20"/>
                <w:highlight w:val="none"/>
                <w:lang w:eastAsia="zh-CN"/>
                <w14:textFill>
                  <w14:solidFill>
                    <w14:schemeClr w14:val="tx1"/>
                  </w14:solidFill>
                </w14:textFill>
              </w:rPr>
              <w:t>。</w:t>
            </w:r>
          </w:p>
        </w:tc>
      </w:tr>
      <w:tr w14:paraId="023A5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23" w:type="dxa"/>
            <w:vAlign w:val="center"/>
          </w:tcPr>
          <w:p w14:paraId="75F3E4DA">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5</w:t>
            </w:r>
          </w:p>
        </w:tc>
        <w:tc>
          <w:tcPr>
            <w:tcW w:w="1712" w:type="dxa"/>
            <w:vAlign w:val="center"/>
          </w:tcPr>
          <w:p w14:paraId="6BD0D640">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值班台账</w:t>
            </w:r>
            <w:r>
              <w:rPr>
                <w:rFonts w:hint="eastAsia" w:ascii="宋体" w:hAnsi="宋体" w:eastAsia="宋体" w:cs="宋体"/>
                <w:color w:val="000000" w:themeColor="text1"/>
                <w:sz w:val="20"/>
                <w:szCs w:val="20"/>
                <w:highlight w:val="none"/>
                <w:lang w:val="en-US" w:eastAsia="zh-CN"/>
                <w14:textFill>
                  <w14:solidFill>
                    <w14:schemeClr w14:val="tx1"/>
                  </w14:solidFill>
                </w14:textFill>
              </w:rPr>
              <w:t>要求</w:t>
            </w:r>
          </w:p>
        </w:tc>
        <w:tc>
          <w:tcPr>
            <w:tcW w:w="5854" w:type="dxa"/>
            <w:vAlign w:val="center"/>
          </w:tcPr>
          <w:p w14:paraId="2F472371">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值班台账完整，填写规范，填写的内容与实际相符。</w:t>
            </w:r>
          </w:p>
        </w:tc>
      </w:tr>
      <w:tr w14:paraId="482EF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23" w:type="dxa"/>
            <w:vAlign w:val="center"/>
          </w:tcPr>
          <w:p w14:paraId="6F193498">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6</w:t>
            </w:r>
          </w:p>
        </w:tc>
        <w:tc>
          <w:tcPr>
            <w:tcW w:w="1712" w:type="dxa"/>
            <w:vAlign w:val="center"/>
          </w:tcPr>
          <w:p w14:paraId="1C53CA42">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交接班</w:t>
            </w:r>
            <w:r>
              <w:rPr>
                <w:rFonts w:hint="eastAsia" w:ascii="宋体" w:hAnsi="宋体" w:eastAsia="宋体" w:cs="宋体"/>
                <w:color w:val="000000" w:themeColor="text1"/>
                <w:sz w:val="20"/>
                <w:szCs w:val="20"/>
                <w:highlight w:val="none"/>
                <w:lang w:val="en-US" w:eastAsia="zh-CN"/>
                <w14:textFill>
                  <w14:solidFill>
                    <w14:schemeClr w14:val="tx1"/>
                  </w14:solidFill>
                </w14:textFill>
              </w:rPr>
              <w:t>要求</w:t>
            </w:r>
          </w:p>
        </w:tc>
        <w:tc>
          <w:tcPr>
            <w:tcW w:w="5854" w:type="dxa"/>
            <w:vAlign w:val="center"/>
          </w:tcPr>
          <w:p w14:paraId="3E2776E7">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应建立</w:t>
            </w:r>
            <w:r>
              <w:rPr>
                <w:rFonts w:hint="eastAsia" w:ascii="宋体" w:hAnsi="宋体" w:eastAsia="宋体" w:cs="宋体"/>
                <w:color w:val="000000" w:themeColor="text1"/>
                <w:sz w:val="20"/>
                <w:szCs w:val="20"/>
                <w:highlight w:val="none"/>
                <w14:textFill>
                  <w14:solidFill>
                    <w14:schemeClr w14:val="tx1"/>
                  </w14:solidFill>
                </w14:textFill>
              </w:rPr>
              <w:t>交接班</w:t>
            </w:r>
            <w:r>
              <w:rPr>
                <w:rFonts w:hint="eastAsia" w:ascii="宋体" w:hAnsi="宋体" w:eastAsia="宋体" w:cs="宋体"/>
                <w:color w:val="000000" w:themeColor="text1"/>
                <w:sz w:val="20"/>
                <w:szCs w:val="20"/>
                <w:highlight w:val="none"/>
                <w:lang w:val="en-US" w:eastAsia="zh-CN"/>
                <w14:textFill>
                  <w14:solidFill>
                    <w14:schemeClr w14:val="tx1"/>
                  </w14:solidFill>
                </w14:textFill>
              </w:rPr>
              <w:t>制度</w:t>
            </w:r>
            <w:r>
              <w:rPr>
                <w:rFonts w:hint="eastAsia" w:ascii="宋体" w:hAnsi="宋体" w:eastAsia="宋体" w:cs="宋体"/>
                <w:color w:val="000000" w:themeColor="text1"/>
                <w:sz w:val="20"/>
                <w:szCs w:val="20"/>
                <w:highlight w:val="none"/>
                <w:lang w:eastAsia="zh-CN"/>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有详细完整的交接班记录。</w:t>
            </w:r>
          </w:p>
        </w:tc>
      </w:tr>
      <w:tr w14:paraId="7890C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4D7ECB03">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7</w:t>
            </w:r>
          </w:p>
        </w:tc>
        <w:tc>
          <w:tcPr>
            <w:tcW w:w="1712" w:type="dxa"/>
            <w:vAlign w:val="center"/>
          </w:tcPr>
          <w:p w14:paraId="53EB3BBC">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无关人员要求</w:t>
            </w:r>
          </w:p>
        </w:tc>
        <w:tc>
          <w:tcPr>
            <w:tcW w:w="5854" w:type="dxa"/>
            <w:vAlign w:val="center"/>
          </w:tcPr>
          <w:p w14:paraId="6215583B">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禁止无关人员(产品推销及收购废品等闲杂人员)进入。</w:t>
            </w:r>
          </w:p>
        </w:tc>
      </w:tr>
      <w:tr w14:paraId="28A3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trPr>
        <w:tc>
          <w:tcPr>
            <w:tcW w:w="723" w:type="dxa"/>
            <w:vAlign w:val="center"/>
          </w:tcPr>
          <w:p w14:paraId="1B04D101">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8</w:t>
            </w:r>
          </w:p>
        </w:tc>
        <w:tc>
          <w:tcPr>
            <w:tcW w:w="1712" w:type="dxa"/>
            <w:vAlign w:val="center"/>
          </w:tcPr>
          <w:p w14:paraId="61B27B09">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对上访人员的安置</w:t>
            </w:r>
          </w:p>
        </w:tc>
        <w:tc>
          <w:tcPr>
            <w:tcW w:w="5854" w:type="dxa"/>
            <w:vAlign w:val="center"/>
          </w:tcPr>
          <w:p w14:paraId="742FD6B6">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协助相关部门处理上访人员的投诉</w:t>
            </w:r>
            <w:r>
              <w:rPr>
                <w:rFonts w:hint="eastAsia" w:ascii="宋体" w:hAnsi="宋体" w:eastAsia="宋体" w:cs="宋体"/>
                <w:color w:val="000000" w:themeColor="text1"/>
                <w:sz w:val="20"/>
                <w:szCs w:val="20"/>
                <w:highlight w:val="none"/>
                <w:lang w:eastAsia="zh-CN"/>
                <w14:textFill>
                  <w14:solidFill>
                    <w14:schemeClr w14:val="tx1"/>
                  </w14:solidFill>
                </w14:textFill>
              </w:rPr>
              <w:t>，</w:t>
            </w:r>
            <w:r>
              <w:rPr>
                <w:rFonts w:hint="eastAsia" w:ascii="宋体" w:hAnsi="宋体" w:eastAsia="宋体" w:cs="宋体"/>
                <w:color w:val="000000" w:themeColor="text1"/>
                <w:sz w:val="20"/>
                <w:szCs w:val="20"/>
                <w:highlight w:val="none"/>
                <w:lang w:val="en-US" w:eastAsia="zh-CN"/>
                <w14:textFill>
                  <w14:solidFill>
                    <w14:schemeClr w14:val="tx1"/>
                  </w14:solidFill>
                </w14:textFill>
              </w:rPr>
              <w:t>并根据</w:t>
            </w:r>
            <w:r>
              <w:rPr>
                <w:rFonts w:hint="eastAsia" w:ascii="宋体" w:hAnsi="宋体" w:eastAsia="宋体" w:cs="宋体"/>
                <w:color w:val="000000" w:themeColor="text1"/>
                <w:sz w:val="20"/>
                <w:szCs w:val="20"/>
                <w:highlight w:val="none"/>
                <w14:textFill>
                  <w14:solidFill>
                    <w14:schemeClr w14:val="tx1"/>
                  </w14:solidFill>
                </w14:textFill>
              </w:rPr>
              <w:t>相关部门</w:t>
            </w:r>
            <w:r>
              <w:rPr>
                <w:rFonts w:hint="eastAsia" w:ascii="宋体" w:hAnsi="宋体" w:eastAsia="宋体" w:cs="宋体"/>
                <w:color w:val="000000" w:themeColor="text1"/>
                <w:sz w:val="20"/>
                <w:szCs w:val="20"/>
                <w:highlight w:val="none"/>
                <w:lang w:val="en-US" w:eastAsia="zh-CN"/>
                <w14:textFill>
                  <w14:solidFill>
                    <w14:schemeClr w14:val="tx1"/>
                  </w14:solidFill>
                </w14:textFill>
              </w:rPr>
              <w:t>的要求安置好上访人员，避免堵塞交通要道</w:t>
            </w:r>
            <w:r>
              <w:rPr>
                <w:rFonts w:hint="eastAsia" w:ascii="宋体" w:hAnsi="宋体" w:eastAsia="宋体" w:cs="宋体"/>
                <w:color w:val="000000" w:themeColor="text1"/>
                <w:sz w:val="20"/>
                <w:szCs w:val="20"/>
                <w:highlight w:val="none"/>
                <w14:textFill>
                  <w14:solidFill>
                    <w14:schemeClr w14:val="tx1"/>
                  </w14:solidFill>
                </w14:textFill>
              </w:rPr>
              <w:t>。</w:t>
            </w:r>
          </w:p>
        </w:tc>
      </w:tr>
      <w:tr w14:paraId="1E802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23" w:type="dxa"/>
            <w:vAlign w:val="center"/>
          </w:tcPr>
          <w:p w14:paraId="19809162">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9</w:t>
            </w:r>
          </w:p>
        </w:tc>
        <w:tc>
          <w:tcPr>
            <w:tcW w:w="1712" w:type="dxa"/>
            <w:vAlign w:val="center"/>
          </w:tcPr>
          <w:p w14:paraId="08C3F0B6">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秩序</w:t>
            </w:r>
            <w:r>
              <w:rPr>
                <w:rFonts w:hint="eastAsia" w:ascii="宋体" w:hAnsi="宋体" w:eastAsia="宋体" w:cs="宋体"/>
                <w:color w:val="000000" w:themeColor="text1"/>
                <w:sz w:val="20"/>
                <w:szCs w:val="20"/>
                <w:highlight w:val="none"/>
                <w:lang w:val="en-US" w:eastAsia="zh-CN"/>
                <w14:textFill>
                  <w14:solidFill>
                    <w14:schemeClr w14:val="tx1"/>
                  </w14:solidFill>
                </w14:textFill>
              </w:rPr>
              <w:t>要求</w:t>
            </w:r>
          </w:p>
        </w:tc>
        <w:tc>
          <w:tcPr>
            <w:tcW w:w="5854" w:type="dxa"/>
            <w:vAlign w:val="center"/>
          </w:tcPr>
          <w:p w14:paraId="21F1AB4F">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保证</w:t>
            </w:r>
            <w:r>
              <w:rPr>
                <w:rFonts w:hint="eastAsia" w:ascii="宋体" w:hAnsi="宋体" w:eastAsia="宋体" w:cs="宋体"/>
                <w:color w:val="000000" w:themeColor="text1"/>
                <w:sz w:val="20"/>
                <w:szCs w:val="20"/>
                <w:highlight w:val="none"/>
                <w:lang w:val="en-US" w:eastAsia="zh-CN"/>
                <w14:textFill>
                  <w14:solidFill>
                    <w14:schemeClr w14:val="tx1"/>
                  </w14:solidFill>
                </w14:textFill>
              </w:rPr>
              <w:t>办公、</w:t>
            </w:r>
            <w:r>
              <w:rPr>
                <w:rFonts w:hint="eastAsia" w:ascii="宋体" w:hAnsi="宋体" w:eastAsia="宋体" w:cs="宋体"/>
                <w:color w:val="000000" w:themeColor="text1"/>
                <w:sz w:val="20"/>
                <w:szCs w:val="20"/>
                <w:highlight w:val="none"/>
                <w14:textFill>
                  <w14:solidFill>
                    <w14:schemeClr w14:val="tx1"/>
                  </w14:solidFill>
                </w14:textFill>
              </w:rPr>
              <w:t>生产办公场所</w:t>
            </w:r>
            <w:r>
              <w:rPr>
                <w:rFonts w:hint="eastAsia" w:ascii="宋体" w:hAnsi="宋体" w:eastAsia="宋体" w:cs="宋体"/>
                <w:color w:val="000000" w:themeColor="text1"/>
                <w:sz w:val="20"/>
                <w:szCs w:val="20"/>
                <w:highlight w:val="none"/>
                <w:lang w:eastAsia="zh-CN"/>
                <w14:textFill>
                  <w14:solidFill>
                    <w14:schemeClr w14:val="tx1"/>
                  </w14:solidFill>
                </w14:textFill>
              </w:rPr>
              <w:t>、</w:t>
            </w:r>
            <w:r>
              <w:rPr>
                <w:rFonts w:hint="eastAsia" w:ascii="宋体" w:hAnsi="宋体" w:eastAsia="宋体" w:cs="宋体"/>
                <w:color w:val="000000" w:themeColor="text1"/>
                <w:sz w:val="20"/>
                <w:szCs w:val="20"/>
                <w:highlight w:val="none"/>
                <w:lang w:val="en-US" w:eastAsia="zh-CN"/>
                <w14:textFill>
                  <w14:solidFill>
                    <w14:schemeClr w14:val="tx1"/>
                  </w14:solidFill>
                </w14:textFill>
              </w:rPr>
              <w:t>停车场</w:t>
            </w:r>
            <w:r>
              <w:rPr>
                <w:rFonts w:hint="eastAsia" w:ascii="宋体" w:hAnsi="宋体" w:eastAsia="宋体" w:cs="宋体"/>
                <w:color w:val="000000" w:themeColor="text1"/>
                <w:sz w:val="20"/>
                <w:szCs w:val="20"/>
                <w:highlight w:val="none"/>
                <w14:textFill>
                  <w14:solidFill>
                    <w14:schemeClr w14:val="tx1"/>
                  </w14:solidFill>
                </w14:textFill>
              </w:rPr>
              <w:t>及周边秩序井然。</w:t>
            </w:r>
          </w:p>
        </w:tc>
      </w:tr>
      <w:tr w14:paraId="65EAE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23" w:type="dxa"/>
            <w:vAlign w:val="center"/>
          </w:tcPr>
          <w:p w14:paraId="68C176A4">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10</w:t>
            </w:r>
          </w:p>
        </w:tc>
        <w:tc>
          <w:tcPr>
            <w:tcW w:w="1712" w:type="dxa"/>
            <w:vAlign w:val="center"/>
          </w:tcPr>
          <w:p w14:paraId="2C919251">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环境</w:t>
            </w:r>
            <w:r>
              <w:rPr>
                <w:rFonts w:hint="eastAsia" w:ascii="宋体" w:hAnsi="宋体" w:eastAsia="宋体" w:cs="宋体"/>
                <w:color w:val="000000" w:themeColor="text1"/>
                <w:sz w:val="20"/>
                <w:szCs w:val="20"/>
                <w:highlight w:val="none"/>
                <w:lang w:val="en-US" w:eastAsia="zh-CN"/>
                <w14:textFill>
                  <w14:solidFill>
                    <w14:schemeClr w14:val="tx1"/>
                  </w14:solidFill>
                </w14:textFill>
              </w:rPr>
              <w:t>要求</w:t>
            </w:r>
          </w:p>
        </w:tc>
        <w:tc>
          <w:tcPr>
            <w:tcW w:w="5854" w:type="dxa"/>
            <w:vAlign w:val="center"/>
          </w:tcPr>
          <w:p w14:paraId="74C60260">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保持值班室、大门口环境整洁、有序</w:t>
            </w:r>
            <w:r>
              <w:rPr>
                <w:rFonts w:hint="eastAsia" w:ascii="宋体" w:hAnsi="宋体" w:eastAsia="宋体" w:cs="宋体"/>
                <w:color w:val="000000" w:themeColor="text1"/>
                <w:sz w:val="20"/>
                <w:szCs w:val="20"/>
                <w:highlight w:val="none"/>
                <w:lang w:eastAsia="zh-CN"/>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道路畅通。</w:t>
            </w:r>
          </w:p>
        </w:tc>
      </w:tr>
      <w:tr w14:paraId="448B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33C1246D">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11</w:t>
            </w:r>
          </w:p>
        </w:tc>
        <w:tc>
          <w:tcPr>
            <w:tcW w:w="1712" w:type="dxa"/>
            <w:vAlign w:val="center"/>
          </w:tcPr>
          <w:p w14:paraId="5DB01B0D">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夜间</w:t>
            </w:r>
            <w:r>
              <w:rPr>
                <w:rFonts w:hint="eastAsia" w:ascii="宋体" w:hAnsi="宋体" w:eastAsia="宋体" w:cs="宋体"/>
                <w:color w:val="000000" w:themeColor="text1"/>
                <w:sz w:val="20"/>
                <w:szCs w:val="20"/>
                <w:highlight w:val="none"/>
                <w:lang w:val="en-US" w:eastAsia="zh-CN"/>
                <w14:textFill>
                  <w14:solidFill>
                    <w14:schemeClr w14:val="tx1"/>
                  </w14:solidFill>
                </w14:textFill>
              </w:rPr>
              <w:t>要求</w:t>
            </w:r>
          </w:p>
        </w:tc>
        <w:tc>
          <w:tcPr>
            <w:tcW w:w="5854" w:type="dxa"/>
            <w:vAlign w:val="center"/>
          </w:tcPr>
          <w:p w14:paraId="5DD909E5">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夜间：工作人员下班后关闭大门，对办公室门窗及楼道窗户关闭情况进行必要的安全检查。</w:t>
            </w:r>
          </w:p>
        </w:tc>
      </w:tr>
      <w:tr w14:paraId="4657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360FC693">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12</w:t>
            </w:r>
          </w:p>
        </w:tc>
        <w:tc>
          <w:tcPr>
            <w:tcW w:w="1712" w:type="dxa"/>
            <w:vAlign w:val="center"/>
          </w:tcPr>
          <w:p w14:paraId="2DE33CA7">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保供电</w:t>
            </w:r>
            <w:r>
              <w:rPr>
                <w:rFonts w:hint="eastAsia" w:ascii="宋体" w:hAnsi="宋体" w:eastAsia="宋体" w:cs="宋体"/>
                <w:color w:val="000000" w:themeColor="text1"/>
                <w:sz w:val="20"/>
                <w:szCs w:val="20"/>
                <w:highlight w:val="none"/>
                <w:lang w:val="en-US" w:eastAsia="zh-CN"/>
                <w14:textFill>
                  <w14:solidFill>
                    <w14:schemeClr w14:val="tx1"/>
                  </w14:solidFill>
                </w14:textFill>
              </w:rPr>
              <w:t>期间要求</w:t>
            </w:r>
          </w:p>
        </w:tc>
        <w:tc>
          <w:tcPr>
            <w:tcW w:w="5854" w:type="dxa"/>
            <w:vAlign w:val="center"/>
          </w:tcPr>
          <w:p w14:paraId="69EF6C95">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在重大保供电期间，按</w:t>
            </w:r>
            <w:r>
              <w:rPr>
                <w:rFonts w:hint="eastAsia" w:ascii="宋体" w:hAnsi="宋体" w:eastAsia="宋体" w:cs="宋体"/>
                <w:color w:val="000000" w:themeColor="text1"/>
                <w:sz w:val="20"/>
                <w:szCs w:val="20"/>
                <w:highlight w:val="none"/>
                <w:lang w:val="en-US" w:eastAsia="zh-CN"/>
                <w14:textFill>
                  <w14:solidFill>
                    <w14:schemeClr w14:val="tx1"/>
                  </w14:solidFill>
                </w14:textFill>
              </w:rPr>
              <w:t>采购</w:t>
            </w:r>
            <w:r>
              <w:rPr>
                <w:rFonts w:hint="eastAsia" w:ascii="宋体" w:hAnsi="宋体" w:eastAsia="宋体" w:cs="宋体"/>
                <w:color w:val="000000" w:themeColor="text1"/>
                <w:sz w:val="20"/>
                <w:szCs w:val="20"/>
                <w:highlight w:val="none"/>
                <w14:textFill>
                  <w14:solidFill>
                    <w14:schemeClr w14:val="tx1"/>
                  </w14:solidFill>
                </w14:textFill>
              </w:rPr>
              <w:t>方要求加强重点场所安保力量。</w:t>
            </w:r>
          </w:p>
        </w:tc>
      </w:tr>
      <w:tr w14:paraId="23E4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71755B48">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13</w:t>
            </w:r>
          </w:p>
        </w:tc>
        <w:tc>
          <w:tcPr>
            <w:tcW w:w="1712" w:type="dxa"/>
            <w:vAlign w:val="center"/>
          </w:tcPr>
          <w:p w14:paraId="66588506">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巡逻</w:t>
            </w:r>
            <w:r>
              <w:rPr>
                <w:rFonts w:hint="eastAsia" w:ascii="宋体" w:hAnsi="宋体" w:eastAsia="宋体" w:cs="宋体"/>
                <w:color w:val="000000" w:themeColor="text1"/>
                <w:sz w:val="20"/>
                <w:szCs w:val="20"/>
                <w:highlight w:val="none"/>
                <w:lang w:val="en-US" w:eastAsia="zh-CN"/>
                <w14:textFill>
                  <w14:solidFill>
                    <w14:schemeClr w14:val="tx1"/>
                  </w14:solidFill>
                </w14:textFill>
              </w:rPr>
              <w:t>问题上报要求</w:t>
            </w:r>
          </w:p>
        </w:tc>
        <w:tc>
          <w:tcPr>
            <w:tcW w:w="5854" w:type="dxa"/>
            <w:vAlign w:val="center"/>
          </w:tcPr>
          <w:p w14:paraId="235087B1">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安保人员按规定时间巡逻，巡逻时能发现本岗点出现的明显问题。发现问题时能够逐级上报，跟踪处理。</w:t>
            </w:r>
          </w:p>
        </w:tc>
      </w:tr>
      <w:tr w14:paraId="21223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23" w:type="dxa"/>
            <w:vAlign w:val="center"/>
          </w:tcPr>
          <w:p w14:paraId="75637992">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14</w:t>
            </w:r>
          </w:p>
        </w:tc>
        <w:tc>
          <w:tcPr>
            <w:tcW w:w="1712" w:type="dxa"/>
            <w:vAlign w:val="center"/>
          </w:tcPr>
          <w:p w14:paraId="69F3CA2A">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文明执勤</w:t>
            </w:r>
          </w:p>
        </w:tc>
        <w:tc>
          <w:tcPr>
            <w:tcW w:w="5854" w:type="dxa"/>
            <w:vAlign w:val="center"/>
          </w:tcPr>
          <w:p w14:paraId="23792FC6">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上班时间文明执勤、遵纪守法。</w:t>
            </w:r>
          </w:p>
        </w:tc>
      </w:tr>
      <w:tr w14:paraId="1AB5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0015F515">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15</w:t>
            </w:r>
          </w:p>
        </w:tc>
        <w:tc>
          <w:tcPr>
            <w:tcW w:w="1712" w:type="dxa"/>
            <w:vAlign w:val="center"/>
          </w:tcPr>
          <w:p w14:paraId="019C8122">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治安事件责任要求</w:t>
            </w:r>
          </w:p>
        </w:tc>
        <w:tc>
          <w:tcPr>
            <w:tcW w:w="5854" w:type="dxa"/>
            <w:vAlign w:val="center"/>
          </w:tcPr>
          <w:p w14:paraId="6A04D79F">
            <w:pPr>
              <w:keepNext/>
              <w:keepLines w:val="0"/>
              <w:pageBreakBefore w:val="0"/>
              <w:widowControl w:val="0"/>
              <w:tabs>
                <w:tab w:val="left" w:pos="754"/>
              </w:tabs>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不发生责任内治安事件和刑事案件。</w:t>
            </w:r>
          </w:p>
        </w:tc>
      </w:tr>
      <w:tr w14:paraId="3AEE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1A7DF755">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16</w:t>
            </w:r>
          </w:p>
        </w:tc>
        <w:tc>
          <w:tcPr>
            <w:tcW w:w="1712" w:type="dxa"/>
            <w:vAlign w:val="center"/>
          </w:tcPr>
          <w:p w14:paraId="493AF414">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事件上报要求</w:t>
            </w:r>
          </w:p>
        </w:tc>
        <w:tc>
          <w:tcPr>
            <w:tcW w:w="5854" w:type="dxa"/>
            <w:vAlign w:val="center"/>
          </w:tcPr>
          <w:p w14:paraId="14CE8082">
            <w:pPr>
              <w:keepNext/>
              <w:keepLines w:val="0"/>
              <w:pageBreakBefore w:val="0"/>
              <w:widowControl w:val="0"/>
              <w:tabs>
                <w:tab w:val="left" w:pos="754"/>
              </w:tabs>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对</w:t>
            </w:r>
            <w:r>
              <w:rPr>
                <w:rFonts w:hint="eastAsia" w:ascii="宋体" w:hAnsi="宋体" w:eastAsia="宋体" w:cs="宋体"/>
                <w:color w:val="000000" w:themeColor="text1"/>
                <w:sz w:val="20"/>
                <w:szCs w:val="20"/>
                <w:highlight w:val="none"/>
                <w14:textFill>
                  <w14:solidFill>
                    <w14:schemeClr w14:val="tx1"/>
                  </w14:solidFill>
                </w14:textFill>
              </w:rPr>
              <w:t>发生</w:t>
            </w:r>
            <w:r>
              <w:rPr>
                <w:rFonts w:hint="eastAsia" w:ascii="宋体" w:hAnsi="宋体" w:eastAsia="宋体" w:cs="宋体"/>
                <w:color w:val="000000" w:themeColor="text1"/>
                <w:sz w:val="20"/>
                <w:szCs w:val="20"/>
                <w:highlight w:val="none"/>
                <w:lang w:val="en-US" w:eastAsia="zh-CN"/>
                <w14:textFill>
                  <w14:solidFill>
                    <w14:schemeClr w14:val="tx1"/>
                  </w14:solidFill>
                </w14:textFill>
              </w:rPr>
              <w:t>的</w:t>
            </w:r>
            <w:r>
              <w:rPr>
                <w:rFonts w:hint="eastAsia" w:ascii="宋体" w:hAnsi="宋体" w:eastAsia="宋体" w:cs="宋体"/>
                <w:color w:val="000000" w:themeColor="text1"/>
                <w:sz w:val="20"/>
                <w:szCs w:val="20"/>
                <w:highlight w:val="none"/>
                <w14:textFill>
                  <w14:solidFill>
                    <w14:schemeClr w14:val="tx1"/>
                  </w14:solidFill>
                </w14:textFill>
              </w:rPr>
              <w:t>打架、斗殴、打砸抢事件</w:t>
            </w:r>
            <w:r>
              <w:rPr>
                <w:rFonts w:hint="eastAsia" w:ascii="宋体" w:hAnsi="宋体" w:eastAsia="宋体" w:cs="宋体"/>
                <w:color w:val="000000" w:themeColor="text1"/>
                <w:sz w:val="20"/>
                <w:szCs w:val="20"/>
                <w:highlight w:val="none"/>
                <w:lang w:val="en-US" w:eastAsia="zh-CN"/>
                <w14:textFill>
                  <w14:solidFill>
                    <w14:schemeClr w14:val="tx1"/>
                  </w14:solidFill>
                </w14:textFill>
              </w:rPr>
              <w:t>应</w:t>
            </w:r>
            <w:r>
              <w:rPr>
                <w:rFonts w:hint="eastAsia" w:ascii="宋体" w:hAnsi="宋体" w:eastAsia="宋体" w:cs="宋体"/>
                <w:color w:val="000000" w:themeColor="text1"/>
                <w:sz w:val="20"/>
                <w:szCs w:val="20"/>
                <w:highlight w:val="none"/>
                <w14:textFill>
                  <w14:solidFill>
                    <w14:schemeClr w14:val="tx1"/>
                  </w14:solidFill>
                </w14:textFill>
              </w:rPr>
              <w:t>及时制止和报告。</w:t>
            </w:r>
          </w:p>
        </w:tc>
      </w:tr>
      <w:tr w14:paraId="10CAF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70A511A5">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17</w:t>
            </w:r>
          </w:p>
        </w:tc>
        <w:tc>
          <w:tcPr>
            <w:tcW w:w="1712" w:type="dxa"/>
            <w:vAlign w:val="center"/>
          </w:tcPr>
          <w:p w14:paraId="4E3E4743">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应急处置要求</w:t>
            </w:r>
          </w:p>
        </w:tc>
        <w:tc>
          <w:tcPr>
            <w:tcW w:w="5854" w:type="dxa"/>
            <w:vAlign w:val="center"/>
          </w:tcPr>
          <w:p w14:paraId="3B7DFB36">
            <w:pPr>
              <w:keepNext/>
              <w:keepLines w:val="0"/>
              <w:pageBreakBefore w:val="0"/>
              <w:widowControl w:val="0"/>
              <w:tabs>
                <w:tab w:val="left" w:pos="754"/>
              </w:tabs>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安保</w:t>
            </w:r>
            <w:r>
              <w:rPr>
                <w:rFonts w:hint="eastAsia" w:ascii="宋体" w:hAnsi="宋体" w:eastAsia="宋体" w:cs="宋体"/>
                <w:color w:val="000000" w:themeColor="text1"/>
                <w:sz w:val="20"/>
                <w:szCs w:val="20"/>
                <w:highlight w:val="none"/>
                <w14:textFill>
                  <w14:solidFill>
                    <w14:schemeClr w14:val="tx1"/>
                  </w14:solidFill>
                </w14:textFill>
              </w:rPr>
              <w:t>人员</w:t>
            </w:r>
            <w:r>
              <w:rPr>
                <w:rFonts w:hint="eastAsia" w:ascii="宋体" w:hAnsi="宋体" w:eastAsia="宋体" w:cs="宋体"/>
                <w:color w:val="000000" w:themeColor="text1"/>
                <w:sz w:val="20"/>
                <w:szCs w:val="20"/>
                <w:highlight w:val="none"/>
                <w:lang w:val="en-US" w:eastAsia="zh-CN"/>
                <w14:textFill>
                  <w14:solidFill>
                    <w14:schemeClr w14:val="tx1"/>
                  </w14:solidFill>
                </w14:textFill>
              </w:rPr>
              <w:t>应经过相关的安保</w:t>
            </w:r>
            <w:r>
              <w:rPr>
                <w:rFonts w:hint="eastAsia" w:ascii="宋体" w:hAnsi="宋体" w:eastAsia="宋体" w:cs="宋体"/>
                <w:color w:val="000000" w:themeColor="text1"/>
                <w:sz w:val="20"/>
                <w:szCs w:val="20"/>
                <w:highlight w:val="none"/>
                <w14:textFill>
                  <w14:solidFill>
                    <w14:schemeClr w14:val="tx1"/>
                  </w14:solidFill>
                </w14:textFill>
              </w:rPr>
              <w:t>应急处置知识</w:t>
            </w:r>
            <w:r>
              <w:rPr>
                <w:rFonts w:hint="eastAsia" w:ascii="宋体" w:hAnsi="宋体" w:eastAsia="宋体" w:cs="宋体"/>
                <w:color w:val="000000" w:themeColor="text1"/>
                <w:sz w:val="20"/>
                <w:szCs w:val="20"/>
                <w:highlight w:val="none"/>
                <w:lang w:val="en-US" w:eastAsia="zh-CN"/>
                <w14:textFill>
                  <w14:solidFill>
                    <w14:schemeClr w14:val="tx1"/>
                  </w14:solidFill>
                </w14:textFill>
              </w:rPr>
              <w:t>的培训；</w:t>
            </w:r>
            <w:r>
              <w:rPr>
                <w:rFonts w:hint="eastAsia" w:ascii="宋体" w:hAnsi="宋体" w:eastAsia="宋体" w:cs="宋体"/>
                <w:color w:val="000000" w:themeColor="text1"/>
                <w:sz w:val="20"/>
                <w:szCs w:val="20"/>
                <w:highlight w:val="none"/>
                <w14:textFill>
                  <w14:solidFill>
                    <w14:schemeClr w14:val="tx1"/>
                  </w14:solidFill>
                </w14:textFill>
              </w:rPr>
              <w:t>发生应急事故事件时处置得当</w:t>
            </w:r>
            <w:r>
              <w:rPr>
                <w:rFonts w:hint="eastAsia" w:ascii="宋体" w:hAnsi="宋体" w:eastAsia="宋体" w:cs="宋体"/>
                <w:color w:val="000000" w:themeColor="text1"/>
                <w:sz w:val="20"/>
                <w:szCs w:val="20"/>
                <w:highlight w:val="none"/>
                <w:lang w:eastAsia="zh-CN"/>
                <w14:textFill>
                  <w14:solidFill>
                    <w14:schemeClr w14:val="tx1"/>
                  </w14:solidFill>
                </w14:textFill>
              </w:rPr>
              <w:t>，</w:t>
            </w:r>
            <w:r>
              <w:rPr>
                <w:rFonts w:hint="eastAsia" w:ascii="宋体" w:hAnsi="宋体" w:eastAsia="宋体" w:cs="宋体"/>
                <w:color w:val="000000" w:themeColor="text1"/>
                <w:sz w:val="20"/>
                <w:szCs w:val="20"/>
                <w:highlight w:val="none"/>
                <w:lang w:val="en-US" w:eastAsia="zh-CN"/>
                <w14:textFill>
                  <w14:solidFill>
                    <w14:schemeClr w14:val="tx1"/>
                  </w14:solidFill>
                </w14:textFill>
              </w:rPr>
              <w:t>并及时</w:t>
            </w:r>
            <w:r>
              <w:rPr>
                <w:rFonts w:hint="eastAsia" w:ascii="宋体" w:hAnsi="宋体" w:eastAsia="宋体" w:cs="宋体"/>
                <w:color w:val="000000" w:themeColor="text1"/>
                <w:sz w:val="20"/>
                <w:szCs w:val="20"/>
                <w:highlight w:val="none"/>
                <w14:textFill>
                  <w14:solidFill>
                    <w14:schemeClr w14:val="tx1"/>
                  </w14:solidFill>
                </w14:textFill>
              </w:rPr>
              <w:t>逐级上报，跟踪处理。</w:t>
            </w:r>
          </w:p>
        </w:tc>
      </w:tr>
      <w:tr w14:paraId="0BAAD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3" w:type="dxa"/>
            <w:vAlign w:val="center"/>
          </w:tcPr>
          <w:p w14:paraId="0AE45905">
            <w:pPr>
              <w:keepNext/>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18</w:t>
            </w:r>
          </w:p>
        </w:tc>
        <w:tc>
          <w:tcPr>
            <w:tcW w:w="1712" w:type="dxa"/>
            <w:vAlign w:val="center"/>
          </w:tcPr>
          <w:p w14:paraId="4EC8DC78">
            <w:pPr>
              <w:keepNext/>
              <w:keepLines w:val="0"/>
              <w:pageBreakBefore w:val="0"/>
              <w:widowControl w:val="0"/>
              <w:kinsoku/>
              <w:wordWrap/>
              <w:overflowPunct/>
              <w:topLinePunct w:val="0"/>
              <w:autoSpaceDE/>
              <w:autoSpaceDN/>
              <w:bidi w:val="0"/>
              <w:adjustRightInd/>
              <w:snapToGrid/>
              <w:spacing w:beforeLines="0" w:afterLines="0"/>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防护器材</w:t>
            </w:r>
            <w:r>
              <w:rPr>
                <w:rFonts w:hint="eastAsia" w:ascii="宋体" w:hAnsi="宋体" w:eastAsia="宋体" w:cs="宋体"/>
                <w:color w:val="000000" w:themeColor="text1"/>
                <w:sz w:val="20"/>
                <w:szCs w:val="20"/>
                <w:highlight w:val="none"/>
                <w:lang w:val="en-US" w:eastAsia="zh-CN"/>
                <w14:textFill>
                  <w14:solidFill>
                    <w14:schemeClr w14:val="tx1"/>
                  </w14:solidFill>
                </w14:textFill>
              </w:rPr>
              <w:t>使用要求</w:t>
            </w:r>
          </w:p>
        </w:tc>
        <w:tc>
          <w:tcPr>
            <w:tcW w:w="5854" w:type="dxa"/>
            <w:vAlign w:val="center"/>
          </w:tcPr>
          <w:p w14:paraId="4B146752">
            <w:pPr>
              <w:keepNext/>
              <w:keepLines w:val="0"/>
              <w:pageBreakBefore w:val="0"/>
              <w:widowControl w:val="0"/>
              <w:kinsoku/>
              <w:wordWrap/>
              <w:overflowPunct/>
              <w:topLinePunct w:val="0"/>
              <w:autoSpaceDE/>
              <w:autoSpaceDN/>
              <w:bidi w:val="0"/>
              <w:adjustRightInd/>
              <w:snapToGrid/>
              <w:spacing w:beforeLines="0" w:afterLines="0"/>
              <w:ind w:firstLine="0" w:firstLineChars="0"/>
              <w:jc w:val="left"/>
              <w:textAlignment w:val="auto"/>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eastAsia="宋体" w:cs="宋体"/>
                <w:i w:val="0"/>
                <w:color w:val="000000" w:themeColor="text1"/>
                <w:kern w:val="0"/>
                <w:sz w:val="20"/>
                <w:szCs w:val="20"/>
                <w:highlight w:val="none"/>
                <w:u w:val="none"/>
                <w:lang w:val="en-US" w:eastAsia="zh-CN" w:bidi="ar"/>
                <w14:textFill>
                  <w14:solidFill>
                    <w14:schemeClr w14:val="tx1"/>
                  </w14:solidFill>
                </w14:textFill>
              </w:rPr>
              <w:t>按照要求检查</w:t>
            </w:r>
            <w:r>
              <w:rPr>
                <w:rFonts w:hint="eastAsia" w:ascii="宋体" w:hAnsi="宋体" w:eastAsia="宋体" w:cs="宋体"/>
                <w:color w:val="000000" w:themeColor="text1"/>
                <w:sz w:val="20"/>
                <w:szCs w:val="20"/>
                <w:highlight w:val="none"/>
                <w14:textFill>
                  <w14:solidFill>
                    <w14:schemeClr w14:val="tx1"/>
                  </w14:solidFill>
                </w14:textFill>
              </w:rPr>
              <w:t>防护器材功能正常</w:t>
            </w:r>
            <w:r>
              <w:rPr>
                <w:rFonts w:hint="eastAsia" w:ascii="宋体" w:hAnsi="宋体" w:eastAsia="宋体" w:cs="宋体"/>
                <w:color w:val="000000" w:themeColor="text1"/>
                <w:sz w:val="20"/>
                <w:szCs w:val="20"/>
                <w:highlight w:val="none"/>
                <w:lang w:val="en-US" w:eastAsia="zh-CN"/>
                <w14:textFill>
                  <w14:solidFill>
                    <w14:schemeClr w14:val="tx1"/>
                  </w14:solidFill>
                </w14:textFill>
              </w:rPr>
              <w:t>；</w:t>
            </w:r>
            <w:r>
              <w:rPr>
                <w:rFonts w:hint="eastAsia" w:ascii="宋体" w:hAnsi="宋体" w:eastAsia="宋体" w:cs="宋体"/>
                <w:color w:val="000000" w:themeColor="text1"/>
                <w:sz w:val="20"/>
                <w:szCs w:val="20"/>
                <w:highlight w:val="none"/>
                <w14:textFill>
                  <w14:solidFill>
                    <w14:schemeClr w14:val="tx1"/>
                  </w14:solidFill>
                </w14:textFill>
              </w:rPr>
              <w:t>防护器材</w:t>
            </w:r>
            <w:r>
              <w:rPr>
                <w:rFonts w:hint="eastAsia" w:ascii="宋体" w:hAnsi="宋体" w:eastAsia="宋体" w:cs="宋体"/>
                <w:color w:val="000000" w:themeColor="text1"/>
                <w:sz w:val="20"/>
                <w:szCs w:val="20"/>
                <w:highlight w:val="none"/>
                <w:lang w:val="en-US" w:eastAsia="zh-CN"/>
                <w14:textFill>
                  <w14:solidFill>
                    <w14:schemeClr w14:val="tx1"/>
                  </w14:solidFill>
                </w14:textFill>
              </w:rPr>
              <w:t>及相关的</w:t>
            </w:r>
            <w:r>
              <w:rPr>
                <w:rFonts w:hint="eastAsia" w:ascii="宋体" w:hAnsi="宋体" w:eastAsia="宋体" w:cs="宋体"/>
                <w:color w:val="000000" w:themeColor="text1"/>
                <w:sz w:val="20"/>
                <w:szCs w:val="20"/>
                <w:highlight w:val="none"/>
                <w14:textFill>
                  <w14:solidFill>
                    <w14:schemeClr w14:val="tx1"/>
                  </w14:solidFill>
                </w14:textFill>
              </w:rPr>
              <w:t>值班物品管理得当，帐卡物相符</w:t>
            </w:r>
            <w:r>
              <w:rPr>
                <w:rFonts w:hint="eastAsia" w:ascii="宋体" w:hAnsi="宋体" w:eastAsia="宋体" w:cs="宋体"/>
                <w:color w:val="000000" w:themeColor="text1"/>
                <w:sz w:val="20"/>
                <w:szCs w:val="20"/>
                <w:highlight w:val="none"/>
                <w:lang w:val="en-US" w:eastAsia="zh-CN"/>
                <w14:textFill>
                  <w14:solidFill>
                    <w14:schemeClr w14:val="tx1"/>
                  </w14:solidFill>
                </w14:textFill>
              </w:rPr>
              <w:t>；熟练掌握和培训相关</w:t>
            </w:r>
            <w:r>
              <w:rPr>
                <w:rFonts w:hint="eastAsia" w:ascii="宋体" w:hAnsi="宋体" w:eastAsia="宋体" w:cs="宋体"/>
                <w:color w:val="000000" w:themeColor="text1"/>
                <w:sz w:val="20"/>
                <w:szCs w:val="20"/>
                <w:highlight w:val="none"/>
                <w14:textFill>
                  <w14:solidFill>
                    <w14:schemeClr w14:val="tx1"/>
                  </w14:solidFill>
                </w14:textFill>
              </w:rPr>
              <w:t>防护器材</w:t>
            </w:r>
            <w:r>
              <w:rPr>
                <w:rFonts w:hint="eastAsia" w:ascii="宋体" w:hAnsi="宋体" w:eastAsia="宋体" w:cs="宋体"/>
                <w:color w:val="000000" w:themeColor="text1"/>
                <w:sz w:val="20"/>
                <w:szCs w:val="20"/>
                <w:highlight w:val="none"/>
                <w:lang w:val="en-US" w:eastAsia="zh-CN"/>
                <w14:textFill>
                  <w14:solidFill>
                    <w14:schemeClr w14:val="tx1"/>
                  </w14:solidFill>
                </w14:textFill>
              </w:rPr>
              <w:t>的使用</w:t>
            </w:r>
            <w:r>
              <w:rPr>
                <w:rFonts w:hint="eastAsia" w:ascii="宋体" w:hAnsi="宋体" w:eastAsia="宋体" w:cs="宋体"/>
                <w:color w:val="000000" w:themeColor="text1"/>
                <w:sz w:val="20"/>
                <w:szCs w:val="20"/>
                <w:highlight w:val="none"/>
                <w14:textFill>
                  <w14:solidFill>
                    <w14:schemeClr w14:val="tx1"/>
                  </w14:solidFill>
                </w14:textFill>
              </w:rPr>
              <w:t>。</w:t>
            </w:r>
          </w:p>
        </w:tc>
      </w:tr>
    </w:tbl>
    <w:p w14:paraId="5DABE056">
      <w:pPr>
        <w:rPr>
          <w:rFonts w:hint="eastAsia" w:ascii="宋体" w:hAnsi="宋体" w:eastAsia="宋体" w:cs="宋体"/>
          <w:b/>
          <w:bCs/>
          <w:color w:val="000000" w:themeColor="text1"/>
          <w:sz w:val="20"/>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14:textFill>
            <w14:solidFill>
              <w14:schemeClr w14:val="tx1"/>
            </w14:solidFill>
          </w14:textFill>
        </w:rPr>
        <w:br w:type="page"/>
      </w:r>
    </w:p>
    <w:p w14:paraId="3C3F3E7F">
      <w:pPr>
        <w:pStyle w:val="6"/>
        <w:bidi w:val="0"/>
        <w:rPr>
          <w:rFonts w:hint="default" w:ascii="宋体" w:hAnsi="宋体" w:eastAsia="宋体" w:cs="宋体"/>
          <w:color w:val="000000" w:themeColor="text1"/>
          <w:sz w:val="20"/>
          <w:szCs w:val="20"/>
          <w:highlight w:val="none"/>
          <w:lang w:val="en-US" w:eastAsia="zh-CN"/>
          <w14:textFill>
            <w14:solidFill>
              <w14:schemeClr w14:val="tx1"/>
            </w14:solidFill>
          </w14:textFill>
        </w:rPr>
      </w:pPr>
      <w:bookmarkStart w:id="699" w:name="_Toc28967"/>
      <w:bookmarkStart w:id="700" w:name="_Toc21156"/>
      <w:bookmarkStart w:id="701" w:name="_Toc2782"/>
      <w:bookmarkStart w:id="702" w:name="_Toc7054"/>
      <w:bookmarkStart w:id="703" w:name="_Toc17204"/>
      <w:bookmarkStart w:id="704" w:name="_Toc25007"/>
      <w:r>
        <w:rPr>
          <w:rFonts w:hint="eastAsia" w:ascii="宋体" w:hAnsi="宋体" w:eastAsia="宋体" w:cs="宋体"/>
          <w:color w:val="000000" w:themeColor="text1"/>
          <w:sz w:val="20"/>
          <w:szCs w:val="20"/>
          <w:highlight w:val="none"/>
          <w:lang w:val="en-US" w:eastAsia="zh-CN"/>
          <w14:textFill>
            <w14:solidFill>
              <w14:schemeClr w14:val="tx1"/>
            </w14:solidFill>
          </w14:textFill>
        </w:rPr>
        <w:t>4.服务履约考核</w:t>
      </w:r>
      <w:bookmarkEnd w:id="699"/>
      <w:bookmarkEnd w:id="700"/>
      <w:bookmarkEnd w:id="701"/>
      <w:bookmarkEnd w:id="702"/>
      <w:bookmarkEnd w:id="703"/>
      <w:bookmarkEnd w:id="704"/>
    </w:p>
    <w:p w14:paraId="3369EC11">
      <w:pPr>
        <w:keepNext w:val="0"/>
        <w:keepLines w:val="0"/>
        <w:pageBreakBefore w:val="0"/>
        <w:widowControl w:val="0"/>
        <w:kinsoku/>
        <w:wordWrap/>
        <w:overflowPunct/>
        <w:topLinePunct w:val="0"/>
        <w:autoSpaceDE/>
        <w:autoSpaceDN/>
        <w:bidi w:val="0"/>
        <w:adjustRightInd/>
        <w:snapToGrid/>
        <w:spacing w:line="360" w:lineRule="auto"/>
        <w:ind w:firstLine="400" w:firstLineChars="200"/>
        <w:rPr>
          <w:rFonts w:hint="eastAsia"/>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采购方</w:t>
      </w:r>
      <w:r>
        <w:rPr>
          <w:rFonts w:hint="eastAsia" w:ascii="宋体" w:hAnsi="宋体" w:eastAsia="宋体" w:cs="宋体"/>
          <w:color w:val="000000" w:themeColor="text1"/>
          <w:sz w:val="20"/>
          <w:szCs w:val="20"/>
          <w:highlight w:val="none"/>
          <w:lang w:val="en-US" w:eastAsia="zh-CN"/>
          <w14:textFill>
            <w14:solidFill>
              <w14:schemeClr w14:val="tx1"/>
            </w14:solidFill>
          </w14:textFill>
        </w:rPr>
        <w:t>每月</w:t>
      </w:r>
      <w:r>
        <w:rPr>
          <w:rFonts w:hint="eastAsia" w:ascii="宋体" w:hAnsi="宋体" w:eastAsia="宋体" w:cs="宋体"/>
          <w:color w:val="000000" w:themeColor="text1"/>
          <w:sz w:val="20"/>
          <w:szCs w:val="20"/>
          <w:highlight w:val="none"/>
          <w14:textFill>
            <w14:solidFill>
              <w14:schemeClr w14:val="tx1"/>
            </w14:solidFill>
          </w14:textFill>
        </w:rPr>
        <w:t>对服务商工作进行考核，考核结果作为对服务商履约考核的评价</w:t>
      </w:r>
      <w:r>
        <w:rPr>
          <w:rFonts w:hint="eastAsia" w:ascii="宋体" w:hAnsi="宋体" w:eastAsia="宋体" w:cs="宋体"/>
          <w:color w:val="000000" w:themeColor="text1"/>
          <w:sz w:val="20"/>
          <w:szCs w:val="20"/>
          <w:highlight w:val="none"/>
          <w:lang w:eastAsia="zh-CN"/>
          <w14:textFill>
            <w14:solidFill>
              <w14:schemeClr w14:val="tx1"/>
            </w14:solidFill>
          </w14:textFill>
        </w:rPr>
        <w:t>，</w:t>
      </w:r>
      <w:r>
        <w:rPr>
          <w:rFonts w:hint="eastAsia" w:ascii="宋体" w:hAnsi="宋体" w:eastAsia="宋体" w:cs="宋体"/>
          <w:bCs/>
          <w:color w:val="000000" w:themeColor="text1"/>
          <w:sz w:val="20"/>
          <w:szCs w:val="20"/>
          <w:highlight w:val="none"/>
          <w:lang w:val="en-US" w:eastAsia="zh-CN"/>
          <w14:textFill>
            <w14:solidFill>
              <w14:schemeClr w14:val="tx1"/>
            </w14:solidFill>
          </w14:textFill>
        </w:rPr>
        <w:t>每扣1分折合人民币100元。</w:t>
      </w:r>
    </w:p>
    <w:p w14:paraId="6060F6C2">
      <w:pPr>
        <w:keepNext w:val="0"/>
        <w:keepLines w:val="0"/>
        <w:pageBreakBefore w:val="0"/>
        <w:widowControl w:val="0"/>
        <w:kinsoku/>
        <w:wordWrap/>
        <w:overflowPunct/>
        <w:topLinePunct w:val="0"/>
        <w:autoSpaceDE/>
        <w:autoSpaceDN/>
        <w:bidi w:val="0"/>
        <w:adjustRightInd/>
        <w:snapToGrid/>
        <w:spacing w:line="360" w:lineRule="auto"/>
        <w:ind w:firstLine="402" w:firstLineChars="200"/>
        <w:jc w:val="center"/>
        <w:outlineLvl w:val="1"/>
        <w:rPr>
          <w:rFonts w:hint="eastAsia" w:ascii="宋体" w:hAnsi="宋体" w:eastAsia="宋体" w:cs="宋体"/>
          <w:b/>
          <w:bCs/>
          <w:color w:val="000000" w:themeColor="text1"/>
          <w:sz w:val="20"/>
          <w:szCs w:val="20"/>
          <w:highlight w:val="none"/>
          <w:lang w:val="en-US" w:eastAsia="zh-CN"/>
          <w14:textFill>
            <w14:solidFill>
              <w14:schemeClr w14:val="tx1"/>
            </w14:solidFill>
          </w14:textFill>
        </w:rPr>
      </w:pPr>
      <w:bookmarkStart w:id="705" w:name="_Toc17355"/>
      <w:bookmarkStart w:id="706" w:name="_Toc17560"/>
      <w:bookmarkStart w:id="707" w:name="_Toc8182"/>
      <w:bookmarkStart w:id="708" w:name="_Toc18313"/>
      <w:bookmarkStart w:id="709" w:name="_Toc20123"/>
      <w:bookmarkStart w:id="710" w:name="_Toc18990"/>
      <w:r>
        <w:rPr>
          <w:rFonts w:hint="eastAsia" w:ascii="宋体" w:hAnsi="宋体" w:eastAsia="宋体" w:cs="宋体"/>
          <w:b/>
          <w:bCs/>
          <w:color w:val="000000" w:themeColor="text1"/>
          <w:sz w:val="20"/>
          <w:szCs w:val="20"/>
          <w:highlight w:val="none"/>
          <w:lang w:val="en-US" w:eastAsia="zh-CN"/>
          <w14:textFill>
            <w14:solidFill>
              <w14:schemeClr w14:val="tx1"/>
            </w14:solidFill>
          </w14:textFill>
        </w:rPr>
        <w:t>临时性秩序维护服务内容及标准（100分）</w:t>
      </w:r>
      <w:bookmarkEnd w:id="705"/>
      <w:bookmarkEnd w:id="706"/>
      <w:bookmarkEnd w:id="707"/>
      <w:bookmarkEnd w:id="708"/>
      <w:bookmarkEnd w:id="709"/>
      <w:bookmarkEnd w:id="710"/>
    </w:p>
    <w:tbl>
      <w:tblPr>
        <w:tblStyle w:val="15"/>
        <w:tblW w:w="85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0"/>
        <w:gridCol w:w="2612"/>
        <w:gridCol w:w="535"/>
        <w:gridCol w:w="2669"/>
        <w:gridCol w:w="697"/>
        <w:gridCol w:w="571"/>
        <w:gridCol w:w="873"/>
      </w:tblGrid>
      <w:tr w14:paraId="4D3C74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6"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14:paraId="5E2CD94C">
            <w:pPr>
              <w:ind w:firstLine="0" w:firstLineChars="0"/>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序号</w:t>
            </w:r>
          </w:p>
        </w:tc>
        <w:tc>
          <w:tcPr>
            <w:tcW w:w="2612" w:type="dxa"/>
            <w:tcBorders>
              <w:top w:val="single" w:color="auto" w:sz="4" w:space="0"/>
              <w:left w:val="single" w:color="auto" w:sz="4" w:space="0"/>
              <w:bottom w:val="single" w:color="auto" w:sz="4" w:space="0"/>
              <w:right w:val="single" w:color="auto" w:sz="4" w:space="0"/>
            </w:tcBorders>
            <w:vAlign w:val="center"/>
          </w:tcPr>
          <w:p w14:paraId="44027F66">
            <w:pPr>
              <w:ind w:firstLine="0" w:firstLineChars="0"/>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服务内容及标准要求</w:t>
            </w:r>
          </w:p>
        </w:tc>
        <w:tc>
          <w:tcPr>
            <w:tcW w:w="535" w:type="dxa"/>
            <w:tcBorders>
              <w:top w:val="single" w:color="auto" w:sz="4" w:space="0"/>
              <w:left w:val="single" w:color="auto" w:sz="4" w:space="0"/>
              <w:bottom w:val="single" w:color="auto" w:sz="4" w:space="0"/>
              <w:right w:val="single" w:color="auto" w:sz="4" w:space="0"/>
            </w:tcBorders>
            <w:vAlign w:val="center"/>
          </w:tcPr>
          <w:p w14:paraId="204A2A1D">
            <w:pPr>
              <w:ind w:firstLine="0" w:firstLineChars="0"/>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标准分</w:t>
            </w:r>
          </w:p>
        </w:tc>
        <w:tc>
          <w:tcPr>
            <w:tcW w:w="2669" w:type="dxa"/>
            <w:tcBorders>
              <w:top w:val="single" w:color="auto" w:sz="4" w:space="0"/>
              <w:left w:val="single" w:color="auto" w:sz="4" w:space="0"/>
              <w:bottom w:val="single" w:color="auto" w:sz="4" w:space="0"/>
              <w:right w:val="single" w:color="auto" w:sz="4" w:space="0"/>
            </w:tcBorders>
            <w:vAlign w:val="center"/>
          </w:tcPr>
          <w:p w14:paraId="1D6AD4CD">
            <w:pPr>
              <w:ind w:firstLine="0" w:firstLineChars="0"/>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检查内容</w:t>
            </w:r>
          </w:p>
        </w:tc>
        <w:tc>
          <w:tcPr>
            <w:tcW w:w="697" w:type="dxa"/>
            <w:tcBorders>
              <w:top w:val="single" w:color="auto" w:sz="4" w:space="0"/>
              <w:left w:val="single" w:color="auto" w:sz="4" w:space="0"/>
              <w:bottom w:val="single" w:color="auto" w:sz="4" w:space="0"/>
              <w:right w:val="single" w:color="auto" w:sz="4" w:space="0"/>
            </w:tcBorders>
            <w:vAlign w:val="center"/>
          </w:tcPr>
          <w:p w14:paraId="4C5680C6">
            <w:pPr>
              <w:ind w:firstLine="0" w:firstLineChars="0"/>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扣分</w:t>
            </w:r>
          </w:p>
          <w:p w14:paraId="2DCBD798">
            <w:pPr>
              <w:ind w:firstLine="0" w:firstLineChars="0"/>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标准</w:t>
            </w:r>
          </w:p>
        </w:tc>
        <w:tc>
          <w:tcPr>
            <w:tcW w:w="571" w:type="dxa"/>
            <w:tcBorders>
              <w:top w:val="single" w:color="auto" w:sz="4" w:space="0"/>
              <w:left w:val="single" w:color="auto" w:sz="4" w:space="0"/>
              <w:bottom w:val="single" w:color="auto" w:sz="4" w:space="0"/>
              <w:right w:val="single" w:color="auto" w:sz="4" w:space="0"/>
            </w:tcBorders>
            <w:vAlign w:val="center"/>
          </w:tcPr>
          <w:p w14:paraId="043FF660">
            <w:pPr>
              <w:ind w:firstLine="0" w:firstLineChars="0"/>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实际</w:t>
            </w:r>
          </w:p>
          <w:p w14:paraId="33A1A284">
            <w:pPr>
              <w:ind w:firstLine="0" w:firstLineChars="0"/>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扣分</w:t>
            </w:r>
          </w:p>
        </w:tc>
        <w:tc>
          <w:tcPr>
            <w:tcW w:w="873" w:type="dxa"/>
            <w:tcBorders>
              <w:top w:val="single" w:color="auto" w:sz="4" w:space="0"/>
              <w:left w:val="single" w:color="auto" w:sz="4" w:space="0"/>
              <w:bottom w:val="single" w:color="auto" w:sz="4" w:space="0"/>
              <w:right w:val="single" w:color="auto" w:sz="4" w:space="0"/>
            </w:tcBorders>
            <w:vAlign w:val="center"/>
          </w:tcPr>
          <w:p w14:paraId="20E11C79">
            <w:pPr>
              <w:ind w:firstLine="0" w:firstLineChars="0"/>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备注</w:t>
            </w:r>
          </w:p>
        </w:tc>
      </w:tr>
      <w:tr w14:paraId="409B7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14:paraId="5095CA62">
            <w:pPr>
              <w:ind w:firstLine="0" w:firstLineChars="0"/>
              <w:jc w:val="center"/>
              <w:rPr>
                <w:rFonts w:hint="eastAsia" w:ascii="宋体" w:hAnsi="宋体" w:cs="宋体"/>
                <w:b/>
                <w:color w:val="000000" w:themeColor="text1"/>
                <w:sz w:val="20"/>
                <w:szCs w:val="20"/>
                <w:highlight w:val="none"/>
                <w14:textFill>
                  <w14:solidFill>
                    <w14:schemeClr w14:val="tx1"/>
                  </w14:solidFill>
                </w14:textFill>
              </w:rPr>
            </w:pPr>
            <w:r>
              <w:rPr>
                <w:rFonts w:hint="eastAsia" w:ascii="宋体" w:hAnsi="宋体" w:cs="宋体"/>
                <w:b/>
                <w:color w:val="000000" w:themeColor="text1"/>
                <w:sz w:val="20"/>
                <w:szCs w:val="20"/>
                <w:highlight w:val="none"/>
                <w14:textFill>
                  <w14:solidFill>
                    <w14:schemeClr w14:val="tx1"/>
                  </w14:solidFill>
                </w14:textFill>
              </w:rPr>
              <w:t>一</w:t>
            </w:r>
          </w:p>
        </w:tc>
        <w:tc>
          <w:tcPr>
            <w:tcW w:w="2612" w:type="dxa"/>
            <w:tcBorders>
              <w:top w:val="single" w:color="auto" w:sz="4" w:space="0"/>
              <w:left w:val="single" w:color="auto" w:sz="4" w:space="0"/>
              <w:bottom w:val="single" w:color="auto" w:sz="4" w:space="0"/>
              <w:right w:val="single" w:color="auto" w:sz="4" w:space="0"/>
            </w:tcBorders>
            <w:vAlign w:val="center"/>
          </w:tcPr>
          <w:p w14:paraId="187C7C31">
            <w:pPr>
              <w:ind w:firstLine="0" w:firstLineChars="0"/>
              <w:rPr>
                <w:rFonts w:hint="eastAsia" w:ascii="宋体" w:hAnsi="宋体" w:cs="宋体"/>
                <w:b/>
                <w:color w:val="000000" w:themeColor="text1"/>
                <w:sz w:val="20"/>
                <w:szCs w:val="20"/>
                <w:highlight w:val="none"/>
                <w14:textFill>
                  <w14:solidFill>
                    <w14:schemeClr w14:val="tx1"/>
                  </w14:solidFill>
                </w14:textFill>
              </w:rPr>
            </w:pPr>
            <w:r>
              <w:rPr>
                <w:rFonts w:hint="eastAsia" w:ascii="宋体" w:hAnsi="宋体" w:cs="宋体"/>
                <w:b/>
                <w:color w:val="000000" w:themeColor="text1"/>
                <w:sz w:val="20"/>
                <w:szCs w:val="20"/>
                <w:highlight w:val="none"/>
                <w14:textFill>
                  <w14:solidFill>
                    <w14:schemeClr w14:val="tx1"/>
                  </w14:solidFill>
                </w14:textFill>
              </w:rPr>
              <w:t>治安秩序维护</w:t>
            </w:r>
          </w:p>
        </w:tc>
        <w:tc>
          <w:tcPr>
            <w:tcW w:w="535" w:type="dxa"/>
            <w:tcBorders>
              <w:top w:val="single" w:color="auto" w:sz="4" w:space="0"/>
              <w:left w:val="single" w:color="auto" w:sz="4" w:space="0"/>
              <w:bottom w:val="single" w:color="auto" w:sz="4" w:space="0"/>
              <w:right w:val="single" w:color="auto" w:sz="4" w:space="0"/>
            </w:tcBorders>
            <w:vAlign w:val="center"/>
          </w:tcPr>
          <w:p w14:paraId="4609323E">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b/>
                <w:bCs/>
                <w:color w:val="000000" w:themeColor="text1"/>
                <w:sz w:val="20"/>
                <w:szCs w:val="20"/>
                <w:highlight w:val="none"/>
                <w:lang w:val="en-US" w:eastAsia="zh-CN"/>
                <w14:textFill>
                  <w14:solidFill>
                    <w14:schemeClr w14:val="tx1"/>
                  </w14:solidFill>
                </w14:textFill>
              </w:rPr>
              <w:t>15</w:t>
            </w:r>
          </w:p>
        </w:tc>
        <w:tc>
          <w:tcPr>
            <w:tcW w:w="2669" w:type="dxa"/>
            <w:tcBorders>
              <w:top w:val="single" w:color="auto" w:sz="4" w:space="0"/>
              <w:left w:val="single" w:color="auto" w:sz="4" w:space="0"/>
              <w:bottom w:val="single" w:color="auto" w:sz="4" w:space="0"/>
              <w:right w:val="single" w:color="auto" w:sz="4" w:space="0"/>
            </w:tcBorders>
            <w:vAlign w:val="center"/>
          </w:tcPr>
          <w:p w14:paraId="7C8A9000">
            <w:pPr>
              <w:ind w:firstLine="0" w:firstLineChars="0"/>
              <w:rPr>
                <w:rFonts w:hint="eastAsia" w:ascii="宋体" w:hAnsi="宋体" w:cs="宋体"/>
                <w:b/>
                <w:color w:val="000000" w:themeColor="text1"/>
                <w:sz w:val="20"/>
                <w:szCs w:val="20"/>
                <w:highlight w:val="none"/>
                <w14:textFill>
                  <w14:solidFill>
                    <w14:schemeClr w14:val="tx1"/>
                  </w14:solidFill>
                </w14:textFill>
              </w:rPr>
            </w:pPr>
          </w:p>
        </w:tc>
        <w:tc>
          <w:tcPr>
            <w:tcW w:w="697" w:type="dxa"/>
            <w:tcBorders>
              <w:top w:val="single" w:color="auto" w:sz="4" w:space="0"/>
              <w:left w:val="single" w:color="auto" w:sz="4" w:space="0"/>
              <w:bottom w:val="single" w:color="auto" w:sz="4" w:space="0"/>
              <w:right w:val="single" w:color="auto" w:sz="4" w:space="0"/>
            </w:tcBorders>
            <w:vAlign w:val="center"/>
          </w:tcPr>
          <w:p w14:paraId="6F0F1ABA">
            <w:pPr>
              <w:ind w:firstLine="0" w:firstLineChars="0"/>
              <w:jc w:val="center"/>
              <w:rPr>
                <w:rFonts w:hint="eastAsia" w:ascii="宋体" w:hAnsi="宋体" w:eastAsia="宋体" w:cs="宋体"/>
                <w:b/>
                <w:color w:val="000000" w:themeColor="text1"/>
                <w:sz w:val="20"/>
                <w:szCs w:val="20"/>
                <w:highlight w:val="none"/>
                <w:lang w:eastAsia="zh-CN"/>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vAlign w:val="center"/>
          </w:tcPr>
          <w:p w14:paraId="101A651B">
            <w:pPr>
              <w:ind w:firstLine="0" w:firstLineChars="0"/>
              <w:jc w:val="center"/>
              <w:rPr>
                <w:rFonts w:hint="eastAsia" w:ascii="宋体" w:hAnsi="宋体" w:eastAsia="宋体" w:cs="宋体"/>
                <w:b/>
                <w:color w:val="000000" w:themeColor="text1"/>
                <w:sz w:val="20"/>
                <w:szCs w:val="20"/>
                <w:highlight w:val="none"/>
                <w:lang w:eastAsia="zh-CN"/>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52CA35D0">
            <w:pPr>
              <w:ind w:firstLine="0" w:firstLineChars="0"/>
              <w:jc w:val="center"/>
              <w:rPr>
                <w:rFonts w:hint="eastAsia" w:ascii="宋体" w:hAnsi="宋体" w:eastAsia="宋体" w:cs="宋体"/>
                <w:b/>
                <w:color w:val="000000" w:themeColor="text1"/>
                <w:sz w:val="20"/>
                <w:szCs w:val="20"/>
                <w:highlight w:val="none"/>
                <w:lang w:val="en-US" w:eastAsia="zh-CN"/>
                <w14:textFill>
                  <w14:solidFill>
                    <w14:schemeClr w14:val="tx1"/>
                  </w14:solidFill>
                </w14:textFill>
              </w:rPr>
            </w:pPr>
          </w:p>
        </w:tc>
      </w:tr>
      <w:tr w14:paraId="58EE11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7" w:hRule="atLeast"/>
          <w:jc w:val="center"/>
        </w:trPr>
        <w:tc>
          <w:tcPr>
            <w:tcW w:w="560" w:type="dxa"/>
            <w:vMerge w:val="restart"/>
            <w:tcBorders>
              <w:top w:val="single" w:color="auto" w:sz="4" w:space="0"/>
              <w:left w:val="single" w:color="auto" w:sz="4" w:space="0"/>
              <w:bottom w:val="single" w:color="auto" w:sz="4" w:space="0"/>
              <w:right w:val="single" w:color="auto" w:sz="4" w:space="0"/>
            </w:tcBorders>
            <w:vAlign w:val="center"/>
          </w:tcPr>
          <w:p w14:paraId="6E47EA94">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1</w:t>
            </w:r>
          </w:p>
        </w:tc>
        <w:tc>
          <w:tcPr>
            <w:tcW w:w="2612" w:type="dxa"/>
            <w:vMerge w:val="restart"/>
            <w:tcBorders>
              <w:top w:val="single" w:color="auto" w:sz="4" w:space="0"/>
              <w:left w:val="single" w:color="auto" w:sz="4" w:space="0"/>
              <w:bottom w:val="single" w:color="auto" w:sz="4" w:space="0"/>
              <w:right w:val="single" w:color="auto" w:sz="4" w:space="0"/>
            </w:tcBorders>
            <w:vAlign w:val="center"/>
          </w:tcPr>
          <w:p w14:paraId="103033DA">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依据合同为职工提供秩序维护服务工作，保护</w:t>
            </w:r>
            <w:r>
              <w:rPr>
                <w:rFonts w:hint="eastAsia" w:ascii="宋体" w:hAnsi="宋体" w:cs="宋体"/>
                <w:color w:val="000000" w:themeColor="text1"/>
                <w:sz w:val="20"/>
                <w:szCs w:val="20"/>
                <w:highlight w:val="none"/>
                <w:lang w:val="en-US" w:eastAsia="zh-CN"/>
                <w14:textFill>
                  <w14:solidFill>
                    <w14:schemeClr w14:val="tx1"/>
                  </w14:solidFill>
                </w14:textFill>
              </w:rPr>
              <w:t>生产场所内</w:t>
            </w:r>
            <w:r>
              <w:rPr>
                <w:rFonts w:hint="eastAsia" w:ascii="宋体" w:hAnsi="宋体" w:cs="宋体"/>
                <w:color w:val="000000" w:themeColor="text1"/>
                <w:sz w:val="20"/>
                <w:szCs w:val="20"/>
                <w:highlight w:val="none"/>
                <w14:textFill>
                  <w14:solidFill>
                    <w14:schemeClr w14:val="tx1"/>
                  </w14:solidFill>
                </w14:textFill>
              </w:rPr>
              <w:t>的公共设施，保护人员的人身和财产安全，维护办公场所、营业场所内部的正常秩序。协助公安机关查处内部案件，发生案件一小时内</w:t>
            </w:r>
            <w:r>
              <w:rPr>
                <w:rFonts w:hint="eastAsia" w:ascii="宋体" w:hAnsi="宋体" w:cs="宋体"/>
                <w:color w:val="000000" w:themeColor="text1"/>
                <w:sz w:val="20"/>
                <w:szCs w:val="20"/>
                <w:highlight w:val="none"/>
                <w:lang w:eastAsia="zh-CN"/>
                <w14:textFill>
                  <w14:solidFill>
                    <w14:schemeClr w14:val="tx1"/>
                  </w14:solidFill>
                </w14:textFill>
              </w:rPr>
              <w:t>服务商</w:t>
            </w:r>
            <w:r>
              <w:rPr>
                <w:rFonts w:hint="eastAsia" w:ascii="宋体" w:hAnsi="宋体" w:cs="宋体"/>
                <w:color w:val="000000" w:themeColor="text1"/>
                <w:sz w:val="20"/>
                <w:szCs w:val="20"/>
                <w:highlight w:val="none"/>
                <w14:textFill>
                  <w14:solidFill>
                    <w14:schemeClr w14:val="tx1"/>
                  </w14:solidFill>
                </w14:textFill>
              </w:rPr>
              <w:t>口头向</w:t>
            </w:r>
            <w:r>
              <w:rPr>
                <w:rFonts w:hint="eastAsia" w:ascii="宋体" w:hAnsi="宋体" w:cs="宋体"/>
                <w:color w:val="000000" w:themeColor="text1"/>
                <w:sz w:val="20"/>
                <w:szCs w:val="20"/>
                <w:highlight w:val="none"/>
                <w:lang w:eastAsia="zh-CN"/>
                <w14:textFill>
                  <w14:solidFill>
                    <w14:schemeClr w14:val="tx1"/>
                  </w14:solidFill>
                </w14:textFill>
              </w:rPr>
              <w:t>采购方</w:t>
            </w:r>
            <w:r>
              <w:rPr>
                <w:rFonts w:hint="eastAsia" w:ascii="宋体" w:hAnsi="宋体" w:cs="宋体"/>
                <w:color w:val="000000" w:themeColor="text1"/>
                <w:sz w:val="20"/>
                <w:szCs w:val="20"/>
                <w:highlight w:val="none"/>
                <w14:textFill>
                  <w14:solidFill>
                    <w14:schemeClr w14:val="tx1"/>
                  </w14:solidFill>
                </w14:textFill>
              </w:rPr>
              <w:t>报告案发情况。</w:t>
            </w:r>
          </w:p>
        </w:tc>
        <w:tc>
          <w:tcPr>
            <w:tcW w:w="535" w:type="dxa"/>
            <w:vMerge w:val="restart"/>
            <w:tcBorders>
              <w:top w:val="single" w:color="auto" w:sz="4" w:space="0"/>
              <w:left w:val="single" w:color="auto" w:sz="4" w:space="0"/>
              <w:right w:val="single" w:color="auto" w:sz="4" w:space="0"/>
            </w:tcBorders>
            <w:vAlign w:val="center"/>
          </w:tcPr>
          <w:p w14:paraId="339334AA">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15</w:t>
            </w:r>
          </w:p>
        </w:tc>
        <w:tc>
          <w:tcPr>
            <w:tcW w:w="2669" w:type="dxa"/>
            <w:tcBorders>
              <w:top w:val="single" w:color="auto" w:sz="4" w:space="0"/>
              <w:left w:val="single" w:color="auto" w:sz="4" w:space="0"/>
              <w:bottom w:val="single" w:color="auto" w:sz="4" w:space="0"/>
              <w:right w:val="single" w:color="auto" w:sz="4" w:space="0"/>
            </w:tcBorders>
            <w:vAlign w:val="center"/>
          </w:tcPr>
          <w:p w14:paraId="1CC2E097">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不维护办公场所、营业场所内部的正常秩序、不配合公安机关处理发生案件或发生案件不按时报告的</w:t>
            </w:r>
          </w:p>
        </w:tc>
        <w:tc>
          <w:tcPr>
            <w:tcW w:w="697" w:type="dxa"/>
            <w:tcBorders>
              <w:top w:val="single" w:color="auto" w:sz="4" w:space="0"/>
              <w:left w:val="single" w:color="auto" w:sz="4" w:space="0"/>
              <w:bottom w:val="single" w:color="auto" w:sz="4" w:space="0"/>
              <w:right w:val="single" w:color="auto" w:sz="4" w:space="0"/>
            </w:tcBorders>
            <w:vAlign w:val="center"/>
          </w:tcPr>
          <w:p w14:paraId="4D6B54FE">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w:t>
            </w:r>
            <w:r>
              <w:rPr>
                <w:rFonts w:hint="eastAsia" w:ascii="宋体" w:hAnsi="宋体" w:cs="宋体"/>
                <w:color w:val="000000" w:themeColor="text1"/>
                <w:sz w:val="20"/>
                <w:szCs w:val="20"/>
                <w:highlight w:val="none"/>
                <w:lang w:val="en-US" w:eastAsia="zh-CN"/>
                <w14:textFill>
                  <w14:solidFill>
                    <w14:schemeClr w14:val="tx1"/>
                  </w14:solidFill>
                </w14:textFill>
              </w:rPr>
              <w:t>1</w:t>
            </w:r>
            <w:r>
              <w:rPr>
                <w:rFonts w:hint="eastAsia" w:ascii="宋体" w:hAnsi="宋体" w:cs="宋体"/>
                <w:color w:val="000000" w:themeColor="text1"/>
                <w:sz w:val="20"/>
                <w:szCs w:val="20"/>
                <w:highlight w:val="none"/>
                <w14:textFill>
                  <w14:solidFill>
                    <w14:schemeClr w14:val="tx1"/>
                  </w14:solidFill>
                </w14:textFill>
              </w:rPr>
              <w:t>分/项次</w:t>
            </w:r>
          </w:p>
        </w:tc>
        <w:tc>
          <w:tcPr>
            <w:tcW w:w="571" w:type="dxa"/>
            <w:tcBorders>
              <w:top w:val="single" w:color="auto" w:sz="4" w:space="0"/>
              <w:left w:val="single" w:color="auto" w:sz="4" w:space="0"/>
              <w:bottom w:val="single" w:color="auto" w:sz="4" w:space="0"/>
              <w:right w:val="single" w:color="auto" w:sz="4" w:space="0"/>
            </w:tcBorders>
            <w:vAlign w:val="center"/>
          </w:tcPr>
          <w:p w14:paraId="71E1A303">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6C48A6D4">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00FE26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jc w:val="center"/>
        </w:trPr>
        <w:tc>
          <w:tcPr>
            <w:tcW w:w="560" w:type="dxa"/>
            <w:vMerge w:val="continue"/>
            <w:tcBorders>
              <w:top w:val="single" w:color="auto" w:sz="4" w:space="0"/>
              <w:left w:val="single" w:color="auto" w:sz="4" w:space="0"/>
              <w:bottom w:val="single" w:color="auto" w:sz="4" w:space="0"/>
              <w:right w:val="single" w:color="auto" w:sz="4" w:space="0"/>
            </w:tcBorders>
            <w:vAlign w:val="center"/>
          </w:tcPr>
          <w:p w14:paraId="785FE5DF">
            <w:pPr>
              <w:widowControl/>
              <w:ind w:firstLine="0" w:firstLineChars="0"/>
              <w:jc w:val="left"/>
              <w:rPr>
                <w:rFonts w:hint="eastAsia" w:ascii="宋体" w:hAnsi="宋体" w:cs="宋体"/>
                <w:color w:val="000000" w:themeColor="text1"/>
                <w:sz w:val="20"/>
                <w:szCs w:val="20"/>
                <w:highlight w:val="none"/>
                <w14:textFill>
                  <w14:solidFill>
                    <w14:schemeClr w14:val="tx1"/>
                  </w14:solidFill>
                </w14:textFill>
              </w:rPr>
            </w:pPr>
          </w:p>
        </w:tc>
        <w:tc>
          <w:tcPr>
            <w:tcW w:w="2612" w:type="dxa"/>
            <w:vMerge w:val="continue"/>
            <w:tcBorders>
              <w:top w:val="single" w:color="auto" w:sz="4" w:space="0"/>
              <w:left w:val="single" w:color="auto" w:sz="4" w:space="0"/>
              <w:bottom w:val="single" w:color="auto" w:sz="4" w:space="0"/>
              <w:right w:val="single" w:color="auto" w:sz="4" w:space="0"/>
            </w:tcBorders>
            <w:vAlign w:val="center"/>
          </w:tcPr>
          <w:p w14:paraId="13C29A3A">
            <w:pPr>
              <w:widowControl/>
              <w:ind w:firstLine="0" w:firstLineChars="0"/>
              <w:jc w:val="left"/>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right w:val="single" w:color="auto" w:sz="4" w:space="0"/>
            </w:tcBorders>
            <w:vAlign w:val="center"/>
          </w:tcPr>
          <w:p w14:paraId="23B6609B">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15109393">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发生一般刑事案件或治安案件经济损失在3000元以下的</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36AE868C">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w:t>
            </w:r>
            <w:r>
              <w:rPr>
                <w:rFonts w:hint="eastAsia" w:ascii="宋体" w:hAnsi="宋体" w:cs="宋体"/>
                <w:color w:val="000000" w:themeColor="text1"/>
                <w:sz w:val="20"/>
                <w:szCs w:val="20"/>
                <w:highlight w:val="none"/>
                <w:lang w:val="en-US" w:eastAsia="zh-CN"/>
                <w14:textFill>
                  <w14:solidFill>
                    <w14:schemeClr w14:val="tx1"/>
                  </w14:solidFill>
                </w14:textFill>
              </w:rPr>
              <w:t>3</w:t>
            </w:r>
            <w:r>
              <w:rPr>
                <w:rFonts w:hint="eastAsia" w:ascii="宋体" w:hAnsi="宋体" w:cs="宋体"/>
                <w:color w:val="000000" w:themeColor="text1"/>
                <w:sz w:val="20"/>
                <w:szCs w:val="20"/>
                <w:highlight w:val="none"/>
                <w14:textFill>
                  <w14:solidFill>
                    <w14:schemeClr w14:val="tx1"/>
                  </w14:solidFill>
                </w14:textFill>
              </w:rPr>
              <w:t>分/次</w:t>
            </w:r>
          </w:p>
        </w:tc>
        <w:tc>
          <w:tcPr>
            <w:tcW w:w="571" w:type="dxa"/>
            <w:tcBorders>
              <w:top w:val="single" w:color="auto" w:sz="4" w:space="0"/>
              <w:left w:val="single" w:color="auto" w:sz="4" w:space="0"/>
              <w:bottom w:val="single" w:color="auto" w:sz="4" w:space="0"/>
              <w:right w:val="single" w:color="auto" w:sz="4" w:space="0"/>
            </w:tcBorders>
            <w:vAlign w:val="center"/>
          </w:tcPr>
          <w:p w14:paraId="460B3CA2">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1A76CB70">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74771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60" w:type="dxa"/>
            <w:vMerge w:val="continue"/>
            <w:tcBorders>
              <w:top w:val="single" w:color="auto" w:sz="4" w:space="0"/>
              <w:left w:val="single" w:color="auto" w:sz="4" w:space="0"/>
              <w:bottom w:val="single" w:color="auto" w:sz="4" w:space="0"/>
              <w:right w:val="single" w:color="auto" w:sz="4" w:space="0"/>
            </w:tcBorders>
            <w:vAlign w:val="center"/>
          </w:tcPr>
          <w:p w14:paraId="639C61AA">
            <w:pPr>
              <w:widowControl/>
              <w:ind w:firstLine="0" w:firstLineChars="0"/>
              <w:jc w:val="left"/>
              <w:rPr>
                <w:rFonts w:hint="eastAsia" w:ascii="宋体" w:hAnsi="宋体" w:cs="宋体"/>
                <w:color w:val="000000" w:themeColor="text1"/>
                <w:sz w:val="20"/>
                <w:szCs w:val="20"/>
                <w:highlight w:val="none"/>
                <w14:textFill>
                  <w14:solidFill>
                    <w14:schemeClr w14:val="tx1"/>
                  </w14:solidFill>
                </w14:textFill>
              </w:rPr>
            </w:pPr>
          </w:p>
        </w:tc>
        <w:tc>
          <w:tcPr>
            <w:tcW w:w="2612" w:type="dxa"/>
            <w:vMerge w:val="continue"/>
            <w:tcBorders>
              <w:top w:val="single" w:color="auto" w:sz="4" w:space="0"/>
              <w:left w:val="single" w:color="auto" w:sz="4" w:space="0"/>
              <w:bottom w:val="single" w:color="auto" w:sz="4" w:space="0"/>
              <w:right w:val="single" w:color="auto" w:sz="4" w:space="0"/>
            </w:tcBorders>
            <w:vAlign w:val="center"/>
          </w:tcPr>
          <w:p w14:paraId="4BB0EEE4">
            <w:pPr>
              <w:widowControl/>
              <w:ind w:firstLine="0" w:firstLineChars="0"/>
              <w:jc w:val="left"/>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right w:val="single" w:color="auto" w:sz="4" w:space="0"/>
            </w:tcBorders>
            <w:vAlign w:val="center"/>
          </w:tcPr>
          <w:p w14:paraId="6CE22850">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1F1129D3">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发生一般治安案件，每次经济损失在3000元以上10000元以下的（含10000元）发生重、特大以上刑事案件及治安案件的</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6F5F6454">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w:t>
            </w:r>
            <w:r>
              <w:rPr>
                <w:rFonts w:hint="eastAsia" w:ascii="宋体" w:hAnsi="宋体" w:cs="宋体"/>
                <w:color w:val="000000" w:themeColor="text1"/>
                <w:sz w:val="20"/>
                <w:szCs w:val="20"/>
                <w:highlight w:val="none"/>
                <w:lang w:val="en-US" w:eastAsia="zh-CN"/>
                <w14:textFill>
                  <w14:solidFill>
                    <w14:schemeClr w14:val="tx1"/>
                  </w14:solidFill>
                </w14:textFill>
              </w:rPr>
              <w:t>5</w:t>
            </w:r>
            <w:r>
              <w:rPr>
                <w:rFonts w:hint="eastAsia" w:ascii="宋体" w:hAnsi="宋体" w:cs="宋体"/>
                <w:color w:val="000000" w:themeColor="text1"/>
                <w:sz w:val="20"/>
                <w:szCs w:val="20"/>
                <w:highlight w:val="none"/>
                <w14:textFill>
                  <w14:solidFill>
                    <w14:schemeClr w14:val="tx1"/>
                  </w14:solidFill>
                </w14:textFill>
              </w:rPr>
              <w:t>分/次</w:t>
            </w:r>
          </w:p>
        </w:tc>
        <w:tc>
          <w:tcPr>
            <w:tcW w:w="571" w:type="dxa"/>
            <w:tcBorders>
              <w:top w:val="single" w:color="auto" w:sz="4" w:space="0"/>
              <w:left w:val="single" w:color="auto" w:sz="4" w:space="0"/>
              <w:bottom w:val="single" w:color="auto" w:sz="4" w:space="0"/>
              <w:right w:val="single" w:color="auto" w:sz="4" w:space="0"/>
            </w:tcBorders>
            <w:vAlign w:val="center"/>
          </w:tcPr>
          <w:p w14:paraId="6192EF42">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35982BDC">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26ECB7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14:paraId="22763DC3">
            <w:pPr>
              <w:ind w:firstLine="0" w:firstLineChars="0"/>
              <w:jc w:val="center"/>
              <w:rPr>
                <w:rFonts w:hint="eastAsia" w:ascii="宋体" w:hAnsi="宋体" w:cs="宋体"/>
                <w:b/>
                <w:color w:val="000000" w:themeColor="text1"/>
                <w:sz w:val="20"/>
                <w:szCs w:val="20"/>
                <w:highlight w:val="none"/>
                <w14:textFill>
                  <w14:solidFill>
                    <w14:schemeClr w14:val="tx1"/>
                  </w14:solidFill>
                </w14:textFill>
              </w:rPr>
            </w:pPr>
            <w:r>
              <w:rPr>
                <w:rFonts w:hint="eastAsia" w:ascii="宋体" w:hAnsi="宋体" w:cs="宋体"/>
                <w:b/>
                <w:color w:val="000000" w:themeColor="text1"/>
                <w:sz w:val="20"/>
                <w:szCs w:val="20"/>
                <w:highlight w:val="none"/>
                <w14:textFill>
                  <w14:solidFill>
                    <w14:schemeClr w14:val="tx1"/>
                  </w14:solidFill>
                </w14:textFill>
              </w:rPr>
              <w:t>二</w:t>
            </w:r>
          </w:p>
        </w:tc>
        <w:tc>
          <w:tcPr>
            <w:tcW w:w="2612" w:type="dxa"/>
            <w:tcBorders>
              <w:top w:val="single" w:color="auto" w:sz="4" w:space="0"/>
              <w:left w:val="single" w:color="auto" w:sz="4" w:space="0"/>
              <w:bottom w:val="single" w:color="auto" w:sz="4" w:space="0"/>
              <w:right w:val="single" w:color="auto" w:sz="4" w:space="0"/>
            </w:tcBorders>
            <w:vAlign w:val="center"/>
          </w:tcPr>
          <w:p w14:paraId="4A58F1D3">
            <w:pPr>
              <w:ind w:firstLine="0" w:firstLineChars="0"/>
              <w:rPr>
                <w:rFonts w:hint="eastAsia" w:ascii="宋体" w:hAnsi="宋体" w:cs="宋体"/>
                <w:b/>
                <w:color w:val="000000" w:themeColor="text1"/>
                <w:sz w:val="20"/>
                <w:szCs w:val="20"/>
                <w:highlight w:val="none"/>
                <w14:textFill>
                  <w14:solidFill>
                    <w14:schemeClr w14:val="tx1"/>
                  </w14:solidFill>
                </w14:textFill>
              </w:rPr>
            </w:pPr>
            <w:r>
              <w:rPr>
                <w:rFonts w:hint="eastAsia" w:ascii="宋体" w:hAnsi="宋体" w:cs="宋体"/>
                <w:b/>
                <w:color w:val="000000" w:themeColor="text1"/>
                <w:sz w:val="20"/>
                <w:szCs w:val="20"/>
                <w:highlight w:val="none"/>
                <w14:textFill>
                  <w14:solidFill>
                    <w14:schemeClr w14:val="tx1"/>
                  </w14:solidFill>
                </w14:textFill>
              </w:rPr>
              <w:t>治安防范</w:t>
            </w:r>
          </w:p>
        </w:tc>
        <w:tc>
          <w:tcPr>
            <w:tcW w:w="535" w:type="dxa"/>
            <w:tcBorders>
              <w:top w:val="single" w:color="auto" w:sz="4" w:space="0"/>
              <w:left w:val="single" w:color="auto" w:sz="4" w:space="0"/>
              <w:bottom w:val="single" w:color="auto" w:sz="4" w:space="0"/>
              <w:right w:val="single" w:color="auto" w:sz="4" w:space="0"/>
            </w:tcBorders>
            <w:vAlign w:val="center"/>
          </w:tcPr>
          <w:p w14:paraId="20187DB5">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b/>
                <w:bCs/>
                <w:color w:val="000000" w:themeColor="text1"/>
                <w:sz w:val="20"/>
                <w:szCs w:val="20"/>
                <w:highlight w:val="none"/>
                <w:lang w:val="en-US" w:eastAsia="zh-CN"/>
                <w14:textFill>
                  <w14:solidFill>
                    <w14:schemeClr w14:val="tx1"/>
                  </w14:solidFill>
                </w14:textFill>
              </w:rPr>
              <w:t>20</w:t>
            </w:r>
          </w:p>
        </w:tc>
        <w:tc>
          <w:tcPr>
            <w:tcW w:w="2669" w:type="dxa"/>
            <w:tcBorders>
              <w:top w:val="single" w:color="auto" w:sz="4" w:space="0"/>
              <w:left w:val="single" w:color="auto" w:sz="4" w:space="0"/>
              <w:bottom w:val="single" w:color="auto" w:sz="4" w:space="0"/>
              <w:right w:val="single" w:color="auto" w:sz="4" w:space="0"/>
            </w:tcBorders>
            <w:vAlign w:val="center"/>
          </w:tcPr>
          <w:p w14:paraId="1D0CEDCA">
            <w:pPr>
              <w:ind w:firstLine="0" w:firstLineChars="0"/>
              <w:rPr>
                <w:rFonts w:hint="eastAsia" w:ascii="宋体" w:hAnsi="宋体" w:cs="宋体"/>
                <w:b/>
                <w:color w:val="000000" w:themeColor="text1"/>
                <w:sz w:val="20"/>
                <w:szCs w:val="20"/>
                <w:highlight w:val="none"/>
                <w14:textFill>
                  <w14:solidFill>
                    <w14:schemeClr w14:val="tx1"/>
                  </w14:solidFill>
                </w14:textFill>
              </w:rPr>
            </w:pPr>
          </w:p>
        </w:tc>
        <w:tc>
          <w:tcPr>
            <w:tcW w:w="697" w:type="dxa"/>
            <w:tcBorders>
              <w:top w:val="single" w:color="auto" w:sz="4" w:space="0"/>
              <w:left w:val="single" w:color="auto" w:sz="4" w:space="0"/>
              <w:bottom w:val="single" w:color="auto" w:sz="4" w:space="0"/>
              <w:right w:val="single" w:color="auto" w:sz="4" w:space="0"/>
            </w:tcBorders>
            <w:vAlign w:val="center"/>
          </w:tcPr>
          <w:p w14:paraId="20928235">
            <w:pPr>
              <w:ind w:firstLine="0" w:firstLineChars="0"/>
              <w:jc w:val="left"/>
              <w:rPr>
                <w:rFonts w:hint="eastAsia" w:ascii="宋体" w:hAnsi="宋体" w:cs="宋体"/>
                <w:b/>
                <w:color w:val="000000" w:themeColor="text1"/>
                <w:sz w:val="20"/>
                <w:szCs w:val="20"/>
                <w:highlight w:val="none"/>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vAlign w:val="center"/>
          </w:tcPr>
          <w:p w14:paraId="03127D13">
            <w:pPr>
              <w:ind w:firstLine="0" w:firstLineChars="0"/>
              <w:jc w:val="left"/>
              <w:rPr>
                <w:rFonts w:hint="eastAsia" w:ascii="宋体" w:hAnsi="宋体" w:cs="宋体"/>
                <w:b/>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3F6FAE05">
            <w:pPr>
              <w:ind w:firstLine="0" w:firstLineChars="0"/>
              <w:jc w:val="left"/>
              <w:rPr>
                <w:rFonts w:hint="eastAsia" w:ascii="宋体" w:hAnsi="宋体" w:cs="宋体"/>
                <w:b/>
                <w:color w:val="000000" w:themeColor="text1"/>
                <w:sz w:val="20"/>
                <w:szCs w:val="20"/>
                <w:highlight w:val="none"/>
                <w14:textFill>
                  <w14:solidFill>
                    <w14:schemeClr w14:val="tx1"/>
                  </w14:solidFill>
                </w14:textFill>
              </w:rPr>
            </w:pPr>
          </w:p>
        </w:tc>
      </w:tr>
      <w:tr w14:paraId="243DDF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4" w:hRule="atLeast"/>
          <w:jc w:val="center"/>
        </w:trPr>
        <w:tc>
          <w:tcPr>
            <w:tcW w:w="560" w:type="dxa"/>
            <w:vMerge w:val="restart"/>
            <w:tcBorders>
              <w:top w:val="single" w:color="auto" w:sz="4" w:space="0"/>
              <w:left w:val="single" w:color="auto" w:sz="4" w:space="0"/>
              <w:right w:val="single" w:color="auto" w:sz="4" w:space="0"/>
            </w:tcBorders>
            <w:vAlign w:val="center"/>
          </w:tcPr>
          <w:p w14:paraId="017948BB">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1</w:t>
            </w:r>
          </w:p>
        </w:tc>
        <w:tc>
          <w:tcPr>
            <w:tcW w:w="2612" w:type="dxa"/>
            <w:vMerge w:val="restart"/>
            <w:tcBorders>
              <w:top w:val="single" w:color="auto" w:sz="4" w:space="0"/>
              <w:left w:val="single" w:color="auto" w:sz="4" w:space="0"/>
              <w:right w:val="single" w:color="auto" w:sz="4" w:space="0"/>
            </w:tcBorders>
            <w:vAlign w:val="center"/>
          </w:tcPr>
          <w:p w14:paraId="1A7FEF31">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按采购方工作要求做好辖区内的治安防范</w:t>
            </w:r>
            <w:r>
              <w:rPr>
                <w:rFonts w:hint="eastAsia" w:ascii="宋体" w:hAnsi="宋体" w:cs="宋体"/>
                <w:color w:val="000000" w:themeColor="text1"/>
                <w:sz w:val="20"/>
                <w:szCs w:val="20"/>
                <w:highlight w:val="none"/>
                <w14:textFill>
                  <w14:solidFill>
                    <w14:schemeClr w14:val="tx1"/>
                  </w14:solidFill>
                </w14:textFill>
              </w:rPr>
              <w:t>，并做好巡逻检查记录。留心观察可疑情况，严防盗窃抢劫，做好治安防范控制，确保办公场所、营业场所安全。值班人员执勤时要保持饱满的精神状态，做到恪守职责，文明执勤。</w:t>
            </w:r>
          </w:p>
        </w:tc>
        <w:tc>
          <w:tcPr>
            <w:tcW w:w="535" w:type="dxa"/>
            <w:vMerge w:val="restart"/>
            <w:tcBorders>
              <w:top w:val="single" w:color="auto" w:sz="4" w:space="0"/>
              <w:left w:val="single" w:color="auto" w:sz="4" w:space="0"/>
              <w:right w:val="single" w:color="auto" w:sz="4" w:space="0"/>
            </w:tcBorders>
            <w:vAlign w:val="center"/>
          </w:tcPr>
          <w:p w14:paraId="45980EC6">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6</w:t>
            </w:r>
          </w:p>
        </w:tc>
        <w:tc>
          <w:tcPr>
            <w:tcW w:w="2669" w:type="dxa"/>
            <w:tcBorders>
              <w:top w:val="single" w:color="auto" w:sz="4" w:space="0"/>
              <w:left w:val="single" w:color="auto" w:sz="4" w:space="0"/>
              <w:bottom w:val="single" w:color="auto" w:sz="4" w:space="0"/>
              <w:right w:val="single" w:color="auto" w:sz="4" w:space="0"/>
            </w:tcBorders>
            <w:vAlign w:val="center"/>
          </w:tcPr>
          <w:p w14:paraId="0E6DBA50">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不按要求巡逻</w:t>
            </w:r>
            <w:r>
              <w:rPr>
                <w:rFonts w:hint="eastAsia" w:ascii="宋体" w:hAnsi="宋体" w:cs="宋体"/>
                <w:color w:val="000000" w:themeColor="text1"/>
                <w:sz w:val="20"/>
                <w:szCs w:val="20"/>
                <w:highlight w:val="none"/>
                <w14:textFill>
                  <w14:solidFill>
                    <w14:schemeClr w14:val="tx1"/>
                  </w14:solidFill>
                </w14:textFill>
              </w:rPr>
              <w:t>，缺巡逻检查记录，治安防范失控造成案件发生的，每一项</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3A64A79D">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-0.1分/项次</w:t>
            </w:r>
          </w:p>
        </w:tc>
        <w:tc>
          <w:tcPr>
            <w:tcW w:w="571" w:type="dxa"/>
            <w:tcBorders>
              <w:top w:val="single" w:color="auto" w:sz="4" w:space="0"/>
              <w:left w:val="single" w:color="auto" w:sz="4" w:space="0"/>
              <w:bottom w:val="single" w:color="auto" w:sz="4" w:space="0"/>
              <w:right w:val="single" w:color="auto" w:sz="4" w:space="0"/>
            </w:tcBorders>
            <w:vAlign w:val="center"/>
          </w:tcPr>
          <w:p w14:paraId="1DBEE2D5">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7C6055E9">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43A0F1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2" w:hRule="atLeast"/>
          <w:jc w:val="center"/>
        </w:trPr>
        <w:tc>
          <w:tcPr>
            <w:tcW w:w="560" w:type="dxa"/>
            <w:vMerge w:val="continue"/>
            <w:tcBorders>
              <w:left w:val="single" w:color="auto" w:sz="4" w:space="0"/>
              <w:bottom w:val="single" w:color="auto" w:sz="4" w:space="0"/>
              <w:right w:val="single" w:color="auto" w:sz="4" w:space="0"/>
            </w:tcBorders>
            <w:vAlign w:val="center"/>
          </w:tcPr>
          <w:p w14:paraId="274093E4">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2612" w:type="dxa"/>
            <w:vMerge w:val="continue"/>
            <w:tcBorders>
              <w:left w:val="single" w:color="auto" w:sz="4" w:space="0"/>
              <w:bottom w:val="single" w:color="auto" w:sz="4" w:space="0"/>
              <w:right w:val="single" w:color="auto" w:sz="4" w:space="0"/>
            </w:tcBorders>
            <w:vAlign w:val="center"/>
          </w:tcPr>
          <w:p w14:paraId="790138F2">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bottom w:val="single" w:color="auto" w:sz="4" w:space="0"/>
              <w:right w:val="single" w:color="auto" w:sz="4" w:space="0"/>
            </w:tcBorders>
            <w:vAlign w:val="center"/>
          </w:tcPr>
          <w:p w14:paraId="44E209BC">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34730FD8">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不文明执勤或缺岗的</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765FD7CE">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-0.1分/人次</w:t>
            </w:r>
          </w:p>
        </w:tc>
        <w:tc>
          <w:tcPr>
            <w:tcW w:w="571" w:type="dxa"/>
            <w:tcBorders>
              <w:top w:val="single" w:color="auto" w:sz="4" w:space="0"/>
              <w:left w:val="single" w:color="auto" w:sz="4" w:space="0"/>
              <w:bottom w:val="single" w:color="auto" w:sz="4" w:space="0"/>
              <w:right w:val="single" w:color="auto" w:sz="4" w:space="0"/>
            </w:tcBorders>
            <w:vAlign w:val="center"/>
          </w:tcPr>
          <w:p w14:paraId="7284A40C">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64BE2543">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1A08D4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560" w:type="dxa"/>
            <w:vMerge w:val="restart"/>
            <w:tcBorders>
              <w:top w:val="single" w:color="auto" w:sz="4" w:space="0"/>
              <w:left w:val="single" w:color="auto" w:sz="4" w:space="0"/>
              <w:right w:val="single" w:color="auto" w:sz="4" w:space="0"/>
            </w:tcBorders>
            <w:vAlign w:val="center"/>
          </w:tcPr>
          <w:p w14:paraId="4D3C5A39">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2</w:t>
            </w:r>
          </w:p>
        </w:tc>
        <w:tc>
          <w:tcPr>
            <w:tcW w:w="2612" w:type="dxa"/>
            <w:vMerge w:val="restart"/>
            <w:tcBorders>
              <w:top w:val="single" w:color="auto" w:sz="4" w:space="0"/>
              <w:left w:val="single" w:color="auto" w:sz="4" w:space="0"/>
              <w:right w:val="single" w:color="auto" w:sz="4" w:space="0"/>
            </w:tcBorders>
            <w:vAlign w:val="center"/>
          </w:tcPr>
          <w:p w14:paraId="7D6145A9">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做好</w:t>
            </w:r>
            <w:r>
              <w:rPr>
                <w:rFonts w:hint="eastAsia" w:ascii="宋体" w:hAnsi="宋体" w:cs="宋体"/>
                <w:color w:val="000000" w:themeColor="text1"/>
                <w:sz w:val="20"/>
                <w:szCs w:val="20"/>
                <w:highlight w:val="none"/>
                <w:lang w:val="en-US" w:eastAsia="zh-CN"/>
                <w14:textFill>
                  <w14:solidFill>
                    <w14:schemeClr w14:val="tx1"/>
                  </w14:solidFill>
                </w14:textFill>
              </w:rPr>
              <w:t>办公场所、营业场所内</w:t>
            </w:r>
            <w:r>
              <w:rPr>
                <w:rFonts w:hint="eastAsia" w:ascii="宋体" w:hAnsi="宋体" w:cs="宋体"/>
                <w:color w:val="000000" w:themeColor="text1"/>
                <w:sz w:val="20"/>
                <w:szCs w:val="20"/>
                <w:highlight w:val="none"/>
                <w14:textFill>
                  <w14:solidFill>
                    <w14:schemeClr w14:val="tx1"/>
                  </w14:solidFill>
                </w14:textFill>
              </w:rPr>
              <w:t>停车场管理和车辆的进出及停放管理。劝阻、制止任何损害停放车辆的行为，引导、提醒车主按规定车位停放车辆，避免乱停、乱放机动车现象，严防机动车辆在办公场所、营业场所内被盗和被撞等事件的发生，劝阻、制止未经许可的人员、车辆、物资擅自出入办公场所、营业场所。</w:t>
            </w:r>
          </w:p>
        </w:tc>
        <w:tc>
          <w:tcPr>
            <w:tcW w:w="535" w:type="dxa"/>
            <w:vMerge w:val="restart"/>
            <w:tcBorders>
              <w:top w:val="single" w:color="auto" w:sz="4" w:space="0"/>
              <w:left w:val="single" w:color="auto" w:sz="4" w:space="0"/>
              <w:right w:val="single" w:color="auto" w:sz="4" w:space="0"/>
            </w:tcBorders>
            <w:vAlign w:val="center"/>
          </w:tcPr>
          <w:p w14:paraId="41B54189">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8</w:t>
            </w:r>
          </w:p>
        </w:tc>
        <w:tc>
          <w:tcPr>
            <w:tcW w:w="2669" w:type="dxa"/>
            <w:tcBorders>
              <w:top w:val="single" w:color="auto" w:sz="4" w:space="0"/>
              <w:left w:val="single" w:color="auto" w:sz="4" w:space="0"/>
              <w:bottom w:val="single" w:color="auto" w:sz="4" w:space="0"/>
              <w:right w:val="single" w:color="auto" w:sz="4" w:space="0"/>
            </w:tcBorders>
            <w:vAlign w:val="center"/>
          </w:tcPr>
          <w:p w14:paraId="2FEC0D2A">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不执行管理规定，不引导、不提醒车主按规定车位停放车辆</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1A670CC1">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-0.2分/次</w:t>
            </w:r>
          </w:p>
        </w:tc>
        <w:tc>
          <w:tcPr>
            <w:tcW w:w="571" w:type="dxa"/>
            <w:tcBorders>
              <w:top w:val="single" w:color="auto" w:sz="4" w:space="0"/>
              <w:left w:val="single" w:color="auto" w:sz="4" w:space="0"/>
              <w:bottom w:val="single" w:color="auto" w:sz="4" w:space="0"/>
              <w:right w:val="single" w:color="auto" w:sz="4" w:space="0"/>
            </w:tcBorders>
            <w:vAlign w:val="center"/>
          </w:tcPr>
          <w:p w14:paraId="2B735DCB">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1319C02D">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715059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560" w:type="dxa"/>
            <w:vMerge w:val="continue"/>
            <w:tcBorders>
              <w:top w:val="single" w:color="auto" w:sz="4" w:space="0"/>
              <w:left w:val="single" w:color="auto" w:sz="4" w:space="0"/>
              <w:right w:val="single" w:color="auto" w:sz="4" w:space="0"/>
            </w:tcBorders>
            <w:vAlign w:val="center"/>
          </w:tcPr>
          <w:p w14:paraId="27373076">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2612" w:type="dxa"/>
            <w:vMerge w:val="continue"/>
            <w:tcBorders>
              <w:top w:val="single" w:color="auto" w:sz="4" w:space="0"/>
              <w:left w:val="single" w:color="auto" w:sz="4" w:space="0"/>
              <w:right w:val="single" w:color="auto" w:sz="4" w:space="0"/>
            </w:tcBorders>
            <w:vAlign w:val="center"/>
          </w:tcPr>
          <w:p w14:paraId="003EEB01">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right w:val="single" w:color="auto" w:sz="4" w:space="0"/>
            </w:tcBorders>
            <w:vAlign w:val="center"/>
          </w:tcPr>
          <w:p w14:paraId="04DEC741">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438FC205">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不设专人24小时</w:t>
            </w:r>
            <w:r>
              <w:rPr>
                <w:rFonts w:hint="eastAsia" w:ascii="宋体" w:hAnsi="宋体" w:cs="宋体"/>
                <w:color w:val="000000" w:themeColor="text1"/>
                <w:sz w:val="20"/>
                <w:szCs w:val="20"/>
                <w:highlight w:val="none"/>
                <w:lang w:val="en-US" w:eastAsia="zh-CN"/>
                <w14:textFill>
                  <w14:solidFill>
                    <w14:schemeClr w14:val="tx1"/>
                  </w14:solidFill>
                </w14:textFill>
              </w:rPr>
              <w:t>执勤</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72211FBE">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-0.2分/次</w:t>
            </w:r>
          </w:p>
        </w:tc>
        <w:tc>
          <w:tcPr>
            <w:tcW w:w="571" w:type="dxa"/>
            <w:tcBorders>
              <w:top w:val="single" w:color="auto" w:sz="4" w:space="0"/>
              <w:left w:val="single" w:color="auto" w:sz="4" w:space="0"/>
              <w:bottom w:val="single" w:color="auto" w:sz="4" w:space="0"/>
              <w:right w:val="single" w:color="auto" w:sz="4" w:space="0"/>
            </w:tcBorders>
            <w:vAlign w:val="center"/>
          </w:tcPr>
          <w:p w14:paraId="46CDC582">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0158B6E7">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751A7E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jc w:val="center"/>
        </w:trPr>
        <w:tc>
          <w:tcPr>
            <w:tcW w:w="560" w:type="dxa"/>
            <w:vMerge w:val="continue"/>
            <w:tcBorders>
              <w:top w:val="single" w:color="auto" w:sz="4" w:space="0"/>
              <w:left w:val="single" w:color="auto" w:sz="4" w:space="0"/>
              <w:right w:val="single" w:color="auto" w:sz="4" w:space="0"/>
            </w:tcBorders>
            <w:vAlign w:val="center"/>
          </w:tcPr>
          <w:p w14:paraId="4C886F42">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2612" w:type="dxa"/>
            <w:vMerge w:val="continue"/>
            <w:tcBorders>
              <w:top w:val="single" w:color="auto" w:sz="4" w:space="0"/>
              <w:left w:val="single" w:color="auto" w:sz="4" w:space="0"/>
              <w:right w:val="single" w:color="auto" w:sz="4" w:space="0"/>
            </w:tcBorders>
            <w:vAlign w:val="center"/>
          </w:tcPr>
          <w:p w14:paraId="5CBDBDD3">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right w:val="single" w:color="auto" w:sz="4" w:space="0"/>
            </w:tcBorders>
            <w:vAlign w:val="center"/>
          </w:tcPr>
          <w:p w14:paraId="3929979F">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404C477A">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不劝阻、制止未经许可的人员、车辆、物资擅自出入办公场所、营业场所，影响到内部治安管理秩序的</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1B591869">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-0.2分/次</w:t>
            </w:r>
          </w:p>
        </w:tc>
        <w:tc>
          <w:tcPr>
            <w:tcW w:w="571" w:type="dxa"/>
            <w:tcBorders>
              <w:top w:val="single" w:color="auto" w:sz="4" w:space="0"/>
              <w:left w:val="single" w:color="auto" w:sz="4" w:space="0"/>
              <w:bottom w:val="single" w:color="auto" w:sz="4" w:space="0"/>
              <w:right w:val="single" w:color="auto" w:sz="4" w:space="0"/>
            </w:tcBorders>
            <w:vAlign w:val="center"/>
          </w:tcPr>
          <w:p w14:paraId="72BC65B1">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32D7487A">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31FDDA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560" w:type="dxa"/>
            <w:vMerge w:val="continue"/>
            <w:tcBorders>
              <w:left w:val="single" w:color="auto" w:sz="4" w:space="0"/>
              <w:bottom w:val="single" w:color="auto" w:sz="4" w:space="0"/>
              <w:right w:val="single" w:color="auto" w:sz="4" w:space="0"/>
            </w:tcBorders>
            <w:vAlign w:val="center"/>
          </w:tcPr>
          <w:p w14:paraId="68D0E272">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2612" w:type="dxa"/>
            <w:vMerge w:val="continue"/>
            <w:tcBorders>
              <w:left w:val="single" w:color="auto" w:sz="4" w:space="0"/>
              <w:bottom w:val="single" w:color="auto" w:sz="4" w:space="0"/>
              <w:right w:val="single" w:color="auto" w:sz="4" w:space="0"/>
            </w:tcBorders>
            <w:vAlign w:val="center"/>
          </w:tcPr>
          <w:p w14:paraId="75835079">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bottom w:val="single" w:color="auto" w:sz="4" w:space="0"/>
              <w:right w:val="single" w:color="auto" w:sz="4" w:space="0"/>
            </w:tcBorders>
            <w:vAlign w:val="center"/>
          </w:tcPr>
          <w:p w14:paraId="477B3365">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4B83001C">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发生机动车辆被盗</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518DE603">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w:t>
            </w:r>
            <w:r>
              <w:rPr>
                <w:rFonts w:hint="eastAsia" w:ascii="宋体" w:hAnsi="宋体" w:cs="宋体"/>
                <w:color w:val="000000" w:themeColor="text1"/>
                <w:sz w:val="20"/>
                <w:szCs w:val="20"/>
                <w:highlight w:val="none"/>
                <w:lang w:val="en-US" w:eastAsia="zh-CN"/>
                <w14:textFill>
                  <w14:solidFill>
                    <w14:schemeClr w14:val="tx1"/>
                  </w14:solidFill>
                </w14:textFill>
              </w:rPr>
              <w:t>0.4</w:t>
            </w:r>
            <w:r>
              <w:rPr>
                <w:rFonts w:hint="eastAsia" w:ascii="宋体" w:hAnsi="宋体" w:cs="宋体"/>
                <w:color w:val="000000" w:themeColor="text1"/>
                <w:sz w:val="20"/>
                <w:szCs w:val="20"/>
                <w:highlight w:val="none"/>
                <w14:textFill>
                  <w14:solidFill>
                    <w14:schemeClr w14:val="tx1"/>
                  </w14:solidFill>
                </w14:textFill>
              </w:rPr>
              <w:t>分/辆</w:t>
            </w:r>
          </w:p>
        </w:tc>
        <w:tc>
          <w:tcPr>
            <w:tcW w:w="571" w:type="dxa"/>
            <w:tcBorders>
              <w:top w:val="single" w:color="auto" w:sz="4" w:space="0"/>
              <w:left w:val="single" w:color="auto" w:sz="4" w:space="0"/>
              <w:bottom w:val="single" w:color="auto" w:sz="4" w:space="0"/>
              <w:right w:val="single" w:color="auto" w:sz="4" w:space="0"/>
            </w:tcBorders>
            <w:vAlign w:val="center"/>
          </w:tcPr>
          <w:p w14:paraId="21405B32">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2BE18DC9">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12E3A1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9" w:hRule="atLeast"/>
          <w:jc w:val="center"/>
        </w:trPr>
        <w:tc>
          <w:tcPr>
            <w:tcW w:w="560" w:type="dxa"/>
            <w:vMerge w:val="restart"/>
            <w:tcBorders>
              <w:top w:val="single" w:color="auto" w:sz="4" w:space="0"/>
              <w:left w:val="single" w:color="auto" w:sz="4" w:space="0"/>
              <w:right w:val="single" w:color="auto" w:sz="4" w:space="0"/>
            </w:tcBorders>
            <w:vAlign w:val="center"/>
          </w:tcPr>
          <w:p w14:paraId="36CC2F16">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3</w:t>
            </w:r>
          </w:p>
        </w:tc>
        <w:tc>
          <w:tcPr>
            <w:tcW w:w="2612" w:type="dxa"/>
            <w:vMerge w:val="restart"/>
            <w:tcBorders>
              <w:top w:val="single" w:color="auto" w:sz="4" w:space="0"/>
              <w:left w:val="single" w:color="auto" w:sz="4" w:space="0"/>
              <w:right w:val="single" w:color="auto" w:sz="4" w:space="0"/>
            </w:tcBorders>
            <w:vAlign w:val="center"/>
          </w:tcPr>
          <w:p w14:paraId="3C34A39C">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严格执行防监控管理规定，做好值班监控工作。交接班记录清楚、资料记录完好。</w:t>
            </w:r>
          </w:p>
        </w:tc>
        <w:tc>
          <w:tcPr>
            <w:tcW w:w="535" w:type="dxa"/>
            <w:vMerge w:val="restart"/>
            <w:tcBorders>
              <w:top w:val="single" w:color="auto" w:sz="4" w:space="0"/>
              <w:left w:val="single" w:color="auto" w:sz="4" w:space="0"/>
              <w:right w:val="single" w:color="auto" w:sz="4" w:space="0"/>
            </w:tcBorders>
            <w:vAlign w:val="center"/>
          </w:tcPr>
          <w:p w14:paraId="5D817D4D">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6</w:t>
            </w:r>
          </w:p>
        </w:tc>
        <w:tc>
          <w:tcPr>
            <w:tcW w:w="2669" w:type="dxa"/>
            <w:tcBorders>
              <w:top w:val="single" w:color="auto" w:sz="4" w:space="0"/>
              <w:left w:val="single" w:color="auto" w:sz="4" w:space="0"/>
              <w:bottom w:val="single" w:color="auto" w:sz="4" w:space="0"/>
              <w:right w:val="single" w:color="auto" w:sz="4" w:space="0"/>
            </w:tcBorders>
            <w:vAlign w:val="center"/>
          </w:tcPr>
          <w:p w14:paraId="3819E276">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不落实监控管理制度的</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6E87BA9F">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-0.1分/次</w:t>
            </w:r>
          </w:p>
        </w:tc>
        <w:tc>
          <w:tcPr>
            <w:tcW w:w="571" w:type="dxa"/>
            <w:tcBorders>
              <w:top w:val="single" w:color="auto" w:sz="4" w:space="0"/>
              <w:left w:val="single" w:color="auto" w:sz="4" w:space="0"/>
              <w:bottom w:val="single" w:color="auto" w:sz="4" w:space="0"/>
              <w:right w:val="single" w:color="auto" w:sz="4" w:space="0"/>
            </w:tcBorders>
            <w:vAlign w:val="center"/>
          </w:tcPr>
          <w:p w14:paraId="45152826">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2D436C72">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0C8AFB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560" w:type="dxa"/>
            <w:vMerge w:val="continue"/>
            <w:tcBorders>
              <w:left w:val="single" w:color="auto" w:sz="4" w:space="0"/>
              <w:bottom w:val="single" w:color="auto" w:sz="4" w:space="0"/>
              <w:right w:val="single" w:color="auto" w:sz="4" w:space="0"/>
            </w:tcBorders>
            <w:vAlign w:val="center"/>
          </w:tcPr>
          <w:p w14:paraId="1C060E6B">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2612" w:type="dxa"/>
            <w:vMerge w:val="continue"/>
            <w:tcBorders>
              <w:left w:val="single" w:color="auto" w:sz="4" w:space="0"/>
              <w:bottom w:val="single" w:color="auto" w:sz="4" w:space="0"/>
              <w:right w:val="single" w:color="auto" w:sz="4" w:space="0"/>
            </w:tcBorders>
            <w:vAlign w:val="center"/>
          </w:tcPr>
          <w:p w14:paraId="72B07BF9">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bottom w:val="single" w:color="auto" w:sz="4" w:space="0"/>
              <w:right w:val="single" w:color="auto" w:sz="4" w:space="0"/>
            </w:tcBorders>
            <w:vAlign w:val="center"/>
          </w:tcPr>
          <w:p w14:paraId="1EC87522">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7847DEAB">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交接班记录不清楚、记录不完好的</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00F0437C">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-0.1分/次</w:t>
            </w:r>
          </w:p>
        </w:tc>
        <w:tc>
          <w:tcPr>
            <w:tcW w:w="571" w:type="dxa"/>
            <w:tcBorders>
              <w:top w:val="single" w:color="auto" w:sz="4" w:space="0"/>
              <w:left w:val="single" w:color="auto" w:sz="4" w:space="0"/>
              <w:bottom w:val="single" w:color="auto" w:sz="4" w:space="0"/>
              <w:right w:val="single" w:color="auto" w:sz="4" w:space="0"/>
            </w:tcBorders>
            <w:vAlign w:val="center"/>
          </w:tcPr>
          <w:p w14:paraId="52E7569A">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6F968C9A">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3B6D5A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14:paraId="48FB1CD4">
            <w:pPr>
              <w:ind w:firstLine="0" w:firstLineChars="0"/>
              <w:jc w:val="center"/>
              <w:rPr>
                <w:rFonts w:hint="eastAsia" w:ascii="宋体" w:hAnsi="宋体" w:cs="宋体"/>
                <w:b/>
                <w:color w:val="000000" w:themeColor="text1"/>
                <w:sz w:val="20"/>
                <w:szCs w:val="20"/>
                <w:highlight w:val="none"/>
                <w14:textFill>
                  <w14:solidFill>
                    <w14:schemeClr w14:val="tx1"/>
                  </w14:solidFill>
                </w14:textFill>
              </w:rPr>
            </w:pPr>
            <w:r>
              <w:rPr>
                <w:rFonts w:hint="eastAsia" w:ascii="宋体" w:hAnsi="宋体" w:cs="宋体"/>
                <w:b/>
                <w:color w:val="000000" w:themeColor="text1"/>
                <w:sz w:val="20"/>
                <w:szCs w:val="20"/>
                <w:highlight w:val="none"/>
                <w14:textFill>
                  <w14:solidFill>
                    <w14:schemeClr w14:val="tx1"/>
                  </w14:solidFill>
                </w14:textFill>
              </w:rPr>
              <w:t>三</w:t>
            </w:r>
          </w:p>
        </w:tc>
        <w:tc>
          <w:tcPr>
            <w:tcW w:w="2612" w:type="dxa"/>
            <w:tcBorders>
              <w:top w:val="single" w:color="auto" w:sz="4" w:space="0"/>
              <w:left w:val="single" w:color="auto" w:sz="4" w:space="0"/>
              <w:bottom w:val="single" w:color="auto" w:sz="4" w:space="0"/>
              <w:right w:val="single" w:color="auto" w:sz="4" w:space="0"/>
            </w:tcBorders>
            <w:vAlign w:val="center"/>
          </w:tcPr>
          <w:p w14:paraId="5A4E3A6E">
            <w:pPr>
              <w:ind w:firstLine="0" w:firstLineChars="0"/>
              <w:rPr>
                <w:rFonts w:hint="eastAsia" w:ascii="宋体" w:hAnsi="宋体" w:cs="宋体"/>
                <w:b/>
                <w:color w:val="000000" w:themeColor="text1"/>
                <w:sz w:val="20"/>
                <w:szCs w:val="20"/>
                <w:highlight w:val="none"/>
                <w14:textFill>
                  <w14:solidFill>
                    <w14:schemeClr w14:val="tx1"/>
                  </w14:solidFill>
                </w14:textFill>
              </w:rPr>
            </w:pPr>
            <w:r>
              <w:rPr>
                <w:rFonts w:hint="eastAsia" w:ascii="宋体" w:hAnsi="宋体" w:cs="宋体"/>
                <w:b/>
                <w:color w:val="000000" w:themeColor="text1"/>
                <w:sz w:val="20"/>
                <w:szCs w:val="20"/>
                <w:highlight w:val="none"/>
                <w14:textFill>
                  <w14:solidFill>
                    <w14:schemeClr w14:val="tx1"/>
                  </w14:solidFill>
                </w14:textFill>
              </w:rPr>
              <w:t>秩序维护管理</w:t>
            </w:r>
          </w:p>
        </w:tc>
        <w:tc>
          <w:tcPr>
            <w:tcW w:w="535" w:type="dxa"/>
            <w:tcBorders>
              <w:top w:val="single" w:color="auto" w:sz="4" w:space="0"/>
              <w:left w:val="single" w:color="auto" w:sz="4" w:space="0"/>
              <w:bottom w:val="single" w:color="auto" w:sz="4" w:space="0"/>
              <w:right w:val="single" w:color="auto" w:sz="4" w:space="0"/>
            </w:tcBorders>
            <w:vAlign w:val="center"/>
          </w:tcPr>
          <w:p w14:paraId="4050003B">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b/>
                <w:bCs/>
                <w:color w:val="000000" w:themeColor="text1"/>
                <w:sz w:val="20"/>
                <w:szCs w:val="20"/>
                <w:highlight w:val="none"/>
                <w:lang w:val="en-US" w:eastAsia="zh-CN"/>
                <w14:textFill>
                  <w14:solidFill>
                    <w14:schemeClr w14:val="tx1"/>
                  </w14:solidFill>
                </w14:textFill>
              </w:rPr>
              <w:t>30</w:t>
            </w:r>
          </w:p>
        </w:tc>
        <w:tc>
          <w:tcPr>
            <w:tcW w:w="2669" w:type="dxa"/>
            <w:tcBorders>
              <w:top w:val="single" w:color="auto" w:sz="4" w:space="0"/>
              <w:left w:val="single" w:color="auto" w:sz="4" w:space="0"/>
              <w:bottom w:val="single" w:color="auto" w:sz="4" w:space="0"/>
              <w:right w:val="single" w:color="auto" w:sz="4" w:space="0"/>
            </w:tcBorders>
            <w:vAlign w:val="center"/>
          </w:tcPr>
          <w:p w14:paraId="3DDA44F5">
            <w:pPr>
              <w:ind w:firstLine="0" w:firstLineChars="0"/>
              <w:rPr>
                <w:rFonts w:hint="eastAsia" w:ascii="宋体" w:hAnsi="宋体" w:cs="宋体"/>
                <w:b/>
                <w:color w:val="000000" w:themeColor="text1"/>
                <w:sz w:val="20"/>
                <w:szCs w:val="20"/>
                <w:highlight w:val="none"/>
                <w14:textFill>
                  <w14:solidFill>
                    <w14:schemeClr w14:val="tx1"/>
                  </w14:solidFill>
                </w14:textFill>
              </w:rPr>
            </w:pPr>
          </w:p>
        </w:tc>
        <w:tc>
          <w:tcPr>
            <w:tcW w:w="697" w:type="dxa"/>
            <w:tcBorders>
              <w:top w:val="single" w:color="auto" w:sz="4" w:space="0"/>
              <w:left w:val="single" w:color="auto" w:sz="4" w:space="0"/>
              <w:bottom w:val="single" w:color="auto" w:sz="4" w:space="0"/>
              <w:right w:val="single" w:color="auto" w:sz="4" w:space="0"/>
            </w:tcBorders>
            <w:vAlign w:val="center"/>
          </w:tcPr>
          <w:p w14:paraId="0A7FF82F">
            <w:pPr>
              <w:ind w:firstLine="0" w:firstLineChars="0"/>
              <w:jc w:val="left"/>
              <w:rPr>
                <w:rFonts w:hint="eastAsia" w:ascii="宋体" w:hAnsi="宋体" w:cs="宋体"/>
                <w:color w:val="000000" w:themeColor="text1"/>
                <w:sz w:val="20"/>
                <w:szCs w:val="20"/>
                <w:highlight w:val="none"/>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vAlign w:val="center"/>
          </w:tcPr>
          <w:p w14:paraId="75962DF1">
            <w:pPr>
              <w:ind w:firstLine="0" w:firstLineChars="0"/>
              <w:jc w:val="left"/>
              <w:rPr>
                <w:rFonts w:hint="eastAsia" w:ascii="宋体" w:hAnsi="宋体" w:cs="宋体"/>
                <w:b/>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2CF5D449">
            <w:pPr>
              <w:ind w:firstLine="0" w:firstLineChars="0"/>
              <w:jc w:val="left"/>
              <w:rPr>
                <w:rFonts w:hint="eastAsia" w:ascii="宋体" w:hAnsi="宋体" w:cs="宋体"/>
                <w:b/>
                <w:color w:val="000000" w:themeColor="text1"/>
                <w:sz w:val="20"/>
                <w:szCs w:val="20"/>
                <w:highlight w:val="none"/>
                <w14:textFill>
                  <w14:solidFill>
                    <w14:schemeClr w14:val="tx1"/>
                  </w14:solidFill>
                </w14:textFill>
              </w:rPr>
            </w:pPr>
          </w:p>
        </w:tc>
      </w:tr>
      <w:tr w14:paraId="07E549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560" w:type="dxa"/>
            <w:vMerge w:val="restart"/>
            <w:tcBorders>
              <w:top w:val="single" w:color="auto" w:sz="4" w:space="0"/>
              <w:left w:val="single" w:color="auto" w:sz="4" w:space="0"/>
              <w:right w:val="single" w:color="auto" w:sz="4" w:space="0"/>
            </w:tcBorders>
            <w:vAlign w:val="center"/>
          </w:tcPr>
          <w:p w14:paraId="788B3DC2">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1</w:t>
            </w:r>
          </w:p>
        </w:tc>
        <w:tc>
          <w:tcPr>
            <w:tcW w:w="2612" w:type="dxa"/>
            <w:vMerge w:val="restart"/>
            <w:tcBorders>
              <w:top w:val="single" w:color="auto" w:sz="4" w:space="0"/>
              <w:left w:val="single" w:color="auto" w:sz="4" w:space="0"/>
              <w:right w:val="single" w:color="auto" w:sz="4" w:space="0"/>
            </w:tcBorders>
            <w:vAlign w:val="center"/>
          </w:tcPr>
          <w:p w14:paraId="2BDC3226">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加强对各个勤务岗点检查，做到勤务规范。值班交接清楚、记录内容齐全。</w:t>
            </w:r>
          </w:p>
        </w:tc>
        <w:tc>
          <w:tcPr>
            <w:tcW w:w="535" w:type="dxa"/>
            <w:vMerge w:val="restart"/>
            <w:tcBorders>
              <w:top w:val="single" w:color="auto" w:sz="4" w:space="0"/>
              <w:left w:val="single" w:color="auto" w:sz="4" w:space="0"/>
              <w:right w:val="single" w:color="auto" w:sz="4" w:space="0"/>
            </w:tcBorders>
            <w:vAlign w:val="center"/>
          </w:tcPr>
          <w:p w14:paraId="4C6A7482">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15</w:t>
            </w:r>
          </w:p>
        </w:tc>
        <w:tc>
          <w:tcPr>
            <w:tcW w:w="2669" w:type="dxa"/>
            <w:tcBorders>
              <w:top w:val="single" w:color="auto" w:sz="4" w:space="0"/>
              <w:left w:val="single" w:color="auto" w:sz="4" w:space="0"/>
              <w:bottom w:val="single" w:color="auto" w:sz="4" w:space="0"/>
              <w:right w:val="single" w:color="auto" w:sz="4" w:space="0"/>
            </w:tcBorders>
            <w:vAlign w:val="center"/>
          </w:tcPr>
          <w:p w14:paraId="0F0866A1">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检查岗点勤务不规范</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75066998">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-0.1分/次</w:t>
            </w:r>
          </w:p>
        </w:tc>
        <w:tc>
          <w:tcPr>
            <w:tcW w:w="571" w:type="dxa"/>
            <w:tcBorders>
              <w:top w:val="single" w:color="auto" w:sz="4" w:space="0"/>
              <w:left w:val="single" w:color="auto" w:sz="4" w:space="0"/>
              <w:bottom w:val="single" w:color="auto" w:sz="4" w:space="0"/>
              <w:right w:val="single" w:color="auto" w:sz="4" w:space="0"/>
            </w:tcBorders>
            <w:vAlign w:val="center"/>
          </w:tcPr>
          <w:p w14:paraId="78E4E8E7">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5C21356A">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3F9895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60" w:type="dxa"/>
            <w:vMerge w:val="continue"/>
            <w:tcBorders>
              <w:left w:val="single" w:color="auto" w:sz="4" w:space="0"/>
              <w:right w:val="single" w:color="auto" w:sz="4" w:space="0"/>
            </w:tcBorders>
            <w:vAlign w:val="center"/>
          </w:tcPr>
          <w:p w14:paraId="6D96EE90">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p>
        </w:tc>
        <w:tc>
          <w:tcPr>
            <w:tcW w:w="2612" w:type="dxa"/>
            <w:vMerge w:val="continue"/>
            <w:tcBorders>
              <w:left w:val="single" w:color="auto" w:sz="4" w:space="0"/>
              <w:right w:val="single" w:color="auto" w:sz="4" w:space="0"/>
            </w:tcBorders>
            <w:vAlign w:val="center"/>
          </w:tcPr>
          <w:p w14:paraId="7A4E0934">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right w:val="single" w:color="auto" w:sz="4" w:space="0"/>
            </w:tcBorders>
            <w:vAlign w:val="center"/>
          </w:tcPr>
          <w:p w14:paraId="249053F6">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2A074DB8">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无交接班记录、或记录内容不齐全的</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16984632">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-0.1分/次</w:t>
            </w:r>
          </w:p>
        </w:tc>
        <w:tc>
          <w:tcPr>
            <w:tcW w:w="571" w:type="dxa"/>
            <w:tcBorders>
              <w:top w:val="single" w:color="auto" w:sz="4" w:space="0"/>
              <w:left w:val="single" w:color="auto" w:sz="4" w:space="0"/>
              <w:bottom w:val="single" w:color="auto" w:sz="4" w:space="0"/>
              <w:right w:val="single" w:color="auto" w:sz="4" w:space="0"/>
            </w:tcBorders>
            <w:vAlign w:val="center"/>
          </w:tcPr>
          <w:p w14:paraId="7ECF77EE">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2C168D54">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402910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560" w:type="dxa"/>
            <w:vMerge w:val="continue"/>
            <w:tcBorders>
              <w:left w:val="single" w:color="auto" w:sz="4" w:space="0"/>
              <w:bottom w:val="single" w:color="auto" w:sz="4" w:space="0"/>
              <w:right w:val="single" w:color="auto" w:sz="4" w:space="0"/>
            </w:tcBorders>
            <w:vAlign w:val="center"/>
          </w:tcPr>
          <w:p w14:paraId="4BDC8D9B">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p>
        </w:tc>
        <w:tc>
          <w:tcPr>
            <w:tcW w:w="2612" w:type="dxa"/>
            <w:vMerge w:val="continue"/>
            <w:tcBorders>
              <w:left w:val="single" w:color="auto" w:sz="4" w:space="0"/>
              <w:bottom w:val="single" w:color="auto" w:sz="4" w:space="0"/>
              <w:right w:val="single" w:color="auto" w:sz="4" w:space="0"/>
            </w:tcBorders>
            <w:vAlign w:val="center"/>
          </w:tcPr>
          <w:p w14:paraId="578B15E8">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bottom w:val="single" w:color="auto" w:sz="4" w:space="0"/>
              <w:right w:val="single" w:color="auto" w:sz="4" w:space="0"/>
            </w:tcBorders>
            <w:vAlign w:val="center"/>
          </w:tcPr>
          <w:p w14:paraId="1BE6144C">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4D0DC345">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值勤时睡觉的</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1D7997DD">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-0.1分/次</w:t>
            </w:r>
          </w:p>
        </w:tc>
        <w:tc>
          <w:tcPr>
            <w:tcW w:w="571" w:type="dxa"/>
            <w:tcBorders>
              <w:top w:val="single" w:color="auto" w:sz="4" w:space="0"/>
              <w:left w:val="single" w:color="auto" w:sz="4" w:space="0"/>
              <w:bottom w:val="single" w:color="auto" w:sz="4" w:space="0"/>
              <w:right w:val="single" w:color="auto" w:sz="4" w:space="0"/>
            </w:tcBorders>
            <w:vAlign w:val="center"/>
          </w:tcPr>
          <w:p w14:paraId="0EFFB29C">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133D16B8">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72201B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7" w:hRule="atLeast"/>
          <w:jc w:val="center"/>
        </w:trPr>
        <w:tc>
          <w:tcPr>
            <w:tcW w:w="560" w:type="dxa"/>
            <w:vMerge w:val="restart"/>
            <w:tcBorders>
              <w:top w:val="single" w:color="auto" w:sz="4" w:space="0"/>
              <w:left w:val="single" w:color="auto" w:sz="4" w:space="0"/>
              <w:right w:val="single" w:color="auto" w:sz="4" w:space="0"/>
            </w:tcBorders>
            <w:vAlign w:val="center"/>
          </w:tcPr>
          <w:p w14:paraId="6EF21EF7">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p>
          <w:p w14:paraId="09D1E9AE">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2</w:t>
            </w:r>
          </w:p>
        </w:tc>
        <w:tc>
          <w:tcPr>
            <w:tcW w:w="2612" w:type="dxa"/>
            <w:vMerge w:val="restart"/>
            <w:tcBorders>
              <w:top w:val="single" w:color="auto" w:sz="4" w:space="0"/>
              <w:left w:val="single" w:color="auto" w:sz="4" w:space="0"/>
              <w:bottom w:val="single" w:color="auto" w:sz="4" w:space="0"/>
              <w:right w:val="single" w:color="auto" w:sz="4" w:space="0"/>
            </w:tcBorders>
            <w:vAlign w:val="center"/>
          </w:tcPr>
          <w:p w14:paraId="70F096CF">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eastAsia="zh-CN"/>
                <w14:textFill>
                  <w14:solidFill>
                    <w14:schemeClr w14:val="tx1"/>
                  </w14:solidFill>
                </w14:textFill>
              </w:rPr>
              <w:t>服务商</w:t>
            </w:r>
            <w:r>
              <w:rPr>
                <w:rFonts w:hint="eastAsia" w:ascii="宋体" w:hAnsi="宋体" w:cs="宋体"/>
                <w:color w:val="000000" w:themeColor="text1"/>
                <w:sz w:val="20"/>
                <w:szCs w:val="20"/>
                <w:highlight w:val="none"/>
                <w14:textFill>
                  <w14:solidFill>
                    <w14:schemeClr w14:val="tx1"/>
                  </w14:solidFill>
                </w14:textFill>
              </w:rPr>
              <w:t>应对</w:t>
            </w:r>
            <w:r>
              <w:rPr>
                <w:rFonts w:hint="eastAsia" w:ascii="宋体" w:hAnsi="宋体" w:cs="宋体"/>
                <w:color w:val="000000" w:themeColor="text1"/>
                <w:sz w:val="20"/>
                <w:szCs w:val="20"/>
                <w:highlight w:val="none"/>
                <w:lang w:eastAsia="zh-CN"/>
                <w14:textFill>
                  <w14:solidFill>
                    <w14:schemeClr w14:val="tx1"/>
                  </w14:solidFill>
                </w14:textFill>
              </w:rPr>
              <w:t>采购方</w:t>
            </w:r>
            <w:r>
              <w:rPr>
                <w:rFonts w:hint="eastAsia" w:ascii="宋体" w:hAnsi="宋体" w:cs="宋体"/>
                <w:color w:val="000000" w:themeColor="text1"/>
                <w:sz w:val="20"/>
                <w:szCs w:val="20"/>
                <w:highlight w:val="none"/>
                <w14:textFill>
                  <w14:solidFill>
                    <w14:schemeClr w14:val="tx1"/>
                  </w14:solidFill>
                </w14:textFill>
              </w:rPr>
              <w:t>布置的工作要求、任务予以积极响应。做到对</w:t>
            </w:r>
            <w:r>
              <w:rPr>
                <w:rFonts w:hint="eastAsia" w:ascii="宋体" w:hAnsi="宋体" w:cs="宋体"/>
                <w:color w:val="000000" w:themeColor="text1"/>
                <w:sz w:val="20"/>
                <w:szCs w:val="20"/>
                <w:highlight w:val="none"/>
                <w:lang w:eastAsia="zh-CN"/>
                <w14:textFill>
                  <w14:solidFill>
                    <w14:schemeClr w14:val="tx1"/>
                  </w14:solidFill>
                </w14:textFill>
              </w:rPr>
              <w:t>采购方</w:t>
            </w:r>
            <w:r>
              <w:rPr>
                <w:rFonts w:hint="eastAsia" w:ascii="宋体" w:hAnsi="宋体" w:cs="宋体"/>
                <w:color w:val="000000" w:themeColor="text1"/>
                <w:sz w:val="20"/>
                <w:szCs w:val="20"/>
                <w:highlight w:val="none"/>
                <w14:textFill>
                  <w14:solidFill>
                    <w14:schemeClr w14:val="tx1"/>
                  </w14:solidFill>
                </w14:textFill>
              </w:rPr>
              <w:t>布置的工作要求、任务有落实，有反馈。</w:t>
            </w:r>
          </w:p>
        </w:tc>
        <w:tc>
          <w:tcPr>
            <w:tcW w:w="535" w:type="dxa"/>
            <w:vMerge w:val="restart"/>
            <w:tcBorders>
              <w:top w:val="single" w:color="auto" w:sz="4" w:space="0"/>
              <w:left w:val="single" w:color="auto" w:sz="4" w:space="0"/>
              <w:right w:val="single" w:color="auto" w:sz="4" w:space="0"/>
            </w:tcBorders>
            <w:vAlign w:val="center"/>
          </w:tcPr>
          <w:p w14:paraId="64D8F1ED">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15</w:t>
            </w:r>
          </w:p>
        </w:tc>
        <w:tc>
          <w:tcPr>
            <w:tcW w:w="2669" w:type="dxa"/>
            <w:tcBorders>
              <w:top w:val="single" w:color="auto" w:sz="4" w:space="0"/>
              <w:left w:val="single" w:color="auto" w:sz="4" w:space="0"/>
              <w:bottom w:val="single" w:color="auto" w:sz="4" w:space="0"/>
              <w:right w:val="single" w:color="auto" w:sz="4" w:space="0"/>
            </w:tcBorders>
            <w:shd w:val="clear" w:color="auto" w:fill="auto"/>
            <w:vAlign w:val="center"/>
          </w:tcPr>
          <w:p w14:paraId="247AA7BA">
            <w:pPr>
              <w:ind w:firstLine="0" w:firstLineChars="0"/>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不按时完成布置的工作</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FA9A150">
            <w:pPr>
              <w:ind w:firstLine="0" w:firstLineChars="0"/>
              <w:jc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w:t>
            </w:r>
            <w:r>
              <w:rPr>
                <w:rFonts w:hint="eastAsia" w:ascii="宋体" w:hAnsi="宋体" w:cs="宋体"/>
                <w:color w:val="000000" w:themeColor="text1"/>
                <w:sz w:val="20"/>
                <w:szCs w:val="20"/>
                <w:highlight w:val="none"/>
                <w:lang w:val="en-US" w:eastAsia="zh-CN"/>
                <w14:textFill>
                  <w14:solidFill>
                    <w14:schemeClr w14:val="tx1"/>
                  </w14:solidFill>
                </w14:textFill>
              </w:rPr>
              <w:t>5</w:t>
            </w:r>
            <w:r>
              <w:rPr>
                <w:rFonts w:hint="eastAsia" w:ascii="宋体" w:hAnsi="宋体" w:cs="宋体"/>
                <w:color w:val="000000" w:themeColor="text1"/>
                <w:sz w:val="20"/>
                <w:szCs w:val="20"/>
                <w:highlight w:val="none"/>
                <w14:textFill>
                  <w14:solidFill>
                    <w14:schemeClr w14:val="tx1"/>
                  </w14:solidFill>
                </w14:textFill>
              </w:rPr>
              <w:t>分/次</w:t>
            </w:r>
          </w:p>
        </w:tc>
        <w:tc>
          <w:tcPr>
            <w:tcW w:w="571" w:type="dxa"/>
            <w:tcBorders>
              <w:top w:val="single" w:color="auto" w:sz="4" w:space="0"/>
              <w:left w:val="single" w:color="auto" w:sz="4" w:space="0"/>
              <w:bottom w:val="single" w:color="auto" w:sz="4" w:space="0"/>
              <w:right w:val="single" w:color="auto" w:sz="4" w:space="0"/>
            </w:tcBorders>
            <w:vAlign w:val="center"/>
          </w:tcPr>
          <w:p w14:paraId="2D08E431">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2A9C5E20">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656635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7" w:hRule="atLeast"/>
          <w:jc w:val="center"/>
        </w:trPr>
        <w:tc>
          <w:tcPr>
            <w:tcW w:w="560" w:type="dxa"/>
            <w:vMerge w:val="continue"/>
            <w:tcBorders>
              <w:left w:val="single" w:color="auto" w:sz="4" w:space="0"/>
              <w:right w:val="single" w:color="auto" w:sz="4" w:space="0"/>
            </w:tcBorders>
            <w:vAlign w:val="center"/>
          </w:tcPr>
          <w:p w14:paraId="4C32E1C4">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p>
        </w:tc>
        <w:tc>
          <w:tcPr>
            <w:tcW w:w="2612" w:type="dxa"/>
            <w:vMerge w:val="continue"/>
            <w:tcBorders>
              <w:left w:val="single" w:color="auto" w:sz="4" w:space="0"/>
              <w:right w:val="single" w:color="auto" w:sz="4" w:space="0"/>
            </w:tcBorders>
            <w:vAlign w:val="center"/>
          </w:tcPr>
          <w:p w14:paraId="6EAF0C59">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right w:val="single" w:color="auto" w:sz="4" w:space="0"/>
            </w:tcBorders>
            <w:vAlign w:val="center"/>
          </w:tcPr>
          <w:p w14:paraId="73EBA796">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shd w:val="clear" w:color="auto" w:fill="auto"/>
            <w:vAlign w:val="center"/>
          </w:tcPr>
          <w:p w14:paraId="4A2EA9BD">
            <w:pPr>
              <w:ind w:firstLine="0" w:firstLineChars="0"/>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因工作管理不到位，接收到采购方发出的整改批示的文件（包括整改通知书、函件等），每发出一份</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BCDA429">
            <w:pPr>
              <w:ind w:firstLine="0" w:firstLineChars="0"/>
              <w:jc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w:t>
            </w:r>
            <w:r>
              <w:rPr>
                <w:rFonts w:hint="eastAsia" w:ascii="宋体" w:hAnsi="宋体" w:cs="宋体"/>
                <w:color w:val="000000" w:themeColor="text1"/>
                <w:sz w:val="20"/>
                <w:szCs w:val="20"/>
                <w:highlight w:val="none"/>
                <w:lang w:val="en-US" w:eastAsia="zh-CN"/>
                <w14:textFill>
                  <w14:solidFill>
                    <w14:schemeClr w14:val="tx1"/>
                  </w14:solidFill>
                </w14:textFill>
              </w:rPr>
              <w:t>1</w:t>
            </w:r>
            <w:r>
              <w:rPr>
                <w:rFonts w:hint="eastAsia" w:ascii="宋体" w:hAnsi="宋体" w:cs="宋体"/>
                <w:color w:val="000000" w:themeColor="text1"/>
                <w:sz w:val="20"/>
                <w:szCs w:val="20"/>
                <w:highlight w:val="none"/>
                <w14:textFill>
                  <w14:solidFill>
                    <w14:schemeClr w14:val="tx1"/>
                  </w14:solidFill>
                </w14:textFill>
              </w:rPr>
              <w:t>分/</w:t>
            </w:r>
            <w:r>
              <w:rPr>
                <w:rFonts w:hint="eastAsia" w:ascii="宋体" w:hAnsi="宋体" w:cs="宋体"/>
                <w:color w:val="000000" w:themeColor="text1"/>
                <w:sz w:val="20"/>
                <w:szCs w:val="20"/>
                <w:highlight w:val="none"/>
                <w:lang w:val="en-US" w:eastAsia="zh-CN"/>
                <w14:textFill>
                  <w14:solidFill>
                    <w14:schemeClr w14:val="tx1"/>
                  </w14:solidFill>
                </w14:textFill>
              </w:rPr>
              <w:t>份</w:t>
            </w:r>
          </w:p>
        </w:tc>
        <w:tc>
          <w:tcPr>
            <w:tcW w:w="571" w:type="dxa"/>
            <w:tcBorders>
              <w:top w:val="single" w:color="auto" w:sz="4" w:space="0"/>
              <w:left w:val="single" w:color="auto" w:sz="4" w:space="0"/>
              <w:bottom w:val="single" w:color="auto" w:sz="4" w:space="0"/>
              <w:right w:val="single" w:color="auto" w:sz="4" w:space="0"/>
            </w:tcBorders>
            <w:vAlign w:val="center"/>
          </w:tcPr>
          <w:p w14:paraId="06A95FF9">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3F222DA4">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383055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7" w:hRule="atLeast"/>
          <w:jc w:val="center"/>
        </w:trPr>
        <w:tc>
          <w:tcPr>
            <w:tcW w:w="560" w:type="dxa"/>
            <w:vMerge w:val="continue"/>
            <w:tcBorders>
              <w:left w:val="single" w:color="auto" w:sz="4" w:space="0"/>
              <w:bottom w:val="single" w:color="auto" w:sz="4" w:space="0"/>
              <w:right w:val="single" w:color="auto" w:sz="4" w:space="0"/>
            </w:tcBorders>
            <w:vAlign w:val="center"/>
          </w:tcPr>
          <w:p w14:paraId="626F9CA2">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2612" w:type="dxa"/>
            <w:vMerge w:val="continue"/>
            <w:tcBorders>
              <w:top w:val="single" w:color="auto" w:sz="4" w:space="0"/>
              <w:left w:val="single" w:color="auto" w:sz="4" w:space="0"/>
              <w:bottom w:val="single" w:color="auto" w:sz="4" w:space="0"/>
              <w:right w:val="single" w:color="auto" w:sz="4" w:space="0"/>
            </w:tcBorders>
            <w:vAlign w:val="center"/>
          </w:tcPr>
          <w:p w14:paraId="4DF2A7F4">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bottom w:val="single" w:color="auto" w:sz="4" w:space="0"/>
              <w:right w:val="single" w:color="auto" w:sz="4" w:space="0"/>
            </w:tcBorders>
            <w:vAlign w:val="center"/>
          </w:tcPr>
          <w:p w14:paraId="42A00203">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shd w:val="clear" w:color="auto" w:fill="auto"/>
            <w:vAlign w:val="center"/>
          </w:tcPr>
          <w:p w14:paraId="7A8B42AC">
            <w:pPr>
              <w:ind w:firstLine="0" w:firstLineChars="0"/>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因工作执行不到位，对采购方照成重大不良影响，每出现一项。</w:t>
            </w:r>
          </w:p>
        </w:tc>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40DAF232">
            <w:pPr>
              <w:ind w:firstLine="0" w:firstLineChars="0"/>
              <w:jc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-1至-5分/项</w:t>
            </w:r>
          </w:p>
        </w:tc>
        <w:tc>
          <w:tcPr>
            <w:tcW w:w="571" w:type="dxa"/>
            <w:tcBorders>
              <w:top w:val="single" w:color="auto" w:sz="4" w:space="0"/>
              <w:left w:val="single" w:color="auto" w:sz="4" w:space="0"/>
              <w:bottom w:val="single" w:color="auto" w:sz="4" w:space="0"/>
              <w:right w:val="single" w:color="auto" w:sz="4" w:space="0"/>
            </w:tcBorders>
            <w:vAlign w:val="center"/>
          </w:tcPr>
          <w:p w14:paraId="56B2378D">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3047FC0F">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7FC9F4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14:paraId="07973ABE">
            <w:pPr>
              <w:ind w:firstLine="0" w:firstLineChars="0"/>
              <w:jc w:val="center"/>
              <w:rPr>
                <w:rFonts w:hint="eastAsia" w:ascii="宋体" w:hAnsi="宋体" w:cs="宋体"/>
                <w:b/>
                <w:color w:val="000000" w:themeColor="text1"/>
                <w:sz w:val="20"/>
                <w:szCs w:val="20"/>
                <w:highlight w:val="none"/>
                <w14:textFill>
                  <w14:solidFill>
                    <w14:schemeClr w14:val="tx1"/>
                  </w14:solidFill>
                </w14:textFill>
              </w:rPr>
            </w:pPr>
            <w:r>
              <w:rPr>
                <w:rFonts w:hint="eastAsia" w:ascii="宋体" w:hAnsi="宋体" w:cs="宋体"/>
                <w:b/>
                <w:color w:val="000000" w:themeColor="text1"/>
                <w:sz w:val="20"/>
                <w:szCs w:val="20"/>
                <w:highlight w:val="none"/>
                <w14:textFill>
                  <w14:solidFill>
                    <w14:schemeClr w14:val="tx1"/>
                  </w14:solidFill>
                </w14:textFill>
              </w:rPr>
              <w:t>四</w:t>
            </w:r>
          </w:p>
        </w:tc>
        <w:tc>
          <w:tcPr>
            <w:tcW w:w="2612" w:type="dxa"/>
            <w:tcBorders>
              <w:top w:val="single" w:color="auto" w:sz="4" w:space="0"/>
              <w:left w:val="single" w:color="auto" w:sz="4" w:space="0"/>
              <w:bottom w:val="single" w:color="auto" w:sz="4" w:space="0"/>
              <w:right w:val="single" w:color="auto" w:sz="4" w:space="0"/>
            </w:tcBorders>
            <w:vAlign w:val="center"/>
          </w:tcPr>
          <w:p w14:paraId="5688F7FD">
            <w:pPr>
              <w:ind w:firstLine="0" w:firstLineChars="0"/>
              <w:rPr>
                <w:rFonts w:hint="eastAsia" w:ascii="宋体" w:hAnsi="宋体" w:cs="宋体"/>
                <w:b/>
                <w:color w:val="000000" w:themeColor="text1"/>
                <w:sz w:val="20"/>
                <w:szCs w:val="20"/>
                <w:highlight w:val="none"/>
                <w14:textFill>
                  <w14:solidFill>
                    <w14:schemeClr w14:val="tx1"/>
                  </w14:solidFill>
                </w14:textFill>
              </w:rPr>
            </w:pPr>
            <w:r>
              <w:rPr>
                <w:rFonts w:hint="eastAsia" w:ascii="宋体" w:hAnsi="宋体" w:cs="宋体"/>
                <w:b/>
                <w:color w:val="000000" w:themeColor="text1"/>
                <w:sz w:val="20"/>
                <w:szCs w:val="20"/>
                <w:highlight w:val="none"/>
                <w14:textFill>
                  <w14:solidFill>
                    <w14:schemeClr w14:val="tx1"/>
                  </w14:solidFill>
                </w14:textFill>
              </w:rPr>
              <w:t>消防防火及设备保护的考核标准</w:t>
            </w:r>
          </w:p>
        </w:tc>
        <w:tc>
          <w:tcPr>
            <w:tcW w:w="535" w:type="dxa"/>
            <w:tcBorders>
              <w:top w:val="single" w:color="auto" w:sz="4" w:space="0"/>
              <w:left w:val="single" w:color="auto" w:sz="4" w:space="0"/>
              <w:bottom w:val="single" w:color="auto" w:sz="4" w:space="0"/>
              <w:right w:val="single" w:color="auto" w:sz="4" w:space="0"/>
            </w:tcBorders>
            <w:vAlign w:val="center"/>
          </w:tcPr>
          <w:p w14:paraId="3AD942A3">
            <w:pPr>
              <w:ind w:firstLine="0" w:firstLineChars="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b/>
                <w:bCs/>
                <w:color w:val="000000" w:themeColor="text1"/>
                <w:sz w:val="20"/>
                <w:szCs w:val="20"/>
                <w:highlight w:val="none"/>
                <w:lang w:val="en-US" w:eastAsia="zh-CN"/>
                <w14:textFill>
                  <w14:solidFill>
                    <w14:schemeClr w14:val="tx1"/>
                  </w14:solidFill>
                </w14:textFill>
              </w:rPr>
              <w:t>35</w:t>
            </w:r>
          </w:p>
        </w:tc>
        <w:tc>
          <w:tcPr>
            <w:tcW w:w="2669" w:type="dxa"/>
            <w:tcBorders>
              <w:top w:val="single" w:color="auto" w:sz="4" w:space="0"/>
              <w:left w:val="single" w:color="auto" w:sz="4" w:space="0"/>
              <w:bottom w:val="single" w:color="auto" w:sz="4" w:space="0"/>
              <w:right w:val="single" w:color="auto" w:sz="4" w:space="0"/>
            </w:tcBorders>
            <w:vAlign w:val="center"/>
          </w:tcPr>
          <w:p w14:paraId="254FB916">
            <w:pPr>
              <w:ind w:firstLine="0" w:firstLineChars="0"/>
              <w:rPr>
                <w:rFonts w:hint="eastAsia" w:ascii="宋体" w:hAnsi="宋体" w:cs="宋体"/>
                <w:b/>
                <w:color w:val="000000" w:themeColor="text1"/>
                <w:sz w:val="20"/>
                <w:szCs w:val="20"/>
                <w:highlight w:val="none"/>
                <w14:textFill>
                  <w14:solidFill>
                    <w14:schemeClr w14:val="tx1"/>
                  </w14:solidFill>
                </w14:textFill>
              </w:rPr>
            </w:pPr>
          </w:p>
        </w:tc>
        <w:tc>
          <w:tcPr>
            <w:tcW w:w="697" w:type="dxa"/>
            <w:tcBorders>
              <w:top w:val="single" w:color="auto" w:sz="4" w:space="0"/>
              <w:left w:val="single" w:color="auto" w:sz="4" w:space="0"/>
              <w:bottom w:val="single" w:color="auto" w:sz="4" w:space="0"/>
              <w:right w:val="single" w:color="auto" w:sz="4" w:space="0"/>
            </w:tcBorders>
            <w:vAlign w:val="center"/>
          </w:tcPr>
          <w:p w14:paraId="209DC13B">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vAlign w:val="center"/>
          </w:tcPr>
          <w:p w14:paraId="619FC11B">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726E6FD0">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1DE93C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6"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14:paraId="4C1A5F7B">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1</w:t>
            </w:r>
          </w:p>
        </w:tc>
        <w:tc>
          <w:tcPr>
            <w:tcW w:w="2612" w:type="dxa"/>
            <w:tcBorders>
              <w:top w:val="single" w:color="auto" w:sz="4" w:space="0"/>
              <w:left w:val="single" w:color="auto" w:sz="4" w:space="0"/>
              <w:bottom w:val="single" w:color="auto" w:sz="4" w:space="0"/>
              <w:right w:val="single" w:color="auto" w:sz="4" w:space="0"/>
            </w:tcBorders>
            <w:vAlign w:val="center"/>
          </w:tcPr>
          <w:p w14:paraId="13DCAF10">
            <w:pPr>
              <w:ind w:firstLine="0" w:firstLineChars="0"/>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加强消防器材、设备管理及维护保养</w:t>
            </w:r>
            <w:r>
              <w:rPr>
                <w:rFonts w:hint="eastAsia" w:ascii="宋体" w:hAnsi="宋体" w:cs="宋体"/>
                <w:color w:val="000000" w:themeColor="text1"/>
                <w:sz w:val="20"/>
                <w:szCs w:val="20"/>
                <w:highlight w:val="none"/>
                <w:lang w:val="en-US" w:eastAsia="zh-CN"/>
                <w14:textFill>
                  <w14:solidFill>
                    <w14:schemeClr w14:val="tx1"/>
                  </w14:solidFill>
                </w14:textFill>
              </w:rPr>
              <w:t>跟进工作，</w:t>
            </w:r>
            <w:r>
              <w:rPr>
                <w:rFonts w:hint="eastAsia" w:ascii="宋体" w:hAnsi="宋体" w:cs="宋体"/>
                <w:color w:val="000000" w:themeColor="text1"/>
                <w:sz w:val="20"/>
                <w:szCs w:val="20"/>
                <w:highlight w:val="none"/>
                <w14:textFill>
                  <w14:solidFill>
                    <w14:schemeClr w14:val="tx1"/>
                  </w14:solidFill>
                </w14:textFill>
              </w:rPr>
              <w:t>保持消防通道畅通。</w:t>
            </w:r>
          </w:p>
        </w:tc>
        <w:tc>
          <w:tcPr>
            <w:tcW w:w="535" w:type="dxa"/>
            <w:tcBorders>
              <w:top w:val="single" w:color="auto" w:sz="4" w:space="0"/>
              <w:left w:val="single" w:color="auto" w:sz="4" w:space="0"/>
              <w:bottom w:val="single" w:color="auto" w:sz="4" w:space="0"/>
              <w:right w:val="single" w:color="auto" w:sz="4" w:space="0"/>
            </w:tcBorders>
            <w:vAlign w:val="center"/>
          </w:tcPr>
          <w:p w14:paraId="19DB1A8B">
            <w:pPr>
              <w:ind w:firstLine="0" w:firstLineChars="0"/>
              <w:jc w:val="center"/>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7</w:t>
            </w:r>
          </w:p>
        </w:tc>
        <w:tc>
          <w:tcPr>
            <w:tcW w:w="2669" w:type="dxa"/>
            <w:tcBorders>
              <w:top w:val="single" w:color="auto" w:sz="4" w:space="0"/>
              <w:left w:val="single" w:color="auto" w:sz="4" w:space="0"/>
              <w:bottom w:val="single" w:color="auto" w:sz="4" w:space="0"/>
              <w:right w:val="single" w:color="auto" w:sz="4" w:space="0"/>
            </w:tcBorders>
            <w:vAlign w:val="center"/>
          </w:tcPr>
          <w:p w14:paraId="216BFF87">
            <w:pPr>
              <w:ind w:firstLine="0" w:firstLineChars="0"/>
              <w:rPr>
                <w:rFonts w:hint="eastAsia" w:ascii="宋体" w:hAnsi="宋体" w:eastAsia="宋体" w:cs="宋体"/>
                <w:color w:val="000000" w:themeColor="text1"/>
                <w:kern w:val="2"/>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1、因管理不到位造成消防隐患的，2、没有落实</w:t>
            </w:r>
            <w:r>
              <w:rPr>
                <w:rFonts w:hint="eastAsia" w:ascii="宋体" w:hAnsi="宋体" w:cs="宋体"/>
                <w:color w:val="000000" w:themeColor="text1"/>
                <w:sz w:val="20"/>
                <w:szCs w:val="20"/>
                <w:highlight w:val="none"/>
                <w:lang w:val="en-US" w:eastAsia="zh-CN"/>
                <w14:textFill>
                  <w14:solidFill>
                    <w14:schemeClr w14:val="tx1"/>
                  </w14:solidFill>
                </w14:textFill>
              </w:rPr>
              <w:t>检查</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0D3CFA81">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w:t>
            </w:r>
            <w:r>
              <w:rPr>
                <w:rFonts w:hint="eastAsia" w:ascii="宋体" w:hAnsi="宋体" w:cs="宋体"/>
                <w:color w:val="000000" w:themeColor="text1"/>
                <w:sz w:val="20"/>
                <w:szCs w:val="20"/>
                <w:highlight w:val="none"/>
                <w:lang w:val="en-US" w:eastAsia="zh-CN"/>
                <w14:textFill>
                  <w14:solidFill>
                    <w14:schemeClr w14:val="tx1"/>
                  </w14:solidFill>
                </w14:textFill>
              </w:rPr>
              <w:t>1</w:t>
            </w:r>
            <w:r>
              <w:rPr>
                <w:rFonts w:hint="eastAsia" w:ascii="宋体" w:hAnsi="宋体" w:cs="宋体"/>
                <w:color w:val="000000" w:themeColor="text1"/>
                <w:sz w:val="20"/>
                <w:szCs w:val="20"/>
                <w:highlight w:val="none"/>
                <w14:textFill>
                  <w14:solidFill>
                    <w14:schemeClr w14:val="tx1"/>
                  </w14:solidFill>
                </w14:textFill>
              </w:rPr>
              <w:t>分/次</w:t>
            </w:r>
          </w:p>
        </w:tc>
        <w:tc>
          <w:tcPr>
            <w:tcW w:w="571" w:type="dxa"/>
            <w:tcBorders>
              <w:top w:val="single" w:color="auto" w:sz="4" w:space="0"/>
              <w:left w:val="single" w:color="auto" w:sz="4" w:space="0"/>
              <w:bottom w:val="single" w:color="auto" w:sz="4" w:space="0"/>
              <w:right w:val="single" w:color="auto" w:sz="4" w:space="0"/>
            </w:tcBorders>
            <w:vAlign w:val="center"/>
          </w:tcPr>
          <w:p w14:paraId="5C7B5B67">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43EA977F">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22CACA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1" w:hRule="atLeast"/>
          <w:jc w:val="center"/>
        </w:trPr>
        <w:tc>
          <w:tcPr>
            <w:tcW w:w="560" w:type="dxa"/>
            <w:vMerge w:val="restart"/>
            <w:tcBorders>
              <w:top w:val="single" w:color="auto" w:sz="4" w:space="0"/>
              <w:left w:val="single" w:color="auto" w:sz="4" w:space="0"/>
              <w:bottom w:val="single" w:color="auto" w:sz="4" w:space="0"/>
              <w:right w:val="single" w:color="auto" w:sz="4" w:space="0"/>
            </w:tcBorders>
            <w:vAlign w:val="center"/>
          </w:tcPr>
          <w:p w14:paraId="13A69A6C">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2</w:t>
            </w:r>
          </w:p>
        </w:tc>
        <w:tc>
          <w:tcPr>
            <w:tcW w:w="2612" w:type="dxa"/>
            <w:vMerge w:val="restart"/>
            <w:tcBorders>
              <w:top w:val="single" w:color="auto" w:sz="4" w:space="0"/>
              <w:left w:val="single" w:color="auto" w:sz="4" w:space="0"/>
              <w:bottom w:val="single" w:color="auto" w:sz="4" w:space="0"/>
              <w:right w:val="single" w:color="auto" w:sz="4" w:space="0"/>
            </w:tcBorders>
            <w:vAlign w:val="center"/>
          </w:tcPr>
          <w:p w14:paraId="3CD27244">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定期</w:t>
            </w:r>
            <w:r>
              <w:rPr>
                <w:rFonts w:hint="eastAsia" w:ascii="宋体" w:hAnsi="宋体" w:cs="宋体"/>
                <w:color w:val="000000" w:themeColor="text1"/>
                <w:sz w:val="20"/>
                <w:szCs w:val="20"/>
                <w:highlight w:val="none"/>
                <w14:textFill>
                  <w14:solidFill>
                    <w14:schemeClr w14:val="tx1"/>
                  </w14:solidFill>
                </w14:textFill>
              </w:rPr>
              <w:t>巡视检查消防安全</w:t>
            </w:r>
            <w:r>
              <w:rPr>
                <w:rFonts w:hint="eastAsia" w:ascii="宋体" w:hAnsi="宋体" w:cs="宋体"/>
                <w:color w:val="000000" w:themeColor="text1"/>
                <w:sz w:val="20"/>
                <w:szCs w:val="20"/>
                <w:highlight w:val="none"/>
                <w:lang w:val="en-US" w:eastAsia="zh-CN"/>
                <w14:textFill>
                  <w14:solidFill>
                    <w14:schemeClr w14:val="tx1"/>
                  </w14:solidFill>
                </w14:textFill>
              </w:rPr>
              <w:t>隐患</w:t>
            </w:r>
            <w:r>
              <w:rPr>
                <w:rFonts w:hint="eastAsia" w:ascii="宋体" w:hAnsi="宋体" w:cs="宋体"/>
                <w:color w:val="000000" w:themeColor="text1"/>
                <w:sz w:val="20"/>
                <w:szCs w:val="20"/>
                <w:highlight w:val="none"/>
                <w14:textFill>
                  <w14:solidFill>
                    <w14:schemeClr w14:val="tx1"/>
                  </w14:solidFill>
                </w14:textFill>
              </w:rPr>
              <w:t>，发现消防隐患及时整改，保证消防设备安全运行，消防通道保持畅通。</w:t>
            </w:r>
          </w:p>
        </w:tc>
        <w:tc>
          <w:tcPr>
            <w:tcW w:w="535" w:type="dxa"/>
            <w:vMerge w:val="restart"/>
            <w:tcBorders>
              <w:top w:val="single" w:color="auto" w:sz="4" w:space="0"/>
              <w:left w:val="single" w:color="auto" w:sz="4" w:space="0"/>
              <w:right w:val="single" w:color="auto" w:sz="4" w:space="0"/>
            </w:tcBorders>
            <w:vAlign w:val="center"/>
          </w:tcPr>
          <w:p w14:paraId="0FA4184E">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7</w:t>
            </w:r>
          </w:p>
        </w:tc>
        <w:tc>
          <w:tcPr>
            <w:tcW w:w="2669" w:type="dxa"/>
            <w:tcBorders>
              <w:top w:val="single" w:color="auto" w:sz="4" w:space="0"/>
              <w:left w:val="single" w:color="auto" w:sz="4" w:space="0"/>
              <w:bottom w:val="single" w:color="auto" w:sz="4" w:space="0"/>
              <w:right w:val="single" w:color="auto" w:sz="4" w:space="0"/>
            </w:tcBorders>
            <w:vAlign w:val="center"/>
          </w:tcPr>
          <w:p w14:paraId="6A7D3CF0">
            <w:pPr>
              <w:ind w:firstLine="0" w:firstLineChars="0"/>
              <w:rPr>
                <w:rFonts w:hint="eastAsia" w:ascii="宋体" w:hAnsi="宋体" w:cs="宋体"/>
                <w:color w:val="000000" w:themeColor="text1"/>
                <w:sz w:val="20"/>
                <w:szCs w:val="20"/>
                <w:highlight w:val="none"/>
                <w14:textFill>
                  <w14:solidFill>
                    <w14:schemeClr w14:val="tx1"/>
                  </w14:solidFill>
                </w14:textFill>
              </w:rPr>
            </w:pPr>
          </w:p>
          <w:p w14:paraId="56FD62FF">
            <w:pPr>
              <w:ind w:firstLine="0" w:firstLineChars="0"/>
              <w:rPr>
                <w:rFonts w:hint="eastAsia" w:ascii="宋体" w:hAnsi="宋体" w:eastAsia="宋体" w:cs="宋体"/>
                <w:color w:val="000000" w:themeColor="text1"/>
                <w:sz w:val="20"/>
                <w:szCs w:val="20"/>
                <w:highlight w:val="none"/>
                <w:lang w:val="en-US" w:eastAsia="zh-CN"/>
                <w14:textFill>
                  <w14:solidFill>
                    <w14:schemeClr w14:val="tx1"/>
                  </w14:solidFill>
                </w14:textFill>
              </w:rPr>
            </w:pPr>
          </w:p>
          <w:p w14:paraId="617BA868">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697" w:type="dxa"/>
            <w:tcBorders>
              <w:top w:val="single" w:color="auto" w:sz="4" w:space="0"/>
              <w:left w:val="single" w:color="auto" w:sz="4" w:space="0"/>
              <w:bottom w:val="single" w:color="auto" w:sz="4" w:space="0"/>
              <w:right w:val="single" w:color="auto" w:sz="4" w:space="0"/>
            </w:tcBorders>
            <w:vAlign w:val="center"/>
          </w:tcPr>
          <w:p w14:paraId="1534437A">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vAlign w:val="center"/>
          </w:tcPr>
          <w:p w14:paraId="3A06733B">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541FF8CD">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32CAB0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560" w:type="dxa"/>
            <w:vMerge w:val="continue"/>
            <w:tcBorders>
              <w:top w:val="single" w:color="auto" w:sz="4" w:space="0"/>
              <w:left w:val="single" w:color="auto" w:sz="4" w:space="0"/>
              <w:bottom w:val="single" w:color="auto" w:sz="4" w:space="0"/>
              <w:right w:val="single" w:color="auto" w:sz="4" w:space="0"/>
            </w:tcBorders>
            <w:vAlign w:val="center"/>
          </w:tcPr>
          <w:p w14:paraId="09894AED">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2612" w:type="dxa"/>
            <w:vMerge w:val="continue"/>
            <w:tcBorders>
              <w:top w:val="single" w:color="auto" w:sz="4" w:space="0"/>
              <w:left w:val="single" w:color="auto" w:sz="4" w:space="0"/>
              <w:bottom w:val="single" w:color="auto" w:sz="4" w:space="0"/>
              <w:right w:val="single" w:color="auto" w:sz="4" w:space="0"/>
            </w:tcBorders>
            <w:vAlign w:val="center"/>
          </w:tcPr>
          <w:p w14:paraId="61C4FA3E">
            <w:pPr>
              <w:ind w:firstLine="0" w:firstLineChars="0"/>
              <w:rPr>
                <w:rFonts w:hint="eastAsia" w:ascii="宋体" w:hAnsi="宋体" w:cs="宋体"/>
                <w:color w:val="000000" w:themeColor="text1"/>
                <w:sz w:val="20"/>
                <w:szCs w:val="20"/>
                <w:highlight w:val="none"/>
                <w14:textFill>
                  <w14:solidFill>
                    <w14:schemeClr w14:val="tx1"/>
                  </w14:solidFill>
                </w14:textFill>
              </w:rPr>
            </w:pPr>
          </w:p>
        </w:tc>
        <w:tc>
          <w:tcPr>
            <w:tcW w:w="535" w:type="dxa"/>
            <w:vMerge w:val="continue"/>
            <w:tcBorders>
              <w:left w:val="single" w:color="auto" w:sz="4" w:space="0"/>
              <w:bottom w:val="single" w:color="auto" w:sz="4" w:space="0"/>
              <w:right w:val="single" w:color="auto" w:sz="4" w:space="0"/>
            </w:tcBorders>
            <w:vAlign w:val="center"/>
          </w:tcPr>
          <w:p w14:paraId="7F5CDDC2">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2669" w:type="dxa"/>
            <w:tcBorders>
              <w:top w:val="single" w:color="auto" w:sz="4" w:space="0"/>
              <w:left w:val="single" w:color="auto" w:sz="4" w:space="0"/>
              <w:bottom w:val="single" w:color="auto" w:sz="4" w:space="0"/>
              <w:right w:val="single" w:color="auto" w:sz="4" w:space="0"/>
            </w:tcBorders>
            <w:vAlign w:val="center"/>
          </w:tcPr>
          <w:p w14:paraId="3F2C76FE">
            <w:pPr>
              <w:ind w:firstLine="0" w:firstLineChars="0"/>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未及时消除安全隐患，或消防通道阻塞的</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52AD7435">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-0.1分/次</w:t>
            </w:r>
          </w:p>
        </w:tc>
        <w:tc>
          <w:tcPr>
            <w:tcW w:w="571" w:type="dxa"/>
            <w:tcBorders>
              <w:top w:val="single" w:color="auto" w:sz="4" w:space="0"/>
              <w:left w:val="single" w:color="auto" w:sz="4" w:space="0"/>
              <w:bottom w:val="single" w:color="auto" w:sz="4" w:space="0"/>
              <w:right w:val="single" w:color="auto" w:sz="4" w:space="0"/>
            </w:tcBorders>
            <w:vAlign w:val="center"/>
          </w:tcPr>
          <w:p w14:paraId="2ACDDE60">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3C0C1DA5">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3DA65C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14:paraId="7743BE47">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3</w:t>
            </w:r>
          </w:p>
        </w:tc>
        <w:tc>
          <w:tcPr>
            <w:tcW w:w="2612" w:type="dxa"/>
            <w:tcBorders>
              <w:top w:val="single" w:color="auto" w:sz="4" w:space="0"/>
              <w:left w:val="single" w:color="auto" w:sz="4" w:space="0"/>
              <w:bottom w:val="single" w:color="auto" w:sz="4" w:space="0"/>
              <w:right w:val="single" w:color="auto" w:sz="4" w:space="0"/>
            </w:tcBorders>
            <w:vAlign w:val="center"/>
          </w:tcPr>
          <w:p w14:paraId="650719EA">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对过期、失效或不符合安全要求的消防器材、设备及时向</w:t>
            </w:r>
            <w:r>
              <w:rPr>
                <w:rFonts w:hint="eastAsia" w:ascii="宋体" w:hAnsi="宋体" w:cs="宋体"/>
                <w:color w:val="000000" w:themeColor="text1"/>
                <w:sz w:val="20"/>
                <w:szCs w:val="20"/>
                <w:highlight w:val="none"/>
                <w:lang w:eastAsia="zh-CN"/>
                <w14:textFill>
                  <w14:solidFill>
                    <w14:schemeClr w14:val="tx1"/>
                  </w14:solidFill>
                </w14:textFill>
              </w:rPr>
              <w:t>采购方</w:t>
            </w:r>
            <w:r>
              <w:rPr>
                <w:rFonts w:hint="eastAsia" w:ascii="宋体" w:hAnsi="宋体" w:cs="宋体"/>
                <w:color w:val="000000" w:themeColor="text1"/>
                <w:sz w:val="20"/>
                <w:szCs w:val="20"/>
                <w:highlight w:val="none"/>
                <w:lang w:val="en-US" w:eastAsia="zh-CN"/>
                <w14:textFill>
                  <w14:solidFill>
                    <w14:schemeClr w14:val="tx1"/>
                  </w14:solidFill>
                </w14:textFill>
              </w:rPr>
              <w:t>报备</w:t>
            </w:r>
            <w:r>
              <w:rPr>
                <w:rFonts w:hint="eastAsia" w:ascii="宋体" w:hAnsi="宋体" w:cs="宋体"/>
                <w:color w:val="000000" w:themeColor="text1"/>
                <w:sz w:val="20"/>
                <w:szCs w:val="20"/>
                <w:highlight w:val="none"/>
                <w14:textFill>
                  <w14:solidFill>
                    <w14:schemeClr w14:val="tx1"/>
                  </w14:solidFill>
                </w14:textFill>
              </w:rPr>
              <w:t>。</w:t>
            </w:r>
          </w:p>
        </w:tc>
        <w:tc>
          <w:tcPr>
            <w:tcW w:w="535" w:type="dxa"/>
            <w:tcBorders>
              <w:top w:val="single" w:color="auto" w:sz="4" w:space="0"/>
              <w:left w:val="single" w:color="auto" w:sz="4" w:space="0"/>
              <w:bottom w:val="single" w:color="auto" w:sz="4" w:space="0"/>
              <w:right w:val="single" w:color="auto" w:sz="4" w:space="0"/>
            </w:tcBorders>
            <w:vAlign w:val="center"/>
          </w:tcPr>
          <w:p w14:paraId="53EE94A2">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7</w:t>
            </w:r>
          </w:p>
        </w:tc>
        <w:tc>
          <w:tcPr>
            <w:tcW w:w="2669" w:type="dxa"/>
            <w:tcBorders>
              <w:top w:val="single" w:color="auto" w:sz="4" w:space="0"/>
              <w:left w:val="single" w:color="auto" w:sz="4" w:space="0"/>
              <w:bottom w:val="single" w:color="auto" w:sz="4" w:space="0"/>
              <w:right w:val="single" w:color="auto" w:sz="4" w:space="0"/>
            </w:tcBorders>
            <w:vAlign w:val="center"/>
          </w:tcPr>
          <w:p w14:paraId="7B9B828E">
            <w:pPr>
              <w:ind w:firstLine="0" w:firstLineChars="0"/>
              <w:rPr>
                <w:rFonts w:hint="eastAsia" w:ascii="宋体" w:hAnsi="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1、</w:t>
            </w:r>
            <w:r>
              <w:rPr>
                <w:rFonts w:hint="eastAsia" w:ascii="宋体" w:hAnsi="宋体" w:cs="宋体"/>
                <w:color w:val="000000" w:themeColor="text1"/>
                <w:sz w:val="20"/>
                <w:szCs w:val="20"/>
                <w:highlight w:val="none"/>
                <w14:textFill>
                  <w14:solidFill>
                    <w14:schemeClr w14:val="tx1"/>
                  </w14:solidFill>
                </w14:textFill>
              </w:rPr>
              <w:t>不按规定检查；</w:t>
            </w:r>
            <w:r>
              <w:rPr>
                <w:rFonts w:hint="eastAsia" w:ascii="宋体" w:hAnsi="宋体" w:cs="宋体"/>
                <w:color w:val="000000" w:themeColor="text1"/>
                <w:sz w:val="20"/>
                <w:szCs w:val="20"/>
                <w:highlight w:val="none"/>
                <w:lang w:eastAsia="zh-CN"/>
                <w14:textFill>
                  <w14:solidFill>
                    <w14:schemeClr w14:val="tx1"/>
                  </w14:solidFill>
                </w14:textFill>
              </w:rPr>
              <w:t>2</w:t>
            </w:r>
            <w:r>
              <w:rPr>
                <w:rFonts w:hint="eastAsia" w:ascii="宋体" w:hAnsi="宋体" w:cs="宋体"/>
                <w:color w:val="000000" w:themeColor="text1"/>
                <w:sz w:val="20"/>
                <w:szCs w:val="20"/>
                <w:highlight w:val="none"/>
                <w14:textFill>
                  <w14:solidFill>
                    <w14:schemeClr w14:val="tx1"/>
                  </w14:solidFill>
                </w14:textFill>
              </w:rPr>
              <w:t>、消防器材运行情况</w:t>
            </w:r>
            <w:r>
              <w:rPr>
                <w:rFonts w:hint="eastAsia" w:ascii="宋体" w:hAnsi="宋体" w:cs="宋体"/>
                <w:color w:val="000000" w:themeColor="text1"/>
                <w:sz w:val="20"/>
                <w:szCs w:val="20"/>
                <w:highlight w:val="none"/>
                <w:lang w:val="en-US" w:eastAsia="zh-CN"/>
                <w14:textFill>
                  <w14:solidFill>
                    <w14:schemeClr w14:val="tx1"/>
                  </w14:solidFill>
                </w14:textFill>
              </w:rPr>
              <w:t>不向采购方报备</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0B33632F">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w:t>
            </w:r>
            <w:r>
              <w:rPr>
                <w:rFonts w:hint="eastAsia" w:ascii="宋体" w:hAnsi="宋体" w:cs="宋体"/>
                <w:color w:val="000000" w:themeColor="text1"/>
                <w:sz w:val="20"/>
                <w:szCs w:val="20"/>
                <w:highlight w:val="none"/>
                <w:lang w:val="en-US" w:eastAsia="zh-CN"/>
                <w14:textFill>
                  <w14:solidFill>
                    <w14:schemeClr w14:val="tx1"/>
                  </w14:solidFill>
                </w14:textFill>
              </w:rPr>
              <w:t>1</w:t>
            </w:r>
            <w:r>
              <w:rPr>
                <w:rFonts w:hint="eastAsia" w:ascii="宋体" w:hAnsi="宋体" w:cs="宋体"/>
                <w:color w:val="000000" w:themeColor="text1"/>
                <w:sz w:val="20"/>
                <w:szCs w:val="20"/>
                <w:highlight w:val="none"/>
                <w14:textFill>
                  <w14:solidFill>
                    <w14:schemeClr w14:val="tx1"/>
                  </w14:solidFill>
                </w14:textFill>
              </w:rPr>
              <w:t>分/次</w:t>
            </w:r>
          </w:p>
        </w:tc>
        <w:tc>
          <w:tcPr>
            <w:tcW w:w="571" w:type="dxa"/>
            <w:tcBorders>
              <w:top w:val="single" w:color="auto" w:sz="4" w:space="0"/>
              <w:left w:val="single" w:color="auto" w:sz="4" w:space="0"/>
              <w:bottom w:val="single" w:color="auto" w:sz="4" w:space="0"/>
              <w:right w:val="single" w:color="auto" w:sz="4" w:space="0"/>
            </w:tcBorders>
            <w:vAlign w:val="center"/>
          </w:tcPr>
          <w:p w14:paraId="31F5E86D">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14E37B7F">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0D9786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14:paraId="1FBC56EC">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4</w:t>
            </w:r>
          </w:p>
        </w:tc>
        <w:tc>
          <w:tcPr>
            <w:tcW w:w="2612" w:type="dxa"/>
            <w:tcBorders>
              <w:top w:val="single" w:color="auto" w:sz="4" w:space="0"/>
              <w:left w:val="single" w:color="auto" w:sz="4" w:space="0"/>
              <w:bottom w:val="single" w:color="auto" w:sz="4" w:space="0"/>
              <w:right w:val="single" w:color="auto" w:sz="4" w:space="0"/>
            </w:tcBorders>
            <w:vAlign w:val="center"/>
          </w:tcPr>
          <w:p w14:paraId="2842DDF0">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服务期内</w:t>
            </w:r>
            <w:r>
              <w:rPr>
                <w:rFonts w:hint="eastAsia" w:ascii="宋体" w:hAnsi="宋体" w:cs="宋体"/>
                <w:color w:val="000000" w:themeColor="text1"/>
                <w:sz w:val="20"/>
                <w:szCs w:val="20"/>
                <w:highlight w:val="none"/>
                <w14:textFill>
                  <w14:solidFill>
                    <w14:schemeClr w14:val="tx1"/>
                  </w14:solidFill>
                </w14:textFill>
              </w:rPr>
              <w:t>配合</w:t>
            </w:r>
            <w:r>
              <w:rPr>
                <w:rFonts w:hint="eastAsia" w:ascii="宋体" w:hAnsi="宋体" w:cs="宋体"/>
                <w:color w:val="000000" w:themeColor="text1"/>
                <w:sz w:val="20"/>
                <w:szCs w:val="20"/>
                <w:highlight w:val="none"/>
                <w:lang w:val="en-US" w:eastAsia="zh-CN"/>
                <w14:textFill>
                  <w14:solidFill>
                    <w14:schemeClr w14:val="tx1"/>
                  </w14:solidFill>
                </w14:textFill>
              </w:rPr>
              <w:t>采购方</w:t>
            </w:r>
            <w:r>
              <w:rPr>
                <w:rFonts w:hint="eastAsia" w:ascii="宋体" w:hAnsi="宋体" w:cs="宋体"/>
                <w:color w:val="000000" w:themeColor="text1"/>
                <w:sz w:val="20"/>
                <w:szCs w:val="20"/>
                <w:highlight w:val="none"/>
                <w14:textFill>
                  <w14:solidFill>
                    <w14:schemeClr w14:val="tx1"/>
                  </w14:solidFill>
                </w14:textFill>
              </w:rPr>
              <w:t xml:space="preserve">做好灭火预案演练工作。   </w:t>
            </w:r>
          </w:p>
        </w:tc>
        <w:tc>
          <w:tcPr>
            <w:tcW w:w="535" w:type="dxa"/>
            <w:tcBorders>
              <w:top w:val="single" w:color="auto" w:sz="4" w:space="0"/>
              <w:left w:val="single" w:color="auto" w:sz="4" w:space="0"/>
              <w:bottom w:val="single" w:color="auto" w:sz="4" w:space="0"/>
              <w:right w:val="single" w:color="auto" w:sz="4" w:space="0"/>
            </w:tcBorders>
            <w:vAlign w:val="center"/>
          </w:tcPr>
          <w:p w14:paraId="7FA96343">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7</w:t>
            </w:r>
          </w:p>
        </w:tc>
        <w:tc>
          <w:tcPr>
            <w:tcW w:w="2669" w:type="dxa"/>
            <w:tcBorders>
              <w:top w:val="single" w:color="auto" w:sz="4" w:space="0"/>
              <w:left w:val="single" w:color="auto" w:sz="4" w:space="0"/>
              <w:bottom w:val="single" w:color="auto" w:sz="4" w:space="0"/>
              <w:right w:val="single" w:color="auto" w:sz="4" w:space="0"/>
            </w:tcBorders>
            <w:vAlign w:val="center"/>
          </w:tcPr>
          <w:p w14:paraId="1E50C2BE">
            <w:pPr>
              <w:ind w:firstLine="0" w:firstLineChars="0"/>
              <w:rPr>
                <w:rFonts w:hint="eastAsia" w:ascii="宋体" w:hAnsi="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工作不落实、配合不好的，每一项</w:t>
            </w:r>
            <w:r>
              <w:rPr>
                <w:rFonts w:hint="eastAsia" w:ascii="宋体" w:hAnsi="宋体" w:cs="宋体"/>
                <w:color w:val="000000" w:themeColor="text1"/>
                <w:sz w:val="20"/>
                <w:szCs w:val="20"/>
                <w:highlight w:val="none"/>
                <w:lang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3D94AD1B">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w:t>
            </w:r>
            <w:r>
              <w:rPr>
                <w:rFonts w:hint="eastAsia" w:ascii="宋体" w:hAnsi="宋体" w:cs="宋体"/>
                <w:color w:val="000000" w:themeColor="text1"/>
                <w:sz w:val="20"/>
                <w:szCs w:val="20"/>
                <w:highlight w:val="none"/>
                <w:lang w:val="en-US" w:eastAsia="zh-CN"/>
                <w14:textFill>
                  <w14:solidFill>
                    <w14:schemeClr w14:val="tx1"/>
                  </w14:solidFill>
                </w14:textFill>
              </w:rPr>
              <w:t>1</w:t>
            </w:r>
            <w:r>
              <w:rPr>
                <w:rFonts w:hint="eastAsia" w:ascii="宋体" w:hAnsi="宋体" w:cs="宋体"/>
                <w:color w:val="000000" w:themeColor="text1"/>
                <w:sz w:val="20"/>
                <w:szCs w:val="20"/>
                <w:highlight w:val="none"/>
                <w14:textFill>
                  <w14:solidFill>
                    <w14:schemeClr w14:val="tx1"/>
                  </w14:solidFill>
                </w14:textFill>
              </w:rPr>
              <w:t>分/次</w:t>
            </w:r>
          </w:p>
        </w:tc>
        <w:tc>
          <w:tcPr>
            <w:tcW w:w="571" w:type="dxa"/>
            <w:tcBorders>
              <w:top w:val="single" w:color="auto" w:sz="4" w:space="0"/>
              <w:left w:val="single" w:color="auto" w:sz="4" w:space="0"/>
              <w:bottom w:val="single" w:color="auto" w:sz="4" w:space="0"/>
              <w:right w:val="single" w:color="auto" w:sz="4" w:space="0"/>
            </w:tcBorders>
            <w:vAlign w:val="center"/>
          </w:tcPr>
          <w:p w14:paraId="18006B89">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48AD8557">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680C10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14:paraId="6B1EFDF7">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5</w:t>
            </w:r>
          </w:p>
        </w:tc>
        <w:tc>
          <w:tcPr>
            <w:tcW w:w="2612" w:type="dxa"/>
            <w:tcBorders>
              <w:top w:val="single" w:color="auto" w:sz="4" w:space="0"/>
              <w:left w:val="single" w:color="auto" w:sz="4" w:space="0"/>
              <w:bottom w:val="single" w:color="auto" w:sz="4" w:space="0"/>
              <w:right w:val="single" w:color="auto" w:sz="4" w:space="0"/>
            </w:tcBorders>
            <w:vAlign w:val="center"/>
          </w:tcPr>
          <w:p w14:paraId="38DFCEBD">
            <w:pPr>
              <w:ind w:firstLine="0" w:firstLineChars="0"/>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灭火知识培训</w:t>
            </w:r>
            <w:r>
              <w:rPr>
                <w:rFonts w:hint="eastAsia" w:ascii="宋体" w:hAnsi="宋体" w:cs="宋体"/>
                <w:color w:val="000000" w:themeColor="text1"/>
                <w:sz w:val="20"/>
                <w:szCs w:val="20"/>
                <w:highlight w:val="none"/>
                <w:lang w:eastAsia="zh-CN"/>
                <w14:textFill>
                  <w14:solidFill>
                    <w14:schemeClr w14:val="tx1"/>
                  </w14:solidFill>
                </w14:textFill>
              </w:rPr>
              <w:t>：</w:t>
            </w:r>
            <w:r>
              <w:rPr>
                <w:rFonts w:hint="eastAsia" w:ascii="宋体" w:hAnsi="宋体" w:cs="宋体"/>
                <w:color w:val="000000" w:themeColor="text1"/>
                <w:sz w:val="20"/>
                <w:szCs w:val="20"/>
                <w:highlight w:val="none"/>
                <w:lang w:val="en-US" w:eastAsia="zh-CN"/>
                <w14:textFill>
                  <w14:solidFill>
                    <w14:schemeClr w14:val="tx1"/>
                  </w14:solidFill>
                </w14:textFill>
              </w:rPr>
              <w:t>服务期内</w:t>
            </w:r>
            <w:r>
              <w:rPr>
                <w:rFonts w:hint="eastAsia" w:ascii="宋体" w:hAnsi="宋体" w:cs="宋体"/>
                <w:color w:val="000000" w:themeColor="text1"/>
                <w:sz w:val="20"/>
                <w:szCs w:val="20"/>
                <w:highlight w:val="none"/>
                <w14:textFill>
                  <w14:solidFill>
                    <w14:schemeClr w14:val="tx1"/>
                  </w14:solidFill>
                </w14:textFill>
              </w:rPr>
              <w:t>对</w:t>
            </w:r>
            <w:r>
              <w:rPr>
                <w:rFonts w:hint="eastAsia" w:ascii="宋体" w:hAnsi="宋体" w:cs="宋体"/>
                <w:color w:val="000000" w:themeColor="text1"/>
                <w:sz w:val="20"/>
                <w:szCs w:val="20"/>
                <w:highlight w:val="none"/>
                <w:lang w:eastAsia="zh-CN"/>
                <w14:textFill>
                  <w14:solidFill>
                    <w14:schemeClr w14:val="tx1"/>
                  </w14:solidFill>
                </w14:textFill>
              </w:rPr>
              <w:t>秩序从业人员</w:t>
            </w:r>
            <w:r>
              <w:rPr>
                <w:rFonts w:hint="eastAsia" w:ascii="宋体" w:hAnsi="宋体" w:cs="宋体"/>
                <w:color w:val="000000" w:themeColor="text1"/>
                <w:sz w:val="20"/>
                <w:szCs w:val="20"/>
                <w:highlight w:val="none"/>
                <w14:textFill>
                  <w14:solidFill>
                    <w14:schemeClr w14:val="tx1"/>
                  </w14:solidFill>
                </w14:textFill>
              </w:rPr>
              <w:t>进行消防知识和灭火技能培训；做好</w:t>
            </w:r>
            <w:r>
              <w:rPr>
                <w:rFonts w:hint="eastAsia" w:ascii="宋体" w:hAnsi="宋体" w:cs="宋体"/>
                <w:color w:val="000000" w:themeColor="text1"/>
                <w:sz w:val="20"/>
                <w:szCs w:val="20"/>
                <w:highlight w:val="none"/>
                <w:lang w:eastAsia="zh-CN"/>
                <w14:textFill>
                  <w14:solidFill>
                    <w14:schemeClr w14:val="tx1"/>
                  </w14:solidFill>
                </w14:textFill>
              </w:rPr>
              <w:t>应急</w:t>
            </w:r>
            <w:r>
              <w:rPr>
                <w:rFonts w:hint="eastAsia" w:ascii="宋体" w:hAnsi="宋体" w:cs="宋体"/>
                <w:color w:val="000000" w:themeColor="text1"/>
                <w:sz w:val="20"/>
                <w:szCs w:val="20"/>
                <w:highlight w:val="none"/>
                <w14:textFill>
                  <w14:solidFill>
                    <w14:schemeClr w14:val="tx1"/>
                  </w14:solidFill>
                </w14:textFill>
              </w:rPr>
              <w:t>队</w:t>
            </w:r>
            <w:r>
              <w:rPr>
                <w:rFonts w:hint="eastAsia" w:ascii="宋体" w:hAnsi="宋体" w:cs="宋体"/>
                <w:color w:val="000000" w:themeColor="text1"/>
                <w:sz w:val="20"/>
                <w:szCs w:val="20"/>
                <w:highlight w:val="none"/>
                <w:lang w:eastAsia="zh-CN"/>
                <w14:textFill>
                  <w14:solidFill>
                    <w14:schemeClr w14:val="tx1"/>
                  </w14:solidFill>
                </w14:textFill>
              </w:rPr>
              <w:t>伍</w:t>
            </w:r>
            <w:r>
              <w:rPr>
                <w:rFonts w:hint="eastAsia" w:ascii="宋体" w:hAnsi="宋体" w:cs="宋体"/>
                <w:color w:val="000000" w:themeColor="text1"/>
                <w:sz w:val="20"/>
                <w:szCs w:val="20"/>
                <w:highlight w:val="none"/>
                <w14:textFill>
                  <w14:solidFill>
                    <w14:schemeClr w14:val="tx1"/>
                  </w14:solidFill>
                </w14:textFill>
              </w:rPr>
              <w:t>的组建和培训以及消防安全教育等工作，达到消防安全管理的标准。</w:t>
            </w:r>
          </w:p>
        </w:tc>
        <w:tc>
          <w:tcPr>
            <w:tcW w:w="535" w:type="dxa"/>
            <w:tcBorders>
              <w:top w:val="single" w:color="auto" w:sz="4" w:space="0"/>
              <w:left w:val="single" w:color="auto" w:sz="4" w:space="0"/>
              <w:bottom w:val="single" w:color="auto" w:sz="4" w:space="0"/>
              <w:right w:val="single" w:color="auto" w:sz="4" w:space="0"/>
            </w:tcBorders>
            <w:vAlign w:val="center"/>
          </w:tcPr>
          <w:p w14:paraId="382FFCA5">
            <w:pPr>
              <w:ind w:firstLine="0" w:firstLineChars="0"/>
              <w:jc w:val="center"/>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7</w:t>
            </w:r>
          </w:p>
        </w:tc>
        <w:tc>
          <w:tcPr>
            <w:tcW w:w="2669" w:type="dxa"/>
            <w:tcBorders>
              <w:top w:val="single" w:color="auto" w:sz="4" w:space="0"/>
              <w:left w:val="single" w:color="auto" w:sz="4" w:space="0"/>
              <w:bottom w:val="single" w:color="auto" w:sz="4" w:space="0"/>
              <w:right w:val="single" w:color="auto" w:sz="4" w:space="0"/>
            </w:tcBorders>
            <w:vAlign w:val="center"/>
          </w:tcPr>
          <w:p w14:paraId="5F177E58">
            <w:pPr>
              <w:ind w:firstLine="0" w:firstLineChars="0"/>
              <w:rPr>
                <w:rFonts w:hint="eastAsia" w:ascii="宋体" w:hAnsi="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不按要求进行组织培训的， 对</w:t>
            </w:r>
            <w:r>
              <w:rPr>
                <w:rFonts w:hint="eastAsia" w:ascii="宋体" w:hAnsi="宋体" w:cs="宋体"/>
                <w:color w:val="000000" w:themeColor="text1"/>
                <w:sz w:val="20"/>
                <w:szCs w:val="20"/>
                <w:highlight w:val="none"/>
                <w:lang w:eastAsia="zh-CN"/>
                <w14:textFill>
                  <w14:solidFill>
                    <w14:schemeClr w14:val="tx1"/>
                  </w14:solidFill>
                </w14:textFill>
              </w:rPr>
              <w:t>应急队伍</w:t>
            </w:r>
            <w:r>
              <w:rPr>
                <w:rFonts w:hint="eastAsia" w:ascii="宋体" w:hAnsi="宋体" w:cs="宋体"/>
                <w:color w:val="000000" w:themeColor="text1"/>
                <w:sz w:val="20"/>
                <w:szCs w:val="20"/>
                <w:highlight w:val="none"/>
                <w14:textFill>
                  <w14:solidFill>
                    <w14:schemeClr w14:val="tx1"/>
                  </w14:solidFill>
                </w14:textFill>
              </w:rPr>
              <w:t>队员不培训，消防安全管理不达标的每一项</w:t>
            </w:r>
            <w:r>
              <w:rPr>
                <w:rFonts w:hint="eastAsia" w:ascii="宋体" w:hAnsi="宋体" w:cs="宋体"/>
                <w:color w:val="000000" w:themeColor="text1"/>
                <w:sz w:val="20"/>
                <w:szCs w:val="20"/>
                <w:highlight w:val="none"/>
                <w:lang w:val="en-US" w:eastAsia="zh-CN"/>
                <w14:textFill>
                  <w14:solidFill>
                    <w14:schemeClr w14:val="tx1"/>
                  </w14:solidFill>
                </w14:textFill>
              </w:rPr>
              <w:t>.。</w:t>
            </w:r>
          </w:p>
        </w:tc>
        <w:tc>
          <w:tcPr>
            <w:tcW w:w="697" w:type="dxa"/>
            <w:tcBorders>
              <w:top w:val="single" w:color="auto" w:sz="4" w:space="0"/>
              <w:left w:val="single" w:color="auto" w:sz="4" w:space="0"/>
              <w:bottom w:val="single" w:color="auto" w:sz="4" w:space="0"/>
              <w:right w:val="single" w:color="auto" w:sz="4" w:space="0"/>
            </w:tcBorders>
            <w:vAlign w:val="center"/>
          </w:tcPr>
          <w:p w14:paraId="5C4E56BC">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-0.</w:t>
            </w:r>
            <w:r>
              <w:rPr>
                <w:rFonts w:hint="eastAsia" w:ascii="宋体" w:hAnsi="宋体" w:cs="宋体"/>
                <w:color w:val="000000" w:themeColor="text1"/>
                <w:sz w:val="20"/>
                <w:szCs w:val="20"/>
                <w:highlight w:val="none"/>
                <w:lang w:val="en-US" w:eastAsia="zh-CN"/>
                <w14:textFill>
                  <w14:solidFill>
                    <w14:schemeClr w14:val="tx1"/>
                  </w14:solidFill>
                </w14:textFill>
              </w:rPr>
              <w:t>1</w:t>
            </w:r>
            <w:r>
              <w:rPr>
                <w:rFonts w:hint="eastAsia" w:ascii="宋体" w:hAnsi="宋体" w:cs="宋体"/>
                <w:color w:val="000000" w:themeColor="text1"/>
                <w:sz w:val="20"/>
                <w:szCs w:val="20"/>
                <w:highlight w:val="none"/>
                <w14:textFill>
                  <w14:solidFill>
                    <w14:schemeClr w14:val="tx1"/>
                  </w14:solidFill>
                </w14:textFill>
              </w:rPr>
              <w:t>分/次</w:t>
            </w:r>
          </w:p>
        </w:tc>
        <w:tc>
          <w:tcPr>
            <w:tcW w:w="571" w:type="dxa"/>
            <w:tcBorders>
              <w:top w:val="single" w:color="auto" w:sz="4" w:space="0"/>
              <w:left w:val="single" w:color="auto" w:sz="4" w:space="0"/>
              <w:bottom w:val="single" w:color="auto" w:sz="4" w:space="0"/>
              <w:right w:val="single" w:color="auto" w:sz="4" w:space="0"/>
            </w:tcBorders>
            <w:vAlign w:val="center"/>
          </w:tcPr>
          <w:p w14:paraId="3D7EE965">
            <w:pPr>
              <w:ind w:firstLine="0" w:firstLineChars="0"/>
              <w:jc w:val="center"/>
              <w:rPr>
                <w:rFonts w:hint="eastAsia" w:ascii="宋体" w:hAnsi="宋体" w:eastAsia="宋体" w:cs="宋体"/>
                <w:color w:val="000000" w:themeColor="text1"/>
                <w:sz w:val="20"/>
                <w:szCs w:val="20"/>
                <w:highlight w:val="none"/>
                <w:lang w:eastAsia="zh-CN"/>
                <w14:textFill>
                  <w14:solidFill>
                    <w14:schemeClr w14:val="tx1"/>
                  </w14:solidFill>
                </w14:textFill>
              </w:rPr>
            </w:pPr>
          </w:p>
        </w:tc>
        <w:tc>
          <w:tcPr>
            <w:tcW w:w="873" w:type="dxa"/>
            <w:tcBorders>
              <w:top w:val="single" w:color="auto" w:sz="4" w:space="0"/>
              <w:left w:val="single" w:color="auto" w:sz="4" w:space="0"/>
              <w:bottom w:val="single" w:color="auto" w:sz="4" w:space="0"/>
              <w:right w:val="single" w:color="auto" w:sz="4" w:space="0"/>
            </w:tcBorders>
            <w:vAlign w:val="center"/>
          </w:tcPr>
          <w:p w14:paraId="7488C518">
            <w:pPr>
              <w:ind w:firstLine="0" w:firstLineChars="0"/>
              <w:jc w:val="center"/>
              <w:rPr>
                <w:rFonts w:hint="eastAsia" w:ascii="宋体" w:hAnsi="宋体" w:cs="宋体"/>
                <w:color w:val="000000" w:themeColor="text1"/>
                <w:sz w:val="20"/>
                <w:szCs w:val="20"/>
                <w:highlight w:val="none"/>
                <w14:textFill>
                  <w14:solidFill>
                    <w14:schemeClr w14:val="tx1"/>
                  </w14:solidFill>
                </w14:textFill>
              </w:rPr>
            </w:pPr>
          </w:p>
        </w:tc>
      </w:tr>
      <w:tr w14:paraId="7533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8517" w:type="dxa"/>
            <w:gridSpan w:val="7"/>
            <w:tcBorders>
              <w:left w:val="single" w:color="auto" w:sz="4" w:space="0"/>
              <w:right w:val="single" w:color="auto" w:sz="4" w:space="0"/>
            </w:tcBorders>
            <w:noWrap w:val="0"/>
            <w:vAlign w:val="center"/>
          </w:tcPr>
          <w:p w14:paraId="4B22C017">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考核得分：</w:t>
            </w:r>
          </w:p>
        </w:tc>
      </w:tr>
      <w:tr w14:paraId="78A6B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8" w:hRule="atLeast"/>
          <w:jc w:val="center"/>
        </w:trPr>
        <w:tc>
          <w:tcPr>
            <w:tcW w:w="8517" w:type="dxa"/>
            <w:gridSpan w:val="7"/>
            <w:tcBorders>
              <w:left w:val="single" w:color="auto" w:sz="4" w:space="0"/>
              <w:bottom w:val="single" w:color="auto" w:sz="4" w:space="0"/>
              <w:right w:val="single" w:color="auto" w:sz="4" w:space="0"/>
            </w:tcBorders>
            <w:noWrap w:val="0"/>
            <w:vAlign w:val="center"/>
          </w:tcPr>
          <w:p w14:paraId="4DADF6D4">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00CD264B">
            <w:pPr>
              <w:adjustRightInd w:val="0"/>
              <w:snapToGrid w:val="0"/>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7D605785">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708B8BDD">
      <w:pPr>
        <w:pStyle w:val="4"/>
        <w:bidi w:val="0"/>
        <w:ind w:left="0" w:leftChars="0" w:firstLine="0" w:firstLineChars="0"/>
        <w:jc w:val="center"/>
        <w:outlineLvl w:val="9"/>
        <w:rPr>
          <w:rFonts w:hint="eastAsia" w:asciiTheme="majorEastAsia" w:hAnsiTheme="majorEastAsia" w:eastAsiaTheme="majorEastAsia" w:cstheme="majorEastAsia"/>
          <w:sz w:val="20"/>
          <w:szCs w:val="20"/>
          <w:highlight w:val="none"/>
          <w:lang w:val="en-US" w:eastAsia="zh-CN"/>
        </w:rPr>
      </w:pPr>
    </w:p>
    <w:p w14:paraId="757B0C88">
      <w:pPr>
        <w:rPr>
          <w:rFonts w:hint="eastAsia" w:asciiTheme="majorEastAsia" w:hAnsiTheme="majorEastAsia" w:eastAsiaTheme="majorEastAsia" w:cstheme="majorEastAsia"/>
          <w:sz w:val="20"/>
          <w:szCs w:val="20"/>
          <w:highlight w:val="none"/>
          <w:lang w:val="en-US" w:eastAsia="zh-CN"/>
        </w:rPr>
      </w:pPr>
      <w:r>
        <w:rPr>
          <w:rFonts w:hint="eastAsia" w:asciiTheme="majorEastAsia" w:hAnsiTheme="majorEastAsia" w:eastAsiaTheme="majorEastAsia" w:cstheme="majorEastAsia"/>
          <w:sz w:val="20"/>
          <w:szCs w:val="20"/>
          <w:highlight w:val="none"/>
          <w:lang w:val="en-US" w:eastAsia="zh-CN"/>
        </w:rPr>
        <w:br w:type="page"/>
      </w:r>
    </w:p>
    <w:p w14:paraId="5B9A0EA0">
      <w:pPr>
        <w:pStyle w:val="4"/>
        <w:bidi w:val="0"/>
        <w:ind w:left="0" w:leftChars="0" w:firstLine="0" w:firstLineChars="0"/>
        <w:jc w:val="center"/>
        <w:rPr>
          <w:rFonts w:hint="eastAsia" w:asciiTheme="majorEastAsia" w:hAnsiTheme="majorEastAsia" w:eastAsiaTheme="majorEastAsia" w:cstheme="majorEastAsia"/>
          <w:sz w:val="20"/>
          <w:szCs w:val="20"/>
          <w:highlight w:val="none"/>
          <w:lang w:val="en-US" w:eastAsia="zh-CN"/>
        </w:rPr>
      </w:pPr>
      <w:bookmarkStart w:id="711" w:name="_Toc4729"/>
      <w:bookmarkStart w:id="712" w:name="_Toc14419"/>
      <w:r>
        <w:rPr>
          <w:rFonts w:hint="eastAsia" w:asciiTheme="majorEastAsia" w:hAnsiTheme="majorEastAsia" w:eastAsiaTheme="majorEastAsia" w:cstheme="majorEastAsia"/>
          <w:sz w:val="20"/>
          <w:szCs w:val="20"/>
          <w:highlight w:val="none"/>
          <w:lang w:val="en-US" w:eastAsia="zh-CN"/>
        </w:rPr>
        <w:t>（二十一）车辆（罐装）运输供水服务</w:t>
      </w:r>
      <w:bookmarkEnd w:id="711"/>
      <w:r>
        <w:rPr>
          <w:rFonts w:hint="eastAsia" w:asciiTheme="majorEastAsia" w:hAnsiTheme="majorEastAsia" w:eastAsiaTheme="majorEastAsia" w:cstheme="majorEastAsia"/>
          <w:sz w:val="20"/>
          <w:szCs w:val="20"/>
          <w:highlight w:val="none"/>
          <w:lang w:val="en-US" w:eastAsia="zh-CN"/>
        </w:rPr>
        <w:t>项目</w:t>
      </w:r>
      <w:bookmarkEnd w:id="712"/>
    </w:p>
    <w:p w14:paraId="6F5A6766">
      <w:pPr>
        <w:bidi w:val="0"/>
        <w:ind w:firstLine="402" w:firstLineChars="200"/>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val="en-US" w:eastAsia="zh-CN"/>
        </w:rPr>
        <w:t>1</w:t>
      </w:r>
      <w:r>
        <w:rPr>
          <w:rFonts w:hint="eastAsia" w:ascii="宋体" w:hAnsi="宋体" w:cs="宋体"/>
          <w:b/>
          <w:bCs/>
          <w:sz w:val="20"/>
          <w:szCs w:val="20"/>
          <w:highlight w:val="none"/>
          <w:lang w:val="en-US" w:eastAsia="zh-CN"/>
        </w:rPr>
        <w:t>.</w:t>
      </w:r>
      <w:r>
        <w:rPr>
          <w:rFonts w:hint="eastAsia" w:ascii="宋体" w:hAnsi="宋体" w:eastAsia="宋体" w:cs="宋体"/>
          <w:b/>
          <w:bCs/>
          <w:sz w:val="20"/>
          <w:szCs w:val="20"/>
          <w:highlight w:val="none"/>
        </w:rPr>
        <w:t>项目服务标准</w:t>
      </w:r>
    </w:p>
    <w:p w14:paraId="35E46463">
      <w:pPr>
        <w:bidi w:val="0"/>
        <w:ind w:firstLine="400" w:firstLineChars="200"/>
        <w:rPr>
          <w:rFonts w:hint="eastAsia" w:ascii="宋体" w:hAnsi="宋体" w:eastAsia="宋体" w:cs="宋体"/>
          <w:b/>
          <w:bCs/>
          <w:sz w:val="20"/>
          <w:szCs w:val="20"/>
          <w:highlight w:val="none"/>
          <w:lang w:val="en-US" w:eastAsia="zh-CN"/>
        </w:rPr>
      </w:pPr>
      <w:r>
        <w:rPr>
          <w:rFonts w:hint="eastAsia" w:ascii="宋体" w:hAnsi="宋体" w:eastAsia="宋体" w:cs="宋体"/>
          <w:color w:val="000000" w:themeColor="text1"/>
          <w:sz w:val="20"/>
          <w:szCs w:val="20"/>
          <w:highlight w:val="none"/>
          <w:u w:val="none"/>
          <w:lang w:eastAsia="zh-CN"/>
          <w14:textFill>
            <w14:solidFill>
              <w14:schemeClr w14:val="tx1"/>
            </w14:solidFill>
          </w14:textFill>
        </w:rPr>
        <w:t>服务方</w:t>
      </w:r>
      <w:r>
        <w:rPr>
          <w:rFonts w:hint="eastAsia" w:ascii="宋体" w:hAnsi="宋体" w:eastAsia="宋体" w:cs="宋体"/>
          <w:color w:val="000000" w:themeColor="text1"/>
          <w:sz w:val="20"/>
          <w:szCs w:val="20"/>
          <w:highlight w:val="none"/>
          <w:u w:val="none"/>
          <w14:textFill>
            <w14:solidFill>
              <w14:schemeClr w14:val="tx1"/>
            </w14:solidFill>
          </w14:textFill>
        </w:rPr>
        <w:t>为</w:t>
      </w:r>
      <w:r>
        <w:rPr>
          <w:rFonts w:hint="eastAsia" w:ascii="宋体" w:hAnsi="宋体" w:eastAsia="宋体" w:cs="宋体"/>
          <w:color w:val="000000" w:themeColor="text1"/>
          <w:sz w:val="20"/>
          <w:szCs w:val="20"/>
          <w:highlight w:val="none"/>
          <w:u w:val="none"/>
          <w:lang w:eastAsia="zh-CN"/>
          <w14:textFill>
            <w14:solidFill>
              <w14:schemeClr w14:val="tx1"/>
            </w14:solidFill>
          </w14:textFill>
        </w:rPr>
        <w:t>采购方</w:t>
      </w:r>
      <w:r>
        <w:rPr>
          <w:rFonts w:hint="eastAsia" w:ascii="宋体" w:hAnsi="宋体" w:eastAsia="宋体" w:cs="宋体"/>
          <w:color w:val="000000" w:themeColor="text1"/>
          <w:sz w:val="20"/>
          <w:szCs w:val="20"/>
          <w:highlight w:val="none"/>
          <w:u w:val="none"/>
          <w14:textFill>
            <w14:solidFill>
              <w14:schemeClr w14:val="tx1"/>
            </w14:solidFill>
          </w14:textFill>
        </w:rPr>
        <w:t>提供符合国家饮用水卫生标准的自来水并运送至指定地点</w:t>
      </w:r>
      <w:r>
        <w:rPr>
          <w:rFonts w:hint="eastAsia" w:ascii="宋体" w:hAnsi="宋体" w:cs="宋体"/>
          <w:color w:val="000000" w:themeColor="text1"/>
          <w:sz w:val="20"/>
          <w:szCs w:val="20"/>
          <w:highlight w:val="none"/>
          <w:u w:val="none"/>
          <w:lang w:eastAsia="zh-CN"/>
          <w14:textFill>
            <w14:solidFill>
              <w14:schemeClr w14:val="tx1"/>
            </w14:solidFill>
          </w14:textFill>
        </w:rPr>
        <w:t>，</w:t>
      </w:r>
      <w:r>
        <w:rPr>
          <w:rFonts w:hint="eastAsia" w:ascii="宋体" w:hAnsi="宋体" w:cs="宋体"/>
          <w:color w:val="000000" w:themeColor="text1"/>
          <w:sz w:val="20"/>
          <w:szCs w:val="20"/>
          <w:highlight w:val="none"/>
          <w:u w:val="none"/>
          <w:lang w:val="en-US" w:eastAsia="zh-CN"/>
          <w14:textFill>
            <w14:solidFill>
              <w14:schemeClr w14:val="tx1"/>
            </w14:solidFill>
          </w14:textFill>
        </w:rPr>
        <w:t>具体以采购方需求为准</w:t>
      </w:r>
      <w:r>
        <w:rPr>
          <w:rFonts w:hint="eastAsia" w:ascii="宋体" w:hAnsi="宋体" w:cs="宋体"/>
          <w:color w:val="000000" w:themeColor="text1"/>
          <w:kern w:val="0"/>
          <w:sz w:val="20"/>
          <w:szCs w:val="20"/>
          <w:highlight w:val="none"/>
          <w:u w:val="none"/>
          <w:lang w:val="en-US" w:eastAsia="zh-CN"/>
          <w14:textFill>
            <w14:solidFill>
              <w14:schemeClr w14:val="tx1"/>
            </w14:solidFill>
          </w14:textFill>
        </w:rPr>
        <w:t>。</w:t>
      </w:r>
    </w:p>
    <w:p w14:paraId="3796655C">
      <w:pPr>
        <w:bidi w:val="0"/>
        <w:ind w:firstLine="402" w:firstLineChars="200"/>
        <w:rPr>
          <w:rFonts w:hint="eastAsia" w:ascii="宋体" w:hAnsi="宋体" w:eastAsia="宋体" w:cs="宋体"/>
          <w:b/>
          <w:bCs/>
          <w:sz w:val="20"/>
          <w:szCs w:val="20"/>
          <w:highlight w:val="none"/>
          <w:lang w:val="en-US" w:eastAsia="zh-CN"/>
        </w:rPr>
      </w:pPr>
      <w:r>
        <w:rPr>
          <w:rFonts w:hint="eastAsia" w:ascii="宋体" w:hAnsi="宋体" w:eastAsia="宋体" w:cs="宋体"/>
          <w:b/>
          <w:bCs/>
          <w:sz w:val="20"/>
          <w:szCs w:val="20"/>
          <w:highlight w:val="none"/>
          <w:lang w:val="en-US" w:eastAsia="zh-CN"/>
        </w:rPr>
        <w:t>2</w:t>
      </w:r>
      <w:r>
        <w:rPr>
          <w:rFonts w:hint="eastAsia" w:ascii="宋体" w:hAnsi="宋体" w:cs="宋体"/>
          <w:b/>
          <w:bCs/>
          <w:sz w:val="20"/>
          <w:szCs w:val="20"/>
          <w:highlight w:val="none"/>
          <w:lang w:val="en-US" w:eastAsia="zh-CN"/>
        </w:rPr>
        <w:t>.</w:t>
      </w:r>
      <w:r>
        <w:rPr>
          <w:rFonts w:hint="eastAsia" w:ascii="宋体" w:hAnsi="宋体" w:eastAsia="宋体" w:cs="宋体"/>
          <w:b/>
          <w:bCs/>
          <w:sz w:val="20"/>
          <w:szCs w:val="20"/>
          <w:highlight w:val="none"/>
          <w:lang w:val="en-US" w:eastAsia="zh-CN"/>
        </w:rPr>
        <w:t>项目服务要求</w:t>
      </w:r>
    </w:p>
    <w:p w14:paraId="0AEA38F4">
      <w:pPr>
        <w:bidi w:val="0"/>
        <w:ind w:firstLine="400" w:firstLineChars="200"/>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车辆（罐装）运输供水服务</w:t>
      </w:r>
      <w:r>
        <w:rPr>
          <w:rFonts w:hint="eastAsia" w:ascii="宋体" w:hAnsi="宋体" w:eastAsia="宋体" w:cs="宋体"/>
          <w:sz w:val="20"/>
          <w:szCs w:val="20"/>
          <w:highlight w:val="none"/>
        </w:rPr>
        <w:t>，费</w:t>
      </w:r>
      <w:r>
        <w:rPr>
          <w:rFonts w:hint="eastAsia" w:ascii="宋体" w:hAnsi="宋体" w:eastAsia="宋体" w:cs="宋体"/>
          <w:sz w:val="20"/>
          <w:szCs w:val="20"/>
          <w:highlight w:val="none"/>
          <w:lang w:val="en-US" w:eastAsia="zh-CN"/>
        </w:rPr>
        <w:t>用</w:t>
      </w:r>
      <w:r>
        <w:rPr>
          <w:rFonts w:hint="eastAsia" w:ascii="宋体" w:hAnsi="宋体" w:eastAsia="宋体" w:cs="宋体"/>
          <w:sz w:val="20"/>
          <w:szCs w:val="20"/>
          <w:highlight w:val="none"/>
          <w:lang w:eastAsia="zh-CN"/>
        </w:rPr>
        <w:t>单价包括人工费、交通费、车辆罐体内</w:t>
      </w:r>
      <w:r>
        <w:rPr>
          <w:rFonts w:hint="eastAsia" w:ascii="宋体" w:hAnsi="宋体" w:eastAsia="宋体" w:cs="宋体"/>
          <w:sz w:val="20"/>
          <w:szCs w:val="20"/>
          <w:highlight w:val="none"/>
          <w:lang w:val="en-US" w:eastAsia="zh-CN"/>
        </w:rPr>
        <w:t>水费</w:t>
      </w:r>
      <w:r>
        <w:rPr>
          <w:rFonts w:hint="eastAsia" w:ascii="宋体" w:hAnsi="宋体" w:eastAsia="宋体" w:cs="宋体"/>
          <w:sz w:val="20"/>
          <w:szCs w:val="20"/>
          <w:highlight w:val="none"/>
          <w:lang w:eastAsia="zh-CN"/>
        </w:rPr>
        <w:t>、税金等一切费用，以实际发车次数结算，</w:t>
      </w:r>
      <w:r>
        <w:rPr>
          <w:rFonts w:hint="eastAsia" w:ascii="宋体" w:hAnsi="宋体" w:eastAsia="宋体" w:cs="宋体"/>
          <w:sz w:val="20"/>
          <w:szCs w:val="20"/>
          <w:highlight w:val="none"/>
          <w:lang w:val="en-US" w:eastAsia="zh-CN"/>
        </w:rPr>
        <w:t>双方现场核实验收，以双方确认后签字的运输供水服务单据为计算凭证。</w:t>
      </w:r>
    </w:p>
    <w:p w14:paraId="409E5F5E">
      <w:pPr>
        <w:bidi w:val="0"/>
        <w:ind w:firstLine="402" w:firstLineChars="200"/>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val="en-US" w:eastAsia="zh-CN"/>
        </w:rPr>
        <w:t>3.</w:t>
      </w:r>
      <w:r>
        <w:rPr>
          <w:rFonts w:hint="eastAsia" w:ascii="宋体" w:hAnsi="宋体" w:eastAsia="宋体" w:cs="宋体"/>
          <w:b/>
          <w:bCs/>
          <w:sz w:val="20"/>
          <w:szCs w:val="20"/>
          <w:highlight w:val="none"/>
        </w:rPr>
        <w:t>服务履约考核</w:t>
      </w:r>
    </w:p>
    <w:p w14:paraId="2DAD4874">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5"/>
        <w:gridCol w:w="654"/>
        <w:gridCol w:w="1667"/>
        <w:gridCol w:w="3447"/>
        <w:gridCol w:w="1327"/>
        <w:gridCol w:w="726"/>
      </w:tblGrid>
      <w:tr w14:paraId="52AC5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8CF6A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3FCCC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维度</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06E6C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评价内容</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D177F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评分标准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D37FF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考核扣分</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C7C2F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265C9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B8371F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58E67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服务评价</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FCA5D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质量评价的评价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6D2B3B">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所提供的服务不符合</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的质量要求。每次扣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28D450">
            <w:pPr>
              <w:keepNext w:val="0"/>
              <w:keepLines w:val="0"/>
              <w:pageBreakBefore w:val="0"/>
              <w:widowControl w:val="0"/>
              <w:suppressLineNumbers w:val="0"/>
              <w:kinsoku/>
              <w:wordWrap/>
              <w:overflowPunct/>
              <w:topLinePunct w:val="0"/>
              <w:autoSpaceDE/>
              <w:autoSpaceDN/>
              <w:bidi w:val="0"/>
              <w:adjustRightInd/>
              <w:snapToGrid/>
              <w:ind w:firstLine="0" w:firstLineChars="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59A09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5B4F4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C6781D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2</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26FB83">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0E9E37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响应速度的评价</w:t>
            </w:r>
          </w:p>
        </w:tc>
        <w:tc>
          <w:tcPr>
            <w:tcW w:w="2024"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360A45ED">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服务响应速度慢，影响</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的预期计划。每次扣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F2ECF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D043C7">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223C4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57C6EB2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3</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6EAE0805">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28BF53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服务准时性的评价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08519A">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应对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布置的工作要求、任务予以积极响应。未按规定时间提供服务的或完成交办事项的，每次扣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33F28B9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48CBCB">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4F5C9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34"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4BFB3D4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4</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7B3E1FD3">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62293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E1210B4">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应保持良好的沟通形式，下达任务因反馈不及时，影响工作进度、质量的，每次扣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060E220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F2BD03">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6FBA2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2A99CBA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5</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33337FB4">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7F3856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EBA78FA">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服务态度差，</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向</w:t>
            </w: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要求换人或投诉，每次扣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4BDD34A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BBFCC0">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275DF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056FB34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cs="宋体"/>
                <w:b w:val="0"/>
                <w:bCs w:val="0"/>
                <w:i w:val="0"/>
                <w:iCs w:val="0"/>
                <w:color w:val="auto"/>
                <w:kern w:val="0"/>
                <w:sz w:val="20"/>
                <w:szCs w:val="20"/>
                <w:highlight w:val="none"/>
                <w:u w:val="none"/>
                <w:lang w:val="en-US" w:eastAsia="zh-CN" w:bidi="ar"/>
              </w:rPr>
              <w:t>6</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DF162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865EA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43C5F1">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必须严格执行</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的安全规定。每出现一次安全事故，扣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分；每出现一次重大安全事故，每次扣</w:t>
            </w:r>
            <w:r>
              <w:rPr>
                <w:rFonts w:hint="eastAsia" w:ascii="宋体" w:hAnsi="宋体"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1F381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；10分/次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CA438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760F5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4553C47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D829B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9F15E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0C12D3">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服务人员未做好保密工作，造成了信息泄露，每次扣</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分；信息泄露给</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带来重大影响的，每次扣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E4BCD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；5分/次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F340D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16FD9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E87FA2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60AC4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F748435">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2E4CADF8">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1B279B6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5BD33827">
      <w:pPr>
        <w:rPr>
          <w:rFonts w:hint="eastAsia" w:asciiTheme="majorEastAsia" w:hAnsiTheme="majorEastAsia" w:eastAsiaTheme="majorEastAsia" w:cstheme="majorEastAsia"/>
          <w:highlight w:val="none"/>
          <w:lang w:val="en-US" w:eastAsia="zh-CN"/>
        </w:rPr>
      </w:pPr>
      <w:bookmarkStart w:id="713" w:name="_Toc31209"/>
      <w:r>
        <w:rPr>
          <w:rFonts w:hint="eastAsia" w:asciiTheme="majorEastAsia" w:hAnsiTheme="majorEastAsia" w:eastAsiaTheme="majorEastAsia" w:cstheme="majorEastAsia"/>
          <w:highlight w:val="none"/>
          <w:lang w:val="en-US" w:eastAsia="zh-CN"/>
        </w:rPr>
        <w:br w:type="page"/>
      </w:r>
    </w:p>
    <w:p w14:paraId="5269EB67">
      <w:pPr>
        <w:pStyle w:val="4"/>
        <w:keepNext/>
        <w:keepLines/>
        <w:pageBreakBefore w:val="0"/>
        <w:widowControl w:val="0"/>
        <w:kinsoku/>
        <w:wordWrap/>
        <w:overflowPunct/>
        <w:topLinePunct w:val="0"/>
        <w:autoSpaceDE/>
        <w:autoSpaceDN/>
        <w:bidi w:val="0"/>
        <w:adjustRightInd/>
        <w:snapToGrid/>
        <w:spacing w:before="0" w:beforeLines="0" w:after="0" w:afterLines="0" w:line="580" w:lineRule="exact"/>
        <w:ind w:left="0" w:leftChars="0" w:firstLine="0" w:firstLineChars="0"/>
        <w:jc w:val="center"/>
        <w:textAlignment w:val="auto"/>
        <w:rPr>
          <w:rFonts w:hint="eastAsia" w:ascii="宋体" w:hAnsi="宋体" w:eastAsia="宋体" w:cs="宋体"/>
          <w:b/>
          <w:bCs w:val="0"/>
          <w:color w:val="auto"/>
          <w:sz w:val="20"/>
          <w:szCs w:val="20"/>
          <w:highlight w:val="none"/>
          <w:lang w:val="en-US" w:eastAsia="zh-CN"/>
        </w:rPr>
      </w:pPr>
      <w:bookmarkStart w:id="714" w:name="_Toc11146"/>
      <w:r>
        <w:rPr>
          <w:rFonts w:hint="eastAsia" w:asciiTheme="majorEastAsia" w:hAnsiTheme="majorEastAsia" w:eastAsiaTheme="majorEastAsia" w:cstheme="majorEastAsia"/>
          <w:highlight w:val="none"/>
          <w:lang w:val="en-US" w:eastAsia="zh-CN"/>
        </w:rPr>
        <w:t>（二十二）电力设施保护外委服务项目</w:t>
      </w:r>
      <w:bookmarkEnd w:id="713"/>
      <w:bookmarkEnd w:id="714"/>
    </w:p>
    <w:p w14:paraId="2026E553">
      <w:pPr>
        <w:bidi w:val="0"/>
        <w:rPr>
          <w:rFonts w:hint="eastAsia" w:ascii="宋体" w:hAnsi="宋体" w:eastAsia="宋体" w:cs="宋体"/>
          <w:b/>
          <w:bCs/>
          <w:highlight w:val="none"/>
          <w:lang w:val="en-US" w:eastAsia="zh-CN"/>
        </w:rPr>
      </w:pPr>
    </w:p>
    <w:p w14:paraId="20533E6F">
      <w:pPr>
        <w:bidi w:val="0"/>
        <w:ind w:firstLine="402" w:firstLineChars="20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1.项目服务标准</w:t>
      </w:r>
    </w:p>
    <w:p w14:paraId="7818E831">
      <w:pPr>
        <w:spacing w:line="560" w:lineRule="exact"/>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为了切实加强防范和打击电力违法犯罪，维护和保障正常的电力生产及办公秩序，避免和减少各类涉电治安事件、刑事案件的发生, 安全防范工作，切实维护和保障采购方物业所属区域正常的公共秩序，避免和减少治安案件发生。</w:t>
      </w:r>
    </w:p>
    <w:p w14:paraId="72446423">
      <w:pPr>
        <w:bidi w:val="0"/>
        <w:ind w:firstLine="402" w:firstLineChars="20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2</w:t>
      </w:r>
      <w:r>
        <w:rPr>
          <w:rFonts w:hint="eastAsia" w:ascii="宋体" w:hAnsi="宋体" w:cs="宋体"/>
          <w:b/>
          <w:bCs/>
          <w:highlight w:val="none"/>
          <w:lang w:val="en-US" w:eastAsia="zh-CN"/>
        </w:rPr>
        <w:t>.</w:t>
      </w:r>
      <w:r>
        <w:rPr>
          <w:rFonts w:hint="eastAsia" w:ascii="宋体" w:hAnsi="宋体" w:eastAsia="宋体" w:cs="宋体"/>
          <w:b/>
          <w:bCs/>
          <w:highlight w:val="none"/>
          <w:lang w:val="en-US" w:eastAsia="zh-CN"/>
        </w:rPr>
        <w:t>项目服务要求</w:t>
      </w:r>
    </w:p>
    <w:p w14:paraId="6F55BB1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（一）派出的保安必须服从采购方代表的工作安排；</w:t>
      </w:r>
    </w:p>
    <w:p w14:paraId="253AAFBB">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（二）派出的保安必须符合采购方要求：男性；具有高中及以上文化水平，身心健康，无疾病，外貌端正；法制观念和组织纪律性强，思想品行良好，无犯罪记录；持有保安上岗证。</w:t>
      </w:r>
    </w:p>
    <w:p w14:paraId="7A02B30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（三）服务方选派的保安必须经过正规的保安培训和岗前培训，无违法犯罪记录，并向采购方提供保安的相关人事档案和培训档案。</w:t>
      </w:r>
    </w:p>
    <w:p w14:paraId="6F8B0BF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（四）在履行职责中，保安应统一着装，佩戴标志，仪表端庄，保持良好姿态，坚守岗位，认真履行职责。</w:t>
      </w:r>
    </w:p>
    <w:p w14:paraId="018B276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（五）采购方提出更换的保安，服务方在收到采购方告知事项之日起五个工作日内必须更换。</w:t>
      </w:r>
    </w:p>
    <w:p w14:paraId="24E986D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（六）积极配合公安机关派驻民警维护好采购方内部治安秩序，积极认真做好采购方区域内电力设施保护、防盗、防爆等安全工作，避免各种案件、事故的发生。</w:t>
      </w:r>
    </w:p>
    <w:p w14:paraId="5AF8E5FC">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（七）保安值勤中因工作失职造成他人经济损失或者人身伤害的，经公安机关查实，服务方根据责任大小承担相应的责任，给采购方造成损失的，服务方还需要向采购方进行相应的赔偿。</w:t>
      </w:r>
    </w:p>
    <w:p w14:paraId="74E9AD04">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保安值勤中因工作失职造成他人经济损失或者人身伤害的，经公安机关查实，服务方根据责任大小承担相应的责任，给采购方造成损失的，服务方还需要向采购方进行相应的赔偿。</w:t>
      </w:r>
    </w:p>
    <w:p w14:paraId="19AC0603">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（一）服务方负责在采购方服务期间的日常管理，一般业务事宜直接向采购方代表反应。</w:t>
      </w:r>
    </w:p>
    <w:p w14:paraId="2429932B">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（二）服务方负责对派驻采购方的保安的全面培训、管理工作，保安在采购方工作期间发生重大疾病、意外伤害等费用由服务方负责处理。</w:t>
      </w:r>
    </w:p>
    <w:p w14:paraId="0C4C119E">
      <w:pPr>
        <w:bidi w:val="0"/>
        <w:ind w:firstLine="402" w:firstLineChars="200"/>
        <w:rPr>
          <w:rFonts w:hint="eastAsia" w:ascii="宋体" w:hAnsi="宋体" w:eastAsia="宋体" w:cs="宋体"/>
          <w:b/>
          <w:bCs/>
          <w:highlight w:val="none"/>
        </w:rPr>
      </w:pPr>
      <w:r>
        <w:rPr>
          <w:rFonts w:hint="eastAsia" w:ascii="宋体" w:hAnsi="宋体" w:cs="宋体"/>
          <w:b/>
          <w:bCs/>
          <w:highlight w:val="none"/>
          <w:lang w:val="en-US" w:eastAsia="zh-CN"/>
        </w:rPr>
        <w:t>3</w:t>
      </w:r>
      <w:r>
        <w:rPr>
          <w:rFonts w:hint="eastAsia" w:ascii="宋体" w:hAnsi="宋体" w:eastAsia="宋体" w:cs="宋体"/>
          <w:b/>
          <w:bCs/>
          <w:highlight w:val="none"/>
          <w:lang w:val="en-US" w:eastAsia="zh-CN"/>
        </w:rPr>
        <w:t>.</w:t>
      </w:r>
      <w:r>
        <w:rPr>
          <w:rFonts w:hint="eastAsia" w:ascii="宋体" w:hAnsi="宋体" w:eastAsia="宋体" w:cs="宋体"/>
          <w:b/>
          <w:bCs/>
          <w:highlight w:val="none"/>
        </w:rPr>
        <w:t>服务履约考核</w:t>
      </w:r>
    </w:p>
    <w:p w14:paraId="2D6E72AF">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5"/>
        <w:gridCol w:w="654"/>
        <w:gridCol w:w="1667"/>
        <w:gridCol w:w="3447"/>
        <w:gridCol w:w="1327"/>
        <w:gridCol w:w="726"/>
      </w:tblGrid>
      <w:tr w14:paraId="68C6C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5"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73BCD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0F073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维度</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6370A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评价内容</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55854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评分标准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4404F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考核扣分</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83697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3CC9B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56291A6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9BB5F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服务评价</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A5E00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质量评价的评价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03DC42">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所提供的服务不符合</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的质量要求。每次扣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F7ABAF">
            <w:pPr>
              <w:keepNext w:val="0"/>
              <w:keepLines w:val="0"/>
              <w:pageBreakBefore w:val="0"/>
              <w:widowControl w:val="0"/>
              <w:suppressLineNumbers w:val="0"/>
              <w:kinsoku/>
              <w:wordWrap/>
              <w:overflowPunct/>
              <w:topLinePunct w:val="0"/>
              <w:autoSpaceDE/>
              <w:autoSpaceDN/>
              <w:bidi w:val="0"/>
              <w:adjustRightInd/>
              <w:snapToGrid/>
              <w:ind w:firstLine="0" w:firstLineChars="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04FCA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59C5A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8490B3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2</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0461CF">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2F22FF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响应速度的评价</w:t>
            </w:r>
          </w:p>
        </w:tc>
        <w:tc>
          <w:tcPr>
            <w:tcW w:w="2024"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A2EFCB2">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服务响应速度慢，影响</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的预期计划。每次扣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7E2A6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9ECEC2">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5D6EB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22BF22D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3</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0E77AEC8">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B815C4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服务准时性的评价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D56262">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应对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布置的工作要求、任务予以积极响应。未按规定时间提供服务的或完成交办事项的，每次扣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0BB38D4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65A17B">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4D8D0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34"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335BD71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4</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47F204ED">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3AA278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B5C11F5">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应保持良好的沟通形式，下达任务因反馈不及时，影响工作进度、质量的，每次扣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67B85AC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7CD09A">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6C75F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344665F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5</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5E2E5ED1">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BA7052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39AE1A3">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服务态度差，</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向</w:t>
            </w: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要求换人或投诉，每次扣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1F2CCBF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0E4354">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5E82F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7D8D4F8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cs="宋体"/>
                <w:b w:val="0"/>
                <w:bCs w:val="0"/>
                <w:i w:val="0"/>
                <w:iCs w:val="0"/>
                <w:color w:val="auto"/>
                <w:kern w:val="0"/>
                <w:sz w:val="20"/>
                <w:szCs w:val="20"/>
                <w:highlight w:val="none"/>
                <w:u w:val="none"/>
                <w:lang w:val="en-US" w:eastAsia="zh-CN" w:bidi="ar"/>
              </w:rPr>
              <w:t>6</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F904E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B7FBE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F69AD4">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必须严格执行</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的安全规定。每出现一次安全事故，扣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分；每出现一次重大安全事故，每次扣</w:t>
            </w:r>
            <w:r>
              <w:rPr>
                <w:rFonts w:hint="eastAsia" w:ascii="宋体" w:hAnsi="宋体"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8C03C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；10分/次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84B5F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402ED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30D650C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9F9CC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03ABF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97A809">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服务人员未做好保密工作，造成了信息泄露，每次扣</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分；信息泄露给</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带来重大影响的，每次扣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C82CA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；5分/次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DA5F4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402C8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277"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02CDD3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6085A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52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03460B1">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36E73356">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2693FB7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414A5F2C">
      <w:pPr>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lang w:val="en-US" w:eastAsia="zh-CN"/>
        </w:rPr>
        <w:br w:type="page"/>
      </w:r>
    </w:p>
    <w:p w14:paraId="21241D68">
      <w:pPr>
        <w:pStyle w:val="4"/>
        <w:bidi w:val="0"/>
        <w:ind w:left="0" w:leftChars="0" w:firstLine="0" w:firstLineChars="0"/>
        <w:jc w:val="center"/>
        <w:rPr>
          <w:rFonts w:hint="eastAsia" w:asciiTheme="majorEastAsia" w:hAnsiTheme="majorEastAsia" w:eastAsiaTheme="majorEastAsia" w:cstheme="majorEastAsia"/>
          <w:highlight w:val="none"/>
          <w:lang w:val="en-US" w:eastAsia="zh-CN"/>
        </w:rPr>
      </w:pPr>
      <w:bookmarkStart w:id="715" w:name="_Toc20528"/>
      <w:bookmarkStart w:id="716" w:name="_Toc23261"/>
      <w:r>
        <w:rPr>
          <w:rFonts w:hint="eastAsia" w:asciiTheme="majorEastAsia" w:hAnsiTheme="majorEastAsia" w:eastAsiaTheme="majorEastAsia" w:cstheme="majorEastAsia"/>
          <w:highlight w:val="none"/>
          <w:lang w:val="en-US" w:eastAsia="zh-CN"/>
        </w:rPr>
        <w:t>（二十三）办公区域配电设施检测项目</w:t>
      </w:r>
      <w:bookmarkEnd w:id="715"/>
      <w:bookmarkEnd w:id="716"/>
    </w:p>
    <w:p w14:paraId="303CC6C5">
      <w:pPr>
        <w:bidi w:val="0"/>
        <w:rPr>
          <w:rFonts w:hint="eastAsia" w:ascii="宋体" w:hAnsi="宋体" w:eastAsia="宋体" w:cs="宋体"/>
          <w:b/>
          <w:bCs/>
          <w:highlight w:val="none"/>
        </w:rPr>
      </w:pPr>
      <w:r>
        <w:rPr>
          <w:rFonts w:hint="eastAsia" w:ascii="宋体" w:hAnsi="宋体" w:eastAsia="宋体" w:cs="宋体"/>
          <w:b/>
          <w:bCs/>
          <w:highlight w:val="none"/>
          <w:lang w:val="en-US" w:eastAsia="zh-CN"/>
        </w:rPr>
        <w:t>1</w:t>
      </w:r>
      <w:r>
        <w:rPr>
          <w:rFonts w:hint="eastAsia" w:ascii="宋体" w:hAnsi="宋体" w:cs="宋体"/>
          <w:b/>
          <w:bCs/>
          <w:highlight w:val="none"/>
          <w:lang w:val="en-US" w:eastAsia="zh-CN"/>
        </w:rPr>
        <w:t>.</w:t>
      </w:r>
      <w:r>
        <w:rPr>
          <w:rFonts w:hint="eastAsia" w:ascii="宋体" w:hAnsi="宋体" w:eastAsia="宋体" w:cs="宋体"/>
          <w:b/>
          <w:bCs/>
          <w:highlight w:val="none"/>
        </w:rPr>
        <w:t>项目服务标准</w:t>
      </w:r>
    </w:p>
    <w:p w14:paraId="6C21B523">
      <w:pPr>
        <w:bidi w:val="0"/>
        <w:ind w:firstLine="400" w:firstLineChars="200"/>
        <w:rPr>
          <w:rFonts w:hint="eastAsia" w:ascii="宋体" w:hAnsi="宋体" w:eastAsia="宋体" w:cs="宋体"/>
          <w:b/>
          <w:bCs/>
          <w:color w:val="auto"/>
          <w:sz w:val="20"/>
          <w:szCs w:val="20"/>
          <w:highlight w:val="none"/>
          <w:lang w:val="en-US" w:eastAsia="zh-CN"/>
        </w:rPr>
      </w:pPr>
      <w:r>
        <w:rPr>
          <w:rFonts w:hint="eastAsia"/>
          <w:color w:val="000000" w:themeColor="text1"/>
          <w:sz w:val="20"/>
          <w:szCs w:val="20"/>
          <w:highlight w:val="none"/>
          <w:lang w:val="en-US" w:eastAsia="zh-CN"/>
          <w14:textFill>
            <w14:solidFill>
              <w14:schemeClr w14:val="tx1"/>
            </w14:solidFill>
          </w14:textFill>
        </w:rPr>
        <w:t>为保障办公区域重要保供电场所配电设备安全稳定运行，及时发现电气设备隐患、预防事故发生，委托具有相关资质服务单位对高、低压电气设备进行预防性试验，出具准确、完整、有效的试验报告。</w:t>
      </w:r>
    </w:p>
    <w:p w14:paraId="4B63169A">
      <w:pPr>
        <w:bidi w:val="0"/>
        <w:rPr>
          <w:rFonts w:hint="eastAsia" w:ascii="宋体" w:hAnsi="宋体" w:eastAsia="宋体" w:cs="宋体"/>
          <w:b/>
          <w:bCs/>
          <w:highlight w:val="none"/>
        </w:rPr>
      </w:pPr>
      <w:r>
        <w:rPr>
          <w:rFonts w:hint="eastAsia" w:ascii="宋体" w:hAnsi="宋体" w:eastAsia="宋体" w:cs="宋体"/>
          <w:b/>
          <w:bCs/>
          <w:highlight w:val="none"/>
          <w:lang w:val="en-US" w:eastAsia="zh-CN"/>
        </w:rPr>
        <w:t>2</w:t>
      </w:r>
      <w:r>
        <w:rPr>
          <w:rFonts w:hint="eastAsia" w:ascii="宋体" w:hAnsi="宋体" w:cs="宋体"/>
          <w:b/>
          <w:bCs/>
          <w:highlight w:val="none"/>
          <w:lang w:val="en-US" w:eastAsia="zh-CN"/>
        </w:rPr>
        <w:t>.</w:t>
      </w:r>
      <w:r>
        <w:rPr>
          <w:rFonts w:hint="eastAsia" w:ascii="宋体" w:hAnsi="宋体" w:eastAsia="宋体" w:cs="宋体"/>
          <w:b/>
          <w:bCs/>
          <w:highlight w:val="none"/>
        </w:rPr>
        <w:t>项目服务要求</w:t>
      </w:r>
    </w:p>
    <w:p w14:paraId="4F2591C0">
      <w:pPr>
        <w:ind w:firstLine="400" w:firstLineChars="200"/>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严格执行中国南方电网有限责任公司企业标准《电力设备预防性试验规程》、 广西电网公司企业标准《电力设备交接和预防性试验规程》等现行版相关标准对采购方的电气设备进行试验，试验结果仅对试验当时特定的试验环境下试品负责。</w:t>
      </w:r>
    </w:p>
    <w:p w14:paraId="481588E5">
      <w:pPr>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1.</w:t>
      </w:r>
      <w:r>
        <w:rPr>
          <w:rFonts w:hint="eastAsia" w:ascii="宋体" w:hAnsi="宋体"/>
          <w:b w:val="0"/>
          <w:bCs/>
          <w:color w:val="000000" w:themeColor="text1"/>
          <w:sz w:val="20"/>
          <w:szCs w:val="20"/>
          <w:highlight w:val="none"/>
          <w:lang w:eastAsia="zh-CN"/>
          <w14:textFill>
            <w14:solidFill>
              <w14:schemeClr w14:val="tx1"/>
            </w14:solidFill>
          </w14:textFill>
        </w:rPr>
        <w:t>服务商</w:t>
      </w:r>
      <w:r>
        <w:rPr>
          <w:rFonts w:hint="eastAsia" w:ascii="宋体" w:hAnsi="宋体"/>
          <w:b w:val="0"/>
          <w:bCs/>
          <w:color w:val="000000" w:themeColor="text1"/>
          <w:sz w:val="20"/>
          <w:szCs w:val="20"/>
          <w:highlight w:val="none"/>
          <w14:textFill>
            <w14:solidFill>
              <w14:schemeClr w14:val="tx1"/>
            </w14:solidFill>
          </w14:textFill>
        </w:rPr>
        <w:t xml:space="preserve">向采购方提交预防性试验服务计划书。计划书应包括以下主要内容： </w:t>
      </w:r>
    </w:p>
    <w:p w14:paraId="59B9AE03">
      <w:pPr>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1）预防性试验服务的工作内容。</w:t>
      </w:r>
    </w:p>
    <w:p w14:paraId="616D8C91">
      <w:pPr>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2）预防性试验服务工作的人员安排、进度安排、编制阶段进度表。</w:t>
      </w:r>
    </w:p>
    <w:p w14:paraId="0A6D914C">
      <w:pPr>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3）预防性试验服务的方法。</w:t>
      </w:r>
    </w:p>
    <w:p w14:paraId="7D01460D">
      <w:pPr>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4）预防性试验服务工作可能遇到的主要技术难点及相应解决方案。</w:t>
      </w:r>
    </w:p>
    <w:p w14:paraId="551B5101">
      <w:pPr>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2.</w:t>
      </w:r>
      <w:r>
        <w:rPr>
          <w:rFonts w:hint="eastAsia" w:ascii="宋体" w:hAnsi="宋体"/>
          <w:b w:val="0"/>
          <w:bCs/>
          <w:color w:val="000000" w:themeColor="text1"/>
          <w:sz w:val="20"/>
          <w:szCs w:val="20"/>
          <w:highlight w:val="none"/>
          <w:lang w:eastAsia="zh-CN"/>
          <w14:textFill>
            <w14:solidFill>
              <w14:schemeClr w14:val="tx1"/>
            </w14:solidFill>
          </w14:textFill>
        </w:rPr>
        <w:t>服务商</w:t>
      </w:r>
      <w:r>
        <w:rPr>
          <w:rFonts w:hint="eastAsia" w:ascii="宋体" w:hAnsi="宋体"/>
          <w:b w:val="0"/>
          <w:bCs/>
          <w:color w:val="000000" w:themeColor="text1"/>
          <w:sz w:val="20"/>
          <w:szCs w:val="20"/>
          <w:highlight w:val="none"/>
          <w14:textFill>
            <w14:solidFill>
              <w14:schemeClr w14:val="tx1"/>
            </w14:solidFill>
          </w14:textFill>
        </w:rPr>
        <w:t>负责向供电局办理申请停电试验等相关手续工作，计划实施前需做好安全技术交底及安全措施等相关方案，并按方案严格执行，如发生试验检测质量试验检测安全性等问题，一切关联后果由成交方承担。</w:t>
      </w:r>
    </w:p>
    <w:p w14:paraId="4840A23A">
      <w:pPr>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3.</w:t>
      </w:r>
      <w:r>
        <w:rPr>
          <w:rFonts w:hint="eastAsia" w:ascii="宋体" w:hAnsi="宋体"/>
          <w:b w:val="0"/>
          <w:bCs/>
          <w:color w:val="000000" w:themeColor="text1"/>
          <w:sz w:val="20"/>
          <w:szCs w:val="20"/>
          <w:highlight w:val="none"/>
          <w:lang w:eastAsia="zh-CN"/>
          <w14:textFill>
            <w14:solidFill>
              <w14:schemeClr w14:val="tx1"/>
            </w14:solidFill>
          </w14:textFill>
        </w:rPr>
        <w:t>服务商</w:t>
      </w:r>
      <w:r>
        <w:rPr>
          <w:rFonts w:hint="eastAsia" w:ascii="宋体" w:hAnsi="宋体"/>
          <w:b w:val="0"/>
          <w:bCs/>
          <w:color w:val="000000" w:themeColor="text1"/>
          <w:sz w:val="20"/>
          <w:szCs w:val="20"/>
          <w:highlight w:val="none"/>
          <w14:textFill>
            <w14:solidFill>
              <w14:schemeClr w14:val="tx1"/>
            </w14:solidFill>
          </w14:textFill>
        </w:rPr>
        <w:t xml:space="preserve">将采购方电气设备的试验报告、工单等相关资料做好存档备查。 </w:t>
      </w:r>
    </w:p>
    <w:p w14:paraId="33C71459">
      <w:pPr>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4.</w:t>
      </w:r>
      <w:r>
        <w:rPr>
          <w:rFonts w:hint="eastAsia" w:ascii="宋体" w:hAnsi="宋体"/>
          <w:b w:val="0"/>
          <w:bCs/>
          <w:color w:val="000000" w:themeColor="text1"/>
          <w:sz w:val="20"/>
          <w:szCs w:val="20"/>
          <w:highlight w:val="none"/>
          <w:lang w:eastAsia="zh-CN"/>
          <w14:textFill>
            <w14:solidFill>
              <w14:schemeClr w14:val="tx1"/>
            </w14:solidFill>
          </w14:textFill>
        </w:rPr>
        <w:t>服务商</w:t>
      </w:r>
      <w:r>
        <w:rPr>
          <w:rFonts w:hint="eastAsia" w:ascii="宋体" w:hAnsi="宋体"/>
          <w:b w:val="0"/>
          <w:bCs/>
          <w:color w:val="000000" w:themeColor="text1"/>
          <w:sz w:val="20"/>
          <w:szCs w:val="20"/>
          <w:highlight w:val="none"/>
          <w14:textFill>
            <w14:solidFill>
              <w14:schemeClr w14:val="tx1"/>
            </w14:solidFill>
          </w14:textFill>
        </w:rPr>
        <w:t>接受采购方委托对其电气设备进行倒闸操作时，如成交方未按《操作规程》进行操作导致的电气设备损坏，责任由成交方承担。成交方在电气设备试验等施工过程中因成交方责任引起的安全事故，责任由成交方承担。</w:t>
      </w:r>
    </w:p>
    <w:p w14:paraId="20EF7950">
      <w:pPr>
        <w:rPr>
          <w:rFonts w:hint="eastAsia" w:ascii="宋体" w:hAnsi="宋体"/>
          <w:b w:val="0"/>
          <w:bCs/>
          <w:color w:val="000000" w:themeColor="text1"/>
          <w:sz w:val="20"/>
          <w:szCs w:val="20"/>
          <w:highlight w:val="none"/>
          <w14:textFill>
            <w14:solidFill>
              <w14:schemeClr w14:val="tx1"/>
            </w14:solidFill>
          </w14:textFill>
        </w:rPr>
      </w:pPr>
      <w:r>
        <w:rPr>
          <w:rFonts w:hint="eastAsia" w:ascii="宋体" w:hAnsi="宋体"/>
          <w:b w:val="0"/>
          <w:bCs/>
          <w:color w:val="000000" w:themeColor="text1"/>
          <w:sz w:val="20"/>
          <w:szCs w:val="20"/>
          <w:highlight w:val="none"/>
          <w14:textFill>
            <w14:solidFill>
              <w14:schemeClr w14:val="tx1"/>
            </w14:solidFill>
          </w14:textFill>
        </w:rPr>
        <w:t>5.</w:t>
      </w:r>
      <w:r>
        <w:rPr>
          <w:rFonts w:hint="eastAsia" w:ascii="宋体" w:hAnsi="宋体"/>
          <w:b w:val="0"/>
          <w:bCs/>
          <w:color w:val="000000" w:themeColor="text1"/>
          <w:sz w:val="20"/>
          <w:szCs w:val="20"/>
          <w:highlight w:val="none"/>
          <w:lang w:eastAsia="zh-CN"/>
          <w14:textFill>
            <w14:solidFill>
              <w14:schemeClr w14:val="tx1"/>
            </w14:solidFill>
          </w14:textFill>
        </w:rPr>
        <w:t>服务商</w:t>
      </w:r>
      <w:r>
        <w:rPr>
          <w:rFonts w:hint="eastAsia" w:ascii="宋体" w:hAnsi="宋体"/>
          <w:b w:val="0"/>
          <w:bCs/>
          <w:color w:val="000000" w:themeColor="text1"/>
          <w:sz w:val="20"/>
          <w:szCs w:val="20"/>
          <w:highlight w:val="none"/>
          <w14:textFill>
            <w14:solidFill>
              <w14:schemeClr w14:val="tx1"/>
            </w14:solidFill>
          </w14:textFill>
        </w:rPr>
        <w:t>在试验过程中发现采购方电气设备存在安全运行隐患时，及时向采购方提出书面建议。</w:t>
      </w:r>
    </w:p>
    <w:p w14:paraId="5667F8ED">
      <w:pPr>
        <w:rPr>
          <w:rFonts w:hint="eastAsia" w:ascii="宋体" w:hAnsi="宋体" w:eastAsia="宋体" w:cs="宋体"/>
          <w:b/>
          <w:bCs w:val="0"/>
          <w:color w:val="auto"/>
          <w:sz w:val="20"/>
          <w:szCs w:val="20"/>
          <w:highlight w:val="none"/>
        </w:rPr>
      </w:pPr>
      <w:r>
        <w:rPr>
          <w:rStyle w:val="34"/>
          <w:rFonts w:hint="eastAsia" w:ascii="宋体" w:hAnsi="宋体" w:eastAsia="宋体" w:cs="宋体"/>
          <w:b/>
          <w:bCs w:val="0"/>
          <w:color w:val="auto"/>
          <w:sz w:val="20"/>
          <w:szCs w:val="20"/>
          <w:highlight w:val="none"/>
          <w:lang w:val="en-US" w:eastAsia="zh-CN"/>
        </w:rPr>
        <w:t>3.</w:t>
      </w:r>
      <w:r>
        <w:rPr>
          <w:rStyle w:val="34"/>
          <w:rFonts w:hint="eastAsia" w:ascii="宋体" w:hAnsi="宋体" w:eastAsia="宋体" w:cs="宋体"/>
          <w:b/>
          <w:bCs w:val="0"/>
          <w:color w:val="auto"/>
          <w:sz w:val="20"/>
          <w:szCs w:val="20"/>
          <w:highlight w:val="none"/>
        </w:rPr>
        <w:t>服务履约考核</w:t>
      </w:r>
    </w:p>
    <w:p w14:paraId="6DB41924">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5"/>
        <w:gridCol w:w="654"/>
        <w:gridCol w:w="1667"/>
        <w:gridCol w:w="3447"/>
        <w:gridCol w:w="1327"/>
        <w:gridCol w:w="726"/>
      </w:tblGrid>
      <w:tr w14:paraId="41CE2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5"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34C3D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23F7B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维度</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05BB7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评价内容</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55745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评分标准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A1202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考核扣分</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3E7A0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4B944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2060CF2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A0C78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服务评价</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EBFDE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质量评价的评价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6989CC">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所提供的服务不符合</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的质量要求。每次扣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152A45">
            <w:pPr>
              <w:keepNext w:val="0"/>
              <w:keepLines w:val="0"/>
              <w:pageBreakBefore w:val="0"/>
              <w:widowControl w:val="0"/>
              <w:suppressLineNumbers w:val="0"/>
              <w:kinsoku/>
              <w:wordWrap/>
              <w:overflowPunct/>
              <w:topLinePunct w:val="0"/>
              <w:autoSpaceDE/>
              <w:autoSpaceDN/>
              <w:bidi w:val="0"/>
              <w:adjustRightInd/>
              <w:snapToGrid/>
              <w:ind w:firstLine="0" w:firstLineChars="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72EE1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6BA7B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5C0254E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2</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EC6681">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5E108F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响应速度的评价</w:t>
            </w:r>
          </w:p>
        </w:tc>
        <w:tc>
          <w:tcPr>
            <w:tcW w:w="2024"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880F4BF">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服务响应速度慢，影响</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的预期计划。每次扣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D7D6D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5CDCB6">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4BFEA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0F3F725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3</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0A550A4D">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09EBD9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服务准时性的评价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119D02">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应对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布置的工作要求、任务予以积极响应。未按规定时间提供服务的或完成交办事项的，每次扣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42D21C4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D9BD1A">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1CC60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3D4C28B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4</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0D3AAE24">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15BC2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6E2D581">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应保持良好的沟通形式，下达任务因反馈不及时，影响工作进度、质量的，每次扣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294D9EE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3E9FA3">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386B8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7D2425D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5</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6CED7C81">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0662C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2E4A9D6">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服务态度差，</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向</w:t>
            </w: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要求换人或投诉，每次扣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0729BDA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A46D7D">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60B8D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92E169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cs="宋体"/>
                <w:b w:val="0"/>
                <w:bCs w:val="0"/>
                <w:i w:val="0"/>
                <w:iCs w:val="0"/>
                <w:color w:val="auto"/>
                <w:kern w:val="0"/>
                <w:sz w:val="20"/>
                <w:szCs w:val="20"/>
                <w:highlight w:val="none"/>
                <w:u w:val="none"/>
                <w:lang w:val="en-US" w:eastAsia="zh-CN" w:bidi="ar"/>
              </w:rPr>
              <w:t>6</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10524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E2DBB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7F1456">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必须严格执行</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的安全规定。每出现一次安全事故，扣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分；每出现一次重大安全事故，每次扣</w:t>
            </w:r>
            <w:r>
              <w:rPr>
                <w:rFonts w:hint="eastAsia" w:ascii="宋体" w:hAnsi="宋体"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91B2D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；10分/次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CD29E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0E9A5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304AD8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FB111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FD083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B471EE">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服务人员未做好保密工作，造成了信息泄露，每次扣</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分；信息泄露给</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带来重大影响的，每次扣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1B65A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；5分/次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2A6CD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256CF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FDC95C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725C4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DC8F7B8">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6304A243">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47438E6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59E403BF">
      <w:pPr>
        <w:rPr>
          <w:rFonts w:hint="eastAsia" w:ascii="宋体" w:hAnsi="宋体" w:eastAsia="宋体" w:cs="宋体"/>
          <w:b/>
          <w:bCs w:val="0"/>
          <w:color w:val="auto"/>
          <w:sz w:val="20"/>
          <w:szCs w:val="20"/>
          <w:highlight w:val="none"/>
          <w:lang w:val="en-US" w:eastAsia="zh-CN"/>
        </w:rPr>
      </w:pPr>
    </w:p>
    <w:p w14:paraId="5F8B08D4">
      <w:pPr>
        <w:rPr>
          <w:rFonts w:hint="eastAsia" w:ascii="宋体" w:hAnsi="宋体" w:eastAsia="宋体" w:cs="宋体"/>
          <w:b/>
          <w:bCs w:val="0"/>
          <w:color w:val="auto"/>
          <w:kern w:val="44"/>
          <w:sz w:val="20"/>
          <w:szCs w:val="20"/>
          <w:highlight w:val="none"/>
          <w:lang w:val="en-US" w:eastAsia="zh-CN" w:bidi="ar-SA"/>
        </w:rPr>
      </w:pPr>
      <w:bookmarkStart w:id="717" w:name="_Toc29296"/>
    </w:p>
    <w:p w14:paraId="4968C8A5">
      <w:pPr>
        <w:pStyle w:val="4"/>
        <w:keepNext/>
        <w:keepLines/>
        <w:pageBreakBefore w:val="0"/>
        <w:widowControl w:val="0"/>
        <w:numPr>
          <w:ilvl w:val="0"/>
          <w:numId w:val="0"/>
        </w:numPr>
        <w:kinsoku/>
        <w:wordWrap/>
        <w:overflowPunct/>
        <w:topLinePunct w:val="0"/>
        <w:autoSpaceDE/>
        <w:autoSpaceDN/>
        <w:bidi w:val="0"/>
        <w:adjustRightInd/>
        <w:snapToGrid/>
        <w:spacing w:before="0" w:after="0" w:line="580" w:lineRule="exact"/>
        <w:ind w:firstLine="201" w:firstLineChars="100"/>
        <w:jc w:val="both"/>
        <w:textAlignment w:val="auto"/>
        <w:outlineLvl w:val="9"/>
        <w:rPr>
          <w:rFonts w:hint="eastAsia" w:ascii="宋体" w:hAnsi="宋体" w:eastAsia="宋体" w:cs="宋体"/>
          <w:b/>
          <w:bCs w:val="0"/>
          <w:color w:val="auto"/>
          <w:sz w:val="20"/>
          <w:szCs w:val="20"/>
          <w:highlight w:val="none"/>
          <w:lang w:val="en-US" w:eastAsia="zh-CN"/>
        </w:rPr>
      </w:pPr>
      <w:bookmarkStart w:id="718" w:name="_Toc25589"/>
      <w:bookmarkStart w:id="719" w:name="_Toc2187"/>
      <w:bookmarkStart w:id="720" w:name="_Toc27549"/>
      <w:r>
        <w:rPr>
          <w:rFonts w:hint="eastAsia" w:ascii="宋体" w:hAnsi="宋体" w:eastAsia="宋体" w:cs="宋体"/>
          <w:b/>
          <w:bCs w:val="0"/>
          <w:color w:val="auto"/>
          <w:sz w:val="20"/>
          <w:szCs w:val="20"/>
          <w:highlight w:val="none"/>
          <w:lang w:val="en-US" w:eastAsia="zh-CN"/>
        </w:rPr>
        <w:t>　</w:t>
      </w:r>
    </w:p>
    <w:p w14:paraId="3447A011">
      <w:pPr>
        <w:rPr>
          <w:rFonts w:hint="eastAsia" w:ascii="宋体" w:hAnsi="宋体" w:eastAsia="宋体" w:cs="宋体"/>
          <w:b/>
          <w:bCs w:val="0"/>
          <w:color w:val="auto"/>
          <w:sz w:val="20"/>
          <w:szCs w:val="20"/>
          <w:highlight w:val="none"/>
          <w:lang w:val="en-US" w:eastAsia="zh-CN"/>
        </w:rPr>
      </w:pPr>
      <w:r>
        <w:rPr>
          <w:rFonts w:hint="eastAsia" w:ascii="宋体" w:hAnsi="宋体" w:eastAsia="宋体" w:cs="宋体"/>
          <w:b/>
          <w:bCs w:val="0"/>
          <w:color w:val="auto"/>
          <w:sz w:val="20"/>
          <w:szCs w:val="20"/>
          <w:highlight w:val="none"/>
          <w:lang w:val="en-US" w:eastAsia="zh-CN"/>
        </w:rPr>
        <w:br w:type="page"/>
      </w:r>
    </w:p>
    <w:bookmarkEnd w:id="717"/>
    <w:bookmarkEnd w:id="718"/>
    <w:bookmarkEnd w:id="719"/>
    <w:bookmarkEnd w:id="720"/>
    <w:p w14:paraId="11A2FEDD">
      <w:pPr>
        <w:pStyle w:val="4"/>
        <w:bidi w:val="0"/>
        <w:ind w:left="0" w:leftChars="0" w:firstLine="0" w:firstLineChars="0"/>
        <w:jc w:val="center"/>
        <w:rPr>
          <w:rFonts w:hint="default"/>
          <w:highlight w:val="none"/>
          <w:lang w:val="en-US" w:eastAsia="zh-CN"/>
        </w:rPr>
      </w:pPr>
      <w:bookmarkStart w:id="721" w:name="_Toc17989"/>
      <w:bookmarkStart w:id="722" w:name="_Toc11307"/>
      <w:r>
        <w:rPr>
          <w:rFonts w:hint="eastAsia"/>
          <w:highlight w:val="none"/>
          <w:lang w:val="en-US" w:eastAsia="zh-CN"/>
        </w:rPr>
        <w:t>（二十四）不动产租赁服务项目</w:t>
      </w:r>
      <w:bookmarkEnd w:id="721"/>
      <w:bookmarkEnd w:id="722"/>
    </w:p>
    <w:p w14:paraId="0493FDE0">
      <w:pPr>
        <w:bidi w:val="0"/>
        <w:ind w:firstLine="402" w:firstLineChars="200"/>
        <w:rPr>
          <w:rFonts w:hint="eastAsia" w:ascii="宋体" w:hAnsi="宋体" w:eastAsia="宋体" w:cs="宋体"/>
          <w:b/>
          <w:bCs/>
          <w:highlight w:val="none"/>
        </w:rPr>
      </w:pPr>
      <w:r>
        <w:rPr>
          <w:rFonts w:hint="eastAsia" w:ascii="宋体" w:hAnsi="宋体" w:eastAsia="宋体" w:cs="宋体"/>
          <w:b/>
          <w:bCs/>
          <w:highlight w:val="none"/>
          <w:lang w:val="en-US" w:eastAsia="zh-CN"/>
        </w:rPr>
        <w:t>1</w:t>
      </w:r>
      <w:r>
        <w:rPr>
          <w:rFonts w:hint="eastAsia" w:ascii="宋体" w:hAnsi="宋体" w:cs="宋体"/>
          <w:b/>
          <w:bCs/>
          <w:highlight w:val="none"/>
          <w:lang w:val="en-US" w:eastAsia="zh-CN"/>
        </w:rPr>
        <w:t>.</w:t>
      </w:r>
      <w:r>
        <w:rPr>
          <w:rFonts w:hint="eastAsia" w:ascii="宋体" w:hAnsi="宋体" w:eastAsia="宋体" w:cs="宋体"/>
          <w:b/>
          <w:bCs/>
          <w:highlight w:val="none"/>
        </w:rPr>
        <w:t>项目服务标准</w:t>
      </w:r>
    </w:p>
    <w:p w14:paraId="0FABCC65">
      <w:pPr>
        <w:bidi w:val="0"/>
        <w:ind w:firstLine="400" w:firstLineChars="200"/>
        <w:rPr>
          <w:rFonts w:hint="eastAsia" w:ascii="宋体" w:hAnsi="宋体" w:eastAsia="宋体" w:cs="宋体"/>
          <w:b/>
          <w:bCs/>
          <w:highlight w:val="none"/>
          <w:lang w:val="en-US" w:eastAsia="zh-CN"/>
        </w:rPr>
      </w:pPr>
      <w:r>
        <w:rPr>
          <w:rFonts w:hint="eastAsia" w:ascii="宋体" w:hAnsi="宋体" w:cs="宋体"/>
          <w:color w:val="000000" w:themeColor="text1"/>
          <w:sz w:val="20"/>
          <w:szCs w:val="20"/>
          <w:highlight w:val="none"/>
          <w:u w:val="none"/>
          <w:lang w:val="en-US" w:eastAsia="zh-CN"/>
          <w14:textFill>
            <w14:solidFill>
              <w14:schemeClr w14:val="tx1"/>
            </w14:solidFill>
          </w14:textFill>
        </w:rPr>
        <w:t>服务商</w:t>
      </w:r>
      <w:r>
        <w:rPr>
          <w:rFonts w:hint="eastAsia" w:ascii="宋体" w:hAnsi="宋体" w:eastAsia="宋体" w:cs="宋体"/>
          <w:color w:val="000000" w:themeColor="text1"/>
          <w:sz w:val="20"/>
          <w:szCs w:val="20"/>
          <w:highlight w:val="none"/>
          <w:u w:val="none"/>
          <w:lang w:eastAsia="zh-CN"/>
          <w14:textFill>
            <w14:solidFill>
              <w14:schemeClr w14:val="tx1"/>
            </w14:solidFill>
          </w14:textFill>
        </w:rPr>
        <w:t>在规定时间内为</w:t>
      </w:r>
      <w:r>
        <w:rPr>
          <w:rFonts w:hint="eastAsia" w:ascii="宋体" w:hAnsi="宋体" w:cs="宋体"/>
          <w:color w:val="000000" w:themeColor="text1"/>
          <w:sz w:val="20"/>
          <w:szCs w:val="20"/>
          <w:highlight w:val="none"/>
          <w:u w:val="none"/>
          <w:lang w:val="en-US" w:eastAsia="zh-CN"/>
          <w14:textFill>
            <w14:solidFill>
              <w14:schemeClr w14:val="tx1"/>
            </w14:solidFill>
          </w14:textFill>
        </w:rPr>
        <w:t>采购方</w:t>
      </w:r>
      <w:r>
        <w:rPr>
          <w:rFonts w:hint="eastAsia" w:ascii="宋体" w:hAnsi="宋体" w:eastAsia="宋体" w:cs="宋体"/>
          <w:color w:val="000000" w:themeColor="text1"/>
          <w:sz w:val="20"/>
          <w:szCs w:val="20"/>
          <w:highlight w:val="none"/>
          <w:u w:val="none"/>
          <w:lang w:eastAsia="zh-CN"/>
          <w14:textFill>
            <w14:solidFill>
              <w14:schemeClr w14:val="tx1"/>
            </w14:solidFill>
          </w14:textFill>
        </w:rPr>
        <w:t>寻找并提供适合的房源（场地），房源</w:t>
      </w:r>
      <w:r>
        <w:rPr>
          <w:rFonts w:hint="eastAsia" w:ascii="宋体" w:hAnsi="宋体" w:cs="宋体"/>
          <w:color w:val="000000" w:themeColor="text1"/>
          <w:sz w:val="20"/>
          <w:szCs w:val="20"/>
          <w:highlight w:val="none"/>
          <w:u w:val="none"/>
          <w:lang w:eastAsia="zh-CN"/>
          <w14:textFill>
            <w14:solidFill>
              <w14:schemeClr w14:val="tx1"/>
            </w14:solidFill>
          </w14:textFill>
        </w:rPr>
        <w:t>、</w:t>
      </w:r>
      <w:r>
        <w:rPr>
          <w:rFonts w:hint="eastAsia" w:ascii="宋体" w:hAnsi="宋体" w:eastAsia="宋体" w:cs="宋体"/>
          <w:color w:val="000000" w:themeColor="text1"/>
          <w:sz w:val="20"/>
          <w:szCs w:val="20"/>
          <w:highlight w:val="none"/>
          <w:u w:val="none"/>
          <w:lang w:eastAsia="zh-CN"/>
          <w14:textFill>
            <w14:solidFill>
              <w14:schemeClr w14:val="tx1"/>
            </w14:solidFill>
          </w14:textFill>
        </w:rPr>
        <w:t>租金、面积</w:t>
      </w:r>
      <w:r>
        <w:rPr>
          <w:rFonts w:hint="eastAsia" w:ascii="宋体" w:hAnsi="宋体" w:cs="宋体"/>
          <w:color w:val="000000" w:themeColor="text1"/>
          <w:sz w:val="20"/>
          <w:szCs w:val="20"/>
          <w:highlight w:val="none"/>
          <w:u w:val="none"/>
          <w:lang w:eastAsia="zh-CN"/>
          <w14:textFill>
            <w14:solidFill>
              <w14:schemeClr w14:val="tx1"/>
            </w14:solidFill>
          </w14:textFill>
        </w:rPr>
        <w:t>等</w:t>
      </w:r>
      <w:r>
        <w:rPr>
          <w:rFonts w:hint="eastAsia" w:ascii="宋体" w:hAnsi="宋体" w:eastAsia="宋体" w:cs="宋体"/>
          <w:color w:val="000000" w:themeColor="text1"/>
          <w:sz w:val="20"/>
          <w:szCs w:val="20"/>
          <w:highlight w:val="none"/>
          <w:u w:val="none"/>
          <w:lang w:eastAsia="zh-CN"/>
          <w14:textFill>
            <w14:solidFill>
              <w14:schemeClr w14:val="tx1"/>
            </w14:solidFill>
          </w14:textFill>
        </w:rPr>
        <w:t>需严格执行</w:t>
      </w:r>
      <w:r>
        <w:rPr>
          <w:rFonts w:hint="eastAsia" w:ascii="宋体" w:hAnsi="宋体" w:cs="宋体"/>
          <w:color w:val="000000" w:themeColor="text1"/>
          <w:sz w:val="20"/>
          <w:szCs w:val="20"/>
          <w:highlight w:val="none"/>
          <w:u w:val="none"/>
          <w:lang w:val="en-US" w:eastAsia="zh-CN"/>
          <w14:textFill>
            <w14:solidFill>
              <w14:schemeClr w14:val="tx1"/>
            </w14:solidFill>
          </w14:textFill>
        </w:rPr>
        <w:t>采购方相关</w:t>
      </w:r>
      <w:r>
        <w:rPr>
          <w:rFonts w:hint="eastAsia" w:ascii="宋体" w:hAnsi="宋体" w:eastAsia="宋体" w:cs="宋体"/>
          <w:color w:val="000000" w:themeColor="text1"/>
          <w:sz w:val="20"/>
          <w:szCs w:val="20"/>
          <w:highlight w:val="none"/>
          <w:u w:val="none"/>
          <w:lang w:eastAsia="zh-CN"/>
          <w14:textFill>
            <w14:solidFill>
              <w14:schemeClr w14:val="tx1"/>
            </w14:solidFill>
          </w14:textFill>
        </w:rPr>
        <w:t>管理制度要求</w:t>
      </w:r>
      <w:r>
        <w:rPr>
          <w:rFonts w:hint="eastAsia" w:ascii="宋体" w:hAnsi="宋体" w:eastAsia="宋体" w:cs="宋体"/>
          <w:color w:val="000000" w:themeColor="text1"/>
          <w:sz w:val="20"/>
          <w:szCs w:val="20"/>
          <w:highlight w:val="none"/>
          <w:u w:val="none"/>
          <w:lang w:val="en-US" w:eastAsia="zh-CN"/>
          <w14:textFill>
            <w14:solidFill>
              <w14:schemeClr w14:val="tx1"/>
            </w14:solidFill>
          </w14:textFill>
        </w:rPr>
        <w:t>。</w:t>
      </w:r>
    </w:p>
    <w:p w14:paraId="447A0A8E">
      <w:pPr>
        <w:bidi w:val="0"/>
        <w:ind w:firstLine="402" w:firstLineChars="20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2</w:t>
      </w:r>
      <w:r>
        <w:rPr>
          <w:rFonts w:hint="eastAsia" w:ascii="宋体" w:hAnsi="宋体" w:cs="宋体"/>
          <w:b/>
          <w:bCs/>
          <w:highlight w:val="none"/>
          <w:lang w:val="en-US" w:eastAsia="zh-CN"/>
        </w:rPr>
        <w:t>.</w:t>
      </w:r>
      <w:r>
        <w:rPr>
          <w:rFonts w:hint="eastAsia" w:ascii="宋体" w:hAnsi="宋体" w:eastAsia="宋体" w:cs="宋体"/>
          <w:b/>
          <w:bCs/>
          <w:highlight w:val="none"/>
          <w:lang w:val="en-US" w:eastAsia="zh-CN"/>
        </w:rPr>
        <w:t>项目服务要求</w:t>
      </w:r>
    </w:p>
    <w:p w14:paraId="2903C469">
      <w:pPr>
        <w:bidi w:val="0"/>
        <w:ind w:firstLine="40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房源（场地）经</w:t>
      </w:r>
      <w:r>
        <w:rPr>
          <w:rFonts w:hint="eastAsia" w:ascii="宋体" w:hAnsi="宋体" w:cs="宋体"/>
          <w:highlight w:val="none"/>
          <w:lang w:val="en-US" w:eastAsia="zh-CN"/>
        </w:rPr>
        <w:t>采购方</w:t>
      </w:r>
      <w:r>
        <w:rPr>
          <w:rFonts w:hint="eastAsia" w:ascii="宋体" w:hAnsi="宋体" w:eastAsia="宋体" w:cs="宋体"/>
          <w:highlight w:val="none"/>
          <w:lang w:val="en-US" w:eastAsia="zh-CN"/>
        </w:rPr>
        <w:t>确认适合使用后，</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应核实房</w:t>
      </w:r>
      <w:r>
        <w:rPr>
          <w:rFonts w:hint="eastAsia" w:ascii="宋体" w:hAnsi="宋体" w:cs="宋体"/>
          <w:highlight w:val="none"/>
          <w:lang w:val="en-US" w:eastAsia="zh-CN"/>
        </w:rPr>
        <w:t>源</w:t>
      </w:r>
      <w:r>
        <w:rPr>
          <w:rFonts w:hint="eastAsia" w:ascii="宋体" w:hAnsi="宋体" w:eastAsia="宋体" w:cs="宋体"/>
          <w:highlight w:val="none"/>
          <w:lang w:val="en-US" w:eastAsia="zh-CN"/>
        </w:rPr>
        <w:t>（场地）的相关资料，并认真检查</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（场地）的结构、装修、家具、电器、生活设施等是否完好，做好记录，对存在问题要求</w:t>
      </w:r>
      <w:r>
        <w:rPr>
          <w:rFonts w:hint="eastAsia" w:ascii="宋体" w:hAnsi="宋体" w:cs="宋体"/>
          <w:highlight w:val="none"/>
          <w:lang w:val="en-US" w:eastAsia="zh-CN"/>
        </w:rPr>
        <w:t>出租方</w:t>
      </w:r>
      <w:r>
        <w:rPr>
          <w:rFonts w:hint="eastAsia" w:ascii="宋体" w:hAnsi="宋体" w:eastAsia="宋体" w:cs="宋体"/>
          <w:highlight w:val="none"/>
          <w:lang w:val="en-US" w:eastAsia="zh-CN"/>
        </w:rPr>
        <w:t>进行维修或更换处理；</w:t>
      </w:r>
    </w:p>
    <w:p w14:paraId="4B7DB628">
      <w:pPr>
        <w:bidi w:val="0"/>
        <w:ind w:firstLine="400" w:firstLineChars="200"/>
        <w:rPr>
          <w:rFonts w:hint="eastAsia" w:ascii="宋体" w:hAnsi="宋体" w:eastAsia="宋体" w:cs="宋体"/>
          <w:highlight w:val="none"/>
          <w:lang w:val="en-US" w:eastAsia="zh-CN"/>
        </w:rPr>
      </w:pPr>
      <w:r>
        <w:rPr>
          <w:rFonts w:hint="eastAsia" w:ascii="宋体" w:hAnsi="宋体" w:cs="宋体"/>
          <w:highlight w:val="none"/>
          <w:lang w:val="en-US" w:eastAsia="zh-CN"/>
        </w:rPr>
        <w:t>服务商</w:t>
      </w:r>
      <w:r>
        <w:rPr>
          <w:rFonts w:hint="eastAsia" w:ascii="宋体" w:hAnsi="宋体" w:eastAsia="宋体" w:cs="宋体"/>
          <w:highlight w:val="none"/>
          <w:lang w:val="en-US" w:eastAsia="zh-CN"/>
        </w:rPr>
        <w:t>按照</w:t>
      </w:r>
      <w:r>
        <w:rPr>
          <w:rFonts w:hint="eastAsia" w:ascii="宋体" w:hAnsi="宋体" w:cs="宋体"/>
          <w:highlight w:val="none"/>
          <w:lang w:val="en-US" w:eastAsia="zh-CN"/>
        </w:rPr>
        <w:t>采购方</w:t>
      </w:r>
      <w:r>
        <w:rPr>
          <w:rFonts w:hint="eastAsia" w:ascii="宋体" w:hAnsi="宋体" w:eastAsia="宋体" w:cs="宋体"/>
          <w:highlight w:val="none"/>
          <w:lang w:val="en-US" w:eastAsia="zh-CN"/>
        </w:rPr>
        <w:t>的要求，配合</w:t>
      </w:r>
      <w:r>
        <w:rPr>
          <w:rFonts w:hint="eastAsia" w:ascii="宋体" w:hAnsi="宋体" w:cs="宋体"/>
          <w:highlight w:val="none"/>
          <w:lang w:val="en-US" w:eastAsia="zh-CN"/>
        </w:rPr>
        <w:t>采购方</w:t>
      </w:r>
      <w:r>
        <w:rPr>
          <w:rFonts w:hint="eastAsia" w:ascii="宋体" w:hAnsi="宋体" w:eastAsia="宋体" w:cs="宋体"/>
          <w:highlight w:val="none"/>
          <w:lang w:val="en-US" w:eastAsia="zh-CN"/>
        </w:rPr>
        <w:t>安排人员使用所租赁</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w:t>
      </w:r>
    </w:p>
    <w:p w14:paraId="032D9F81">
      <w:pPr>
        <w:bidi w:val="0"/>
        <w:ind w:firstLine="400" w:firstLineChars="200"/>
        <w:rPr>
          <w:rFonts w:hint="eastAsia" w:ascii="宋体" w:hAnsi="宋体" w:eastAsia="宋体" w:cs="宋体"/>
          <w:highlight w:val="none"/>
          <w:lang w:val="en-US" w:eastAsia="zh-CN"/>
        </w:rPr>
      </w:pPr>
      <w:r>
        <w:rPr>
          <w:rFonts w:hint="eastAsia" w:ascii="宋体" w:hAnsi="宋体" w:cs="宋体"/>
          <w:highlight w:val="none"/>
          <w:lang w:val="en-US" w:eastAsia="zh-CN"/>
        </w:rPr>
        <w:t>服务商</w:t>
      </w:r>
      <w:r>
        <w:rPr>
          <w:rFonts w:hint="eastAsia" w:ascii="宋体" w:hAnsi="宋体" w:eastAsia="宋体" w:cs="宋体"/>
          <w:highlight w:val="none"/>
          <w:lang w:val="en-US" w:eastAsia="zh-CN"/>
        </w:rPr>
        <w:t>须按照租赁合同的约定支付租金、押金等费用；</w:t>
      </w:r>
    </w:p>
    <w:p w14:paraId="14BD7627">
      <w:pPr>
        <w:bidi w:val="0"/>
        <w:ind w:firstLine="400" w:firstLineChars="200"/>
        <w:rPr>
          <w:rFonts w:hint="eastAsia" w:ascii="宋体" w:hAnsi="宋体" w:eastAsia="宋体" w:cs="宋体"/>
          <w:highlight w:val="none"/>
          <w:lang w:val="en-US" w:eastAsia="zh-CN"/>
        </w:rPr>
      </w:pPr>
      <w:r>
        <w:rPr>
          <w:rFonts w:hint="eastAsia" w:ascii="宋体" w:hAnsi="宋体" w:cs="宋体"/>
          <w:highlight w:val="none"/>
          <w:lang w:val="en-US" w:eastAsia="zh-CN"/>
        </w:rPr>
        <w:t>服务商应要求出租方</w:t>
      </w:r>
      <w:r>
        <w:rPr>
          <w:rFonts w:hint="eastAsia" w:ascii="宋体" w:hAnsi="宋体" w:eastAsia="宋体" w:cs="宋体"/>
          <w:highlight w:val="none"/>
          <w:lang w:val="en-US" w:eastAsia="zh-CN"/>
        </w:rPr>
        <w:t>出示证明其享有出租权的不动产权利证书、</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（场地）买卖合同或者其他有效证明文件，同时：</w:t>
      </w:r>
    </w:p>
    <w:p w14:paraId="484301D7">
      <w:pPr>
        <w:bidi w:val="0"/>
        <w:ind w:firstLine="400" w:firstLineChars="200"/>
        <w:rPr>
          <w:rFonts w:hint="eastAsia" w:ascii="宋体" w:hAnsi="宋体" w:eastAsia="宋体" w:cs="宋体"/>
          <w:highlight w:val="none"/>
          <w:lang w:val="en-US" w:eastAsia="zh-CN"/>
        </w:rPr>
      </w:pP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（场地）受他人委托代管出租的，还需提供委托人的授权委托书；</w:t>
      </w:r>
    </w:p>
    <w:p w14:paraId="359AD960">
      <w:pPr>
        <w:bidi w:val="0"/>
        <w:ind w:firstLine="40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共有</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（场地）出租的，须提供所有共有人同意出租的证明和授权委托书；</w:t>
      </w:r>
    </w:p>
    <w:p w14:paraId="4755617E">
      <w:pPr>
        <w:bidi w:val="0"/>
        <w:ind w:firstLine="400" w:firstLineChars="200"/>
        <w:rPr>
          <w:rFonts w:hint="eastAsia" w:ascii="宋体" w:hAnsi="宋体" w:eastAsia="宋体" w:cs="宋体"/>
          <w:highlight w:val="none"/>
          <w:lang w:val="en-US" w:eastAsia="zh-CN"/>
        </w:rPr>
      </w:pP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（场地）系转租的，转租人需向次</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提供出租方同意转租的证明文件、材料。</w:t>
      </w:r>
    </w:p>
    <w:p w14:paraId="63E3861C">
      <w:pPr>
        <w:bidi w:val="0"/>
        <w:ind w:firstLine="40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租赁</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（场地）的交付，出租方将租赁</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（场地）交付</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使用。交付</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（场地）时，出租方需提供满足使用的装修、全套用品（每间含配套：窗帘、床、床垫、椅子、沙发、写字台、茶几、衣柜、电热水器、洗衣机、冰箱及空调）。出租方保证</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（场地）现状及</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（场地）附属设施、装修、消防、治安、卫生、环保（含空气质量）的安全条件，双方现场确认签字盖章</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（场地）交接及设备清单。</w:t>
      </w:r>
    </w:p>
    <w:p w14:paraId="5FB32064">
      <w:pPr>
        <w:bidi w:val="0"/>
        <w:ind w:firstLine="40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租赁期间，</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发现租赁</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（场地）及其附属设施有损坏或故障时，应当及时通知出租方修复。出租方应当在接到</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通知后的2日内进行维修。无法通知出租方或出租方接到通知逾期不维修的，或者因情况紧急必须立即进行维修的，</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有权代为维修，费用由出租方承担。</w:t>
      </w:r>
    </w:p>
    <w:p w14:paraId="0ECC0D81">
      <w:pPr>
        <w:bidi w:val="0"/>
        <w:rPr>
          <w:rFonts w:hint="eastAsia" w:ascii="宋体" w:hAnsi="宋体" w:eastAsia="宋体" w:cs="宋体"/>
          <w:highlight w:val="none"/>
          <w:lang w:val="en-US" w:eastAsia="zh-CN"/>
        </w:rPr>
      </w:pPr>
      <w:r>
        <w:rPr>
          <w:rFonts w:hint="eastAsia" w:ascii="宋体" w:hAnsi="宋体" w:eastAsia="宋体" w:cs="宋体"/>
          <w:highlight w:val="none"/>
          <w:lang w:val="en-US" w:eastAsia="zh-CN"/>
        </w:rPr>
        <w:t>因</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故意或使用不当而造成租赁</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（场地）或附属设施（包括</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对</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（场地）的装饰装修和增加的设施、设备）出现损坏或故障，由</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负责维修。</w:t>
      </w:r>
    </w:p>
    <w:p w14:paraId="7939E172">
      <w:pPr>
        <w:bidi w:val="0"/>
        <w:ind w:firstLine="40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租金按季度支付，</w:t>
      </w:r>
      <w:r>
        <w:rPr>
          <w:rFonts w:hint="eastAsia" w:ascii="宋体" w:hAnsi="宋体" w:cs="宋体"/>
          <w:highlight w:val="none"/>
          <w:lang w:val="en-US" w:eastAsia="zh-CN"/>
        </w:rPr>
        <w:t>采购方</w:t>
      </w:r>
      <w:r>
        <w:rPr>
          <w:rFonts w:hint="eastAsia" w:ascii="宋体" w:hAnsi="宋体" w:eastAsia="宋体" w:cs="宋体"/>
          <w:highlight w:val="none"/>
          <w:lang w:val="en-US" w:eastAsia="zh-CN"/>
        </w:rPr>
        <w:t>收到符合规定的发票及请款函后 30 个工作日内通过银行转账方式向</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支付季度租金。本项目不动产租赁服务不涉及合同履约担保金及押金。</w:t>
      </w:r>
    </w:p>
    <w:p w14:paraId="5FEE4F19">
      <w:pPr>
        <w:bidi w:val="0"/>
        <w:ind w:firstLine="400" w:firstLineChars="200"/>
        <w:rPr>
          <w:rFonts w:hint="eastAsia"/>
          <w:highlight w:val="none"/>
          <w:lang w:val="en-US" w:eastAsia="zh-CN"/>
        </w:rPr>
      </w:pPr>
      <w:r>
        <w:rPr>
          <w:rFonts w:hint="eastAsia" w:ascii="宋体" w:hAnsi="宋体" w:eastAsia="宋体" w:cs="宋体"/>
          <w:highlight w:val="none"/>
          <w:lang w:val="en-US" w:eastAsia="zh-CN"/>
        </w:rPr>
        <w:t>租赁</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（场地）为无抵押情况，如发生阻碍、干扰</w:t>
      </w:r>
      <w:r>
        <w:rPr>
          <w:rFonts w:hint="eastAsia" w:ascii="宋体" w:hAnsi="宋体" w:cs="宋体"/>
          <w:highlight w:val="none"/>
          <w:lang w:val="en-US" w:eastAsia="zh-CN"/>
        </w:rPr>
        <w:t>采购方</w:t>
      </w:r>
      <w:r>
        <w:rPr>
          <w:rFonts w:hint="eastAsia" w:ascii="宋体" w:hAnsi="宋体" w:eastAsia="宋体" w:cs="宋体"/>
          <w:highlight w:val="none"/>
          <w:lang w:val="en-US" w:eastAsia="zh-CN"/>
        </w:rPr>
        <w:t>使用租赁</w:t>
      </w:r>
      <w:r>
        <w:rPr>
          <w:rFonts w:hint="eastAsia" w:ascii="宋体" w:hAnsi="宋体" w:cs="宋体"/>
          <w:highlight w:val="none"/>
          <w:lang w:val="en-US" w:eastAsia="zh-CN"/>
        </w:rPr>
        <w:t>房源</w:t>
      </w:r>
      <w:r>
        <w:rPr>
          <w:rFonts w:hint="eastAsia" w:ascii="宋体" w:hAnsi="宋体" w:eastAsia="宋体" w:cs="宋体"/>
          <w:highlight w:val="none"/>
          <w:lang w:val="en-US" w:eastAsia="zh-CN"/>
        </w:rPr>
        <w:t>（场地）的情形，</w:t>
      </w:r>
      <w:r>
        <w:rPr>
          <w:rFonts w:hint="eastAsia" w:ascii="宋体" w:hAnsi="宋体" w:cs="宋体"/>
          <w:highlight w:val="none"/>
          <w:lang w:val="en-US" w:eastAsia="zh-CN"/>
        </w:rPr>
        <w:t>服务商</w:t>
      </w:r>
      <w:r>
        <w:rPr>
          <w:rFonts w:hint="eastAsia" w:ascii="宋体" w:hAnsi="宋体" w:eastAsia="宋体" w:cs="宋体"/>
          <w:highlight w:val="none"/>
          <w:lang w:val="en-US" w:eastAsia="zh-CN"/>
        </w:rPr>
        <w:t>应及时协调解决。</w:t>
      </w:r>
    </w:p>
    <w:p w14:paraId="190BFF4E">
      <w:pPr>
        <w:bidi w:val="0"/>
        <w:ind w:firstLine="402" w:firstLineChars="200"/>
        <w:rPr>
          <w:rFonts w:hint="eastAsia" w:ascii="宋体" w:hAnsi="宋体" w:eastAsia="宋体" w:cs="宋体"/>
          <w:b/>
          <w:bCs/>
          <w:highlight w:val="none"/>
        </w:rPr>
      </w:pPr>
      <w:r>
        <w:rPr>
          <w:rFonts w:hint="eastAsia" w:ascii="宋体" w:hAnsi="宋体" w:eastAsia="宋体" w:cs="宋体"/>
          <w:b/>
          <w:bCs/>
          <w:highlight w:val="none"/>
          <w:lang w:val="en-US" w:eastAsia="zh-CN"/>
        </w:rPr>
        <w:t>3.</w:t>
      </w:r>
      <w:r>
        <w:rPr>
          <w:rFonts w:hint="eastAsia" w:ascii="宋体" w:hAnsi="宋体" w:eastAsia="宋体" w:cs="宋体"/>
          <w:b/>
          <w:bCs/>
          <w:highlight w:val="none"/>
        </w:rPr>
        <w:t>服务履约考核</w:t>
      </w:r>
    </w:p>
    <w:p w14:paraId="4B635A0C">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5"/>
        <w:gridCol w:w="654"/>
        <w:gridCol w:w="1667"/>
        <w:gridCol w:w="3447"/>
        <w:gridCol w:w="1327"/>
        <w:gridCol w:w="726"/>
      </w:tblGrid>
      <w:tr w14:paraId="4A28D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5"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42DBF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73569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维度</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0F9BC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评价内容</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07BAE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评分标准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26D46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考核扣分</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FB60A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32951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5F24EE1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87B78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服务评价</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924C4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质量评价的评价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42089E">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所提供的服务不符合</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的质量要求。每次扣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B3841A">
            <w:pPr>
              <w:keepNext w:val="0"/>
              <w:keepLines w:val="0"/>
              <w:pageBreakBefore w:val="0"/>
              <w:widowControl w:val="0"/>
              <w:suppressLineNumbers w:val="0"/>
              <w:kinsoku/>
              <w:wordWrap/>
              <w:overflowPunct/>
              <w:topLinePunct w:val="0"/>
              <w:autoSpaceDE/>
              <w:autoSpaceDN/>
              <w:bidi w:val="0"/>
              <w:adjustRightInd/>
              <w:snapToGrid/>
              <w:ind w:firstLine="0" w:firstLineChars="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A3555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5D1ED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0E9F833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2</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71097D">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0697B66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响应速度的评价</w:t>
            </w:r>
          </w:p>
        </w:tc>
        <w:tc>
          <w:tcPr>
            <w:tcW w:w="2024"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91D747B">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服务响应速度慢，影响</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的预期计划。每次扣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45685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9906EC">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3B86D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7AEFDA9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3</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1E68E4B5">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8D591E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服务准时性的评价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FD16A2">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应对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布置的工作要求、任务予以积极响应。未按规定时间提供服务的或完成交办事项的，每次扣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6D763F6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89E3D3">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37AF4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F01032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4</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6468FAD2">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665C41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BE31BA8">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应保持良好的沟通形式，下达任务因反馈不及时，影响工作进度、质量的，每次扣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7480584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72A0C8">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3C289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59928B3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5</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5B81150D">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37B2D6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3B36DC1">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服务态度差，</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向</w:t>
            </w: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要求换人或投诉，每次扣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5C8F83C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8AE7E1">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5117C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5CA8FA6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cs="宋体"/>
                <w:b w:val="0"/>
                <w:bCs w:val="0"/>
                <w:i w:val="0"/>
                <w:iCs w:val="0"/>
                <w:color w:val="auto"/>
                <w:kern w:val="0"/>
                <w:sz w:val="20"/>
                <w:szCs w:val="20"/>
                <w:highlight w:val="none"/>
                <w:u w:val="none"/>
                <w:lang w:val="en-US" w:eastAsia="zh-CN" w:bidi="ar"/>
              </w:rPr>
              <w:t>6</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6D494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8DCB4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2098E6">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必须严格执行</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的安全规定。每出现一次安全事故，扣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分；每出现一次重大安全事故，每次扣</w:t>
            </w:r>
            <w:r>
              <w:rPr>
                <w:rFonts w:hint="eastAsia" w:ascii="宋体" w:hAnsi="宋体"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CB07E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；10分/次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139B3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1E0BB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2B7ADAA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6F0B3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D4B77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06FD19">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服务人员未做好保密工作，造成了信息泄露，每次扣</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分；信息泄露给</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带来重大影响的，每次扣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4C2A6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；5分/次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7EBC7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2185A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D9178F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19A4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95D7EE6">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7C1C98D3">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3B3FB3F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0903A8D7">
      <w:pPr>
        <w:pStyle w:val="18"/>
        <w:rPr>
          <w:rFonts w:hint="eastAsia"/>
          <w:highlight w:val="none"/>
          <w:lang w:val="en-US" w:eastAsia="zh-CN"/>
        </w:rPr>
      </w:pPr>
    </w:p>
    <w:bookmarkEnd w:id="203"/>
    <w:bookmarkEnd w:id="204"/>
    <w:bookmarkEnd w:id="205"/>
    <w:bookmarkEnd w:id="206"/>
    <w:bookmarkEnd w:id="207"/>
    <w:bookmarkEnd w:id="208"/>
    <w:bookmarkEnd w:id="209"/>
    <w:bookmarkEnd w:id="210"/>
    <w:p w14:paraId="63DC2A41">
      <w:pPr>
        <w:rPr>
          <w:rFonts w:hint="eastAsia"/>
          <w:highlight w:val="none"/>
          <w:lang w:val="en-US" w:eastAsia="zh-CN"/>
        </w:rPr>
      </w:pPr>
      <w:r>
        <w:rPr>
          <w:rFonts w:hint="eastAsia"/>
          <w:highlight w:val="none"/>
          <w:lang w:val="en-US" w:eastAsia="zh-CN"/>
        </w:rPr>
        <w:br w:type="page"/>
      </w:r>
    </w:p>
    <w:p w14:paraId="05ED0A9C">
      <w:pPr>
        <w:pStyle w:val="4"/>
        <w:bidi w:val="0"/>
        <w:jc w:val="center"/>
        <w:rPr>
          <w:rFonts w:hint="eastAsia"/>
          <w:highlight w:val="none"/>
          <w:lang w:val="en-US" w:eastAsia="zh-CN"/>
        </w:rPr>
      </w:pPr>
      <w:bookmarkStart w:id="723" w:name="_Toc27616"/>
      <w:bookmarkStart w:id="724" w:name="_Toc23868"/>
      <w:r>
        <w:rPr>
          <w:rFonts w:hint="eastAsia"/>
          <w:highlight w:val="none"/>
          <w:lang w:val="en-US" w:eastAsia="zh-CN"/>
        </w:rPr>
        <w:t>（二十五）双休日配送餐服务项目</w:t>
      </w:r>
      <w:bookmarkEnd w:id="723"/>
      <w:bookmarkEnd w:id="724"/>
    </w:p>
    <w:p w14:paraId="56853022">
      <w:pPr>
        <w:bidi w:val="0"/>
        <w:rPr>
          <w:rFonts w:hint="eastAsia" w:ascii="宋体" w:hAnsi="宋体" w:eastAsia="宋体" w:cs="宋体"/>
          <w:b/>
          <w:bCs/>
          <w:highlight w:val="none"/>
        </w:rPr>
      </w:pPr>
      <w:r>
        <w:rPr>
          <w:rFonts w:hint="eastAsia" w:ascii="宋体" w:hAnsi="宋体" w:eastAsia="宋体" w:cs="宋体"/>
          <w:b/>
          <w:bCs/>
          <w:highlight w:val="none"/>
          <w:lang w:val="en-US" w:eastAsia="zh-CN"/>
        </w:rPr>
        <w:t>1</w:t>
      </w:r>
      <w:r>
        <w:rPr>
          <w:rFonts w:hint="eastAsia" w:ascii="宋体" w:hAnsi="宋体" w:cs="宋体"/>
          <w:b/>
          <w:bCs/>
          <w:highlight w:val="none"/>
          <w:lang w:val="en-US" w:eastAsia="zh-CN"/>
        </w:rPr>
        <w:t>.</w:t>
      </w:r>
      <w:r>
        <w:rPr>
          <w:rFonts w:hint="eastAsia" w:ascii="宋体" w:hAnsi="宋体" w:eastAsia="宋体" w:cs="宋体"/>
          <w:b/>
          <w:bCs/>
          <w:highlight w:val="none"/>
        </w:rPr>
        <w:t>项目服务标准</w:t>
      </w:r>
    </w:p>
    <w:p w14:paraId="5756B019">
      <w:pPr>
        <w:bidi w:val="0"/>
        <w:ind w:firstLine="400" w:firstLineChars="200"/>
        <w:rPr>
          <w:rFonts w:hint="eastAsia"/>
          <w:lang w:val="en-US" w:eastAsia="zh-CN"/>
        </w:rPr>
      </w:pPr>
      <w:r>
        <w:rPr>
          <w:rFonts w:hint="eastAsia" w:asciiTheme="majorEastAsia" w:hAnsiTheme="majorEastAsia" w:eastAsiaTheme="majorEastAsia" w:cstheme="majorEastAsia"/>
          <w:highlight w:val="none"/>
          <w:lang w:val="en-US" w:eastAsia="zh-CN"/>
        </w:rPr>
        <w:t>按采购方指定时间、地点送餐，以实际配送份数结算。单价仅包含服务费（含人工服务、配送服务、税费等非食品费用）,不包含食材费（含制作食品的材料、配料等）。</w:t>
      </w:r>
    </w:p>
    <w:p w14:paraId="6E869AB1">
      <w:pPr>
        <w:bidi w:val="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2</w:t>
      </w:r>
      <w:r>
        <w:rPr>
          <w:rFonts w:hint="eastAsia" w:ascii="宋体" w:hAnsi="宋体" w:cs="宋体"/>
          <w:b/>
          <w:bCs/>
          <w:highlight w:val="none"/>
          <w:lang w:val="en-US" w:eastAsia="zh-CN"/>
        </w:rPr>
        <w:t>.</w:t>
      </w:r>
      <w:r>
        <w:rPr>
          <w:rFonts w:hint="eastAsia" w:ascii="宋体" w:hAnsi="宋体" w:eastAsia="宋体" w:cs="宋体"/>
          <w:b/>
          <w:bCs/>
          <w:highlight w:val="none"/>
          <w:lang w:val="en-US" w:eastAsia="zh-CN"/>
        </w:rPr>
        <w:t>项目服务要求</w:t>
      </w:r>
    </w:p>
    <w:p w14:paraId="4C3C80A0">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服务费按月支付。</w:t>
      </w:r>
      <w:r>
        <w:rPr>
          <w:rFonts w:hint="eastAsia" w:ascii="宋体" w:hAnsi="宋体" w:cs="宋体"/>
          <w:bCs/>
          <w:color w:val="auto"/>
          <w:sz w:val="20"/>
          <w:szCs w:val="20"/>
          <w:highlight w:val="none"/>
          <w:lang w:val="en-US" w:eastAsia="zh-CN"/>
        </w:rPr>
        <w:t>服务商</w:t>
      </w:r>
      <w:r>
        <w:rPr>
          <w:rFonts w:hint="eastAsia" w:ascii="宋体" w:hAnsi="宋体" w:eastAsia="宋体" w:cs="宋体"/>
          <w:bCs/>
          <w:color w:val="auto"/>
          <w:sz w:val="20"/>
          <w:szCs w:val="20"/>
          <w:highlight w:val="none"/>
          <w:lang w:val="en-US" w:eastAsia="zh-CN"/>
        </w:rPr>
        <w:t>在次月10日前，根据上月服务费用及考核扣费核算，开具合法有效的增值税专用发票、请款函及相关资料进行结算支付；每年12月底开具当月份应付服务款项合法有效的增值税专用发票，并在考核完成后提供请款函及相关资料进行结算支付。</w:t>
      </w:r>
    </w:p>
    <w:p w14:paraId="44144A95">
      <w:pPr>
        <w:bidi w:val="0"/>
        <w:rPr>
          <w:rFonts w:hint="eastAsia" w:ascii="宋体" w:hAnsi="宋体" w:eastAsia="宋体" w:cs="宋体"/>
          <w:b/>
          <w:bCs/>
          <w:highlight w:val="none"/>
        </w:rPr>
      </w:pPr>
      <w:r>
        <w:rPr>
          <w:rFonts w:hint="eastAsia" w:ascii="宋体" w:hAnsi="宋体" w:eastAsia="宋体" w:cs="宋体"/>
          <w:b/>
          <w:bCs/>
          <w:highlight w:val="none"/>
          <w:lang w:val="en-US" w:eastAsia="zh-CN"/>
        </w:rPr>
        <w:t>3.</w:t>
      </w:r>
      <w:r>
        <w:rPr>
          <w:rFonts w:hint="eastAsia" w:ascii="宋体" w:hAnsi="宋体" w:eastAsia="宋体" w:cs="宋体"/>
          <w:b/>
          <w:bCs/>
          <w:highlight w:val="none"/>
        </w:rPr>
        <w:t>服务履约考核</w:t>
      </w:r>
    </w:p>
    <w:p w14:paraId="0A02712C">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5"/>
        <w:gridCol w:w="654"/>
        <w:gridCol w:w="1667"/>
        <w:gridCol w:w="3448"/>
        <w:gridCol w:w="1327"/>
        <w:gridCol w:w="726"/>
      </w:tblGrid>
      <w:tr w14:paraId="336BE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5"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C1B6B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73AD8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维度</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CEDB4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评价内容</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BA38B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评分标准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E34D1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考核扣分</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1D4ED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4B5DE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1C04F9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A9E6B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服务评价</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85143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质量评价的评价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35A77E">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所提供的服务不符合</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的质量要求。每次扣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53F696">
            <w:pPr>
              <w:keepNext w:val="0"/>
              <w:keepLines w:val="0"/>
              <w:pageBreakBefore w:val="0"/>
              <w:widowControl w:val="0"/>
              <w:suppressLineNumbers w:val="0"/>
              <w:kinsoku/>
              <w:wordWrap/>
              <w:overflowPunct/>
              <w:topLinePunct w:val="0"/>
              <w:autoSpaceDE/>
              <w:autoSpaceDN/>
              <w:bidi w:val="0"/>
              <w:adjustRightInd/>
              <w:snapToGrid/>
              <w:ind w:firstLine="0" w:firstLineChars="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38F9B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648BB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58A07E6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2</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4C3C5B">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D2C078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响应速度的评价</w:t>
            </w:r>
          </w:p>
        </w:tc>
        <w:tc>
          <w:tcPr>
            <w:tcW w:w="2024"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BAB0BE7">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服务响应速度慢，影响</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的预期计划。每次扣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D9352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A30579">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7DBF0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6D2A7D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3</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43C2A5A3">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87F259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服务准时性的评价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4494538">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应对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布置的工作要求、任务予以积极响应。未按规定时间提供服务的或完成交办事项的，每次扣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2C9DC30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9085C2">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67CB6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7BA667A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4</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0BD4C24E">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A73E4F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7CAFAED">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应保持良好的沟通形式，下达任务因反馈不及时，影响工作进度、质量的，每次扣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33C2ED4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01D062">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47549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5C03B9B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5</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2553DD0F">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C68C7B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38C0350">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服务态度差，</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向</w:t>
            </w: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要求换人或投诉，每次扣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7CE7E32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9567E4">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44B75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0C449CE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cs="宋体"/>
                <w:b w:val="0"/>
                <w:bCs w:val="0"/>
                <w:i w:val="0"/>
                <w:iCs w:val="0"/>
                <w:color w:val="auto"/>
                <w:kern w:val="0"/>
                <w:sz w:val="20"/>
                <w:szCs w:val="20"/>
                <w:highlight w:val="none"/>
                <w:u w:val="none"/>
                <w:lang w:val="en-US" w:eastAsia="zh-CN" w:bidi="ar"/>
              </w:rPr>
              <w:t>6</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1639F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18FCC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91A2DD">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必须严格执行</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的安全规定。每出现一次安全事故，扣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分；每出现一次重大安全事故，每次扣</w:t>
            </w:r>
            <w:r>
              <w:rPr>
                <w:rFonts w:hint="eastAsia" w:ascii="宋体" w:hAnsi="宋体"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068B7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；10分/次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AC0C4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55835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9B9744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86508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5A5EB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23264D">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服务人员未做好保密工作，造成了信息泄露，每次扣</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分；信息泄露给</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带来重大影响的，每次扣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8DB86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；5分/次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9B9AB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3CAD2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797C99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07F19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D07C850">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考核意见</w:t>
            </w:r>
          </w:p>
          <w:p w14:paraId="06B88C70">
            <w:pPr>
              <w:adjustRightInd w:val="0"/>
              <w:snapToGrid w:val="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                                              签名：</w:t>
            </w:r>
          </w:p>
          <w:p w14:paraId="0172022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color w:val="auto"/>
                <w:sz w:val="20"/>
                <w:szCs w:val="20"/>
                <w:highlight w:val="none"/>
                <w:lang w:val="en-US" w:eastAsia="zh-CN"/>
              </w:rPr>
              <w:t xml:space="preserve">                日期：</w:t>
            </w:r>
          </w:p>
        </w:tc>
      </w:tr>
    </w:tbl>
    <w:p w14:paraId="572370F8">
      <w:pPr>
        <w:pStyle w:val="3"/>
        <w:jc w:val="both"/>
        <w:outlineLvl w:val="9"/>
        <w:rPr>
          <w:sz w:val="20"/>
          <w:szCs w:val="20"/>
          <w:highlight w:val="none"/>
        </w:rPr>
      </w:pPr>
    </w:p>
    <w:p w14:paraId="716152B2">
      <w:pPr>
        <w:rPr>
          <w:sz w:val="20"/>
          <w:szCs w:val="20"/>
          <w:highlight w:val="none"/>
        </w:rPr>
      </w:pPr>
    </w:p>
    <w:p w14:paraId="51B86AB5">
      <w:pPr>
        <w:pStyle w:val="6"/>
        <w:bidi w:val="0"/>
        <w:jc w:val="center"/>
        <w:outlineLvl w:val="1"/>
        <w:rPr>
          <w:rFonts w:hint="eastAsia"/>
          <w:color w:val="auto"/>
          <w:sz w:val="20"/>
          <w:szCs w:val="20"/>
          <w:lang w:val="en-US" w:eastAsia="zh-CN"/>
        </w:rPr>
      </w:pPr>
      <w:bookmarkStart w:id="725" w:name="_Toc23956"/>
      <w:bookmarkStart w:id="726" w:name="_Toc18458"/>
      <w:bookmarkStart w:id="727" w:name="_Toc18370"/>
      <w:r>
        <w:rPr>
          <w:rFonts w:hint="eastAsia"/>
          <w:color w:val="auto"/>
          <w:sz w:val="20"/>
          <w:szCs w:val="20"/>
          <w:lang w:val="en-US" w:eastAsia="zh-CN"/>
        </w:rPr>
        <w:t>（二十六）印制品印制服务项目</w:t>
      </w:r>
      <w:bookmarkEnd w:id="725"/>
      <w:bookmarkEnd w:id="726"/>
      <w:bookmarkEnd w:id="727"/>
    </w:p>
    <w:p w14:paraId="3C124947">
      <w:pPr>
        <w:pStyle w:val="6"/>
        <w:numPr>
          <w:ilvl w:val="0"/>
          <w:numId w:val="4"/>
        </w:numPr>
        <w:bidi w:val="0"/>
        <w:rPr>
          <w:rFonts w:hint="eastAsia"/>
          <w:color w:val="auto"/>
          <w:sz w:val="20"/>
          <w:szCs w:val="20"/>
        </w:rPr>
      </w:pPr>
      <w:bookmarkStart w:id="728" w:name="_Toc16607"/>
      <w:bookmarkStart w:id="729" w:name="_Toc20216"/>
      <w:r>
        <w:rPr>
          <w:rFonts w:hint="eastAsia"/>
          <w:color w:val="auto"/>
          <w:sz w:val="20"/>
          <w:szCs w:val="20"/>
        </w:rPr>
        <w:t>项目服务标准及要求</w:t>
      </w:r>
      <w:bookmarkEnd w:id="728"/>
      <w:bookmarkEnd w:id="729"/>
      <w:bookmarkStart w:id="730" w:name="_Toc22748"/>
    </w:p>
    <w:p w14:paraId="05D4A63B">
      <w:pPr>
        <w:pStyle w:val="6"/>
        <w:numPr>
          <w:ilvl w:val="0"/>
          <w:numId w:val="0"/>
        </w:numPr>
        <w:bidi w:val="0"/>
        <w:rPr>
          <w:rFonts w:hint="eastAsia"/>
          <w:b/>
          <w:bCs w:val="0"/>
          <w:color w:val="auto"/>
          <w:sz w:val="20"/>
          <w:szCs w:val="20"/>
        </w:rPr>
      </w:pPr>
      <w:r>
        <w:rPr>
          <w:rFonts w:hint="eastAsia"/>
          <w:b/>
          <w:bCs w:val="0"/>
          <w:color w:val="auto"/>
          <w:sz w:val="20"/>
          <w:szCs w:val="20"/>
          <w:lang w:val="en-US" w:eastAsia="zh-CN"/>
        </w:rPr>
        <w:t>1.1</w:t>
      </w:r>
      <w:r>
        <w:rPr>
          <w:rFonts w:hint="eastAsia"/>
          <w:b/>
          <w:bCs w:val="0"/>
          <w:color w:val="auto"/>
          <w:sz w:val="20"/>
          <w:szCs w:val="20"/>
        </w:rPr>
        <w:t>项目服务标准</w:t>
      </w:r>
      <w:bookmarkEnd w:id="730"/>
    </w:p>
    <w:p w14:paraId="40DD58FC">
      <w:pPr>
        <w:bidi w:val="0"/>
        <w:rPr>
          <w:rFonts w:hint="eastAsia"/>
          <w:color w:val="auto"/>
          <w:sz w:val="20"/>
          <w:szCs w:val="20"/>
        </w:rPr>
      </w:pPr>
      <w:r>
        <w:rPr>
          <w:rFonts w:hint="eastAsia"/>
          <w:color w:val="auto"/>
          <w:sz w:val="20"/>
          <w:szCs w:val="20"/>
        </w:rPr>
        <w:t>服务商在提供印制品印制服务时，需按照如下标准执行，要求所用标准必须为最新版本，如果这些标准有矛盾时，应按最高标准的条款执行或按双方商定的标准执行。此外，如果在合同执行期间国家颁布新的标准时，应按最新的条款执行。</w:t>
      </w:r>
    </w:p>
    <w:tbl>
      <w:tblPr>
        <w:tblStyle w:val="16"/>
        <w:tblW w:w="908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8220"/>
      </w:tblGrid>
      <w:tr w14:paraId="5795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blHeader/>
        </w:trPr>
        <w:tc>
          <w:tcPr>
            <w:tcW w:w="862" w:type="dxa"/>
            <w:vAlign w:val="center"/>
          </w:tcPr>
          <w:p w14:paraId="6AD0628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b/>
                <w:bCs/>
                <w:color w:val="auto"/>
                <w:sz w:val="20"/>
                <w:szCs w:val="20"/>
              </w:rPr>
            </w:pPr>
            <w:r>
              <w:rPr>
                <w:rFonts w:hint="eastAsia" w:ascii="华光书宋一_CNKI" w:hAnsi="华光书宋一_CNKI" w:eastAsia="华光书宋一_CNKI" w:cs="华光书宋一_CNKI"/>
                <w:b/>
                <w:bCs/>
                <w:color w:val="auto"/>
                <w:sz w:val="20"/>
                <w:szCs w:val="20"/>
              </w:rPr>
              <w:t>序号</w:t>
            </w:r>
          </w:p>
        </w:tc>
        <w:tc>
          <w:tcPr>
            <w:tcW w:w="8220" w:type="dxa"/>
            <w:vAlign w:val="center"/>
          </w:tcPr>
          <w:p w14:paraId="650962C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b/>
                <w:bCs/>
                <w:color w:val="auto"/>
                <w:sz w:val="20"/>
                <w:szCs w:val="20"/>
                <w:lang w:eastAsia="zh-CN"/>
              </w:rPr>
            </w:pPr>
            <w:r>
              <w:rPr>
                <w:rFonts w:hint="eastAsia" w:ascii="华光书宋一_CNKI" w:hAnsi="华光书宋一_CNKI" w:eastAsia="华光书宋一_CNKI" w:cs="华光书宋一_CNKI"/>
                <w:b/>
                <w:bCs/>
                <w:color w:val="auto"/>
                <w:sz w:val="20"/>
                <w:szCs w:val="20"/>
                <w:lang w:val="en-US" w:eastAsia="zh-CN"/>
              </w:rPr>
              <w:t>相关标准</w:t>
            </w:r>
          </w:p>
        </w:tc>
      </w:tr>
      <w:tr w14:paraId="2FC59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3D8E8F1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1</w:t>
            </w:r>
          </w:p>
        </w:tc>
        <w:tc>
          <w:tcPr>
            <w:tcW w:w="8220" w:type="dxa"/>
            <w:vAlign w:val="center"/>
          </w:tcPr>
          <w:p w14:paraId="73C4F8F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《平版装潢印刷品》（GB7705-2008）</w:t>
            </w:r>
          </w:p>
        </w:tc>
      </w:tr>
      <w:tr w14:paraId="08FCF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608F23C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2</w:t>
            </w:r>
          </w:p>
        </w:tc>
        <w:tc>
          <w:tcPr>
            <w:tcW w:w="8220" w:type="dxa"/>
            <w:vAlign w:val="center"/>
          </w:tcPr>
          <w:p w14:paraId="306C635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《无碳复写纸》（GB/T16797-1997）</w:t>
            </w:r>
          </w:p>
        </w:tc>
      </w:tr>
      <w:tr w14:paraId="68D84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21CDFE2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3</w:t>
            </w:r>
          </w:p>
        </w:tc>
        <w:tc>
          <w:tcPr>
            <w:tcW w:w="8220" w:type="dxa"/>
            <w:vAlign w:val="center"/>
          </w:tcPr>
          <w:p w14:paraId="2F477A6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《商业票据印制第1部分：通用技术要求》（CY/T49.1-2008）</w:t>
            </w:r>
          </w:p>
        </w:tc>
      </w:tr>
      <w:tr w14:paraId="35AC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142F464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4</w:t>
            </w:r>
          </w:p>
        </w:tc>
        <w:tc>
          <w:tcPr>
            <w:tcW w:w="8220" w:type="dxa"/>
            <w:vAlign w:val="center"/>
          </w:tcPr>
          <w:p w14:paraId="0AD3070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《商业票据印制第2部分：折叠式票据》（CY/T49.2-2008）</w:t>
            </w:r>
          </w:p>
        </w:tc>
      </w:tr>
      <w:tr w14:paraId="1F2F5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4721C21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5</w:t>
            </w:r>
          </w:p>
        </w:tc>
        <w:tc>
          <w:tcPr>
            <w:tcW w:w="8220" w:type="dxa"/>
            <w:vAlign w:val="center"/>
          </w:tcPr>
          <w:p w14:paraId="61AFCCD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《商业票据印制第3部分：卷式票据》（CY/T49.3-2008）</w:t>
            </w:r>
          </w:p>
        </w:tc>
      </w:tr>
      <w:tr w14:paraId="0BF3C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791D160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6</w:t>
            </w:r>
          </w:p>
        </w:tc>
        <w:tc>
          <w:tcPr>
            <w:tcW w:w="8220" w:type="dxa"/>
            <w:vAlign w:val="center"/>
          </w:tcPr>
          <w:p w14:paraId="44AAA08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《商业票据印制第4部分：本式票据》（CY/T49.4-2008）</w:t>
            </w:r>
          </w:p>
        </w:tc>
      </w:tr>
      <w:tr w14:paraId="15A6A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3B81A19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7</w:t>
            </w:r>
          </w:p>
        </w:tc>
        <w:tc>
          <w:tcPr>
            <w:tcW w:w="8220" w:type="dxa"/>
            <w:vAlign w:val="center"/>
          </w:tcPr>
          <w:p w14:paraId="3AB9385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《平版装潢印刷品》（GB/T 7705-2008）</w:t>
            </w:r>
          </w:p>
        </w:tc>
      </w:tr>
      <w:tr w14:paraId="73EC2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6BEE2A0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8</w:t>
            </w:r>
          </w:p>
        </w:tc>
        <w:tc>
          <w:tcPr>
            <w:tcW w:w="8220" w:type="dxa"/>
            <w:vAlign w:val="center"/>
          </w:tcPr>
          <w:p w14:paraId="4BF0EFE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《印刷产品质量评价和分等导航》（CY/T 2-1999）</w:t>
            </w:r>
          </w:p>
        </w:tc>
      </w:tr>
      <w:tr w14:paraId="16313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51EDFF0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9</w:t>
            </w:r>
          </w:p>
        </w:tc>
        <w:tc>
          <w:tcPr>
            <w:tcW w:w="8220" w:type="dxa"/>
            <w:vAlign w:val="center"/>
          </w:tcPr>
          <w:p w14:paraId="40726FB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《平板印刷品质量要求及检验方法》（CY/T 2-1999）</w:t>
            </w:r>
          </w:p>
        </w:tc>
      </w:tr>
      <w:tr w14:paraId="4CE61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322B9C7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10</w:t>
            </w:r>
          </w:p>
        </w:tc>
        <w:tc>
          <w:tcPr>
            <w:tcW w:w="8220" w:type="dxa"/>
            <w:vAlign w:val="center"/>
          </w:tcPr>
          <w:p w14:paraId="34906D0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《平版印刷品质量要求及检验方法》（CY/T 5-1999）</w:t>
            </w:r>
          </w:p>
        </w:tc>
      </w:tr>
      <w:tr w14:paraId="5F948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595D531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11</w:t>
            </w:r>
          </w:p>
        </w:tc>
        <w:tc>
          <w:tcPr>
            <w:tcW w:w="8220" w:type="dxa"/>
            <w:vAlign w:val="center"/>
          </w:tcPr>
          <w:p w14:paraId="1E73226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《印刷品承印管理规定》（国家新闻出版署规章）</w:t>
            </w:r>
          </w:p>
        </w:tc>
      </w:tr>
      <w:tr w14:paraId="3DC24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545527D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12</w:t>
            </w:r>
          </w:p>
        </w:tc>
        <w:tc>
          <w:tcPr>
            <w:tcW w:w="8220" w:type="dxa"/>
            <w:vAlign w:val="center"/>
          </w:tcPr>
          <w:p w14:paraId="10FC4E2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《印刷业管理条例》（国务院）</w:t>
            </w:r>
          </w:p>
        </w:tc>
      </w:tr>
      <w:tr w14:paraId="2CB1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3DC50F9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13</w:t>
            </w:r>
          </w:p>
        </w:tc>
        <w:tc>
          <w:tcPr>
            <w:tcW w:w="8220" w:type="dxa"/>
            <w:vAlign w:val="center"/>
          </w:tcPr>
          <w:p w14:paraId="3340D40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《出版专业技术人员职业资格管理规定》</w:t>
            </w:r>
          </w:p>
        </w:tc>
      </w:tr>
      <w:tr w14:paraId="4C770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2" w:type="dxa"/>
            <w:vAlign w:val="center"/>
          </w:tcPr>
          <w:p w14:paraId="3EBED4C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14</w:t>
            </w:r>
          </w:p>
        </w:tc>
        <w:tc>
          <w:tcPr>
            <w:tcW w:w="8220" w:type="dxa"/>
            <w:vAlign w:val="center"/>
          </w:tcPr>
          <w:p w14:paraId="4690C06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《印刷品广告管理办法》（国家工商行政管理局）</w:t>
            </w:r>
          </w:p>
        </w:tc>
      </w:tr>
    </w:tbl>
    <w:p w14:paraId="160E8DBE">
      <w:pPr>
        <w:bidi w:val="0"/>
        <w:rPr>
          <w:rFonts w:hint="eastAsia"/>
          <w:b/>
          <w:bCs/>
          <w:color w:val="auto"/>
          <w:sz w:val="20"/>
          <w:szCs w:val="20"/>
        </w:rPr>
      </w:pPr>
      <w:bookmarkStart w:id="731" w:name="_Toc8460"/>
      <w:r>
        <w:rPr>
          <w:rFonts w:hint="eastAsia"/>
          <w:b/>
          <w:bCs/>
          <w:color w:val="auto"/>
          <w:sz w:val="20"/>
          <w:szCs w:val="20"/>
          <w:lang w:val="en-US" w:eastAsia="zh-CN"/>
        </w:rPr>
        <w:t>1.2</w:t>
      </w:r>
      <w:r>
        <w:rPr>
          <w:rFonts w:hint="eastAsia"/>
          <w:b/>
          <w:bCs/>
          <w:color w:val="auto"/>
          <w:sz w:val="20"/>
          <w:szCs w:val="20"/>
        </w:rPr>
        <w:t>项目服务要求</w:t>
      </w:r>
      <w:bookmarkEnd w:id="731"/>
    </w:p>
    <w:p w14:paraId="475EDBB1">
      <w:pPr>
        <w:bidi w:val="0"/>
        <w:rPr>
          <w:rFonts w:hint="eastAsia"/>
          <w:color w:val="auto"/>
          <w:sz w:val="20"/>
          <w:szCs w:val="20"/>
          <w:lang w:val="en-US" w:eastAsia="zh-CN"/>
        </w:rPr>
      </w:pPr>
      <w:r>
        <w:rPr>
          <w:rFonts w:hint="eastAsia"/>
          <w:color w:val="auto"/>
          <w:sz w:val="20"/>
          <w:szCs w:val="20"/>
          <w:lang w:val="en-US" w:eastAsia="zh-CN"/>
        </w:rPr>
        <w:t>1.2.1合同实施前，服务商需指派专人进行对接，对采购方整体印制品印制的需求进行全面摸查和理解。</w:t>
      </w:r>
    </w:p>
    <w:p w14:paraId="79D1E31B">
      <w:pPr>
        <w:bidi w:val="0"/>
        <w:rPr>
          <w:rFonts w:hint="eastAsia"/>
          <w:color w:val="auto"/>
          <w:sz w:val="20"/>
          <w:szCs w:val="20"/>
        </w:rPr>
      </w:pPr>
      <w:r>
        <w:rPr>
          <w:rFonts w:hint="eastAsia"/>
          <w:color w:val="auto"/>
          <w:sz w:val="20"/>
          <w:szCs w:val="20"/>
          <w:lang w:val="en-US" w:eastAsia="zh-CN"/>
        </w:rPr>
        <w:t>1.2.2</w:t>
      </w:r>
      <w:r>
        <w:rPr>
          <w:rFonts w:hint="eastAsia"/>
          <w:color w:val="auto"/>
          <w:sz w:val="20"/>
          <w:szCs w:val="20"/>
        </w:rPr>
        <w:t>服务商提供的印制品必须符合</w:t>
      </w:r>
      <w:r>
        <w:rPr>
          <w:rFonts w:hint="eastAsia"/>
          <w:color w:val="auto"/>
          <w:sz w:val="20"/>
          <w:szCs w:val="20"/>
          <w:lang w:val="en-US" w:eastAsia="zh-CN"/>
        </w:rPr>
        <w:t>采购方的要求（详见附件1和附件2）</w:t>
      </w:r>
      <w:r>
        <w:rPr>
          <w:rFonts w:hint="eastAsia"/>
          <w:color w:val="auto"/>
          <w:sz w:val="20"/>
          <w:szCs w:val="20"/>
          <w:lang w:eastAsia="zh-CN"/>
        </w:rPr>
        <w:t>，</w:t>
      </w:r>
      <w:r>
        <w:rPr>
          <w:rFonts w:hint="eastAsia"/>
          <w:color w:val="auto"/>
          <w:sz w:val="20"/>
          <w:szCs w:val="20"/>
          <w:lang w:val="en-US" w:eastAsia="zh-CN"/>
        </w:rPr>
        <w:t>并按采购方规定的时间完成印制品印刷，且</w:t>
      </w:r>
      <w:r>
        <w:rPr>
          <w:rFonts w:hint="eastAsia"/>
          <w:color w:val="auto"/>
          <w:sz w:val="20"/>
          <w:szCs w:val="20"/>
        </w:rPr>
        <w:t>印刷品所用纸张、油墨等原辅材料符合国家及行业制订公布的标准。</w:t>
      </w:r>
    </w:p>
    <w:p w14:paraId="7F820C81">
      <w:pPr>
        <w:bidi w:val="0"/>
        <w:rPr>
          <w:rFonts w:hint="eastAsia"/>
          <w:color w:val="auto"/>
          <w:sz w:val="20"/>
          <w:szCs w:val="20"/>
          <w:lang w:eastAsia="zh-CN"/>
        </w:rPr>
      </w:pPr>
      <w:r>
        <w:rPr>
          <w:rFonts w:hint="eastAsia"/>
          <w:color w:val="auto"/>
          <w:sz w:val="20"/>
          <w:szCs w:val="20"/>
          <w:lang w:val="en-US" w:eastAsia="zh-CN"/>
        </w:rPr>
        <w:t>1.2.3</w:t>
      </w:r>
      <w:r>
        <w:rPr>
          <w:rFonts w:hint="eastAsia"/>
          <w:color w:val="auto"/>
          <w:sz w:val="20"/>
          <w:szCs w:val="20"/>
        </w:rPr>
        <w:t>采购方在印刷前向服务商提供需印刷资料的电子文档或纸质文稿，其余排版制版等工序由服务商负责。印刷品排版完毕后，服务商必须将版样送交采购方校对确认，采购人校对并签字确认后，方可开机印刷</w:t>
      </w:r>
      <w:r>
        <w:rPr>
          <w:rFonts w:hint="eastAsia"/>
          <w:color w:val="auto"/>
          <w:sz w:val="20"/>
          <w:szCs w:val="20"/>
          <w:lang w:eastAsia="zh-CN"/>
        </w:rPr>
        <w:t>。</w:t>
      </w:r>
    </w:p>
    <w:p w14:paraId="222BD383">
      <w:pPr>
        <w:bidi w:val="0"/>
        <w:rPr>
          <w:rFonts w:hint="eastAsia"/>
          <w:color w:val="auto"/>
          <w:sz w:val="20"/>
          <w:szCs w:val="20"/>
          <w:lang w:eastAsia="zh-CN"/>
        </w:rPr>
      </w:pPr>
      <w:r>
        <w:rPr>
          <w:rFonts w:hint="eastAsia"/>
          <w:color w:val="auto"/>
          <w:sz w:val="20"/>
          <w:szCs w:val="20"/>
          <w:lang w:val="en-US" w:eastAsia="zh-CN"/>
        </w:rPr>
        <w:t>1.2.4服务商提供24小时服务热线（热线电话、微信、传真、电子邮件等）。服务商在接到采购方的需求后，必须在1小时内作出响应，并在采购方规定的时间内，满足要求。若服务商预期无法按规定时间完成需求，则需提前通知采购方，采购方同意后，方可执行</w:t>
      </w:r>
      <w:r>
        <w:rPr>
          <w:rFonts w:hint="eastAsia"/>
          <w:color w:val="auto"/>
          <w:sz w:val="20"/>
          <w:szCs w:val="20"/>
          <w:lang w:eastAsia="zh-CN"/>
        </w:rPr>
        <w:t>。</w:t>
      </w:r>
    </w:p>
    <w:p w14:paraId="77BE2865">
      <w:pPr>
        <w:bidi w:val="0"/>
        <w:rPr>
          <w:rFonts w:hint="eastAsia"/>
          <w:color w:val="auto"/>
          <w:sz w:val="20"/>
          <w:szCs w:val="20"/>
          <w:lang w:val="en-US" w:eastAsia="zh-CN"/>
        </w:rPr>
      </w:pPr>
      <w:r>
        <w:rPr>
          <w:rFonts w:hint="eastAsia"/>
          <w:color w:val="auto"/>
          <w:sz w:val="20"/>
          <w:szCs w:val="20"/>
          <w:lang w:val="en-US" w:eastAsia="zh-CN"/>
        </w:rPr>
        <w:t>1.2.5服务商在每次完成印刷品印制后，需记录好印刷品的份数、使用纸张、服务对象等信息，并经采购方值班人员或管理员合适签字认可后，作为服务商进行印刷品印制结算的重要依据</w:t>
      </w:r>
      <w:r>
        <w:rPr>
          <w:rFonts w:hint="eastAsia"/>
          <w:color w:val="auto"/>
          <w:sz w:val="20"/>
          <w:szCs w:val="20"/>
          <w:lang w:eastAsia="zh-CN"/>
        </w:rPr>
        <w:t>。</w:t>
      </w:r>
    </w:p>
    <w:p w14:paraId="7E2D7289">
      <w:pPr>
        <w:bidi w:val="0"/>
        <w:rPr>
          <w:rFonts w:hint="eastAsia"/>
          <w:color w:val="auto"/>
          <w:sz w:val="20"/>
          <w:szCs w:val="20"/>
          <w:lang w:val="en-US" w:eastAsia="zh-CN"/>
        </w:rPr>
      </w:pPr>
      <w:r>
        <w:rPr>
          <w:rFonts w:hint="eastAsia"/>
          <w:color w:val="auto"/>
          <w:sz w:val="20"/>
          <w:szCs w:val="20"/>
          <w:lang w:val="en-US" w:eastAsia="zh-CN"/>
        </w:rPr>
        <w:t>1.2.6服务商加强人员管理，合理安排人员，保障项目工作进度。确因不可抗力影响项目实施，需与采购方协商修订项目实施计划，达成一致后执行。</w:t>
      </w:r>
    </w:p>
    <w:p w14:paraId="405E80DD">
      <w:pPr>
        <w:bidi w:val="0"/>
        <w:rPr>
          <w:rFonts w:hint="eastAsia"/>
          <w:color w:val="auto"/>
          <w:sz w:val="20"/>
          <w:szCs w:val="20"/>
          <w:lang w:val="en-US" w:eastAsia="zh-CN"/>
        </w:rPr>
      </w:pPr>
      <w:r>
        <w:rPr>
          <w:rFonts w:hint="eastAsia"/>
          <w:color w:val="auto"/>
          <w:sz w:val="20"/>
          <w:szCs w:val="20"/>
          <w:lang w:val="en-US" w:eastAsia="zh-CN"/>
        </w:rPr>
        <w:t>1.2.7</w:t>
      </w:r>
      <w:r>
        <w:rPr>
          <w:rFonts w:hint="eastAsia"/>
          <w:color w:val="auto"/>
          <w:sz w:val="20"/>
          <w:szCs w:val="20"/>
        </w:rPr>
        <w:t>印刷材料对人体和生物应无毒与无害。如因</w:t>
      </w:r>
      <w:r>
        <w:rPr>
          <w:rFonts w:hint="eastAsia"/>
          <w:color w:val="auto"/>
          <w:sz w:val="20"/>
          <w:szCs w:val="20"/>
          <w:lang w:val="en-US" w:eastAsia="zh-CN"/>
        </w:rPr>
        <w:t>服务商</w:t>
      </w:r>
      <w:r>
        <w:rPr>
          <w:rFonts w:hint="eastAsia"/>
          <w:color w:val="auto"/>
          <w:sz w:val="20"/>
          <w:szCs w:val="20"/>
        </w:rPr>
        <w:t>原因导致的安全问题，由服务商承担责任，并按国家法律法规及相关要求进行赔偿。</w:t>
      </w:r>
    </w:p>
    <w:p w14:paraId="0D5591F8">
      <w:pPr>
        <w:bidi w:val="0"/>
        <w:rPr>
          <w:rFonts w:hint="eastAsia"/>
          <w:color w:val="auto"/>
          <w:sz w:val="20"/>
          <w:szCs w:val="20"/>
        </w:rPr>
      </w:pPr>
      <w:r>
        <w:rPr>
          <w:rFonts w:hint="eastAsia"/>
          <w:color w:val="auto"/>
          <w:sz w:val="20"/>
          <w:szCs w:val="20"/>
          <w:lang w:val="en-US" w:eastAsia="zh-CN"/>
        </w:rPr>
        <w:t>1.2.8</w:t>
      </w:r>
      <w:r>
        <w:rPr>
          <w:rFonts w:hint="eastAsia"/>
          <w:color w:val="auto"/>
          <w:sz w:val="20"/>
          <w:szCs w:val="20"/>
        </w:rPr>
        <w:t>服务商对采购方印刷品的印制、保管、运输过程的保密安全负责，保证印刷成品、半成品、废品不外流，废品应予以销毁。</w:t>
      </w:r>
    </w:p>
    <w:p w14:paraId="140E71DC">
      <w:pPr>
        <w:bidi w:val="0"/>
        <w:rPr>
          <w:rFonts w:hint="eastAsia"/>
          <w:color w:val="auto"/>
          <w:sz w:val="20"/>
          <w:szCs w:val="20"/>
          <w:lang w:val="en-US" w:eastAsia="zh-CN"/>
        </w:rPr>
      </w:pPr>
      <w:r>
        <w:rPr>
          <w:rFonts w:hint="eastAsia"/>
          <w:color w:val="auto"/>
          <w:sz w:val="20"/>
          <w:szCs w:val="20"/>
          <w:lang w:val="en-US" w:eastAsia="zh-CN"/>
        </w:rPr>
        <w:t>1.2.9服务商应严格遵守有关法律法规和采购人内部规章制度，不得擅自翻阅、复制、传播所接触的资料或数据。并且，服务商须遵守采购方信息保密制度，禁止窥窃采购方任何信息。服务商应与采购方签署保密协议书，并负责约束有关员工的保密工作。如服务商泄露采购方的资料或数据，服务商应全额赔偿采购方的损失。</w:t>
      </w:r>
    </w:p>
    <w:p w14:paraId="412D1A2F">
      <w:pPr>
        <w:pStyle w:val="6"/>
        <w:bidi w:val="0"/>
        <w:rPr>
          <w:rFonts w:hint="default"/>
          <w:color w:val="auto"/>
          <w:sz w:val="20"/>
          <w:szCs w:val="20"/>
          <w:lang w:val="en-US" w:eastAsia="zh-CN"/>
        </w:rPr>
      </w:pPr>
      <w:bookmarkStart w:id="732" w:name="_Toc2452"/>
      <w:bookmarkStart w:id="733" w:name="_Toc30567"/>
      <w:r>
        <w:rPr>
          <w:rFonts w:hint="eastAsia"/>
          <w:color w:val="auto"/>
          <w:sz w:val="20"/>
          <w:szCs w:val="20"/>
          <w:lang w:val="en-US" w:eastAsia="zh-CN"/>
        </w:rPr>
        <w:t>2.服务达标要求</w:t>
      </w:r>
      <w:bookmarkEnd w:id="732"/>
      <w:bookmarkEnd w:id="733"/>
    </w:p>
    <w:p w14:paraId="09920821">
      <w:pPr>
        <w:bidi w:val="0"/>
        <w:rPr>
          <w:rFonts w:hint="eastAsia"/>
          <w:color w:val="auto"/>
          <w:sz w:val="20"/>
          <w:szCs w:val="20"/>
          <w:lang w:val="en-US" w:eastAsia="zh-CN"/>
        </w:rPr>
      </w:pPr>
      <w:r>
        <w:rPr>
          <w:rFonts w:hint="eastAsia"/>
          <w:color w:val="auto"/>
          <w:sz w:val="20"/>
          <w:szCs w:val="20"/>
          <w:lang w:val="en-US" w:eastAsia="zh-CN"/>
        </w:rPr>
        <w:t>2.1包装与标识：</w:t>
      </w:r>
    </w:p>
    <w:p w14:paraId="1F88E2F4">
      <w:pPr>
        <w:bidi w:val="0"/>
        <w:rPr>
          <w:rFonts w:hint="eastAsia"/>
          <w:color w:val="auto"/>
          <w:sz w:val="20"/>
          <w:szCs w:val="20"/>
          <w:lang w:val="en-US" w:eastAsia="zh-CN"/>
        </w:rPr>
      </w:pPr>
      <w:r>
        <w:rPr>
          <w:rFonts w:hint="eastAsia"/>
          <w:color w:val="auto"/>
          <w:sz w:val="20"/>
          <w:szCs w:val="20"/>
          <w:lang w:val="en-US" w:eastAsia="zh-CN"/>
        </w:rPr>
        <w:t>检查包装，应无破损、变形、淋湿、散乱等现象。实物应与标识内容一致。</w:t>
      </w:r>
    </w:p>
    <w:p w14:paraId="5A78536C">
      <w:pPr>
        <w:bidi w:val="0"/>
        <w:rPr>
          <w:rFonts w:hint="eastAsia"/>
          <w:color w:val="auto"/>
          <w:sz w:val="20"/>
          <w:szCs w:val="20"/>
          <w:lang w:eastAsia="zh-CN"/>
        </w:rPr>
      </w:pPr>
      <w:r>
        <w:rPr>
          <w:rFonts w:hint="eastAsia"/>
          <w:color w:val="auto"/>
          <w:sz w:val="20"/>
          <w:szCs w:val="20"/>
          <w:lang w:val="en-US" w:eastAsia="zh-CN"/>
        </w:rPr>
        <w:t>2.2外观：</w:t>
      </w:r>
    </w:p>
    <w:p w14:paraId="69751AA8">
      <w:pPr>
        <w:bidi w:val="0"/>
        <w:rPr>
          <w:rFonts w:hint="eastAsia"/>
          <w:color w:val="auto"/>
          <w:sz w:val="20"/>
          <w:szCs w:val="20"/>
          <w:lang w:val="en-US" w:eastAsia="zh-CN"/>
        </w:rPr>
      </w:pPr>
      <w:r>
        <w:rPr>
          <w:rFonts w:hint="eastAsia"/>
          <w:color w:val="auto"/>
          <w:sz w:val="20"/>
          <w:szCs w:val="20"/>
          <w:lang w:val="en-US" w:eastAsia="zh-CN"/>
        </w:rPr>
        <w:t>不能出现脏污、污渍，不能有破损、划伤，尺寸与样品是否一致，需要装订的位置是否正确，是否符合规范。</w:t>
      </w:r>
    </w:p>
    <w:p w14:paraId="6CB4600B">
      <w:pPr>
        <w:bidi w:val="0"/>
        <w:rPr>
          <w:rFonts w:hint="eastAsia"/>
          <w:color w:val="auto"/>
          <w:sz w:val="20"/>
          <w:szCs w:val="20"/>
          <w:lang w:val="en-US" w:eastAsia="zh-CN"/>
        </w:rPr>
      </w:pPr>
      <w:r>
        <w:rPr>
          <w:rFonts w:hint="eastAsia"/>
          <w:color w:val="auto"/>
          <w:sz w:val="20"/>
          <w:szCs w:val="20"/>
          <w:lang w:val="en-US" w:eastAsia="zh-CN"/>
        </w:rPr>
        <w:t>2.3印刷字体与内容：</w:t>
      </w:r>
    </w:p>
    <w:p w14:paraId="6EC27835">
      <w:pPr>
        <w:bidi w:val="0"/>
        <w:rPr>
          <w:rFonts w:hint="default"/>
          <w:color w:val="auto"/>
          <w:sz w:val="20"/>
          <w:szCs w:val="20"/>
          <w:lang w:val="en-US" w:eastAsia="zh-CN"/>
        </w:rPr>
      </w:pPr>
      <w:r>
        <w:rPr>
          <w:rFonts w:hint="eastAsia"/>
          <w:color w:val="auto"/>
          <w:sz w:val="20"/>
          <w:szCs w:val="20"/>
          <w:lang w:val="en-US" w:eastAsia="zh-CN"/>
        </w:rPr>
        <w:t>内容符合要求，不能缺失缺页，并且正确。字体印刷要清晰，异识别。字体的选别请参照样品或者规格书。字体不能模糊、重叠、重影、粗细不一等。</w:t>
      </w:r>
    </w:p>
    <w:p w14:paraId="205EA112">
      <w:pPr>
        <w:pStyle w:val="6"/>
        <w:bidi w:val="0"/>
        <w:rPr>
          <w:rFonts w:hint="eastAsia"/>
          <w:color w:val="auto"/>
          <w:sz w:val="20"/>
          <w:szCs w:val="20"/>
        </w:rPr>
      </w:pPr>
      <w:bookmarkStart w:id="734" w:name="_Toc29858"/>
      <w:bookmarkStart w:id="735" w:name="_Toc16764"/>
      <w:r>
        <w:rPr>
          <w:rFonts w:hint="eastAsia"/>
          <w:color w:val="auto"/>
          <w:sz w:val="20"/>
          <w:szCs w:val="20"/>
          <w:lang w:val="en-US" w:eastAsia="zh-CN"/>
        </w:rPr>
        <w:t>3.</w:t>
      </w:r>
      <w:r>
        <w:rPr>
          <w:rFonts w:hint="eastAsia"/>
          <w:color w:val="auto"/>
          <w:sz w:val="20"/>
          <w:szCs w:val="20"/>
        </w:rPr>
        <w:t>服务履约考核</w:t>
      </w:r>
      <w:bookmarkEnd w:id="734"/>
      <w:bookmarkEnd w:id="735"/>
    </w:p>
    <w:p w14:paraId="11BA9232">
      <w:pPr>
        <w:keepNext w:val="0"/>
        <w:keepLines w:val="0"/>
        <w:pageBreakBefore w:val="0"/>
        <w:widowControl w:val="0"/>
        <w:kinsoku/>
        <w:wordWrap/>
        <w:overflowPunct/>
        <w:topLinePunct w:val="0"/>
        <w:autoSpaceDE/>
        <w:autoSpaceDN/>
        <w:bidi w:val="0"/>
        <w:adjustRightInd/>
        <w:snapToGrid/>
        <w:spacing w:line="360" w:lineRule="auto"/>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pPr w:leftFromText="180" w:rightFromText="180" w:vertAnchor="text" w:horzAnchor="page" w:tblpXSpec="center" w:tblpY="549"/>
        <w:tblOverlap w:val="never"/>
        <w:tblW w:w="48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886"/>
        <w:gridCol w:w="4876"/>
        <w:gridCol w:w="1615"/>
      </w:tblGrid>
      <w:tr w14:paraId="16354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blHeader/>
          <w:jc w:val="center"/>
        </w:trPr>
        <w:tc>
          <w:tcPr>
            <w:tcW w:w="841" w:type="dxa"/>
            <w:vAlign w:val="center"/>
          </w:tcPr>
          <w:p w14:paraId="7F0C170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序号</w:t>
            </w:r>
          </w:p>
        </w:tc>
        <w:tc>
          <w:tcPr>
            <w:tcW w:w="886" w:type="dxa"/>
            <w:vAlign w:val="center"/>
          </w:tcPr>
          <w:p w14:paraId="490431A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维度</w:t>
            </w:r>
          </w:p>
        </w:tc>
        <w:tc>
          <w:tcPr>
            <w:tcW w:w="4875" w:type="dxa"/>
            <w:vAlign w:val="center"/>
          </w:tcPr>
          <w:p w14:paraId="755BBCE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评分标准</w:t>
            </w:r>
          </w:p>
        </w:tc>
        <w:tc>
          <w:tcPr>
            <w:tcW w:w="1622" w:type="dxa"/>
            <w:vAlign w:val="center"/>
          </w:tcPr>
          <w:p w14:paraId="3E20164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备注</w:t>
            </w:r>
          </w:p>
        </w:tc>
      </w:tr>
      <w:tr w14:paraId="43A5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41" w:type="dxa"/>
            <w:vAlign w:val="center"/>
          </w:tcPr>
          <w:p w14:paraId="06A3A40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1</w:t>
            </w:r>
          </w:p>
        </w:tc>
        <w:tc>
          <w:tcPr>
            <w:tcW w:w="886" w:type="dxa"/>
            <w:vMerge w:val="restart"/>
            <w:vAlign w:val="center"/>
          </w:tcPr>
          <w:p w14:paraId="0F8A491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服务</w:t>
            </w:r>
          </w:p>
          <w:p w14:paraId="275FB10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质量</w:t>
            </w:r>
          </w:p>
        </w:tc>
        <w:tc>
          <w:tcPr>
            <w:tcW w:w="4875" w:type="dxa"/>
            <w:vAlign w:val="center"/>
          </w:tcPr>
          <w:p w14:paraId="17CBC20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未按采购方要求，按时按质提供服务，存在怠于响应、迟到、敷衍开展工作等现象的，每次扣2分。</w:t>
            </w:r>
          </w:p>
        </w:tc>
        <w:tc>
          <w:tcPr>
            <w:tcW w:w="1622" w:type="dxa"/>
            <w:vMerge w:val="restart"/>
            <w:vAlign w:val="center"/>
          </w:tcPr>
          <w:p w14:paraId="4622052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4AD8B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41" w:type="dxa"/>
            <w:vAlign w:val="center"/>
          </w:tcPr>
          <w:p w14:paraId="5A49345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2</w:t>
            </w:r>
          </w:p>
        </w:tc>
        <w:tc>
          <w:tcPr>
            <w:tcW w:w="886" w:type="dxa"/>
            <w:vMerge w:val="continue"/>
            <w:vAlign w:val="center"/>
          </w:tcPr>
          <w:p w14:paraId="07BD6F9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c>
          <w:tcPr>
            <w:tcW w:w="4875" w:type="dxa"/>
            <w:vAlign w:val="center"/>
          </w:tcPr>
          <w:p w14:paraId="566EAE0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未按采购方要求服务响应速度慢，影响采购方现场开展印刷复印的计划，每次扣3分。</w:t>
            </w:r>
          </w:p>
        </w:tc>
        <w:tc>
          <w:tcPr>
            <w:tcW w:w="1622" w:type="dxa"/>
            <w:vMerge w:val="continue"/>
            <w:vAlign w:val="center"/>
          </w:tcPr>
          <w:p w14:paraId="494C391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0DEC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41" w:type="dxa"/>
            <w:vAlign w:val="center"/>
          </w:tcPr>
          <w:p w14:paraId="6A78045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3</w:t>
            </w:r>
          </w:p>
        </w:tc>
        <w:tc>
          <w:tcPr>
            <w:tcW w:w="886" w:type="dxa"/>
            <w:vMerge w:val="continue"/>
            <w:vAlign w:val="center"/>
          </w:tcPr>
          <w:p w14:paraId="476676A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c>
          <w:tcPr>
            <w:tcW w:w="4875" w:type="dxa"/>
            <w:vAlign w:val="center"/>
          </w:tcPr>
          <w:p w14:paraId="389A1DC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无正当理由及未与采购方沟通的，未按规定时间提供服务的，每次扣3分。</w:t>
            </w:r>
          </w:p>
        </w:tc>
        <w:tc>
          <w:tcPr>
            <w:tcW w:w="1622" w:type="dxa"/>
            <w:vMerge w:val="continue"/>
            <w:vAlign w:val="center"/>
          </w:tcPr>
          <w:p w14:paraId="26A295B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4346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41" w:type="dxa"/>
            <w:vAlign w:val="center"/>
          </w:tcPr>
          <w:p w14:paraId="201C0BF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4</w:t>
            </w:r>
          </w:p>
        </w:tc>
        <w:tc>
          <w:tcPr>
            <w:tcW w:w="886" w:type="dxa"/>
            <w:vMerge w:val="continue"/>
            <w:vAlign w:val="center"/>
          </w:tcPr>
          <w:p w14:paraId="53BDFDA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c>
          <w:tcPr>
            <w:tcW w:w="4875" w:type="dxa"/>
            <w:vAlign w:val="center"/>
          </w:tcPr>
          <w:p w14:paraId="627931A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在印刷复印的过程中，使用劣质的油墨材料、纸张的，每发现一次扣2分；如因为使用劣质材料造成采购方重大损失，每出现一次扣5分。</w:t>
            </w:r>
          </w:p>
        </w:tc>
        <w:tc>
          <w:tcPr>
            <w:tcW w:w="1622" w:type="dxa"/>
            <w:vMerge w:val="continue"/>
            <w:vAlign w:val="center"/>
          </w:tcPr>
          <w:p w14:paraId="4AB0343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2C9F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41" w:type="dxa"/>
            <w:vAlign w:val="center"/>
          </w:tcPr>
          <w:p w14:paraId="37B9516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5</w:t>
            </w:r>
          </w:p>
        </w:tc>
        <w:tc>
          <w:tcPr>
            <w:tcW w:w="886" w:type="dxa"/>
            <w:vMerge w:val="continue"/>
            <w:vAlign w:val="center"/>
          </w:tcPr>
          <w:p w14:paraId="5A2BDD2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c>
          <w:tcPr>
            <w:tcW w:w="4875" w:type="dxa"/>
            <w:vAlign w:val="center"/>
          </w:tcPr>
          <w:p w14:paraId="7328E26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未按采购方要求做好消杀记录和档案管理工作，每次扣2分。</w:t>
            </w:r>
          </w:p>
        </w:tc>
        <w:tc>
          <w:tcPr>
            <w:tcW w:w="1622" w:type="dxa"/>
            <w:vMerge w:val="continue"/>
            <w:vAlign w:val="center"/>
          </w:tcPr>
          <w:p w14:paraId="634A33A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4930D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841" w:type="dxa"/>
            <w:vAlign w:val="center"/>
          </w:tcPr>
          <w:p w14:paraId="1891528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6</w:t>
            </w:r>
          </w:p>
        </w:tc>
        <w:tc>
          <w:tcPr>
            <w:tcW w:w="886" w:type="dxa"/>
            <w:vMerge w:val="continue"/>
            <w:vAlign w:val="center"/>
          </w:tcPr>
          <w:p w14:paraId="3D6E1DB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c>
          <w:tcPr>
            <w:tcW w:w="4875" w:type="dxa"/>
            <w:vAlign w:val="center"/>
          </w:tcPr>
          <w:p w14:paraId="00FA243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未积极配合采购方临时或紧急需求的，每次扣5分。</w:t>
            </w:r>
          </w:p>
        </w:tc>
        <w:tc>
          <w:tcPr>
            <w:tcW w:w="1622" w:type="dxa"/>
            <w:vMerge w:val="continue"/>
            <w:vAlign w:val="center"/>
          </w:tcPr>
          <w:p w14:paraId="41177A4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3925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41" w:type="dxa"/>
            <w:vAlign w:val="center"/>
          </w:tcPr>
          <w:p w14:paraId="55F341C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7</w:t>
            </w:r>
          </w:p>
        </w:tc>
        <w:tc>
          <w:tcPr>
            <w:tcW w:w="886" w:type="dxa"/>
            <w:vMerge w:val="continue"/>
            <w:vAlign w:val="center"/>
          </w:tcPr>
          <w:p w14:paraId="697A63C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c>
          <w:tcPr>
            <w:tcW w:w="4875" w:type="dxa"/>
            <w:vAlign w:val="center"/>
          </w:tcPr>
          <w:p w14:paraId="1FC0F94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未制定应急方案，且在紧急事件发生时，不能及时处理，给采购方带来损失的，每次扣5分。</w:t>
            </w:r>
          </w:p>
        </w:tc>
        <w:tc>
          <w:tcPr>
            <w:tcW w:w="1622" w:type="dxa"/>
            <w:vMerge w:val="continue"/>
            <w:vAlign w:val="center"/>
          </w:tcPr>
          <w:p w14:paraId="7378151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1278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41" w:type="dxa"/>
            <w:vAlign w:val="center"/>
          </w:tcPr>
          <w:p w14:paraId="64609A7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8</w:t>
            </w:r>
          </w:p>
        </w:tc>
        <w:tc>
          <w:tcPr>
            <w:tcW w:w="886" w:type="dxa"/>
            <w:vMerge w:val="continue"/>
            <w:vAlign w:val="center"/>
          </w:tcPr>
          <w:p w14:paraId="465FBA1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c>
          <w:tcPr>
            <w:tcW w:w="4875" w:type="dxa"/>
            <w:vAlign w:val="center"/>
          </w:tcPr>
          <w:p w14:paraId="1DBCE4BC">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从事印刷服务专业人员应具备丰富的相关经验和专业判断能力。对于采购方提供的资料出现的问题不能够作出专业判断、处理方案，每次扣2分。</w:t>
            </w:r>
          </w:p>
        </w:tc>
        <w:tc>
          <w:tcPr>
            <w:tcW w:w="1622" w:type="dxa"/>
            <w:vMerge w:val="continue"/>
            <w:vAlign w:val="center"/>
          </w:tcPr>
          <w:p w14:paraId="05EDC43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02369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841" w:type="dxa"/>
            <w:vAlign w:val="center"/>
          </w:tcPr>
          <w:p w14:paraId="5ACB48C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9</w:t>
            </w:r>
          </w:p>
        </w:tc>
        <w:tc>
          <w:tcPr>
            <w:tcW w:w="886" w:type="dxa"/>
            <w:vMerge w:val="continue"/>
            <w:vAlign w:val="center"/>
          </w:tcPr>
          <w:p w14:paraId="41F065A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c>
          <w:tcPr>
            <w:tcW w:w="4875" w:type="dxa"/>
            <w:vAlign w:val="center"/>
          </w:tcPr>
          <w:p w14:paraId="00BFB2E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服务印刷专业人员服务态度良好，应对采购方提出的问题耐心解答，对反馈的问题及时跟进。如服务防治专业人员态度恶劣，消极怠工，每次扣2分。</w:t>
            </w:r>
          </w:p>
        </w:tc>
        <w:tc>
          <w:tcPr>
            <w:tcW w:w="1622" w:type="dxa"/>
            <w:vMerge w:val="continue"/>
            <w:vAlign w:val="center"/>
          </w:tcPr>
          <w:p w14:paraId="0941A37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45B8F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41" w:type="dxa"/>
            <w:vAlign w:val="center"/>
          </w:tcPr>
          <w:p w14:paraId="71E24DB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10</w:t>
            </w:r>
          </w:p>
        </w:tc>
        <w:tc>
          <w:tcPr>
            <w:tcW w:w="886" w:type="dxa"/>
            <w:vAlign w:val="center"/>
          </w:tcPr>
          <w:p w14:paraId="5E0754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安全</w:t>
            </w:r>
          </w:p>
          <w:p w14:paraId="65573D2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管理</w:t>
            </w:r>
          </w:p>
        </w:tc>
        <w:tc>
          <w:tcPr>
            <w:tcW w:w="4875" w:type="dxa"/>
            <w:vAlign w:val="center"/>
          </w:tcPr>
          <w:p w14:paraId="3230F2A6">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服务商必须严格执行采购方的安全规定。每出现一次安全事故，扣5分；每出现一次重大安全事故，扣10分。</w:t>
            </w:r>
          </w:p>
        </w:tc>
        <w:tc>
          <w:tcPr>
            <w:tcW w:w="1622" w:type="dxa"/>
            <w:vMerge w:val="continue"/>
            <w:vAlign w:val="center"/>
          </w:tcPr>
          <w:p w14:paraId="292FA31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0B341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41" w:type="dxa"/>
            <w:vAlign w:val="center"/>
          </w:tcPr>
          <w:p w14:paraId="224F28B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11</w:t>
            </w:r>
          </w:p>
        </w:tc>
        <w:tc>
          <w:tcPr>
            <w:tcW w:w="886" w:type="dxa"/>
            <w:vAlign w:val="center"/>
          </w:tcPr>
          <w:p w14:paraId="0F673E6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保密</w:t>
            </w:r>
          </w:p>
          <w:p w14:paraId="2721CAE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管理</w:t>
            </w:r>
          </w:p>
        </w:tc>
        <w:tc>
          <w:tcPr>
            <w:tcW w:w="4875" w:type="dxa"/>
            <w:vAlign w:val="center"/>
          </w:tcPr>
          <w:p w14:paraId="00D8185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华光书宋一_CNKI" w:hAnsi="华光书宋一_CNKI" w:eastAsia="华光书宋一_CNKI" w:cs="华光书宋一_CNKI"/>
                <w:color w:val="auto"/>
                <w:sz w:val="20"/>
                <w:szCs w:val="20"/>
                <w:lang w:val="en-US" w:eastAsia="zh-CN"/>
              </w:rPr>
            </w:pPr>
            <w:r>
              <w:rPr>
                <w:rFonts w:hint="eastAsia" w:ascii="华光书宋一_CNKI" w:hAnsi="华光书宋一_CNKI" w:eastAsia="华光书宋一_CNKI" w:cs="华光书宋一_CNKI"/>
                <w:color w:val="auto"/>
                <w:sz w:val="20"/>
                <w:szCs w:val="20"/>
                <w:lang w:val="en-US" w:eastAsia="zh-CN"/>
              </w:rPr>
              <w:t>印刷人员未做好保密工作，造成了采购方信息泄露，每次扣5分；信息泄露给采购方带来重大影响的，扣10分。</w:t>
            </w:r>
          </w:p>
        </w:tc>
        <w:tc>
          <w:tcPr>
            <w:tcW w:w="1622" w:type="dxa"/>
            <w:vMerge w:val="continue"/>
            <w:vAlign w:val="center"/>
          </w:tcPr>
          <w:p w14:paraId="702EE89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华光书宋一_CNKI" w:hAnsi="华光书宋一_CNKI" w:eastAsia="华光书宋一_CNKI" w:cs="华光书宋一_CNKI"/>
                <w:color w:val="auto"/>
                <w:sz w:val="20"/>
                <w:szCs w:val="20"/>
                <w:lang w:val="en-US" w:eastAsia="zh-CN"/>
              </w:rPr>
            </w:pPr>
          </w:p>
        </w:tc>
      </w:tr>
      <w:tr w14:paraId="30E08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24" w:type="dxa"/>
            <w:gridSpan w:val="4"/>
            <w:shd w:val="clear" w:color="auto" w:fill="auto"/>
            <w:vAlign w:val="center"/>
          </w:tcPr>
          <w:p w14:paraId="2A9EAB68">
            <w:pPr>
              <w:keepNext w:val="0"/>
              <w:keepLines w:val="0"/>
              <w:pageBreakBefore w:val="0"/>
              <w:widowControl w:val="0"/>
              <w:kinsoku/>
              <w:wordWrap/>
              <w:overflowPunct/>
              <w:topLinePunct w:val="0"/>
              <w:autoSpaceDE/>
              <w:autoSpaceDN/>
              <w:bidi w:val="0"/>
              <w:snapToGrid/>
              <w:spacing w:line="360" w:lineRule="auto"/>
              <w:ind w:firstLine="0" w:firstLineChars="0"/>
              <w:jc w:val="center"/>
              <w:textAlignment w:val="auto"/>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sz w:val="20"/>
                <w:szCs w:val="20"/>
                <w:u w:val="none"/>
                <w:lang w:val="en-US" w:eastAsia="zh-CN"/>
              </w:rPr>
              <w:t xml:space="preserve">                                      考核得分：</w:t>
            </w:r>
          </w:p>
        </w:tc>
      </w:tr>
      <w:tr w14:paraId="76EF9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24" w:type="dxa"/>
            <w:gridSpan w:val="4"/>
            <w:shd w:val="clear" w:color="auto" w:fill="auto"/>
            <w:vAlign w:val="center"/>
          </w:tcPr>
          <w:p w14:paraId="76DA029E">
            <w:pPr>
              <w:keepNext w:val="0"/>
              <w:keepLines w:val="0"/>
              <w:pageBreakBefore w:val="0"/>
              <w:widowControl w:val="0"/>
              <w:kinsoku/>
              <w:wordWrap/>
              <w:overflowPunct/>
              <w:topLinePunct w:val="0"/>
              <w:autoSpaceDE/>
              <w:autoSpaceDN/>
              <w:bidi w:val="0"/>
              <w:snapToGrid/>
              <w:spacing w:line="360" w:lineRule="auto"/>
              <w:ind w:firstLine="0" w:firstLineChars="0"/>
              <w:jc w:val="both"/>
              <w:textAlignment w:val="auto"/>
              <w:rPr>
                <w:rFonts w:hint="eastAsia"/>
                <w:b w:val="0"/>
                <w:bCs w:val="0"/>
                <w:color w:val="auto"/>
                <w:sz w:val="20"/>
                <w:szCs w:val="20"/>
                <w:lang w:val="en-US" w:eastAsia="zh-CN"/>
              </w:rPr>
            </w:pPr>
            <w:r>
              <w:rPr>
                <w:rFonts w:hint="eastAsia"/>
                <w:b w:val="0"/>
                <w:bCs w:val="0"/>
                <w:color w:val="auto"/>
                <w:sz w:val="20"/>
                <w:szCs w:val="20"/>
                <w:lang w:eastAsia="zh-CN"/>
              </w:rPr>
              <w:t>考核意见</w:t>
            </w:r>
            <w:r>
              <w:rPr>
                <w:rFonts w:hint="eastAsia"/>
                <w:b w:val="0"/>
                <w:bCs w:val="0"/>
                <w:color w:val="auto"/>
                <w:sz w:val="20"/>
                <w:szCs w:val="20"/>
                <w:lang w:val="en-US" w:eastAsia="zh-CN"/>
              </w:rPr>
              <w:t xml:space="preserve">                      </w:t>
            </w:r>
          </w:p>
          <w:p w14:paraId="6E3989A3">
            <w:pPr>
              <w:keepNext w:val="0"/>
              <w:keepLines w:val="0"/>
              <w:pageBreakBefore w:val="0"/>
              <w:widowControl w:val="0"/>
              <w:kinsoku/>
              <w:wordWrap/>
              <w:overflowPunct/>
              <w:topLinePunct w:val="0"/>
              <w:autoSpaceDE/>
              <w:autoSpaceDN/>
              <w:bidi w:val="0"/>
              <w:snapToGrid/>
              <w:spacing w:line="360" w:lineRule="auto"/>
              <w:ind w:firstLine="0" w:firstLineChars="0"/>
              <w:jc w:val="both"/>
              <w:textAlignment w:val="auto"/>
              <w:rPr>
                <w:rFonts w:hint="eastAsia"/>
                <w:b w:val="0"/>
                <w:bCs w:val="0"/>
                <w:color w:val="auto"/>
                <w:sz w:val="20"/>
                <w:szCs w:val="20"/>
                <w:lang w:val="en-US" w:eastAsia="zh-CN"/>
              </w:rPr>
            </w:pPr>
            <w:r>
              <w:rPr>
                <w:rFonts w:hint="eastAsia"/>
                <w:b w:val="0"/>
                <w:bCs w:val="0"/>
                <w:color w:val="auto"/>
                <w:sz w:val="20"/>
                <w:szCs w:val="20"/>
                <w:lang w:val="en-US" w:eastAsia="zh-CN"/>
              </w:rPr>
              <w:t xml:space="preserve">                   </w:t>
            </w:r>
          </w:p>
          <w:p w14:paraId="575B7ABC">
            <w:pPr>
              <w:keepNext w:val="0"/>
              <w:keepLines w:val="0"/>
              <w:pageBreakBefore w:val="0"/>
              <w:widowControl w:val="0"/>
              <w:kinsoku/>
              <w:wordWrap/>
              <w:overflowPunct/>
              <w:topLinePunct w:val="0"/>
              <w:autoSpaceDE/>
              <w:autoSpaceDN/>
              <w:bidi w:val="0"/>
              <w:snapToGrid/>
              <w:spacing w:line="360" w:lineRule="auto"/>
              <w:ind w:firstLine="0" w:firstLineChars="0"/>
              <w:jc w:val="both"/>
              <w:textAlignment w:val="auto"/>
              <w:rPr>
                <w:rFonts w:hint="eastAsia"/>
                <w:b w:val="0"/>
                <w:bCs w:val="0"/>
                <w:color w:val="auto"/>
                <w:sz w:val="20"/>
                <w:szCs w:val="20"/>
                <w:lang w:val="en-US" w:eastAsia="zh-CN"/>
              </w:rPr>
            </w:pPr>
            <w:r>
              <w:rPr>
                <w:rFonts w:hint="eastAsia"/>
                <w:b w:val="0"/>
                <w:bCs w:val="0"/>
                <w:color w:val="auto"/>
                <w:sz w:val="20"/>
                <w:szCs w:val="20"/>
                <w:lang w:val="en-US" w:eastAsia="zh-CN"/>
              </w:rPr>
              <w:t xml:space="preserve">签名：                                                  </w:t>
            </w:r>
          </w:p>
          <w:p w14:paraId="24355049">
            <w:pPr>
              <w:keepNext w:val="0"/>
              <w:keepLines w:val="0"/>
              <w:pageBreakBefore w:val="0"/>
              <w:widowControl w:val="0"/>
              <w:kinsoku/>
              <w:wordWrap/>
              <w:overflowPunct/>
              <w:topLinePunct w:val="0"/>
              <w:autoSpaceDE/>
              <w:autoSpaceDN/>
              <w:bidi w:val="0"/>
              <w:snapToGrid/>
              <w:spacing w:line="360" w:lineRule="auto"/>
              <w:ind w:firstLine="0" w:firstLineChars="0"/>
              <w:jc w:val="both"/>
              <w:textAlignment w:val="auto"/>
              <w:rPr>
                <w:rFonts w:hint="eastAsia" w:eastAsia="宋体" w:asciiTheme="minorHAnsi" w:hAnsiTheme="minorHAnsi" w:cstheme="minorBidi"/>
                <w:b w:val="0"/>
                <w:bCs w:val="0"/>
                <w:color w:val="auto"/>
                <w:kern w:val="2"/>
                <w:sz w:val="20"/>
                <w:szCs w:val="20"/>
                <w:lang w:val="en-US" w:eastAsia="zh-CN" w:bidi="ar-SA"/>
              </w:rPr>
            </w:pPr>
            <w:r>
              <w:rPr>
                <w:rFonts w:hint="eastAsia"/>
                <w:b w:val="0"/>
                <w:bCs w:val="0"/>
                <w:color w:val="auto"/>
                <w:sz w:val="20"/>
                <w:szCs w:val="20"/>
                <w:lang w:val="en-US" w:eastAsia="zh-CN"/>
              </w:rPr>
              <w:t xml:space="preserve">                                                    日期：</w:t>
            </w:r>
          </w:p>
        </w:tc>
      </w:tr>
    </w:tbl>
    <w:p w14:paraId="19406F85">
      <w:pPr>
        <w:pStyle w:val="18"/>
        <w:rPr>
          <w:sz w:val="20"/>
          <w:szCs w:val="20"/>
        </w:rPr>
      </w:pPr>
    </w:p>
    <w:p w14:paraId="30355B89">
      <w:pPr>
        <w:rPr>
          <w:sz w:val="20"/>
          <w:szCs w:val="20"/>
        </w:rPr>
      </w:pPr>
    </w:p>
    <w:p w14:paraId="4986395E">
      <w:pPr>
        <w:pStyle w:val="5"/>
        <w:numPr>
          <w:ilvl w:val="1"/>
          <w:numId w:val="0"/>
        </w:numPr>
        <w:bidi w:val="0"/>
        <w:ind w:leftChars="0"/>
        <w:jc w:val="center"/>
        <w:rPr>
          <w:rFonts w:hint="eastAsia" w:ascii="宋体" w:hAnsi="宋体" w:eastAsia="宋体" w:cs="宋体"/>
          <w:color w:val="auto"/>
          <w:sz w:val="20"/>
          <w:szCs w:val="20"/>
          <w:highlight w:val="none"/>
          <w:lang w:val="en-US" w:eastAsia="zh-CN"/>
        </w:rPr>
      </w:pPr>
      <w:bookmarkStart w:id="736" w:name="_Toc21232"/>
      <w:bookmarkStart w:id="737" w:name="_Toc17296"/>
      <w:r>
        <w:rPr>
          <w:rFonts w:hint="eastAsia" w:ascii="宋体" w:hAnsi="宋体" w:eastAsia="宋体" w:cs="宋体"/>
          <w:color w:val="auto"/>
          <w:sz w:val="20"/>
          <w:szCs w:val="20"/>
          <w:highlight w:val="none"/>
          <w:lang w:val="en-US" w:eastAsia="zh-CN"/>
        </w:rPr>
        <w:t>（二</w:t>
      </w:r>
      <w:r>
        <w:rPr>
          <w:rFonts w:hint="eastAsia" w:ascii="宋体" w:hAnsi="宋体" w:cs="宋体"/>
          <w:color w:val="auto"/>
          <w:sz w:val="20"/>
          <w:szCs w:val="20"/>
          <w:highlight w:val="none"/>
          <w:lang w:val="en-US" w:eastAsia="zh-CN"/>
        </w:rPr>
        <w:t>十七</w:t>
      </w:r>
      <w:r>
        <w:rPr>
          <w:rFonts w:hint="eastAsia" w:ascii="宋体" w:hAnsi="宋体" w:eastAsia="宋体" w:cs="宋体"/>
          <w:color w:val="auto"/>
          <w:sz w:val="20"/>
          <w:szCs w:val="20"/>
          <w:highlight w:val="none"/>
          <w:lang w:val="en-US" w:eastAsia="zh-CN"/>
        </w:rPr>
        <w:t>）电调委运作项目</w:t>
      </w:r>
      <w:bookmarkEnd w:id="736"/>
      <w:bookmarkEnd w:id="737"/>
    </w:p>
    <w:p w14:paraId="27FEDC5B">
      <w:pPr>
        <w:pStyle w:val="6"/>
        <w:bidi w:val="0"/>
        <w:rPr>
          <w:rFonts w:hint="eastAsia" w:ascii="宋体" w:hAnsi="宋体" w:eastAsia="宋体" w:cs="宋体"/>
          <w:color w:val="auto"/>
          <w:sz w:val="20"/>
          <w:szCs w:val="20"/>
          <w:highlight w:val="none"/>
          <w:lang w:val="en-US" w:eastAsia="zh-CN"/>
        </w:rPr>
      </w:pPr>
      <w:bookmarkStart w:id="738" w:name="_Toc11507"/>
      <w:bookmarkStart w:id="739" w:name="_Toc16793"/>
      <w:bookmarkStart w:id="740" w:name="_Toc14012"/>
      <w:bookmarkStart w:id="741" w:name="_Toc18193"/>
      <w:bookmarkStart w:id="742" w:name="_Toc15476"/>
      <w:bookmarkStart w:id="743" w:name="_Toc24575"/>
      <w:bookmarkStart w:id="744" w:name="_Toc19293"/>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项目服务标准及要求</w:t>
      </w:r>
      <w:bookmarkEnd w:id="738"/>
      <w:bookmarkEnd w:id="739"/>
      <w:bookmarkEnd w:id="740"/>
      <w:bookmarkEnd w:id="741"/>
      <w:bookmarkEnd w:id="742"/>
      <w:bookmarkEnd w:id="743"/>
      <w:bookmarkEnd w:id="744"/>
    </w:p>
    <w:tbl>
      <w:tblPr>
        <w:tblStyle w:val="15"/>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928"/>
        <w:gridCol w:w="1986"/>
        <w:gridCol w:w="2315"/>
        <w:gridCol w:w="1098"/>
      </w:tblGrid>
      <w:tr w14:paraId="2A6A4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17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378DD">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服务内容</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2B795">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服务人员要求</w:t>
            </w:r>
          </w:p>
        </w:tc>
        <w:tc>
          <w:tcPr>
            <w:tcW w:w="13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7B65D">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color w:val="auto"/>
                <w:sz w:val="20"/>
                <w:szCs w:val="20"/>
                <w:highlight w:val="none"/>
                <w:u w:val="none"/>
              </w:rPr>
            </w:pPr>
            <w:r>
              <w:rPr>
                <w:rFonts w:hint="eastAsia" w:ascii="宋体" w:hAnsi="宋体" w:eastAsia="宋体" w:cs="宋体"/>
                <w:b/>
                <w:bCs/>
                <w:i w:val="0"/>
                <w:color w:val="auto"/>
                <w:kern w:val="0"/>
                <w:sz w:val="20"/>
                <w:szCs w:val="20"/>
                <w:highlight w:val="none"/>
                <w:u w:val="none"/>
                <w:lang w:val="en-US" w:eastAsia="zh-CN" w:bidi="ar"/>
              </w:rPr>
              <w:t>服务时间</w:t>
            </w: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3CB76">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color w:val="auto"/>
                <w:sz w:val="20"/>
                <w:szCs w:val="20"/>
                <w:highlight w:val="none"/>
                <w:u w:val="none"/>
                <w:lang w:eastAsia="zh-CN"/>
              </w:rPr>
            </w:pPr>
            <w:r>
              <w:rPr>
                <w:rFonts w:hint="eastAsia" w:ascii="宋体" w:hAnsi="宋体" w:eastAsia="宋体" w:cs="宋体"/>
                <w:b/>
                <w:bCs/>
                <w:i w:val="0"/>
                <w:color w:val="auto"/>
                <w:sz w:val="20"/>
                <w:szCs w:val="20"/>
                <w:highlight w:val="none"/>
                <w:u w:val="none"/>
                <w:lang w:eastAsia="zh-CN"/>
              </w:rPr>
              <w:t>备注</w:t>
            </w:r>
          </w:p>
        </w:tc>
      </w:tr>
      <w:tr w14:paraId="4057F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175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60EF1E">
            <w:pPr>
              <w:keepNext w:val="0"/>
              <w:keepLines w:val="0"/>
              <w:pageBreakBefore w:val="0"/>
              <w:widowControl/>
              <w:numPr>
                <w:ilvl w:val="0"/>
                <w:numId w:val="0"/>
              </w:numPr>
              <w:suppressLineNumbers w:val="0"/>
              <w:shd w:val="clear"/>
              <w:kinsoku/>
              <w:wordWrap/>
              <w:overflowPunct/>
              <w:topLinePunct w:val="0"/>
              <w:autoSpaceDE/>
              <w:autoSpaceDN/>
              <w:bidi w:val="0"/>
              <w:adjustRightInd/>
              <w:snapToGrid/>
              <w:ind w:firstLine="0" w:firstLineChars="0"/>
              <w:jc w:val="both"/>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一、服务范围：</w:t>
            </w:r>
            <w:r>
              <w:rPr>
                <w:rFonts w:hint="eastAsia" w:ascii="宋体" w:hAnsi="宋体" w:cs="宋体"/>
                <w:i w:val="0"/>
                <w:color w:val="auto"/>
                <w:kern w:val="0"/>
                <w:sz w:val="20"/>
                <w:szCs w:val="20"/>
                <w:highlight w:val="none"/>
                <w:u w:val="none"/>
                <w:lang w:val="en-US" w:eastAsia="zh-CN" w:bidi="ar"/>
              </w:rPr>
              <w:t>采购方确认的</w:t>
            </w:r>
            <w:r>
              <w:rPr>
                <w:rFonts w:hint="eastAsia" w:ascii="宋体" w:hAnsi="宋体" w:eastAsia="宋体" w:cs="宋体"/>
                <w:i w:val="0"/>
                <w:color w:val="auto"/>
                <w:kern w:val="0"/>
                <w:sz w:val="20"/>
                <w:szCs w:val="20"/>
                <w:highlight w:val="none"/>
                <w:u w:val="none"/>
                <w:lang w:val="en-US" w:eastAsia="zh-CN" w:bidi="ar"/>
              </w:rPr>
              <w:t>范围内涉电企业、个人提出的纠纷调解。</w:t>
            </w:r>
          </w:p>
          <w:p w14:paraId="7836ADB9">
            <w:pPr>
              <w:keepNext w:val="0"/>
              <w:keepLines w:val="0"/>
              <w:pageBreakBefore w:val="0"/>
              <w:widowControl/>
              <w:numPr>
                <w:ilvl w:val="0"/>
                <w:numId w:val="0"/>
              </w:numPr>
              <w:suppressLineNumbers w:val="0"/>
              <w:shd w:val="clear"/>
              <w:kinsoku/>
              <w:wordWrap/>
              <w:overflowPunct/>
              <w:topLinePunct w:val="0"/>
              <w:autoSpaceDE/>
              <w:autoSpaceDN/>
              <w:bidi w:val="0"/>
              <w:adjustRightInd/>
              <w:snapToGrid/>
              <w:ind w:firstLine="0" w:firstLineChars="0"/>
              <w:jc w:val="both"/>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二、运营与推广要求；1.受理案件并进行调解。根据案件不同情况，可以采取电话、远程视频、现场等方式进行调解，充分听取当事人的陈述，讲解有关法律法规和国家政策，耐心疏导，在当事人平等协商、互谅互让的基础上提出纠纷解决方案，帮助当事人自愿达成调解协议。2.按要求定期开展电力法律法规宣传活动。3.按要求做好电力纠纷档案管理。4.按要求开展纠纷调解、法治宣传等的统计工作，并按要求报信息。4.按要求做好电调委的新闻宣传报道工作。5.完成电力行业纠纷人民调解指导小组交办的其他事项。</w:t>
            </w: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32419">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专家（电力或法律专家）</w:t>
            </w:r>
          </w:p>
        </w:tc>
        <w:tc>
          <w:tcPr>
            <w:tcW w:w="13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37305">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标准工时制（因案件情况需要调整服务时间的，按具体情况开展工作）</w:t>
            </w: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69519">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auto"/>
                <w:sz w:val="20"/>
                <w:szCs w:val="20"/>
                <w:highlight w:val="none"/>
                <w:u w:val="none"/>
              </w:rPr>
            </w:pPr>
          </w:p>
        </w:tc>
      </w:tr>
      <w:tr w14:paraId="55F5B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97" w:hRule="atLeast"/>
          <w:jc w:val="center"/>
        </w:trPr>
        <w:tc>
          <w:tcPr>
            <w:tcW w:w="17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6D361">
            <w:pPr>
              <w:keepNext w:val="0"/>
              <w:keepLines w:val="0"/>
              <w:pageBreakBefore w:val="0"/>
              <w:shd w:val="clear"/>
              <w:kinsoku/>
              <w:wordWrap/>
              <w:overflowPunct/>
              <w:topLinePunct w:val="0"/>
              <w:autoSpaceDE/>
              <w:autoSpaceDN/>
              <w:bidi w:val="0"/>
              <w:adjustRightInd/>
              <w:snapToGrid/>
              <w:ind w:firstLine="0" w:firstLineChars="0"/>
              <w:jc w:val="center"/>
              <w:rPr>
                <w:rFonts w:hint="eastAsia" w:ascii="宋体" w:hAnsi="宋体" w:eastAsia="宋体" w:cs="宋体"/>
                <w:i w:val="0"/>
                <w:color w:val="auto"/>
                <w:sz w:val="20"/>
                <w:szCs w:val="20"/>
                <w:highlight w:val="none"/>
                <w:u w:val="none"/>
              </w:rPr>
            </w:pP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56060">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调解员</w:t>
            </w:r>
          </w:p>
        </w:tc>
        <w:tc>
          <w:tcPr>
            <w:tcW w:w="13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0ED70">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标准工时制（因案件情况需要调整服务时间的，按具体情况开展工作）</w:t>
            </w: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72038">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auto"/>
                <w:sz w:val="20"/>
                <w:szCs w:val="20"/>
                <w:highlight w:val="none"/>
                <w:u w:val="none"/>
              </w:rPr>
            </w:pPr>
          </w:p>
        </w:tc>
      </w:tr>
      <w:tr w14:paraId="17909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jc w:val="center"/>
        </w:trPr>
        <w:tc>
          <w:tcPr>
            <w:tcW w:w="17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90518">
            <w:pPr>
              <w:keepNext w:val="0"/>
              <w:keepLines w:val="0"/>
              <w:pageBreakBefore w:val="0"/>
              <w:shd w:val="clear"/>
              <w:kinsoku/>
              <w:wordWrap/>
              <w:overflowPunct/>
              <w:topLinePunct w:val="0"/>
              <w:autoSpaceDE/>
              <w:autoSpaceDN/>
              <w:bidi w:val="0"/>
              <w:adjustRightInd/>
              <w:snapToGrid/>
              <w:ind w:firstLine="0" w:firstLineChars="0"/>
              <w:jc w:val="center"/>
              <w:rPr>
                <w:rFonts w:hint="eastAsia" w:ascii="宋体" w:hAnsi="宋体" w:eastAsia="宋体" w:cs="宋体"/>
                <w:i w:val="0"/>
                <w:color w:val="auto"/>
                <w:sz w:val="20"/>
                <w:szCs w:val="20"/>
                <w:highlight w:val="none"/>
                <w:u w:val="none"/>
              </w:rPr>
            </w:pPr>
          </w:p>
        </w:tc>
        <w:tc>
          <w:tcPr>
            <w:tcW w:w="1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1DD3C">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调解员</w:t>
            </w:r>
          </w:p>
        </w:tc>
        <w:tc>
          <w:tcPr>
            <w:tcW w:w="13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9D6CA">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标准工时制（因案件情况需要调整服务时间的，按具体情况开展工作）</w:t>
            </w: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96D03">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color w:val="auto"/>
                <w:sz w:val="20"/>
                <w:szCs w:val="20"/>
                <w:highlight w:val="none"/>
                <w:u w:val="none"/>
              </w:rPr>
            </w:pPr>
          </w:p>
        </w:tc>
      </w:tr>
    </w:tbl>
    <w:p w14:paraId="48744F6A">
      <w:pPr>
        <w:pStyle w:val="6"/>
        <w:bidi w:val="0"/>
        <w:rPr>
          <w:rFonts w:hint="eastAsia" w:ascii="宋体" w:hAnsi="宋体" w:eastAsia="宋体" w:cs="宋体"/>
          <w:color w:val="auto"/>
          <w:sz w:val="20"/>
          <w:szCs w:val="20"/>
          <w:highlight w:val="none"/>
          <w:lang w:val="en-US" w:eastAsia="zh-CN"/>
        </w:rPr>
      </w:pPr>
      <w:bookmarkStart w:id="745" w:name="_Toc7859"/>
      <w:bookmarkStart w:id="746" w:name="_Toc5488"/>
      <w:r>
        <w:rPr>
          <w:rFonts w:hint="eastAsia" w:ascii="宋体" w:hAnsi="宋体" w:eastAsia="宋体" w:cs="宋体"/>
          <w:color w:val="auto"/>
          <w:sz w:val="20"/>
          <w:szCs w:val="20"/>
          <w:highlight w:val="none"/>
          <w:lang w:val="en-US" w:eastAsia="zh-CN"/>
        </w:rPr>
        <w:t>2.服务履约考核</w:t>
      </w:r>
      <w:bookmarkEnd w:id="745"/>
      <w:bookmarkEnd w:id="746"/>
    </w:p>
    <w:p w14:paraId="4E835DE9">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采购方每月对服务商工作进行考核，考核结果作为对服务商履约考核的评价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5"/>
        <w:gridCol w:w="654"/>
        <w:gridCol w:w="1667"/>
        <w:gridCol w:w="3448"/>
        <w:gridCol w:w="1327"/>
        <w:gridCol w:w="726"/>
      </w:tblGrid>
      <w:tr w14:paraId="45E75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95869B">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A5874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维度</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24CC5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评价内容</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47BAD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评分标准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263ED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考核扣分</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7EBCD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7D3EF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06B7140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7467E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服务评价</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83489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质量评价的评价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65F515">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所提供的服务不符合</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的质量要求。每次扣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E50E0F">
            <w:pPr>
              <w:keepNext w:val="0"/>
              <w:keepLines w:val="0"/>
              <w:pageBreakBefore w:val="0"/>
              <w:widowControl w:val="0"/>
              <w:suppressLineNumbers w:val="0"/>
              <w:kinsoku/>
              <w:wordWrap/>
              <w:overflowPunct/>
              <w:topLinePunct w:val="0"/>
              <w:autoSpaceDE/>
              <w:autoSpaceDN/>
              <w:bidi w:val="0"/>
              <w:adjustRightInd/>
              <w:snapToGrid/>
              <w:ind w:firstLine="0" w:firstLineChars="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AD7B9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5E858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48EBA2B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2</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3550E8">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475468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响应速度的评价</w:t>
            </w:r>
          </w:p>
        </w:tc>
        <w:tc>
          <w:tcPr>
            <w:tcW w:w="2024"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661AE72">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服务响应速度慢，影响</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的预期计划。每次扣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DF88D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D27239">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0AA1C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4A50D02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3</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5CED645B">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0E5AF5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服务准时性的评价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7A9C752">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应对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布置的工作要求、任务予以积极响应。未按规定时间提供服务的或完成交办事项的，每次扣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6ABF239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CC7ED9">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52303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34"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5B4E0A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4</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1E250979">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805A71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80A1D72">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应保持良好的沟通形式，下达任务因反馈不及时，影响工作进度、质量的，每次扣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14E6388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D12E0E">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710AA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C67642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5</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0E2FD296">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A6175C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A9E293">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服务态度差，</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向</w:t>
            </w: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要求换人或投诉，每次扣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5C0B72C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E34850">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0808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32C1347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cs="宋体"/>
                <w:b w:val="0"/>
                <w:bCs w:val="0"/>
                <w:i w:val="0"/>
                <w:iCs w:val="0"/>
                <w:color w:val="auto"/>
                <w:kern w:val="0"/>
                <w:sz w:val="20"/>
                <w:szCs w:val="20"/>
                <w:highlight w:val="none"/>
                <w:u w:val="none"/>
                <w:lang w:val="en-US" w:eastAsia="zh-CN" w:bidi="ar"/>
              </w:rPr>
              <w:t>6</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D0857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14A29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144D9A">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必须严格执行</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的安全规定。每出现一次安全事故，扣5分；每出现一次重大安全事故，每次扣10分。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9988A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5分/次</w:t>
            </w:r>
            <w:r>
              <w:rPr>
                <w:rFonts w:hint="eastAsia" w:ascii="宋体" w:hAnsi="宋体" w:cs="宋体"/>
                <w:i w:val="0"/>
                <w:iCs w:val="0"/>
                <w:color w:val="auto"/>
                <w:kern w:val="0"/>
                <w:sz w:val="20"/>
                <w:szCs w:val="20"/>
                <w:highlight w:val="none"/>
                <w:u w:val="none"/>
                <w:lang w:val="en-US" w:eastAsia="zh-CN" w:bidi="ar"/>
              </w:rPr>
              <w:t>；10分/次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9039D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2C4E1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96F1FD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45E9F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49CD4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1397FB">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服务人员未做好保密工作，造成了信息泄露，每次扣</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分；信息泄露给</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带来重大影响的，每次扣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F0977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；5分/次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25DD9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574EE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C656B4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01C6E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259"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3DC1A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考核意见</w:t>
            </w:r>
          </w:p>
          <w:p w14:paraId="1B7CE5F3">
            <w:pPr>
              <w:pStyle w:val="18"/>
              <w:rPr>
                <w:rFonts w:hint="eastAsia"/>
                <w:lang w:val="en-US" w:eastAsia="zh-CN"/>
              </w:rPr>
            </w:pPr>
          </w:p>
          <w:p w14:paraId="7DA058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签名：</w:t>
            </w:r>
          </w:p>
          <w:p w14:paraId="13C1227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cs="宋体"/>
                <w:color w:val="auto"/>
                <w:sz w:val="20"/>
                <w:szCs w:val="20"/>
                <w:highlight w:val="none"/>
                <w:u w:val="none"/>
                <w:vertAlign w:val="baseline"/>
                <w:lang w:val="en-US" w:eastAsia="zh-CN"/>
              </w:rPr>
              <w:t xml:space="preserve">                                             </w:t>
            </w:r>
            <w:r>
              <w:rPr>
                <w:rFonts w:hint="eastAsia" w:ascii="宋体" w:hAnsi="宋体" w:eastAsia="宋体" w:cs="宋体"/>
                <w:color w:val="auto"/>
                <w:sz w:val="20"/>
                <w:szCs w:val="20"/>
                <w:highlight w:val="none"/>
                <w:u w:val="none"/>
                <w:vertAlign w:val="baseline"/>
                <w:lang w:val="en-US" w:eastAsia="zh-CN"/>
              </w:rPr>
              <w:t>日期：</w:t>
            </w:r>
          </w:p>
        </w:tc>
      </w:tr>
    </w:tbl>
    <w:p w14:paraId="05DDD017">
      <w:pPr>
        <w:rPr>
          <w:rFonts w:hint="eastAsia" w:ascii="宋体" w:hAnsi="宋体" w:eastAsia="宋体" w:cs="宋体"/>
          <w:b/>
          <w:bCs w:val="0"/>
          <w:color w:val="auto"/>
          <w:kern w:val="2"/>
          <w:sz w:val="20"/>
          <w:szCs w:val="20"/>
          <w:highlight w:val="none"/>
          <w:lang w:val="en-US" w:eastAsia="zh-CN" w:bidi="ar-SA"/>
        </w:rPr>
      </w:pPr>
      <w:bookmarkStart w:id="747" w:name="_Toc30199"/>
      <w:bookmarkStart w:id="748" w:name="_Toc29643"/>
      <w:bookmarkStart w:id="749" w:name="_Toc24362"/>
      <w:bookmarkStart w:id="750" w:name="_Toc11718"/>
      <w:bookmarkStart w:id="751" w:name="_Toc19204"/>
      <w:bookmarkStart w:id="752" w:name="_Toc9252"/>
      <w:r>
        <w:rPr>
          <w:rFonts w:hint="eastAsia" w:ascii="宋体" w:hAnsi="宋体" w:eastAsia="宋体" w:cs="宋体"/>
          <w:b/>
          <w:bCs w:val="0"/>
          <w:color w:val="auto"/>
          <w:kern w:val="2"/>
          <w:sz w:val="20"/>
          <w:szCs w:val="20"/>
          <w:highlight w:val="none"/>
          <w:lang w:val="en-US" w:eastAsia="zh-CN" w:bidi="ar-SA"/>
        </w:rPr>
        <w:br w:type="page"/>
      </w:r>
    </w:p>
    <w:p w14:paraId="5240EABF">
      <w:pPr>
        <w:pStyle w:val="5"/>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402" w:firstLineChars="200"/>
        <w:jc w:val="center"/>
        <w:textAlignment w:val="auto"/>
        <w:outlineLvl w:val="1"/>
        <w:rPr>
          <w:rFonts w:hint="eastAsia" w:ascii="宋体" w:hAnsi="宋体" w:eastAsia="宋体" w:cs="宋体"/>
          <w:b/>
          <w:bCs w:val="0"/>
          <w:color w:val="auto"/>
          <w:sz w:val="20"/>
          <w:szCs w:val="20"/>
          <w:highlight w:val="none"/>
          <w:lang w:val="en-US" w:eastAsia="zh-CN"/>
        </w:rPr>
      </w:pPr>
      <w:bookmarkStart w:id="753" w:name="_Toc15523"/>
      <w:r>
        <w:rPr>
          <w:rFonts w:hint="eastAsia" w:ascii="宋体" w:hAnsi="宋体" w:eastAsia="宋体" w:cs="宋体"/>
          <w:b/>
          <w:bCs w:val="0"/>
          <w:color w:val="auto"/>
          <w:kern w:val="2"/>
          <w:sz w:val="20"/>
          <w:szCs w:val="20"/>
          <w:highlight w:val="none"/>
          <w:lang w:val="en-US" w:eastAsia="zh-CN" w:bidi="ar-SA"/>
        </w:rPr>
        <w:t>（二十八）</w:t>
      </w:r>
      <w:r>
        <w:rPr>
          <w:rFonts w:hint="eastAsia" w:ascii="宋体" w:hAnsi="宋体" w:eastAsia="宋体" w:cs="宋体"/>
          <w:b/>
          <w:bCs w:val="0"/>
          <w:color w:val="auto"/>
          <w:sz w:val="20"/>
          <w:szCs w:val="20"/>
          <w:highlight w:val="none"/>
          <w:lang w:val="en-US" w:eastAsia="zh-CN"/>
        </w:rPr>
        <w:t>外墙清洗服务项目</w:t>
      </w:r>
      <w:bookmarkEnd w:id="747"/>
      <w:bookmarkEnd w:id="748"/>
      <w:bookmarkEnd w:id="749"/>
      <w:bookmarkEnd w:id="750"/>
      <w:bookmarkEnd w:id="751"/>
      <w:bookmarkEnd w:id="752"/>
      <w:bookmarkEnd w:id="753"/>
    </w:p>
    <w:p w14:paraId="632FA3ED">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2"/>
        <w:rPr>
          <w:rFonts w:hint="eastAsia" w:ascii="宋体" w:hAnsi="宋体" w:eastAsia="宋体" w:cs="宋体"/>
          <w:b/>
          <w:bCs/>
          <w:color w:val="auto"/>
          <w:sz w:val="20"/>
          <w:szCs w:val="20"/>
          <w:highlight w:val="none"/>
          <w:lang w:val="en-US" w:eastAsia="zh-CN"/>
        </w:rPr>
      </w:pPr>
      <w:bookmarkStart w:id="754" w:name="_Toc6274"/>
      <w:bookmarkStart w:id="755" w:name="_Toc16150"/>
      <w:bookmarkStart w:id="756" w:name="_Toc6261"/>
      <w:bookmarkStart w:id="757" w:name="_Toc1772"/>
      <w:r>
        <w:rPr>
          <w:rFonts w:hint="eastAsia" w:ascii="宋体" w:hAnsi="宋体" w:eastAsia="宋体" w:cs="宋体"/>
          <w:b/>
          <w:bCs/>
          <w:color w:val="auto"/>
          <w:sz w:val="20"/>
          <w:szCs w:val="20"/>
          <w:highlight w:val="none"/>
          <w:lang w:val="en-US" w:eastAsia="zh-CN"/>
        </w:rPr>
        <w:t>1.项目服务标准及要求</w:t>
      </w:r>
      <w:bookmarkEnd w:id="754"/>
      <w:bookmarkEnd w:id="755"/>
      <w:bookmarkEnd w:id="756"/>
      <w:bookmarkEnd w:id="757"/>
    </w:p>
    <w:p w14:paraId="341074C4">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9"/>
        <w:rPr>
          <w:rFonts w:hint="eastAsia" w:ascii="宋体" w:hAnsi="宋体" w:eastAsia="宋体" w:cs="宋体"/>
          <w:b/>
          <w:bCs/>
          <w:color w:val="auto"/>
          <w:sz w:val="20"/>
          <w:szCs w:val="20"/>
          <w:highlight w:val="none"/>
          <w:lang w:val="en-US" w:eastAsia="zh-CN"/>
        </w:rPr>
      </w:pPr>
      <w:bookmarkStart w:id="758" w:name="_Toc6133"/>
      <w:r>
        <w:rPr>
          <w:rFonts w:hint="eastAsia" w:ascii="宋体" w:hAnsi="宋体" w:eastAsia="宋体" w:cs="宋体"/>
          <w:b/>
          <w:bCs/>
          <w:color w:val="auto"/>
          <w:sz w:val="20"/>
          <w:szCs w:val="20"/>
          <w:highlight w:val="none"/>
          <w:lang w:val="en-US" w:eastAsia="zh-CN"/>
        </w:rPr>
        <w:t>1.1项目服务标准</w:t>
      </w:r>
      <w:bookmarkEnd w:id="758"/>
    </w:p>
    <w:p w14:paraId="2FE6D4F5">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rPr>
      </w:pPr>
      <w:bookmarkStart w:id="759" w:name="_Toc30815"/>
      <w:r>
        <w:rPr>
          <w:rFonts w:hint="eastAsia" w:ascii="宋体" w:hAnsi="宋体"/>
          <w:color w:val="auto"/>
          <w:sz w:val="20"/>
          <w:szCs w:val="20"/>
          <w:highlight w:val="none"/>
          <w:lang w:eastAsia="zh-CN"/>
        </w:rPr>
        <w:t>供应商</w:t>
      </w:r>
      <w:r>
        <w:rPr>
          <w:rFonts w:hint="eastAsia" w:ascii="宋体" w:hAnsi="宋体"/>
          <w:color w:val="auto"/>
          <w:sz w:val="20"/>
          <w:szCs w:val="20"/>
          <w:highlight w:val="none"/>
        </w:rPr>
        <w:t>在提供建筑物外墙清洗服务时，需按照如下标准执行，要求所用标准必须为最新版本，如果这些标准有矛盾时，应按最高标准的条款执行或按双方商定的标准执行。此外，如果在合同执行期间国家颁布新的标准时，应按最新的条款执行。</w:t>
      </w:r>
    </w:p>
    <w:p w14:paraId="2424F4BE">
      <w:pPr>
        <w:spacing w:line="560" w:lineRule="exact"/>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t>表：项目服务标准</w:t>
      </w:r>
    </w:p>
    <w:tbl>
      <w:tblPr>
        <w:tblStyle w:val="15"/>
        <w:tblW w:w="8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7731"/>
      </w:tblGrid>
      <w:tr w14:paraId="19F9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blHeader/>
        </w:trPr>
        <w:tc>
          <w:tcPr>
            <w:tcW w:w="806" w:type="dxa"/>
            <w:shd w:val="clear" w:color="auto" w:fill="auto"/>
            <w:noWrap/>
            <w:vAlign w:val="center"/>
          </w:tcPr>
          <w:p w14:paraId="61B1EBCD">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序号</w:t>
            </w:r>
          </w:p>
        </w:tc>
        <w:tc>
          <w:tcPr>
            <w:tcW w:w="7731" w:type="dxa"/>
            <w:shd w:val="clear" w:color="auto" w:fill="auto"/>
            <w:noWrap/>
            <w:vAlign w:val="center"/>
          </w:tcPr>
          <w:p w14:paraId="1A3720C9">
            <w:pPr>
              <w:widowControl/>
              <w:jc w:val="center"/>
              <w:textAlignment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kern w:val="0"/>
                <w:sz w:val="20"/>
                <w:szCs w:val="20"/>
                <w:highlight w:val="none"/>
                <w:lang w:bidi="ar"/>
              </w:rPr>
              <w:t>相关标准</w:t>
            </w:r>
          </w:p>
        </w:tc>
      </w:tr>
      <w:tr w14:paraId="61624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06" w:type="dxa"/>
            <w:shd w:val="clear" w:color="auto" w:fill="auto"/>
            <w:noWrap/>
            <w:vAlign w:val="center"/>
          </w:tcPr>
          <w:p w14:paraId="3A23690E">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1</w:t>
            </w:r>
          </w:p>
        </w:tc>
        <w:tc>
          <w:tcPr>
            <w:tcW w:w="7731" w:type="dxa"/>
            <w:shd w:val="clear" w:color="auto" w:fill="auto"/>
            <w:noWrap/>
            <w:vAlign w:val="center"/>
          </w:tcPr>
          <w:p w14:paraId="56FA0A77">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《建筑物清洗维护质量要求》（GB/T 25030-2010）</w:t>
            </w:r>
          </w:p>
        </w:tc>
      </w:tr>
      <w:tr w14:paraId="6CDB4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06" w:type="dxa"/>
            <w:shd w:val="clear" w:color="auto" w:fill="auto"/>
            <w:noWrap/>
            <w:vAlign w:val="center"/>
          </w:tcPr>
          <w:p w14:paraId="699200D9">
            <w:pPr>
              <w:widowControl/>
              <w:jc w:val="center"/>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2</w:t>
            </w:r>
          </w:p>
        </w:tc>
        <w:tc>
          <w:tcPr>
            <w:tcW w:w="7731" w:type="dxa"/>
            <w:shd w:val="clear" w:color="auto" w:fill="auto"/>
            <w:noWrap/>
            <w:vAlign w:val="center"/>
          </w:tcPr>
          <w:p w14:paraId="59CFC36C">
            <w:pPr>
              <w:widowControl/>
              <w:textAlignment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kern w:val="0"/>
                <w:sz w:val="20"/>
                <w:szCs w:val="20"/>
                <w:highlight w:val="none"/>
                <w:lang w:bidi="ar"/>
              </w:rPr>
              <w:t>《火灾高危单位消防安全评估规程》（DB45/T 1164-2015）</w:t>
            </w:r>
          </w:p>
        </w:tc>
      </w:tr>
      <w:tr w14:paraId="544F2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06" w:type="dxa"/>
            <w:shd w:val="clear" w:color="auto" w:fill="auto"/>
            <w:noWrap/>
            <w:vAlign w:val="center"/>
          </w:tcPr>
          <w:p w14:paraId="500F7A19">
            <w:pPr>
              <w:widowControl/>
              <w:jc w:val="center"/>
              <w:textAlignment w:val="center"/>
              <w:rPr>
                <w:rFonts w:hint="eastAsia" w:asciiTheme="minorEastAsia" w:hAnsiTheme="minorEastAsia" w:eastAsiaTheme="minorEastAsia" w:cstheme="minorEastAsia"/>
                <w:color w:val="auto"/>
                <w:kern w:val="0"/>
                <w:sz w:val="20"/>
                <w:szCs w:val="20"/>
                <w:highlight w:val="none"/>
                <w:lang w:bidi="ar"/>
              </w:rPr>
            </w:pPr>
            <w:r>
              <w:rPr>
                <w:rFonts w:hint="eastAsia" w:asciiTheme="minorEastAsia" w:hAnsiTheme="minorEastAsia" w:eastAsiaTheme="minorEastAsia" w:cstheme="minorEastAsia"/>
                <w:color w:val="auto"/>
                <w:kern w:val="0"/>
                <w:sz w:val="20"/>
                <w:szCs w:val="20"/>
                <w:highlight w:val="none"/>
                <w:lang w:bidi="ar"/>
              </w:rPr>
              <w:t>3</w:t>
            </w:r>
          </w:p>
        </w:tc>
        <w:tc>
          <w:tcPr>
            <w:tcW w:w="7731" w:type="dxa"/>
            <w:shd w:val="clear" w:color="auto" w:fill="auto"/>
            <w:noWrap/>
            <w:vAlign w:val="center"/>
          </w:tcPr>
          <w:p w14:paraId="29B286CA">
            <w:pPr>
              <w:widowControl/>
              <w:jc w:val="center"/>
              <w:textAlignment w:val="center"/>
              <w:rPr>
                <w:rFonts w:hint="eastAsia" w:asciiTheme="minorEastAsia" w:hAnsiTheme="minorEastAsia" w:eastAsiaTheme="minorEastAsia" w:cstheme="minorEastAsia"/>
                <w:color w:val="auto"/>
                <w:kern w:val="0"/>
                <w:sz w:val="20"/>
                <w:szCs w:val="20"/>
                <w:highlight w:val="none"/>
                <w:lang w:bidi="ar"/>
              </w:rPr>
            </w:pPr>
            <w:r>
              <w:rPr>
                <w:rFonts w:hint="eastAsia" w:asciiTheme="minorEastAsia" w:hAnsiTheme="minorEastAsia" w:eastAsiaTheme="minorEastAsia" w:cstheme="minorEastAsia"/>
                <w:color w:val="auto"/>
                <w:kern w:val="0"/>
                <w:sz w:val="20"/>
                <w:szCs w:val="20"/>
                <w:highlight w:val="none"/>
                <w:lang w:bidi="ar"/>
              </w:rPr>
              <w:t>《单位消防安全评估》（XF/T 3005-2020）</w:t>
            </w:r>
          </w:p>
        </w:tc>
      </w:tr>
    </w:tbl>
    <w:p w14:paraId="1261D261">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9"/>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1.2项目服务要求</w:t>
      </w:r>
      <w:bookmarkEnd w:id="759"/>
    </w:p>
    <w:p w14:paraId="02995E6B">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1.2.1</w:t>
      </w:r>
      <w:bookmarkStart w:id="760" w:name="_Toc32555"/>
      <w:r>
        <w:rPr>
          <w:rFonts w:hint="eastAsia" w:ascii="宋体" w:hAnsi="宋体"/>
          <w:color w:val="auto"/>
          <w:sz w:val="20"/>
          <w:szCs w:val="20"/>
          <w:highlight w:val="none"/>
          <w:lang w:val="en-US" w:eastAsia="zh-CN"/>
        </w:rPr>
        <w:t xml:space="preserve">合同实施前，供应商需对采购方建筑物外墙的具体情况进行全面摸查，根据摸查的情况，针对建筑物外墙清洗服务项目，需专人进行对接，熟悉和了解采购方建筑物外墙清洗的整体情况。 </w:t>
      </w:r>
    </w:p>
    <w:p w14:paraId="7999F5B9">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1.2.2为保证建筑物外墙的干净整洁，供应商必须按照《附件1：建筑物外墙清洗的具体要求》中所列要求执行，建筑物外墙清洗的周期由双方共同约定。</w:t>
      </w:r>
    </w:p>
    <w:p w14:paraId="4272D983">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1.2.3供应商提供24小时的服务接受渠道（热线电话、微信、传真、电子邮件等）。供应商在接收到服务需求后，必须在1小时内作出响应，并派出专业的技术人员按采购方的时间要求到达现场。在采购方规定的时间内实施工作。</w:t>
      </w:r>
    </w:p>
    <w:p w14:paraId="539F48A9">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1.2.4供应商应自行配备工作所需的各种专业工具及设备，并在进场之前由相关专业人员检查合格后可在现场使用。此外，供应商在清洗过程中所用零配件应为合格产品，其余辅助材料应符合国家相关技术规范及设备安全使用条例。</w:t>
      </w:r>
    </w:p>
    <w:p w14:paraId="5C72ED4A">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1.2.5</w:t>
      </w:r>
      <w:r>
        <w:rPr>
          <w:rFonts w:hint="eastAsia" w:ascii="宋体" w:hAnsi="宋体"/>
          <w:color w:val="auto"/>
          <w:sz w:val="20"/>
          <w:szCs w:val="20"/>
          <w:highlight w:val="none"/>
          <w:lang w:eastAsia="zh-CN"/>
        </w:rPr>
        <w:t>供应商</w:t>
      </w:r>
      <w:r>
        <w:rPr>
          <w:rFonts w:hint="eastAsia" w:ascii="宋体" w:hAnsi="宋体"/>
          <w:color w:val="auto"/>
          <w:sz w:val="20"/>
          <w:szCs w:val="20"/>
          <w:highlight w:val="none"/>
        </w:rPr>
        <w:t>需依据具体项目要求自行配置相应的高空作业车等机动作业车辆且这部分机动作业车辆必须具备有效牌照及行车证，并购置办理路费、税款、交强险等手续，由持有特种作业资质或相应准驾车型的驾驶证的专业司机驾驶，遵守高空作业安全规则及交通规则。</w:t>
      </w:r>
    </w:p>
    <w:p w14:paraId="70DFFA0E">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1.2.6供应商</w:t>
      </w:r>
      <w:r>
        <w:rPr>
          <w:rFonts w:hint="eastAsia" w:ascii="宋体" w:hAnsi="宋体"/>
          <w:color w:val="auto"/>
          <w:sz w:val="20"/>
          <w:szCs w:val="20"/>
          <w:highlight w:val="none"/>
        </w:rPr>
        <w:t>清洁时须对设备设施、地面地砖、绿化带植物等做好成品保护，如施工中造成设备损坏、地面破坏、绿植破坏等一切后果由</w:t>
      </w:r>
      <w:r>
        <w:rPr>
          <w:rFonts w:hint="eastAsia" w:ascii="宋体" w:hAnsi="宋体"/>
          <w:color w:val="auto"/>
          <w:sz w:val="20"/>
          <w:szCs w:val="20"/>
          <w:highlight w:val="none"/>
          <w:lang w:eastAsia="zh-CN"/>
        </w:rPr>
        <w:t>供应商</w:t>
      </w:r>
      <w:r>
        <w:rPr>
          <w:rFonts w:hint="eastAsia" w:ascii="宋体" w:hAnsi="宋体"/>
          <w:color w:val="auto"/>
          <w:sz w:val="20"/>
          <w:szCs w:val="20"/>
          <w:highlight w:val="none"/>
        </w:rPr>
        <w:t>负责，施工前</w:t>
      </w:r>
      <w:r>
        <w:rPr>
          <w:rFonts w:hint="eastAsia" w:ascii="宋体" w:hAnsi="宋体"/>
          <w:color w:val="auto"/>
          <w:sz w:val="20"/>
          <w:szCs w:val="20"/>
          <w:highlight w:val="none"/>
          <w:lang w:eastAsia="zh-CN"/>
        </w:rPr>
        <w:t>供应商</w:t>
      </w:r>
      <w:r>
        <w:rPr>
          <w:rFonts w:hint="eastAsia" w:ascii="宋体" w:hAnsi="宋体"/>
          <w:color w:val="auto"/>
          <w:sz w:val="20"/>
          <w:szCs w:val="20"/>
          <w:highlight w:val="none"/>
        </w:rPr>
        <w:t>应先检查清洗场地破损情况，及时与</w:t>
      </w:r>
      <w:r>
        <w:rPr>
          <w:rFonts w:hint="eastAsia" w:ascii="宋体" w:hAnsi="宋体"/>
          <w:color w:val="auto"/>
          <w:sz w:val="20"/>
          <w:szCs w:val="20"/>
          <w:highlight w:val="none"/>
          <w:lang w:eastAsia="zh-CN"/>
        </w:rPr>
        <w:t>采购方</w:t>
      </w:r>
      <w:r>
        <w:rPr>
          <w:rFonts w:hint="eastAsia" w:ascii="宋体" w:hAnsi="宋体"/>
          <w:color w:val="auto"/>
          <w:sz w:val="20"/>
          <w:szCs w:val="20"/>
          <w:highlight w:val="none"/>
        </w:rPr>
        <w:t>书面确认，否则视为施工损坏，修复费用由</w:t>
      </w:r>
      <w:r>
        <w:rPr>
          <w:rFonts w:hint="eastAsia" w:ascii="宋体" w:hAnsi="宋体"/>
          <w:color w:val="auto"/>
          <w:sz w:val="20"/>
          <w:szCs w:val="20"/>
          <w:highlight w:val="none"/>
          <w:lang w:eastAsia="zh-CN"/>
        </w:rPr>
        <w:t>供应商</w:t>
      </w:r>
      <w:r>
        <w:rPr>
          <w:rFonts w:hint="eastAsia" w:ascii="宋体" w:hAnsi="宋体"/>
          <w:color w:val="auto"/>
          <w:sz w:val="20"/>
          <w:szCs w:val="20"/>
          <w:highlight w:val="none"/>
        </w:rPr>
        <w:t>负担。</w:t>
      </w:r>
    </w:p>
    <w:p w14:paraId="5DDF8165">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1.2.7在每次进行建筑物清洗后，供应商需填写记录表，并经采购方值班人员或管理员核实签字认可，作为结算的重要依据。</w:t>
      </w:r>
    </w:p>
    <w:p w14:paraId="42ED5DB0">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1.2.8供应商负责制定服务范围内建筑物外墙清洗紧急事件的工作预案，经供应商和采购方双方审定后由供应商组织实施；在发生紧急事件或急迫性维修后，供应商须立即委派负责人到达现场妥善处理。</w:t>
      </w:r>
    </w:p>
    <w:p w14:paraId="1A37BC54">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1.2.9供应商加强人员管理，合理安排人员，保障项目工作进度。确因不可抗力影响项目实施，需与采购方协商修订项目实施计划，达成一致后执行。</w:t>
      </w:r>
    </w:p>
    <w:p w14:paraId="79ADCB5E">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1.2.10供应商必须配备专业的高空作业人员完成本项目，工作人员具有建筑物外墙清洗经验并持有法定要求的职业资格证，如高空作业证等。</w:t>
      </w:r>
    </w:p>
    <w:p w14:paraId="07D09FB5">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1.2.11供应商必须建立健全严格的安全管理制度，在开展建筑物外墙清洗服务工作中严格执行安全管理规定，深刻认识和领会采购方对安全工作的态度和要求，并给予相应的支持和配合。如因非采购方原因导致的安全问题，由供应商承担责任，并按国家法律法规及相关要求进行赔偿。</w:t>
      </w:r>
    </w:p>
    <w:p w14:paraId="03C279C9">
      <w:pPr>
        <w:pageBreakBefore w:val="0"/>
        <w:kinsoku/>
        <w:wordWrap/>
        <w:overflowPunct/>
        <w:topLinePunct w:val="0"/>
        <w:autoSpaceDE/>
        <w:autoSpaceDN/>
        <w:bidi w:val="0"/>
        <w:adjustRightInd/>
        <w:snapToGrid/>
        <w:spacing w:line="560" w:lineRule="exact"/>
        <w:ind w:firstLine="400" w:firstLineChars="200"/>
        <w:outlineLvl w:val="9"/>
        <w:rPr>
          <w:rFonts w:hint="eastAsia" w:ascii="宋体" w:hAnsi="宋体"/>
          <w:color w:val="auto"/>
          <w:sz w:val="20"/>
          <w:szCs w:val="20"/>
          <w:highlight w:val="none"/>
          <w:lang w:val="en-US" w:eastAsia="zh-CN"/>
        </w:rPr>
      </w:pPr>
      <w:r>
        <w:rPr>
          <w:rFonts w:hint="eastAsia" w:ascii="宋体" w:hAnsi="宋体"/>
          <w:color w:val="auto"/>
          <w:sz w:val="20"/>
          <w:szCs w:val="20"/>
          <w:highlight w:val="none"/>
          <w:lang w:val="en-US" w:eastAsia="zh-CN"/>
        </w:rPr>
        <w:t>1.2.12在建筑物外墙清洗工作期间，供应商应负责落实现场安全防护措施，建立可靠的安全防护措施和明显标志，保证安全作业。而且必须遵循采购方的安全管理，并采取必要的措施保障安全。确保不发生信息安全事件；不发生轻伤及以上人身事故；不发生有责任的设备损坏事故；不发生重大质量事故。</w:t>
      </w:r>
    </w:p>
    <w:p w14:paraId="146A7AA6">
      <w:pPr>
        <w:pageBreakBefore w:val="0"/>
        <w:kinsoku/>
        <w:wordWrap/>
        <w:overflowPunct/>
        <w:topLinePunct w:val="0"/>
        <w:autoSpaceDE/>
        <w:autoSpaceDN/>
        <w:bidi w:val="0"/>
        <w:adjustRightInd/>
        <w:snapToGrid/>
        <w:spacing w:line="560" w:lineRule="exact"/>
        <w:ind w:firstLine="400" w:firstLineChars="200"/>
        <w:outlineLvl w:val="9"/>
        <w:rPr>
          <w:rFonts w:hint="eastAsia" w:ascii="仿宋_GB2312" w:hAnsi="仿宋_GB2312" w:eastAsia="仿宋_GB2312" w:cs="仿宋_GB2312"/>
          <w:b w:val="0"/>
          <w:bCs w:val="0"/>
          <w:color w:val="auto"/>
          <w:sz w:val="20"/>
          <w:szCs w:val="20"/>
          <w:highlight w:val="none"/>
          <w:lang w:val="en-US" w:eastAsia="zh-CN"/>
        </w:rPr>
      </w:pPr>
      <w:r>
        <w:rPr>
          <w:rFonts w:hint="eastAsia" w:ascii="宋体" w:hAnsi="宋体"/>
          <w:color w:val="auto"/>
          <w:sz w:val="20"/>
          <w:szCs w:val="20"/>
          <w:highlight w:val="none"/>
          <w:lang w:val="en-US" w:eastAsia="zh-CN"/>
        </w:rPr>
        <w:t>1.2.13供应商须建立健全的各项规章制度（包含但不限于安全生产责任及管理制度、质量安全及事故呈报与处理制度、回访制度等）。</w:t>
      </w:r>
      <w:r>
        <w:rPr>
          <w:rFonts w:hint="eastAsia" w:ascii="仿宋_GB2312" w:hAnsi="仿宋_GB2312" w:eastAsia="仿宋_GB2312" w:cs="仿宋_GB2312"/>
          <w:b w:val="0"/>
          <w:bCs w:val="0"/>
          <w:color w:val="auto"/>
          <w:sz w:val="20"/>
          <w:szCs w:val="20"/>
          <w:highlight w:val="none"/>
          <w:lang w:val="en-US" w:eastAsia="zh-CN"/>
        </w:rPr>
        <w:t xml:space="preserve"> </w:t>
      </w:r>
    </w:p>
    <w:p w14:paraId="7BC065E7">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9"/>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1.3建筑物外墙清洗的具体要求</w:t>
      </w:r>
    </w:p>
    <w:tbl>
      <w:tblPr>
        <w:tblStyle w:val="16"/>
        <w:tblW w:w="8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7143"/>
      </w:tblGrid>
      <w:tr w14:paraId="46AB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876" w:type="dxa"/>
          </w:tcPr>
          <w:p w14:paraId="4173F8D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b/>
                <w:bCs/>
                <w:i w:val="0"/>
                <w:iCs w:val="0"/>
                <w:color w:val="auto"/>
                <w:kern w:val="0"/>
                <w:sz w:val="20"/>
                <w:szCs w:val="20"/>
                <w:highlight w:val="none"/>
                <w:u w:val="none"/>
                <w:lang w:val="en-US" w:eastAsia="zh-CN" w:bidi="ar"/>
              </w:rPr>
              <w:t>序号</w:t>
            </w:r>
          </w:p>
        </w:tc>
        <w:tc>
          <w:tcPr>
            <w:tcW w:w="7143" w:type="dxa"/>
          </w:tcPr>
          <w:p w14:paraId="3861879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b/>
                <w:bCs/>
                <w:i w:val="0"/>
                <w:iCs w:val="0"/>
                <w:color w:val="auto"/>
                <w:kern w:val="0"/>
                <w:sz w:val="20"/>
                <w:szCs w:val="20"/>
                <w:highlight w:val="none"/>
                <w:u w:val="none"/>
                <w:lang w:val="en-US" w:eastAsia="zh-CN" w:bidi="ar"/>
              </w:rPr>
              <w:t>具体要求</w:t>
            </w:r>
          </w:p>
        </w:tc>
      </w:tr>
      <w:tr w14:paraId="2258C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876" w:type="dxa"/>
            <w:vAlign w:val="center"/>
          </w:tcPr>
          <w:p w14:paraId="429D5D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w:t>
            </w:r>
          </w:p>
        </w:tc>
        <w:tc>
          <w:tcPr>
            <w:tcW w:w="7143" w:type="dxa"/>
            <w:vAlign w:val="center"/>
          </w:tcPr>
          <w:p w14:paraId="52EF66E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建筑外表面应保持整洁,无明显污迹,无残损、脱落、严重变色、表面洁净光亮、无杂质等。</w:t>
            </w:r>
          </w:p>
        </w:tc>
      </w:tr>
      <w:tr w14:paraId="031A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876" w:type="dxa"/>
            <w:vAlign w:val="center"/>
          </w:tcPr>
          <w:p w14:paraId="0325E9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2</w:t>
            </w:r>
          </w:p>
        </w:tc>
        <w:tc>
          <w:tcPr>
            <w:tcW w:w="7143" w:type="dxa"/>
            <w:vAlign w:val="center"/>
          </w:tcPr>
          <w:p w14:paraId="06722D0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供应商不得使用对外墙、玻璃、涂料、瓷砖、招牌等具有腐蚀性、有害的洗涤剂和化工原料，不得破坏作业场所相关设备和设施，否则</w:t>
            </w:r>
            <w:r>
              <w:rPr>
                <w:rFonts w:hint="eastAsia" w:asciiTheme="minorEastAsia" w:hAnsiTheme="minorEastAsia" w:cstheme="minorEastAsia"/>
                <w:i w:val="0"/>
                <w:iCs w:val="0"/>
                <w:color w:val="auto"/>
                <w:kern w:val="0"/>
                <w:sz w:val="20"/>
                <w:szCs w:val="20"/>
                <w:highlight w:val="none"/>
                <w:u w:val="none"/>
                <w:lang w:val="en-US" w:eastAsia="zh-CN" w:bidi="ar"/>
              </w:rPr>
              <w:t>采购方</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有权拒付外墙清洗费，并追究供应商对外墙、玻璃、涂料、瓷砖、招牌及作业场所相关设备设施等腐蚀、破损和损坏部分进行无偿修复和赔偿。</w:t>
            </w:r>
          </w:p>
        </w:tc>
      </w:tr>
      <w:tr w14:paraId="3273D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876" w:type="dxa"/>
            <w:vAlign w:val="center"/>
          </w:tcPr>
          <w:p w14:paraId="6D0004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3</w:t>
            </w:r>
          </w:p>
        </w:tc>
        <w:tc>
          <w:tcPr>
            <w:tcW w:w="7143" w:type="dxa"/>
            <w:vAlign w:val="center"/>
          </w:tcPr>
          <w:p w14:paraId="71C2672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水清洗后无色差（因原墙面本身颜色有色差的除外）无变色、无损伤；外墙面金属结构平面上的排水孔通畅。</w:t>
            </w:r>
          </w:p>
        </w:tc>
      </w:tr>
      <w:tr w14:paraId="1F4FA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876" w:type="dxa"/>
            <w:vAlign w:val="center"/>
          </w:tcPr>
          <w:p w14:paraId="270741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4</w:t>
            </w:r>
          </w:p>
        </w:tc>
        <w:tc>
          <w:tcPr>
            <w:tcW w:w="7143" w:type="dxa"/>
            <w:vAlign w:val="center"/>
          </w:tcPr>
          <w:p w14:paraId="63411C6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供应商应具备外墙清洗相关资质，所涉及登高人员必须有登高作业资质。供应商自行提供外墙清洗所需备品备件、以及清洗用品、登高作业所需材料，并在征得</w:t>
            </w:r>
            <w:r>
              <w:rPr>
                <w:rFonts w:hint="eastAsia" w:asciiTheme="minorEastAsia" w:hAnsiTheme="minorEastAsia" w:cstheme="minorEastAsia"/>
                <w:i w:val="0"/>
                <w:iCs w:val="0"/>
                <w:color w:val="auto"/>
                <w:kern w:val="0"/>
                <w:sz w:val="20"/>
                <w:szCs w:val="20"/>
                <w:highlight w:val="none"/>
                <w:u w:val="none"/>
                <w:lang w:val="en-US" w:eastAsia="zh-CN" w:bidi="ar"/>
              </w:rPr>
              <w:t>采购方</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同意后才能开展现场工作。</w:t>
            </w:r>
          </w:p>
        </w:tc>
      </w:tr>
    </w:tbl>
    <w:p w14:paraId="57DADDD2">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2"/>
        <w:rPr>
          <w:rFonts w:hint="eastAsia" w:ascii="宋体" w:hAnsi="宋体" w:eastAsia="宋体" w:cs="宋体"/>
          <w:b/>
          <w:bCs/>
          <w:color w:val="auto"/>
          <w:sz w:val="20"/>
          <w:szCs w:val="20"/>
          <w:highlight w:val="none"/>
          <w:lang w:val="en-US" w:eastAsia="zh-CN"/>
        </w:rPr>
      </w:pPr>
      <w:bookmarkStart w:id="761" w:name="_Toc14364"/>
      <w:bookmarkStart w:id="762" w:name="_Toc12984"/>
      <w:bookmarkStart w:id="763" w:name="_Toc22942"/>
      <w:bookmarkStart w:id="764" w:name="_Toc17104"/>
      <w:r>
        <w:rPr>
          <w:rFonts w:hint="eastAsia" w:ascii="宋体" w:hAnsi="宋体" w:eastAsia="宋体" w:cs="宋体"/>
          <w:b/>
          <w:bCs/>
          <w:color w:val="auto"/>
          <w:sz w:val="20"/>
          <w:szCs w:val="20"/>
          <w:highlight w:val="none"/>
          <w:lang w:val="en-US" w:eastAsia="zh-CN"/>
        </w:rPr>
        <w:t>2.服务履约考核</w:t>
      </w:r>
      <w:bookmarkEnd w:id="760"/>
      <w:bookmarkEnd w:id="761"/>
      <w:bookmarkEnd w:id="762"/>
      <w:bookmarkEnd w:id="763"/>
      <w:bookmarkEnd w:id="764"/>
    </w:p>
    <w:p w14:paraId="6D787BBF">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outlineLvl w:val="9"/>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采购方对服务商</w:t>
      </w:r>
      <w:r>
        <w:rPr>
          <w:rFonts w:hint="eastAsia" w:ascii="宋体" w:hAnsi="宋体" w:cs="宋体"/>
          <w:bCs/>
          <w:color w:val="auto"/>
          <w:sz w:val="20"/>
          <w:szCs w:val="20"/>
          <w:highlight w:val="none"/>
          <w:lang w:val="en-US" w:eastAsia="zh-CN"/>
        </w:rPr>
        <w:t>每次清洗</w:t>
      </w:r>
      <w:r>
        <w:rPr>
          <w:rFonts w:hint="eastAsia" w:ascii="宋体" w:hAnsi="宋体" w:eastAsia="宋体" w:cs="宋体"/>
          <w:bCs/>
          <w:color w:val="auto"/>
          <w:sz w:val="20"/>
          <w:szCs w:val="20"/>
          <w:highlight w:val="none"/>
          <w:lang w:val="en-US" w:eastAsia="zh-CN"/>
        </w:rPr>
        <w:t>工作进行考核，考核结果作为对服务商履约考核的评价</w:t>
      </w:r>
      <w:r>
        <w:rPr>
          <w:rFonts w:hint="eastAsia" w:ascii="宋体" w:hAnsi="宋体" w:eastAsia="宋体" w:cs="宋体"/>
          <w:color w:val="auto"/>
          <w:sz w:val="20"/>
          <w:szCs w:val="20"/>
          <w:highlight w:val="none"/>
          <w:lang w:eastAsia="zh-CN"/>
        </w:rPr>
        <w:t>，</w:t>
      </w:r>
      <w:r>
        <w:rPr>
          <w:rFonts w:hint="eastAsia" w:ascii="宋体" w:hAnsi="宋体" w:eastAsia="宋体" w:cs="宋体"/>
          <w:bCs/>
          <w:color w:val="auto"/>
          <w:sz w:val="20"/>
          <w:szCs w:val="20"/>
          <w:highlight w:val="none"/>
          <w:lang w:val="en-US" w:eastAsia="zh-CN"/>
        </w:rPr>
        <w:t>每扣1分折合人民币100元。</w:t>
      </w:r>
    </w:p>
    <w:tbl>
      <w:tblPr>
        <w:tblStyle w:val="15"/>
        <w:tblW w:w="84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4"/>
        <w:gridCol w:w="7521"/>
      </w:tblGrid>
      <w:tr w14:paraId="02A47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 w:hRule="atLeast"/>
          <w:tblHeader/>
        </w:trPr>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0DF5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0"/>
                <w:szCs w:val="20"/>
                <w:highlight w:val="none"/>
                <w:u w:val="none"/>
              </w:rPr>
            </w:pPr>
            <w:r>
              <w:rPr>
                <w:rFonts w:hint="eastAsia" w:asciiTheme="minorEastAsia" w:hAnsiTheme="minorEastAsia" w:eastAsiaTheme="minorEastAsia" w:cstheme="minorEastAsia"/>
                <w:b/>
                <w:bCs/>
                <w:i w:val="0"/>
                <w:iCs w:val="0"/>
                <w:color w:val="auto"/>
                <w:kern w:val="0"/>
                <w:sz w:val="20"/>
                <w:szCs w:val="20"/>
                <w:highlight w:val="none"/>
                <w:u w:val="none"/>
                <w:lang w:val="en-US" w:eastAsia="zh-CN" w:bidi="ar"/>
              </w:rPr>
              <w:t>维度</w:t>
            </w:r>
          </w:p>
        </w:tc>
        <w:tc>
          <w:tcPr>
            <w:tcW w:w="7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C072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0"/>
                <w:szCs w:val="20"/>
                <w:highlight w:val="none"/>
                <w:u w:val="none"/>
              </w:rPr>
            </w:pPr>
            <w:r>
              <w:rPr>
                <w:rFonts w:hint="eastAsia" w:asciiTheme="minorEastAsia" w:hAnsiTheme="minorEastAsia" w:eastAsiaTheme="minorEastAsia" w:cstheme="minorEastAsia"/>
                <w:b/>
                <w:bCs/>
                <w:i w:val="0"/>
                <w:iCs w:val="0"/>
                <w:color w:val="auto"/>
                <w:kern w:val="0"/>
                <w:sz w:val="20"/>
                <w:szCs w:val="20"/>
                <w:highlight w:val="none"/>
                <w:u w:val="none"/>
                <w:lang w:val="en-US" w:eastAsia="zh-CN" w:bidi="ar"/>
              </w:rPr>
              <w:t>评分标准</w:t>
            </w:r>
          </w:p>
        </w:tc>
      </w:tr>
      <w:tr w14:paraId="10F7C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A30B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0"/>
                <w:szCs w:val="20"/>
                <w:highlight w:val="none"/>
                <w:u w:val="no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服务质量</w:t>
            </w:r>
          </w:p>
        </w:tc>
        <w:tc>
          <w:tcPr>
            <w:tcW w:w="7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8F15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0"/>
                <w:szCs w:val="20"/>
                <w:highlight w:val="none"/>
                <w:u w:val="no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未按</w:t>
            </w:r>
            <w:r>
              <w:rPr>
                <w:rFonts w:hint="eastAsia" w:asciiTheme="minorEastAsia" w:hAnsiTheme="minorEastAsia" w:cstheme="minorEastAsia"/>
                <w:i w:val="0"/>
                <w:iCs w:val="0"/>
                <w:color w:val="auto"/>
                <w:kern w:val="0"/>
                <w:sz w:val="20"/>
                <w:szCs w:val="20"/>
                <w:highlight w:val="none"/>
                <w:u w:val="none"/>
                <w:lang w:val="en-US" w:eastAsia="zh-CN" w:bidi="ar"/>
              </w:rPr>
              <w:t>采购方</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要求，按时按质提供服务，存在怠于响应、敷衍开展工作等现象的，每次扣5分。</w:t>
            </w:r>
          </w:p>
        </w:tc>
      </w:tr>
      <w:tr w14:paraId="1B07A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 w:hRule="atLeast"/>
        </w:trPr>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92A3B">
            <w:pPr>
              <w:jc w:val="center"/>
              <w:rPr>
                <w:rFonts w:hint="eastAsia" w:asciiTheme="minorEastAsia" w:hAnsiTheme="minorEastAsia" w:eastAsiaTheme="minorEastAsia" w:cstheme="minorEastAsia"/>
                <w:i w:val="0"/>
                <w:iCs w:val="0"/>
                <w:color w:val="auto"/>
                <w:sz w:val="20"/>
                <w:szCs w:val="20"/>
                <w:highlight w:val="none"/>
                <w:u w:val="none"/>
              </w:rPr>
            </w:pPr>
          </w:p>
        </w:tc>
        <w:tc>
          <w:tcPr>
            <w:tcW w:w="7521" w:type="dxa"/>
            <w:tcBorders>
              <w:top w:val="nil"/>
              <w:left w:val="nil"/>
              <w:bottom w:val="single" w:color="auto" w:sz="4" w:space="0"/>
              <w:right w:val="single" w:color="auto" w:sz="4" w:space="0"/>
            </w:tcBorders>
            <w:shd w:val="clear" w:color="auto" w:fill="auto"/>
            <w:vAlign w:val="center"/>
          </w:tcPr>
          <w:p w14:paraId="70137BC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0"/>
                <w:szCs w:val="20"/>
                <w:highlight w:val="none"/>
                <w:u w:val="no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在</w:t>
            </w:r>
            <w:r>
              <w:rPr>
                <w:rFonts w:hint="eastAsia" w:asciiTheme="minorEastAsia" w:hAnsiTheme="minorEastAsia" w:cstheme="minorEastAsia"/>
                <w:i w:val="0"/>
                <w:iCs w:val="0"/>
                <w:color w:val="auto"/>
                <w:kern w:val="0"/>
                <w:sz w:val="20"/>
                <w:szCs w:val="20"/>
                <w:highlight w:val="none"/>
                <w:u w:val="none"/>
                <w:lang w:val="en-US" w:eastAsia="zh-CN" w:bidi="ar"/>
              </w:rPr>
              <w:t>供应商</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提出服务要求后，未按</w:t>
            </w:r>
            <w:r>
              <w:rPr>
                <w:rFonts w:hint="eastAsia" w:asciiTheme="minorEastAsia" w:hAnsiTheme="minorEastAsia" w:cstheme="minorEastAsia"/>
                <w:i w:val="0"/>
                <w:iCs w:val="0"/>
                <w:color w:val="auto"/>
                <w:kern w:val="0"/>
                <w:sz w:val="20"/>
                <w:szCs w:val="20"/>
                <w:highlight w:val="none"/>
                <w:u w:val="none"/>
                <w:lang w:val="en-US" w:eastAsia="zh-CN" w:bidi="ar"/>
              </w:rPr>
              <w:t>采购方</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要求及时响应的，每次扣5分。</w:t>
            </w:r>
          </w:p>
        </w:tc>
      </w:tr>
      <w:tr w14:paraId="235E7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140A36">
            <w:pPr>
              <w:jc w:val="center"/>
              <w:rPr>
                <w:rFonts w:hint="eastAsia" w:asciiTheme="minorEastAsia" w:hAnsiTheme="minorEastAsia" w:eastAsiaTheme="minorEastAsia" w:cstheme="minorEastAsia"/>
                <w:i w:val="0"/>
                <w:iCs w:val="0"/>
                <w:color w:val="auto"/>
                <w:sz w:val="20"/>
                <w:szCs w:val="20"/>
                <w:highlight w:val="none"/>
                <w:u w:val="none"/>
              </w:rPr>
            </w:pPr>
          </w:p>
        </w:tc>
        <w:tc>
          <w:tcPr>
            <w:tcW w:w="7521" w:type="dxa"/>
            <w:tcBorders>
              <w:top w:val="single" w:color="auto" w:sz="4" w:space="0"/>
              <w:left w:val="nil"/>
              <w:bottom w:val="nil"/>
              <w:right w:val="single" w:color="auto" w:sz="4" w:space="0"/>
            </w:tcBorders>
            <w:shd w:val="clear" w:color="auto" w:fill="auto"/>
            <w:vAlign w:val="center"/>
          </w:tcPr>
          <w:p w14:paraId="3770D61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供应商</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提交的成果不符合</w:t>
            </w:r>
            <w:r>
              <w:rPr>
                <w:rFonts w:hint="eastAsia" w:asciiTheme="minorEastAsia" w:hAnsiTheme="minorEastAsia" w:cstheme="minorEastAsia"/>
                <w:i w:val="0"/>
                <w:iCs w:val="0"/>
                <w:color w:val="auto"/>
                <w:kern w:val="0"/>
                <w:sz w:val="20"/>
                <w:szCs w:val="20"/>
                <w:highlight w:val="none"/>
                <w:u w:val="none"/>
                <w:lang w:val="en-US" w:eastAsia="zh-CN" w:bidi="ar"/>
              </w:rPr>
              <w:t>采购方</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要求，要求改正，</w:t>
            </w:r>
            <w:r>
              <w:rPr>
                <w:rFonts w:hint="eastAsia" w:asciiTheme="minorEastAsia" w:hAnsiTheme="minorEastAsia" w:cstheme="minorEastAsia"/>
                <w:i w:val="0"/>
                <w:iCs w:val="0"/>
                <w:color w:val="auto"/>
                <w:kern w:val="0"/>
                <w:sz w:val="20"/>
                <w:szCs w:val="20"/>
                <w:highlight w:val="none"/>
                <w:u w:val="none"/>
                <w:lang w:val="en-US" w:eastAsia="zh-CN" w:bidi="ar"/>
              </w:rPr>
              <w:t>供应商</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拒不配合的，每次扣5分；</w:t>
            </w:r>
          </w:p>
        </w:tc>
      </w:tr>
      <w:tr w14:paraId="164F4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05E5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0"/>
                <w:szCs w:val="20"/>
                <w:highlight w:val="none"/>
                <w:u w:val="no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人员管理</w:t>
            </w:r>
          </w:p>
        </w:tc>
        <w:tc>
          <w:tcPr>
            <w:tcW w:w="7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759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0"/>
                <w:szCs w:val="20"/>
                <w:highlight w:val="none"/>
                <w:u w:val="no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清洗人员应具备丰富的相关经验和专业能力。</w:t>
            </w:r>
            <w:r>
              <w:rPr>
                <w:rFonts w:hint="eastAsia" w:asciiTheme="minorEastAsia" w:hAnsiTheme="minorEastAsia" w:cstheme="minorEastAsia"/>
                <w:i w:val="0"/>
                <w:iCs w:val="0"/>
                <w:color w:val="auto"/>
                <w:kern w:val="0"/>
                <w:sz w:val="20"/>
                <w:szCs w:val="20"/>
                <w:highlight w:val="none"/>
                <w:u w:val="none"/>
                <w:lang w:val="en-US" w:eastAsia="zh-CN" w:bidi="ar"/>
              </w:rPr>
              <w:t>供应商</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派出的人员如无法对按时按质完成，</w:t>
            </w:r>
            <w:r>
              <w:rPr>
                <w:rFonts w:hint="eastAsia" w:asciiTheme="minorEastAsia" w:hAnsiTheme="minorEastAsia" w:cstheme="minorEastAsia"/>
                <w:i w:val="0"/>
                <w:iCs w:val="0"/>
                <w:color w:val="auto"/>
                <w:kern w:val="0"/>
                <w:sz w:val="20"/>
                <w:szCs w:val="20"/>
                <w:highlight w:val="none"/>
                <w:u w:val="none"/>
                <w:lang w:val="en-US" w:eastAsia="zh-CN" w:bidi="ar"/>
              </w:rPr>
              <w:t>采购方</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要求更换人员，拒不配合的，每次扣5分。</w:t>
            </w:r>
          </w:p>
        </w:tc>
      </w:tr>
      <w:tr w14:paraId="53E0E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5BF07">
            <w:pPr>
              <w:jc w:val="center"/>
              <w:rPr>
                <w:rFonts w:hint="eastAsia" w:asciiTheme="minorEastAsia" w:hAnsiTheme="minorEastAsia" w:eastAsiaTheme="minorEastAsia" w:cstheme="minorEastAsia"/>
                <w:i w:val="0"/>
                <w:iCs w:val="0"/>
                <w:color w:val="auto"/>
                <w:sz w:val="20"/>
                <w:szCs w:val="20"/>
                <w:highlight w:val="none"/>
                <w:u w:val="none"/>
              </w:rPr>
            </w:pPr>
          </w:p>
        </w:tc>
        <w:tc>
          <w:tcPr>
            <w:tcW w:w="7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E5B1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0"/>
                <w:szCs w:val="20"/>
                <w:highlight w:val="none"/>
                <w:u w:val="no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清洗人员服务态度良好，应对</w:t>
            </w:r>
            <w:r>
              <w:rPr>
                <w:rFonts w:hint="eastAsia" w:asciiTheme="minorEastAsia" w:hAnsiTheme="minorEastAsia" w:cstheme="minorEastAsia"/>
                <w:i w:val="0"/>
                <w:iCs w:val="0"/>
                <w:color w:val="auto"/>
                <w:kern w:val="0"/>
                <w:sz w:val="20"/>
                <w:szCs w:val="20"/>
                <w:highlight w:val="none"/>
                <w:u w:val="none"/>
                <w:lang w:val="en-US" w:eastAsia="zh-CN" w:bidi="ar"/>
              </w:rPr>
              <w:t>采购方</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提出的问题耐心解答，对反馈的问题及时跟进。如清洗人员态度恶劣，消极怠工，每次扣5分。</w:t>
            </w:r>
          </w:p>
        </w:tc>
      </w:tr>
      <w:tr w14:paraId="2710B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71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0"/>
                <w:szCs w:val="20"/>
                <w:highlight w:val="none"/>
                <w:u w:val="no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安全管理</w:t>
            </w:r>
          </w:p>
        </w:tc>
        <w:tc>
          <w:tcPr>
            <w:tcW w:w="75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4D54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0"/>
                <w:szCs w:val="20"/>
                <w:highlight w:val="none"/>
                <w:u w:val="none"/>
              </w:rPr>
            </w:pPr>
            <w:r>
              <w:rPr>
                <w:rFonts w:hint="eastAsia" w:asciiTheme="minorEastAsia" w:hAnsiTheme="minorEastAsia" w:cstheme="minorEastAsia"/>
                <w:i w:val="0"/>
                <w:iCs w:val="0"/>
                <w:color w:val="auto"/>
                <w:kern w:val="0"/>
                <w:sz w:val="20"/>
                <w:szCs w:val="20"/>
                <w:highlight w:val="none"/>
                <w:u w:val="none"/>
                <w:lang w:val="en-US" w:eastAsia="zh-CN" w:bidi="ar"/>
              </w:rPr>
              <w:t>供应商</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在工作过程中应符合安全规定。每出现一次非</w:t>
            </w:r>
            <w:r>
              <w:rPr>
                <w:rFonts w:hint="eastAsia" w:asciiTheme="minorEastAsia" w:hAnsiTheme="minorEastAsia" w:cstheme="minorEastAsia"/>
                <w:i w:val="0"/>
                <w:iCs w:val="0"/>
                <w:color w:val="auto"/>
                <w:kern w:val="0"/>
                <w:sz w:val="20"/>
                <w:szCs w:val="20"/>
                <w:highlight w:val="none"/>
                <w:u w:val="none"/>
                <w:lang w:val="en-US" w:eastAsia="zh-CN" w:bidi="ar"/>
              </w:rPr>
              <w:t>采购方</w:t>
            </w: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原因导致的安全事故，扣5分；每出现一次重大安全事故，扣10分。</w:t>
            </w:r>
          </w:p>
        </w:tc>
      </w:tr>
      <w:tr w14:paraId="6B7DF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98" w:hRule="atLeast"/>
        </w:trPr>
        <w:tc>
          <w:tcPr>
            <w:tcW w:w="841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87C403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1923A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259" w:hRule="atLeast"/>
        </w:trPr>
        <w:tc>
          <w:tcPr>
            <w:tcW w:w="841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14458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考核意见</w:t>
            </w:r>
          </w:p>
          <w:p w14:paraId="73563071">
            <w:pPr>
              <w:pStyle w:val="18"/>
              <w:rPr>
                <w:rFonts w:hint="eastAsia"/>
                <w:lang w:val="en-US" w:eastAsia="zh-CN"/>
              </w:rPr>
            </w:pPr>
          </w:p>
          <w:p w14:paraId="5C85A1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签名：</w:t>
            </w:r>
          </w:p>
          <w:p w14:paraId="0CB41CC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cs="宋体"/>
                <w:color w:val="auto"/>
                <w:sz w:val="20"/>
                <w:szCs w:val="20"/>
                <w:highlight w:val="none"/>
                <w:u w:val="none"/>
                <w:vertAlign w:val="baseline"/>
                <w:lang w:val="en-US" w:eastAsia="zh-CN"/>
              </w:rPr>
              <w:t xml:space="preserve">                                             </w:t>
            </w:r>
            <w:r>
              <w:rPr>
                <w:rFonts w:hint="eastAsia" w:ascii="宋体" w:hAnsi="宋体" w:eastAsia="宋体" w:cs="宋体"/>
                <w:color w:val="auto"/>
                <w:sz w:val="20"/>
                <w:szCs w:val="20"/>
                <w:highlight w:val="none"/>
                <w:u w:val="none"/>
                <w:vertAlign w:val="baseline"/>
                <w:lang w:val="en-US" w:eastAsia="zh-CN"/>
              </w:rPr>
              <w:t>日期：</w:t>
            </w:r>
          </w:p>
        </w:tc>
      </w:tr>
    </w:tbl>
    <w:p w14:paraId="1A595C1B">
      <w:pPr>
        <w:rPr>
          <w:rFonts w:hint="eastAsia" w:asciiTheme="minorEastAsia" w:hAnsiTheme="minorEastAsia" w:eastAsiaTheme="minorEastAsia" w:cstheme="minorEastAsia"/>
          <w:b/>
          <w:bCs w:val="0"/>
          <w:color w:val="auto"/>
          <w:kern w:val="44"/>
          <w:sz w:val="28"/>
          <w:szCs w:val="28"/>
          <w:highlight w:val="none"/>
          <w:lang w:val="en-US" w:eastAsia="zh-CN" w:bidi="ar-SA"/>
        </w:rPr>
      </w:pPr>
      <w:r>
        <w:rPr>
          <w:rFonts w:hint="eastAsia" w:asciiTheme="minorEastAsia" w:hAnsiTheme="minorEastAsia" w:eastAsiaTheme="minorEastAsia" w:cstheme="minorEastAsia"/>
          <w:b/>
          <w:bCs w:val="0"/>
          <w:color w:val="auto"/>
          <w:kern w:val="44"/>
          <w:sz w:val="28"/>
          <w:szCs w:val="28"/>
          <w:highlight w:val="none"/>
          <w:lang w:val="en-US" w:eastAsia="zh-CN" w:bidi="ar-SA"/>
        </w:rPr>
        <w:br w:type="page"/>
      </w:r>
    </w:p>
    <w:p w14:paraId="55EC10D1">
      <w:pPr>
        <w:jc w:val="center"/>
        <w:rPr>
          <w:rFonts w:hint="eastAsia" w:asciiTheme="minorEastAsia" w:hAnsiTheme="minorEastAsia" w:eastAsiaTheme="minorEastAsia" w:cstheme="minorEastAsia"/>
          <w:b/>
          <w:bCs w:val="0"/>
          <w:color w:val="auto"/>
          <w:sz w:val="20"/>
          <w:szCs w:val="20"/>
          <w:highlight w:val="none"/>
          <w:lang w:val="en-US" w:eastAsia="zh-CN"/>
        </w:rPr>
      </w:pPr>
      <w:r>
        <w:rPr>
          <w:rFonts w:hint="eastAsia" w:asciiTheme="minorEastAsia" w:hAnsiTheme="minorEastAsia" w:eastAsiaTheme="minorEastAsia" w:cstheme="minorEastAsia"/>
          <w:b/>
          <w:bCs w:val="0"/>
          <w:color w:val="auto"/>
          <w:kern w:val="44"/>
          <w:sz w:val="20"/>
          <w:szCs w:val="20"/>
          <w:highlight w:val="none"/>
          <w:lang w:val="en-US" w:eastAsia="zh-CN" w:bidi="ar-SA"/>
        </w:rPr>
        <w:t>（二十九）油烟管道、设备清洗服务项目</w:t>
      </w:r>
    </w:p>
    <w:p w14:paraId="12BE7548">
      <w:pPr>
        <w:keepNext w:val="0"/>
        <w:keepLines w:val="0"/>
        <w:pageBreakBefore w:val="0"/>
        <w:widowControl w:val="0"/>
        <w:kinsoku/>
        <w:wordWrap/>
        <w:overflowPunct/>
        <w:topLinePunct w:val="0"/>
        <w:autoSpaceDE/>
        <w:autoSpaceDN/>
        <w:bidi w:val="0"/>
        <w:adjustRightInd/>
        <w:snapToGrid/>
        <w:spacing w:line="560" w:lineRule="exact"/>
        <w:ind w:firstLine="402" w:firstLineChars="200"/>
        <w:outlineLvl w:val="0"/>
        <w:rPr>
          <w:rFonts w:hint="eastAsia" w:asciiTheme="minorEastAsia" w:hAnsiTheme="minorEastAsia" w:eastAsiaTheme="minorEastAsia" w:cstheme="minorEastAsia"/>
          <w:b/>
          <w:bCs/>
          <w:color w:val="auto"/>
          <w:sz w:val="20"/>
          <w:szCs w:val="20"/>
          <w:highlight w:val="none"/>
        </w:rPr>
      </w:pPr>
      <w:bookmarkStart w:id="765" w:name="_Toc26278"/>
      <w:bookmarkStart w:id="766" w:name="_Toc16609"/>
      <w:r>
        <w:rPr>
          <w:rFonts w:hint="eastAsia" w:asciiTheme="minorEastAsia" w:hAnsiTheme="minorEastAsia" w:eastAsiaTheme="minorEastAsia" w:cstheme="minorEastAsia"/>
          <w:b/>
          <w:bCs/>
          <w:color w:val="auto"/>
          <w:sz w:val="20"/>
          <w:szCs w:val="20"/>
          <w:highlight w:val="none"/>
          <w:lang w:val="en-US" w:eastAsia="zh-CN"/>
        </w:rPr>
        <w:t>1.</w:t>
      </w:r>
      <w:r>
        <w:rPr>
          <w:rFonts w:hint="eastAsia" w:asciiTheme="minorEastAsia" w:hAnsiTheme="minorEastAsia" w:eastAsiaTheme="minorEastAsia" w:cstheme="minorEastAsia"/>
          <w:b/>
          <w:bCs/>
          <w:color w:val="auto"/>
          <w:sz w:val="20"/>
          <w:szCs w:val="20"/>
          <w:highlight w:val="none"/>
        </w:rPr>
        <w:t>项目服务标准及要求</w:t>
      </w:r>
      <w:bookmarkEnd w:id="765"/>
      <w:bookmarkEnd w:id="766"/>
    </w:p>
    <w:p w14:paraId="70FB88C2">
      <w:pPr>
        <w:spacing w:line="560" w:lineRule="exact"/>
        <w:ind w:firstLine="400" w:firstLineChars="200"/>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供应商必须向采购方提供优质、安全的油烟管道、设备清洗服务。</w:t>
      </w:r>
      <w:r>
        <w:rPr>
          <w:rFonts w:hint="eastAsia" w:asciiTheme="minorEastAsia" w:hAnsiTheme="minorEastAsia" w:eastAsiaTheme="minorEastAsia" w:cstheme="minorEastAsia"/>
          <w:color w:val="auto"/>
          <w:sz w:val="20"/>
          <w:szCs w:val="20"/>
          <w:highlight w:val="none"/>
          <w:lang w:eastAsia="zh-CN"/>
        </w:rPr>
        <w:t>供应商</w:t>
      </w:r>
      <w:r>
        <w:rPr>
          <w:rFonts w:hint="eastAsia" w:asciiTheme="minorEastAsia" w:hAnsiTheme="minorEastAsia" w:eastAsiaTheme="minorEastAsia" w:cstheme="minorEastAsia"/>
          <w:color w:val="auto"/>
          <w:sz w:val="20"/>
          <w:szCs w:val="20"/>
          <w:highlight w:val="none"/>
        </w:rPr>
        <w:t>在提供</w:t>
      </w:r>
      <w:r>
        <w:rPr>
          <w:rFonts w:hint="eastAsia" w:asciiTheme="minorEastAsia" w:hAnsiTheme="minorEastAsia" w:eastAsiaTheme="minorEastAsia" w:cstheme="minorEastAsia"/>
          <w:color w:val="auto"/>
          <w:sz w:val="20"/>
          <w:szCs w:val="20"/>
          <w:highlight w:val="none"/>
          <w:lang w:val="en-US" w:eastAsia="zh-CN"/>
        </w:rPr>
        <w:t>设备清洗</w:t>
      </w:r>
      <w:r>
        <w:rPr>
          <w:rFonts w:hint="eastAsia" w:asciiTheme="minorEastAsia" w:hAnsiTheme="minorEastAsia" w:eastAsiaTheme="minorEastAsia" w:cstheme="minorEastAsia"/>
          <w:color w:val="auto"/>
          <w:sz w:val="20"/>
          <w:szCs w:val="20"/>
          <w:highlight w:val="none"/>
        </w:rPr>
        <w:t>服务时，需按照如下标准执行，要求所用标准必须为最新版本，如果这些标准有矛盾时，应按最高标准的条款执行或按双方商定的标准执行。此外，如果在合同执行期间国家颁布新的标准时，应按最新的条款执行。</w:t>
      </w:r>
    </w:p>
    <w:tbl>
      <w:tblPr>
        <w:tblStyle w:val="16"/>
        <w:tblW w:w="908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8332"/>
      </w:tblGrid>
      <w:tr w14:paraId="1F35E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blHeader/>
        </w:trPr>
        <w:tc>
          <w:tcPr>
            <w:tcW w:w="750" w:type="dxa"/>
            <w:vAlign w:val="center"/>
          </w:tcPr>
          <w:p w14:paraId="47BA742A">
            <w:pPr>
              <w:keepNext w:val="0"/>
              <w:keepLines w:val="0"/>
              <w:pageBreakBefore w:val="0"/>
              <w:widowControl w:val="0"/>
              <w:kinsoku/>
              <w:wordWrap/>
              <w:overflowPunct/>
              <w:topLinePunct w:val="0"/>
              <w:autoSpaceDE/>
              <w:autoSpaceDN/>
              <w:bidi w:val="0"/>
              <w:adjustRightInd/>
              <w:snapToGrid/>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t>序号</w:t>
            </w:r>
          </w:p>
        </w:tc>
        <w:tc>
          <w:tcPr>
            <w:tcW w:w="8332" w:type="dxa"/>
            <w:vAlign w:val="center"/>
          </w:tcPr>
          <w:p w14:paraId="68D02BB8">
            <w:pPr>
              <w:keepNext w:val="0"/>
              <w:keepLines w:val="0"/>
              <w:pageBreakBefore w:val="0"/>
              <w:widowControl w:val="0"/>
              <w:kinsoku/>
              <w:wordWrap/>
              <w:overflowPunct/>
              <w:topLinePunct w:val="0"/>
              <w:autoSpaceDE/>
              <w:autoSpaceDN/>
              <w:bidi w:val="0"/>
              <w:adjustRightInd/>
              <w:snapToGrid/>
              <w:jc w:val="center"/>
              <w:rPr>
                <w:rFonts w:hint="eastAsia" w:asciiTheme="minorEastAsia" w:hAnsiTheme="minorEastAsia" w:eastAsiaTheme="minorEastAsia" w:cstheme="minorEastAsia"/>
                <w:b/>
                <w:bCs/>
                <w:color w:val="auto"/>
                <w:sz w:val="20"/>
                <w:szCs w:val="20"/>
                <w:highlight w:val="none"/>
                <w:lang w:eastAsia="zh-CN"/>
              </w:rPr>
            </w:pPr>
            <w:r>
              <w:rPr>
                <w:rFonts w:hint="eastAsia" w:asciiTheme="minorEastAsia" w:hAnsiTheme="minorEastAsia" w:eastAsiaTheme="minorEastAsia" w:cstheme="minorEastAsia"/>
                <w:b/>
                <w:bCs/>
                <w:color w:val="auto"/>
                <w:sz w:val="20"/>
                <w:szCs w:val="20"/>
                <w:highlight w:val="none"/>
                <w:lang w:val="en-US" w:eastAsia="zh-CN"/>
              </w:rPr>
              <w:t>相关标准</w:t>
            </w:r>
          </w:p>
        </w:tc>
      </w:tr>
      <w:tr w14:paraId="543F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3B317EF5">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w:t>
            </w:r>
          </w:p>
        </w:tc>
        <w:tc>
          <w:tcPr>
            <w:tcW w:w="8332" w:type="dxa"/>
            <w:vAlign w:val="center"/>
          </w:tcPr>
          <w:p w14:paraId="21A88712">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lang w:val="en-US" w:eastAsia="zh-CN"/>
              </w:rPr>
              <w:t>饮食业油烟排放标准</w:t>
            </w:r>
            <w:r>
              <w:rPr>
                <w:rFonts w:hint="eastAsia" w:asciiTheme="minorEastAsia" w:hAnsiTheme="minorEastAsia" w:eastAsiaTheme="minorEastAsia" w:cstheme="minorEastAsia"/>
                <w:color w:val="auto"/>
                <w:sz w:val="20"/>
                <w:szCs w:val="20"/>
                <w:highlight w:val="none"/>
                <w:lang w:eastAsia="zh-CN"/>
              </w:rPr>
              <w:t>》</w:t>
            </w:r>
          </w:p>
        </w:tc>
      </w:tr>
      <w:tr w14:paraId="71A56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7BD519B0">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2</w:t>
            </w:r>
          </w:p>
        </w:tc>
        <w:tc>
          <w:tcPr>
            <w:tcW w:w="8332" w:type="dxa"/>
            <w:vAlign w:val="center"/>
          </w:tcPr>
          <w:p w14:paraId="689749ED">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lang w:val="en-US" w:eastAsia="zh-CN"/>
              </w:rPr>
              <w:t>排油烟设施清洗技术规程</w:t>
            </w:r>
            <w:r>
              <w:rPr>
                <w:rFonts w:hint="eastAsia" w:asciiTheme="minorEastAsia" w:hAnsiTheme="minorEastAsia" w:eastAsiaTheme="minorEastAsia" w:cstheme="minorEastAsia"/>
                <w:color w:val="auto"/>
                <w:sz w:val="20"/>
                <w:szCs w:val="20"/>
                <w:highlight w:val="none"/>
                <w:lang w:eastAsia="zh-CN"/>
              </w:rPr>
              <w:t>》</w:t>
            </w:r>
          </w:p>
        </w:tc>
      </w:tr>
      <w:tr w14:paraId="39DB4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34607360">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3</w:t>
            </w:r>
          </w:p>
        </w:tc>
        <w:tc>
          <w:tcPr>
            <w:tcW w:w="8332" w:type="dxa"/>
            <w:vAlign w:val="center"/>
          </w:tcPr>
          <w:p w14:paraId="13EAC964">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lang w:val="en-US" w:eastAsia="zh-CN"/>
              </w:rPr>
              <w:t>民用建筑供暖通风与空气调节设计规范</w:t>
            </w:r>
            <w:r>
              <w:rPr>
                <w:rFonts w:hint="eastAsia" w:asciiTheme="minorEastAsia" w:hAnsiTheme="minorEastAsia" w:eastAsiaTheme="minorEastAsia" w:cstheme="minorEastAsia"/>
                <w:color w:val="auto"/>
                <w:sz w:val="20"/>
                <w:szCs w:val="20"/>
                <w:highlight w:val="none"/>
                <w:lang w:eastAsia="zh-CN"/>
              </w:rPr>
              <w:t>》</w:t>
            </w:r>
          </w:p>
        </w:tc>
      </w:tr>
      <w:tr w14:paraId="6031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2FB5AF15">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4</w:t>
            </w:r>
          </w:p>
        </w:tc>
        <w:tc>
          <w:tcPr>
            <w:tcW w:w="8332" w:type="dxa"/>
            <w:vAlign w:val="center"/>
          </w:tcPr>
          <w:p w14:paraId="2F45FDFB">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lang w:val="en-US" w:eastAsia="zh-CN"/>
              </w:rPr>
              <w:t>全国民用建筑工程设计技术措施-暖通空调.动力</w:t>
            </w:r>
            <w:r>
              <w:rPr>
                <w:rFonts w:hint="eastAsia" w:asciiTheme="minorEastAsia" w:hAnsiTheme="minorEastAsia" w:eastAsiaTheme="minorEastAsia" w:cstheme="minorEastAsia"/>
                <w:color w:val="auto"/>
                <w:sz w:val="20"/>
                <w:szCs w:val="20"/>
                <w:highlight w:val="none"/>
                <w:lang w:eastAsia="zh-CN"/>
              </w:rPr>
              <w:t>》</w:t>
            </w:r>
          </w:p>
        </w:tc>
      </w:tr>
      <w:tr w14:paraId="6CCED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4AD2B344">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5</w:t>
            </w:r>
          </w:p>
        </w:tc>
        <w:tc>
          <w:tcPr>
            <w:tcW w:w="8332" w:type="dxa"/>
            <w:vAlign w:val="center"/>
          </w:tcPr>
          <w:p w14:paraId="26D0982C">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lang w:val="en-US" w:eastAsia="zh-CN"/>
              </w:rPr>
              <w:t>通风与空调工程施工质量验收规范</w:t>
            </w:r>
            <w:r>
              <w:rPr>
                <w:rFonts w:hint="eastAsia" w:asciiTheme="minorEastAsia" w:hAnsiTheme="minorEastAsia" w:eastAsiaTheme="minorEastAsia" w:cstheme="minorEastAsia"/>
                <w:color w:val="auto"/>
                <w:sz w:val="20"/>
                <w:szCs w:val="20"/>
                <w:highlight w:val="none"/>
                <w:lang w:eastAsia="zh-CN"/>
              </w:rPr>
              <w:t>》</w:t>
            </w:r>
          </w:p>
        </w:tc>
      </w:tr>
      <w:tr w14:paraId="45FC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14:paraId="2057FD24">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6</w:t>
            </w:r>
          </w:p>
        </w:tc>
        <w:tc>
          <w:tcPr>
            <w:tcW w:w="8332" w:type="dxa"/>
            <w:vAlign w:val="center"/>
          </w:tcPr>
          <w:p w14:paraId="5CFE60FE">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lang w:val="en-US" w:eastAsia="zh-CN"/>
              </w:rPr>
              <w:t>饮食建筑设计标准</w:t>
            </w:r>
            <w:r>
              <w:rPr>
                <w:rFonts w:hint="eastAsia" w:asciiTheme="minorEastAsia" w:hAnsiTheme="minorEastAsia" w:eastAsiaTheme="minorEastAsia" w:cstheme="minorEastAsia"/>
                <w:color w:val="auto"/>
                <w:sz w:val="20"/>
                <w:szCs w:val="20"/>
                <w:highlight w:val="none"/>
                <w:lang w:eastAsia="zh-CN"/>
              </w:rPr>
              <w:t>》</w:t>
            </w:r>
          </w:p>
        </w:tc>
      </w:tr>
    </w:tbl>
    <w:p w14:paraId="4829A0D2">
      <w:pPr>
        <w:keepNext w:val="0"/>
        <w:keepLines w:val="0"/>
        <w:pageBreakBefore w:val="0"/>
        <w:widowControl w:val="0"/>
        <w:kinsoku/>
        <w:wordWrap/>
        <w:overflowPunct/>
        <w:topLinePunct w:val="0"/>
        <w:autoSpaceDE/>
        <w:autoSpaceDN/>
        <w:bidi w:val="0"/>
        <w:adjustRightInd/>
        <w:snapToGrid/>
        <w:spacing w:line="560" w:lineRule="exact"/>
        <w:ind w:firstLine="402" w:firstLineChars="200"/>
        <w:outlineLvl w:val="1"/>
        <w:rPr>
          <w:rFonts w:hint="eastAsia" w:asciiTheme="minorEastAsia" w:hAnsiTheme="minorEastAsia" w:eastAsiaTheme="minorEastAsia" w:cstheme="minorEastAsia"/>
          <w:b/>
          <w:bCs/>
          <w:color w:val="auto"/>
          <w:sz w:val="20"/>
          <w:szCs w:val="20"/>
          <w:highlight w:val="none"/>
        </w:rPr>
      </w:pPr>
      <w:bookmarkStart w:id="767" w:name="_Toc9719"/>
      <w:r>
        <w:rPr>
          <w:rFonts w:hint="eastAsia" w:asciiTheme="minorEastAsia" w:hAnsiTheme="minorEastAsia" w:eastAsiaTheme="minorEastAsia" w:cstheme="minorEastAsia"/>
          <w:b/>
          <w:bCs/>
          <w:color w:val="auto"/>
          <w:sz w:val="20"/>
          <w:szCs w:val="20"/>
          <w:highlight w:val="none"/>
          <w:lang w:val="en-US" w:eastAsia="zh-CN"/>
        </w:rPr>
        <w:t>1.2</w:t>
      </w:r>
      <w:r>
        <w:rPr>
          <w:rFonts w:hint="eastAsia" w:asciiTheme="minorEastAsia" w:hAnsiTheme="minorEastAsia" w:eastAsiaTheme="minorEastAsia" w:cstheme="minorEastAsia"/>
          <w:b/>
          <w:bCs/>
          <w:color w:val="auto"/>
          <w:sz w:val="20"/>
          <w:szCs w:val="20"/>
          <w:highlight w:val="none"/>
        </w:rPr>
        <w:t>项目服务要求</w:t>
      </w:r>
      <w:bookmarkEnd w:id="767"/>
    </w:p>
    <w:p w14:paraId="23A871B5">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1.2.1合同实施前，供应商需指派专人进行对接，对采购方食堂油烟管道、设备清洗的需求进行全面摸查和理解。</w:t>
      </w:r>
    </w:p>
    <w:p w14:paraId="25A4D076">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w:t>
      </w:r>
      <w:r>
        <w:rPr>
          <w:rFonts w:hint="eastAsia" w:asciiTheme="minorEastAsia" w:hAnsiTheme="minorEastAsia" w:eastAsiaTheme="minorEastAsia" w:cstheme="minorEastAsia"/>
          <w:color w:val="auto"/>
          <w:sz w:val="20"/>
          <w:szCs w:val="20"/>
          <w:highlight w:val="none"/>
          <w:lang w:eastAsia="zh-CN"/>
        </w:rPr>
        <w:t>2</w:t>
      </w:r>
      <w:r>
        <w:rPr>
          <w:rFonts w:hint="eastAsia" w:asciiTheme="minorEastAsia" w:hAnsiTheme="minorEastAsia" w:eastAsiaTheme="minorEastAsia" w:cstheme="minorEastAsia"/>
          <w:color w:val="auto"/>
          <w:sz w:val="20"/>
          <w:szCs w:val="20"/>
          <w:highlight w:val="none"/>
          <w:lang w:val="en-US" w:eastAsia="zh-CN"/>
        </w:rPr>
        <w:t>.2</w:t>
      </w:r>
      <w:r>
        <w:rPr>
          <w:rFonts w:hint="eastAsia" w:asciiTheme="minorEastAsia" w:hAnsiTheme="minorEastAsia" w:eastAsiaTheme="minorEastAsia" w:cstheme="minorEastAsia"/>
          <w:color w:val="auto"/>
          <w:sz w:val="20"/>
          <w:szCs w:val="20"/>
          <w:highlight w:val="none"/>
        </w:rPr>
        <w:t>为保证</w:t>
      </w:r>
      <w:r>
        <w:rPr>
          <w:rFonts w:hint="eastAsia" w:asciiTheme="minorEastAsia" w:hAnsiTheme="minorEastAsia" w:eastAsiaTheme="minorEastAsia" w:cstheme="minorEastAsia"/>
          <w:color w:val="auto"/>
          <w:sz w:val="20"/>
          <w:szCs w:val="20"/>
          <w:highlight w:val="none"/>
          <w:lang w:val="en-US" w:eastAsia="zh-CN"/>
        </w:rPr>
        <w:t>食堂管道、设备</w:t>
      </w:r>
      <w:r>
        <w:rPr>
          <w:rFonts w:hint="eastAsia" w:asciiTheme="minorEastAsia" w:hAnsiTheme="minorEastAsia" w:eastAsiaTheme="minorEastAsia" w:cstheme="minorEastAsia"/>
          <w:color w:val="auto"/>
          <w:sz w:val="20"/>
          <w:szCs w:val="20"/>
          <w:highlight w:val="none"/>
        </w:rPr>
        <w:t>正常有效运转，</w:t>
      </w:r>
      <w:r>
        <w:rPr>
          <w:rFonts w:hint="eastAsia" w:asciiTheme="minorEastAsia" w:hAnsiTheme="minorEastAsia" w:eastAsiaTheme="minorEastAsia" w:cstheme="minorEastAsia"/>
          <w:bCs/>
          <w:color w:val="auto"/>
          <w:sz w:val="20"/>
          <w:szCs w:val="20"/>
          <w:highlight w:val="none"/>
          <w:lang w:val="en-US" w:eastAsia="zh-CN"/>
        </w:rPr>
        <w:t>供应商必须按照采购方的要求执行</w:t>
      </w: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lang w:val="en-US" w:eastAsia="zh-CN"/>
        </w:rPr>
        <w:t>提前做好清洗工作方案、工作计划，并报采购方审批同意后执行。</w:t>
      </w:r>
    </w:p>
    <w:p w14:paraId="43BF6A7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1.2.3供应商管理人员、清洗人员均应经过培训，培训合格方可上岗。供应商人员必须严格执行采购方安全规章制度，工作期间做好各项安全防范措施。</w:t>
      </w:r>
    </w:p>
    <w:p w14:paraId="179EF086">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1.2.4对于清洗难度大、清洗复杂的工序，必须选派技术熟练、经验丰富的清洗人员来完成，以保证清洗质量。</w:t>
      </w:r>
    </w:p>
    <w:p w14:paraId="494C265B">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1.2.5在工作区域内不得动明火，如清洗工作确实需要，应在采购方监督下做好各项安全防范措施。</w:t>
      </w:r>
    </w:p>
    <w:p w14:paraId="5171162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1.2.6</w:t>
      </w:r>
      <w:r>
        <w:rPr>
          <w:rFonts w:hint="eastAsia" w:asciiTheme="minorEastAsia" w:hAnsiTheme="minorEastAsia" w:eastAsiaTheme="minorEastAsia" w:cstheme="minorEastAsia"/>
          <w:color w:val="auto"/>
          <w:sz w:val="20"/>
          <w:szCs w:val="20"/>
          <w:highlight w:val="none"/>
          <w:lang w:eastAsia="zh-CN"/>
        </w:rPr>
        <w:t>供应商</w:t>
      </w:r>
      <w:r>
        <w:rPr>
          <w:rFonts w:hint="eastAsia" w:asciiTheme="minorEastAsia" w:hAnsiTheme="minorEastAsia" w:eastAsiaTheme="minorEastAsia" w:cstheme="minorEastAsia"/>
          <w:color w:val="auto"/>
          <w:sz w:val="20"/>
          <w:szCs w:val="20"/>
          <w:highlight w:val="none"/>
        </w:rPr>
        <w:t>应自行配备工作所需的各种专业工具及设备，并在进场之前由相关专业人员检查合格后可在现场使用。此外，</w:t>
      </w:r>
      <w:r>
        <w:rPr>
          <w:rFonts w:hint="eastAsia" w:asciiTheme="minorEastAsia" w:hAnsiTheme="minorEastAsia" w:eastAsiaTheme="minorEastAsia" w:cstheme="minorEastAsia"/>
          <w:color w:val="auto"/>
          <w:sz w:val="20"/>
          <w:szCs w:val="20"/>
          <w:highlight w:val="none"/>
          <w:lang w:eastAsia="zh-CN"/>
        </w:rPr>
        <w:t>供应商</w:t>
      </w:r>
      <w:r>
        <w:rPr>
          <w:rFonts w:hint="eastAsia" w:asciiTheme="minorEastAsia" w:hAnsiTheme="minorEastAsia" w:eastAsiaTheme="minorEastAsia" w:cstheme="minorEastAsia"/>
          <w:color w:val="auto"/>
          <w:sz w:val="20"/>
          <w:szCs w:val="20"/>
          <w:highlight w:val="none"/>
        </w:rPr>
        <w:t>在维修过程中所用零配件应为合格产品，其余辅助材料应符合国家相关技术规范及设备安全使用条例。</w:t>
      </w:r>
    </w:p>
    <w:p w14:paraId="247958D8">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1.2.7</w:t>
      </w:r>
      <w:r>
        <w:rPr>
          <w:rFonts w:hint="eastAsia" w:asciiTheme="minorEastAsia" w:hAnsiTheme="minorEastAsia" w:eastAsiaTheme="minorEastAsia" w:cstheme="minorEastAsia"/>
          <w:color w:val="auto"/>
          <w:sz w:val="20"/>
          <w:szCs w:val="20"/>
          <w:highlight w:val="none"/>
        </w:rPr>
        <w:t>在服务过程中如发现相关设备设施自身存在危险状态的，应</w:t>
      </w:r>
      <w:r>
        <w:rPr>
          <w:rFonts w:hint="eastAsia" w:asciiTheme="minorEastAsia" w:hAnsiTheme="minorEastAsia" w:eastAsiaTheme="minorEastAsia" w:cstheme="minorEastAsia"/>
          <w:color w:val="auto"/>
          <w:sz w:val="20"/>
          <w:szCs w:val="20"/>
          <w:highlight w:val="none"/>
          <w:lang w:val="en-US" w:eastAsia="zh-CN"/>
        </w:rPr>
        <w:t>通知采购方</w:t>
      </w:r>
      <w:r>
        <w:rPr>
          <w:rFonts w:hint="eastAsia" w:asciiTheme="minorEastAsia" w:hAnsiTheme="minorEastAsia" w:eastAsiaTheme="minorEastAsia" w:cstheme="minorEastAsia"/>
          <w:color w:val="auto"/>
          <w:sz w:val="20"/>
          <w:szCs w:val="20"/>
          <w:highlight w:val="none"/>
        </w:rPr>
        <w:t>前往修复/维护，同时应作好基本的安全防护措施，以免发生或扩大损失。</w:t>
      </w:r>
    </w:p>
    <w:p w14:paraId="28FEDBCC">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1.2.8供应商所派人员进入采购方的相关场所时，需要严格遵守和执行采购方的相关管理规定。</w:t>
      </w:r>
    </w:p>
    <w:p w14:paraId="1E0A342E">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1.2.9供应商提供24小时服务热线（热线电话、微信、传真、电子邮件等）。供应商在接到采购方的需求后，应及时作出响应，并在采购方规定的时间内，满足要求。若供应商预期无法按规定时间完成需求，则需提前通知采购方，采购方同意后，方可执行。</w:t>
      </w:r>
    </w:p>
    <w:p w14:paraId="7D517D3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2" w:firstLineChars="200"/>
        <w:textAlignment w:val="auto"/>
        <w:outlineLvl w:val="0"/>
        <w:rPr>
          <w:rFonts w:hint="eastAsia" w:asciiTheme="minorEastAsia" w:hAnsiTheme="minorEastAsia" w:eastAsiaTheme="minorEastAsia" w:cstheme="minorEastAsia"/>
          <w:b/>
          <w:bCs/>
          <w:color w:val="auto"/>
          <w:sz w:val="20"/>
          <w:szCs w:val="20"/>
          <w:highlight w:val="none"/>
          <w:lang w:val="en-US" w:eastAsia="zh-CN"/>
        </w:rPr>
      </w:pPr>
      <w:bookmarkStart w:id="768" w:name="_Toc6120"/>
      <w:bookmarkStart w:id="769" w:name="_Toc8132"/>
      <w:r>
        <w:rPr>
          <w:rFonts w:hint="eastAsia" w:asciiTheme="minorEastAsia" w:hAnsiTheme="minorEastAsia" w:eastAsiaTheme="minorEastAsia" w:cstheme="minorEastAsia"/>
          <w:b/>
          <w:bCs/>
          <w:color w:val="auto"/>
          <w:sz w:val="20"/>
          <w:szCs w:val="20"/>
          <w:highlight w:val="none"/>
          <w:lang w:val="en-US" w:eastAsia="zh-CN"/>
        </w:rPr>
        <w:t>2.服务达标要求</w:t>
      </w:r>
      <w:bookmarkEnd w:id="768"/>
      <w:bookmarkEnd w:id="769"/>
    </w:p>
    <w:p w14:paraId="5884765C">
      <w:pPr>
        <w:keepNext w:val="0"/>
        <w:keepLines w:val="0"/>
        <w:pageBreakBefore w:val="0"/>
        <w:widowControl w:val="0"/>
        <w:kinsoku/>
        <w:wordWrap/>
        <w:overflowPunct/>
        <w:topLinePunct w:val="0"/>
        <w:autoSpaceDE/>
        <w:autoSpaceDN/>
        <w:bidi w:val="0"/>
        <w:adjustRightInd/>
        <w:snapToGrid/>
        <w:spacing w:line="560" w:lineRule="exact"/>
        <w:ind w:firstLine="400" w:firstLineChars="200"/>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（1）</w:t>
      </w:r>
      <w:r>
        <w:rPr>
          <w:rFonts w:hint="eastAsia" w:asciiTheme="minorEastAsia" w:hAnsiTheme="minorEastAsia" w:eastAsiaTheme="minorEastAsia" w:cstheme="minorEastAsia"/>
          <w:color w:val="auto"/>
          <w:sz w:val="20"/>
          <w:szCs w:val="20"/>
          <w:highlight w:val="none"/>
          <w:lang w:val="en-US" w:eastAsia="zh-CN"/>
        </w:rPr>
        <w:t>供应商加强人员管理，合理安排人员，保障项目工作进度。确因不可抗力影响项目实施，需与采购人协商修订项目实施计划，达成一致后执行。</w:t>
      </w:r>
    </w:p>
    <w:p w14:paraId="7BA5FFCE">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（2）供应商必须遵守《中华人民共和国安全生产法》和公司生产安全管理规定，必须建立健全严格的安全管理制度，在开展清洗工作，工作中严格执行安全管理规定。</w:t>
      </w:r>
    </w:p>
    <w:p w14:paraId="5AAB9D43">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（3）供应商高空作业人员必须持证上岗，进入服务现场应佩戴本公司工作服及安全帽，严格按照有关安全规定和施工方案开展工作。</w:t>
      </w:r>
    </w:p>
    <w:p w14:paraId="61C5B967">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（4）进入服务现场必须按操作要求佩戴响应的工作服及安全帽，严禁施工现场和操作期间抽烟和进食。</w:t>
      </w:r>
    </w:p>
    <w:p w14:paraId="7918A938">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（5）食堂油烟管道设备干净、不阻风、无污渍、油垢和黄色油膜，排风口四周干净整洁、灶台无遗留污物。</w:t>
      </w:r>
    </w:p>
    <w:p w14:paraId="6B72DCC8">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（6）管道内部设备可正常使用，无外溢液体和油状物。</w:t>
      </w:r>
    </w:p>
    <w:p w14:paraId="7733644B">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（7）管道设备外部表面无黑色老油垢、无液体油状物和油腻感。</w:t>
      </w:r>
    </w:p>
    <w:p w14:paraId="5EF08FD6">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（8）清洗后油烟管道、设备运行正常。</w:t>
      </w:r>
    </w:p>
    <w:p w14:paraId="145F2A2E">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（9）施工操作需接电源时，应有具备电工专业岗位证书的人员操作。登高作业应佩带符合安全生产规定标准的安全带。</w:t>
      </w:r>
    </w:p>
    <w:p w14:paraId="09C223D9">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（10）不得使用国家命令禁止生产或撤销登记的</w:t>
      </w:r>
      <w:r>
        <w:rPr>
          <w:rFonts w:hint="eastAsia" w:asciiTheme="minorEastAsia" w:hAnsiTheme="minorEastAsia" w:eastAsiaTheme="minorEastAsia" w:cstheme="minorEastAsia"/>
          <w:b w:val="0"/>
          <w:bCs/>
          <w:color w:val="auto"/>
          <w:sz w:val="20"/>
          <w:szCs w:val="20"/>
          <w:highlight w:val="none"/>
          <w:lang w:val="en-US" w:eastAsia="zh-CN"/>
        </w:rPr>
        <w:t>化学除油剂、溶油剂等</w:t>
      </w:r>
      <w:r>
        <w:rPr>
          <w:rFonts w:hint="eastAsia" w:asciiTheme="minorEastAsia" w:hAnsiTheme="minorEastAsia" w:eastAsiaTheme="minorEastAsia" w:cstheme="minorEastAsia"/>
          <w:b w:val="0"/>
          <w:bCs w:val="0"/>
          <w:color w:val="auto"/>
          <w:sz w:val="20"/>
          <w:szCs w:val="20"/>
          <w:highlight w:val="none"/>
          <w:lang w:val="en-US" w:eastAsia="zh-CN"/>
        </w:rPr>
        <w:t>。</w:t>
      </w:r>
    </w:p>
    <w:p w14:paraId="7D9A5ECC">
      <w:pPr>
        <w:keepNext w:val="0"/>
        <w:keepLines w:val="0"/>
        <w:pageBreakBefore w:val="0"/>
        <w:widowControl w:val="0"/>
        <w:kinsoku/>
        <w:wordWrap/>
        <w:overflowPunct/>
        <w:topLinePunct w:val="0"/>
        <w:autoSpaceDE/>
        <w:autoSpaceDN/>
        <w:bidi w:val="0"/>
        <w:adjustRightInd/>
        <w:snapToGrid/>
        <w:spacing w:line="560" w:lineRule="exact"/>
        <w:ind w:firstLine="400" w:firstLineChars="200"/>
        <w:outlineLvl w:val="9"/>
        <w:rPr>
          <w:rFonts w:hint="eastAsia" w:asciiTheme="minorEastAsia" w:hAnsiTheme="minorEastAsia" w:eastAsiaTheme="minorEastAsia" w:cstheme="minorEastAsia"/>
          <w:b w:val="0"/>
          <w:bCs w:val="0"/>
          <w:color w:val="auto"/>
          <w:sz w:val="20"/>
          <w:szCs w:val="20"/>
          <w:highlight w:val="none"/>
          <w:lang w:val="en-US" w:eastAsia="zh-CN"/>
        </w:rPr>
      </w:pPr>
      <w:r>
        <w:rPr>
          <w:rFonts w:hint="eastAsia" w:asciiTheme="minorEastAsia" w:hAnsiTheme="minorEastAsia" w:eastAsiaTheme="minorEastAsia" w:cstheme="minorEastAsia"/>
          <w:b w:val="0"/>
          <w:bCs w:val="0"/>
          <w:color w:val="auto"/>
          <w:sz w:val="20"/>
          <w:szCs w:val="20"/>
          <w:highlight w:val="none"/>
          <w:lang w:val="en-US" w:eastAsia="zh-CN"/>
        </w:rPr>
        <w:t>（11）工作结束，供应商应该妥善保管。及时清理现场，保护场地环境不受污染。</w:t>
      </w:r>
    </w:p>
    <w:p w14:paraId="4DDC089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2" w:firstLineChars="200"/>
        <w:textAlignment w:val="auto"/>
        <w:outlineLvl w:val="0"/>
        <w:rPr>
          <w:rFonts w:hint="eastAsia" w:asciiTheme="minorEastAsia" w:hAnsiTheme="minorEastAsia" w:eastAsiaTheme="minorEastAsia" w:cstheme="minorEastAsia"/>
          <w:b/>
          <w:bCs/>
          <w:color w:val="auto"/>
          <w:sz w:val="20"/>
          <w:szCs w:val="20"/>
          <w:highlight w:val="none"/>
        </w:rPr>
      </w:pPr>
      <w:bookmarkStart w:id="770" w:name="_Toc4204"/>
      <w:bookmarkStart w:id="771" w:name="_Toc6999"/>
      <w:r>
        <w:rPr>
          <w:rFonts w:hint="eastAsia" w:asciiTheme="minorEastAsia" w:hAnsiTheme="minorEastAsia" w:eastAsiaTheme="minorEastAsia" w:cstheme="minorEastAsia"/>
          <w:b/>
          <w:bCs/>
          <w:color w:val="auto"/>
          <w:sz w:val="20"/>
          <w:szCs w:val="20"/>
          <w:highlight w:val="none"/>
          <w:lang w:val="en-US" w:eastAsia="zh-CN"/>
        </w:rPr>
        <w:t>3.</w:t>
      </w:r>
      <w:r>
        <w:rPr>
          <w:rFonts w:hint="eastAsia" w:asciiTheme="minorEastAsia" w:hAnsiTheme="minorEastAsia" w:eastAsiaTheme="minorEastAsia" w:cstheme="minorEastAsia"/>
          <w:b/>
          <w:bCs/>
          <w:color w:val="auto"/>
          <w:sz w:val="20"/>
          <w:szCs w:val="20"/>
          <w:highlight w:val="none"/>
        </w:rPr>
        <w:t>服务履约考核</w:t>
      </w:r>
      <w:bookmarkEnd w:id="770"/>
      <w:bookmarkEnd w:id="771"/>
    </w:p>
    <w:p w14:paraId="2B93EA73">
      <w:pPr>
        <w:keepNext w:val="0"/>
        <w:keepLines w:val="0"/>
        <w:pageBreakBefore w:val="0"/>
        <w:widowControl w:val="0"/>
        <w:kinsoku/>
        <w:wordWrap/>
        <w:overflowPunct/>
        <w:topLinePunct w:val="0"/>
        <w:autoSpaceDE/>
        <w:autoSpaceDN/>
        <w:bidi w:val="0"/>
        <w:adjustRightInd/>
        <w:snapToGrid/>
        <w:spacing w:line="560" w:lineRule="exact"/>
        <w:ind w:firstLine="400" w:firstLineChars="200"/>
        <w:jc w:val="left"/>
        <w:outlineLvl w:val="9"/>
        <w:rPr>
          <w:rFonts w:hint="eastAsia" w:asciiTheme="minorEastAsia" w:hAnsiTheme="minorEastAsia" w:eastAsiaTheme="minorEastAsia" w:cstheme="minorEastAsia"/>
          <w:bCs/>
          <w:color w:val="auto"/>
          <w:sz w:val="20"/>
          <w:szCs w:val="20"/>
          <w:highlight w:val="none"/>
          <w:lang w:val="en-US" w:eastAsia="zh-CN"/>
        </w:rPr>
      </w:pPr>
      <w:r>
        <w:rPr>
          <w:rFonts w:hint="eastAsia" w:asciiTheme="minorEastAsia" w:hAnsiTheme="minorEastAsia" w:eastAsiaTheme="minorEastAsia" w:cstheme="minorEastAsia"/>
          <w:bCs/>
          <w:color w:val="auto"/>
          <w:sz w:val="20"/>
          <w:szCs w:val="20"/>
          <w:highlight w:val="none"/>
          <w:lang w:val="en-US" w:eastAsia="zh-CN"/>
        </w:rPr>
        <w:t>采购方对供应商每次工作进行考核，考核结果作为对供应商履约考核的评价</w:t>
      </w: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bCs/>
          <w:color w:val="auto"/>
          <w:sz w:val="20"/>
          <w:szCs w:val="20"/>
          <w:highlight w:val="none"/>
          <w:lang w:val="en-US" w:eastAsia="zh-CN"/>
        </w:rPr>
        <w:t>每扣1分折合人民币100元。</w:t>
      </w:r>
    </w:p>
    <w:tbl>
      <w:tblPr>
        <w:tblStyle w:val="15"/>
        <w:tblpPr w:leftFromText="180" w:rightFromText="180" w:vertAnchor="text" w:horzAnchor="page" w:tblpXSpec="center" w:tblpY="549"/>
        <w:tblOverlap w:val="never"/>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
        <w:gridCol w:w="1013"/>
        <w:gridCol w:w="5849"/>
        <w:gridCol w:w="1065"/>
      </w:tblGrid>
      <w:tr w14:paraId="3CD52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blHeader/>
          <w:jc w:val="center"/>
        </w:trPr>
        <w:tc>
          <w:tcPr>
            <w:tcW w:w="446" w:type="dxa"/>
            <w:vAlign w:val="center"/>
          </w:tcPr>
          <w:p w14:paraId="0C2C7D01">
            <w:pPr>
              <w:keepNext w:val="0"/>
              <w:keepLines w:val="0"/>
              <w:pageBreakBefore w:val="0"/>
              <w:widowControl w:val="0"/>
              <w:kinsoku/>
              <w:wordWrap/>
              <w:overflowPunct/>
              <w:topLinePunct w:val="0"/>
              <w:autoSpaceDE/>
              <w:autoSpaceDN/>
              <w:bidi w:val="0"/>
              <w:adjustRightInd w:val="0"/>
              <w:snapToGrid w:val="0"/>
              <w:spacing w:line="420" w:lineRule="exact"/>
              <w:jc w:val="both"/>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序号</w:t>
            </w:r>
          </w:p>
        </w:tc>
        <w:tc>
          <w:tcPr>
            <w:tcW w:w="1013" w:type="dxa"/>
            <w:vAlign w:val="center"/>
          </w:tcPr>
          <w:p w14:paraId="5571C8CC">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维度</w:t>
            </w:r>
          </w:p>
        </w:tc>
        <w:tc>
          <w:tcPr>
            <w:tcW w:w="5849" w:type="dxa"/>
            <w:vAlign w:val="center"/>
          </w:tcPr>
          <w:p w14:paraId="57B97B94">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评分标准</w:t>
            </w:r>
          </w:p>
        </w:tc>
        <w:tc>
          <w:tcPr>
            <w:tcW w:w="1065" w:type="dxa"/>
            <w:vAlign w:val="center"/>
          </w:tcPr>
          <w:p w14:paraId="4494FAAD">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备注</w:t>
            </w:r>
          </w:p>
        </w:tc>
      </w:tr>
      <w:tr w14:paraId="4D9F5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6" w:type="dxa"/>
            <w:vAlign w:val="center"/>
          </w:tcPr>
          <w:p w14:paraId="64F62957">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1</w:t>
            </w:r>
          </w:p>
        </w:tc>
        <w:tc>
          <w:tcPr>
            <w:tcW w:w="1013" w:type="dxa"/>
            <w:vMerge w:val="restart"/>
            <w:vAlign w:val="center"/>
          </w:tcPr>
          <w:p w14:paraId="722B711D">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服务</w:t>
            </w:r>
          </w:p>
          <w:p w14:paraId="08EA798A">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质量</w:t>
            </w:r>
          </w:p>
        </w:tc>
        <w:tc>
          <w:tcPr>
            <w:tcW w:w="5849" w:type="dxa"/>
            <w:vAlign w:val="center"/>
          </w:tcPr>
          <w:p w14:paraId="382516EC">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未按采购方要求，按时按质提供服务，存在怠于响应、迟到、敷衍开展工作等现象的，每次扣2分。</w:t>
            </w:r>
          </w:p>
        </w:tc>
        <w:tc>
          <w:tcPr>
            <w:tcW w:w="1065" w:type="dxa"/>
            <w:vMerge w:val="restart"/>
            <w:vAlign w:val="center"/>
          </w:tcPr>
          <w:p w14:paraId="0CE6D442">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r>
      <w:tr w14:paraId="19912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6" w:type="dxa"/>
            <w:vAlign w:val="center"/>
          </w:tcPr>
          <w:p w14:paraId="2914528E">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2</w:t>
            </w:r>
          </w:p>
        </w:tc>
        <w:tc>
          <w:tcPr>
            <w:tcW w:w="1013" w:type="dxa"/>
            <w:vMerge w:val="continue"/>
            <w:vAlign w:val="center"/>
          </w:tcPr>
          <w:p w14:paraId="2D312E26">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c>
          <w:tcPr>
            <w:tcW w:w="5849" w:type="dxa"/>
            <w:vAlign w:val="center"/>
          </w:tcPr>
          <w:p w14:paraId="698A4D33">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未按采购方要求服务响应速度慢，影响采购方现场开展勘察的计划，每次扣3分。</w:t>
            </w:r>
          </w:p>
        </w:tc>
        <w:tc>
          <w:tcPr>
            <w:tcW w:w="1065" w:type="dxa"/>
            <w:vMerge w:val="continue"/>
            <w:vAlign w:val="center"/>
          </w:tcPr>
          <w:p w14:paraId="056EA76D">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r>
      <w:tr w14:paraId="6A37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46" w:type="dxa"/>
            <w:vAlign w:val="center"/>
          </w:tcPr>
          <w:p w14:paraId="5A2FA8F5">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3</w:t>
            </w:r>
          </w:p>
        </w:tc>
        <w:tc>
          <w:tcPr>
            <w:tcW w:w="1013" w:type="dxa"/>
            <w:vMerge w:val="continue"/>
            <w:vAlign w:val="center"/>
          </w:tcPr>
          <w:p w14:paraId="08CF39FD">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c>
          <w:tcPr>
            <w:tcW w:w="5849" w:type="dxa"/>
            <w:vAlign w:val="center"/>
          </w:tcPr>
          <w:p w14:paraId="50032698">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无正当理由及未与采购方沟通的，未按规定时间提供服务的，每次扣3分。</w:t>
            </w:r>
          </w:p>
        </w:tc>
        <w:tc>
          <w:tcPr>
            <w:tcW w:w="1065" w:type="dxa"/>
            <w:vMerge w:val="continue"/>
            <w:vAlign w:val="center"/>
          </w:tcPr>
          <w:p w14:paraId="5B16F251">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r>
      <w:tr w14:paraId="00E1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446" w:type="dxa"/>
            <w:vAlign w:val="center"/>
          </w:tcPr>
          <w:p w14:paraId="42A8510F">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4</w:t>
            </w:r>
          </w:p>
        </w:tc>
        <w:tc>
          <w:tcPr>
            <w:tcW w:w="1013" w:type="dxa"/>
            <w:vMerge w:val="continue"/>
            <w:vAlign w:val="center"/>
          </w:tcPr>
          <w:p w14:paraId="13264426">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c>
          <w:tcPr>
            <w:tcW w:w="5849" w:type="dxa"/>
            <w:vAlign w:val="center"/>
          </w:tcPr>
          <w:p w14:paraId="11829B82">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在清洗的过程中，使用劣质的化学除油剂、溶油剂等，每发现一次扣2分；如因为使用劣质化学除油剂、溶油剂等造成了重大损失，每出现一次扣5分。</w:t>
            </w:r>
          </w:p>
        </w:tc>
        <w:tc>
          <w:tcPr>
            <w:tcW w:w="1065" w:type="dxa"/>
            <w:vMerge w:val="continue"/>
            <w:vAlign w:val="center"/>
          </w:tcPr>
          <w:p w14:paraId="307892CC">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r>
      <w:tr w14:paraId="68AE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46" w:type="dxa"/>
            <w:vAlign w:val="center"/>
          </w:tcPr>
          <w:p w14:paraId="753B0493">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5</w:t>
            </w:r>
          </w:p>
        </w:tc>
        <w:tc>
          <w:tcPr>
            <w:tcW w:w="1013" w:type="dxa"/>
            <w:vMerge w:val="continue"/>
            <w:vAlign w:val="center"/>
          </w:tcPr>
          <w:p w14:paraId="28863B94">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c>
          <w:tcPr>
            <w:tcW w:w="5849" w:type="dxa"/>
            <w:vAlign w:val="center"/>
          </w:tcPr>
          <w:p w14:paraId="2B009C02">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未按采购方要求做好清洗记录和档案管理工作，每次扣2分。</w:t>
            </w:r>
          </w:p>
        </w:tc>
        <w:tc>
          <w:tcPr>
            <w:tcW w:w="1065" w:type="dxa"/>
            <w:vMerge w:val="continue"/>
            <w:vAlign w:val="center"/>
          </w:tcPr>
          <w:p w14:paraId="2A467802">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r>
      <w:tr w14:paraId="4D272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446" w:type="dxa"/>
            <w:vAlign w:val="center"/>
          </w:tcPr>
          <w:p w14:paraId="7E2291E1">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6</w:t>
            </w:r>
          </w:p>
        </w:tc>
        <w:tc>
          <w:tcPr>
            <w:tcW w:w="1013" w:type="dxa"/>
            <w:vMerge w:val="continue"/>
            <w:vAlign w:val="center"/>
          </w:tcPr>
          <w:p w14:paraId="4120F973">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c>
          <w:tcPr>
            <w:tcW w:w="5849" w:type="dxa"/>
            <w:vAlign w:val="center"/>
          </w:tcPr>
          <w:p w14:paraId="5A790006">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未制定应急方案，且在紧急事件发生时，不能及时处理，给采购方带来损失的，每次扣5分。</w:t>
            </w:r>
          </w:p>
        </w:tc>
        <w:tc>
          <w:tcPr>
            <w:tcW w:w="1065" w:type="dxa"/>
            <w:vMerge w:val="continue"/>
            <w:vAlign w:val="center"/>
          </w:tcPr>
          <w:p w14:paraId="1E8B558B">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r>
      <w:tr w14:paraId="45DE8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446" w:type="dxa"/>
            <w:vAlign w:val="center"/>
          </w:tcPr>
          <w:p w14:paraId="09A12824">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7</w:t>
            </w:r>
          </w:p>
        </w:tc>
        <w:tc>
          <w:tcPr>
            <w:tcW w:w="1013" w:type="dxa"/>
            <w:vMerge w:val="continue"/>
            <w:vAlign w:val="center"/>
          </w:tcPr>
          <w:p w14:paraId="22C6B1CD">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c>
          <w:tcPr>
            <w:tcW w:w="5849" w:type="dxa"/>
            <w:vAlign w:val="center"/>
          </w:tcPr>
          <w:p w14:paraId="11821043">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服务人员服务态度良好，应对采购方提出的问题耐心解答，对反馈的问题及时跟进。如服务防治专业人员态度恶劣，消极怠工，每次扣2分。</w:t>
            </w:r>
          </w:p>
        </w:tc>
        <w:tc>
          <w:tcPr>
            <w:tcW w:w="1065" w:type="dxa"/>
            <w:vMerge w:val="continue"/>
            <w:vAlign w:val="center"/>
          </w:tcPr>
          <w:p w14:paraId="76AE1BFE">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r>
      <w:tr w14:paraId="6B274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446" w:type="dxa"/>
            <w:vAlign w:val="center"/>
          </w:tcPr>
          <w:p w14:paraId="4015A419">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8</w:t>
            </w:r>
          </w:p>
        </w:tc>
        <w:tc>
          <w:tcPr>
            <w:tcW w:w="1013" w:type="dxa"/>
            <w:vAlign w:val="center"/>
          </w:tcPr>
          <w:p w14:paraId="47878EC8">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安全</w:t>
            </w:r>
          </w:p>
          <w:p w14:paraId="6136D13C">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管理</w:t>
            </w:r>
          </w:p>
        </w:tc>
        <w:tc>
          <w:tcPr>
            <w:tcW w:w="5849" w:type="dxa"/>
            <w:vAlign w:val="center"/>
          </w:tcPr>
          <w:p w14:paraId="1E304D5B">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供应商必须严格执行采购方的安全规定。每出现一次安全事故，扣5分；每出现一次重大安全事故，扣10分。</w:t>
            </w:r>
          </w:p>
        </w:tc>
        <w:tc>
          <w:tcPr>
            <w:tcW w:w="1065" w:type="dxa"/>
            <w:vMerge w:val="continue"/>
            <w:vAlign w:val="center"/>
          </w:tcPr>
          <w:p w14:paraId="6BFF227B">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r>
      <w:tr w14:paraId="3B7C4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446" w:type="dxa"/>
            <w:vAlign w:val="center"/>
          </w:tcPr>
          <w:p w14:paraId="62CD1763">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9</w:t>
            </w:r>
          </w:p>
        </w:tc>
        <w:tc>
          <w:tcPr>
            <w:tcW w:w="1013" w:type="dxa"/>
            <w:vAlign w:val="center"/>
          </w:tcPr>
          <w:p w14:paraId="77DEACC2">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保密</w:t>
            </w:r>
          </w:p>
          <w:p w14:paraId="24B77D44">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管理</w:t>
            </w:r>
          </w:p>
        </w:tc>
        <w:tc>
          <w:tcPr>
            <w:tcW w:w="5849" w:type="dxa"/>
            <w:vAlign w:val="center"/>
          </w:tcPr>
          <w:p w14:paraId="173EF4CF">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r>
              <w:rPr>
                <w:rFonts w:hint="eastAsia" w:asciiTheme="minorEastAsia" w:hAnsiTheme="minorEastAsia" w:eastAsiaTheme="minorEastAsia" w:cstheme="minorEastAsia"/>
                <w:b w:val="0"/>
                <w:bCs/>
                <w:color w:val="auto"/>
                <w:sz w:val="20"/>
                <w:szCs w:val="20"/>
                <w:highlight w:val="none"/>
                <w:lang w:val="en-US" w:eastAsia="zh-CN"/>
              </w:rPr>
              <w:t>服务人员未做好保密工作，造成了信息泄露，每次扣5分；信息泄露给采购方带来重大影响的，扣10分。</w:t>
            </w:r>
          </w:p>
        </w:tc>
        <w:tc>
          <w:tcPr>
            <w:tcW w:w="1065" w:type="dxa"/>
            <w:vMerge w:val="continue"/>
            <w:vAlign w:val="center"/>
          </w:tcPr>
          <w:p w14:paraId="21CCF8A5">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Theme="minorEastAsia" w:hAnsiTheme="minorEastAsia" w:eastAsiaTheme="minorEastAsia" w:cstheme="minorEastAsia"/>
                <w:b w:val="0"/>
                <w:bCs/>
                <w:color w:val="auto"/>
                <w:sz w:val="20"/>
                <w:szCs w:val="20"/>
                <w:highlight w:val="none"/>
                <w:lang w:val="en-US" w:eastAsia="zh-CN"/>
              </w:rPr>
            </w:pPr>
          </w:p>
        </w:tc>
      </w:tr>
    </w:tbl>
    <w:tbl>
      <w:tblPr>
        <w:tblStyle w:val="15"/>
        <w:tblW w:w="8385" w:type="dxa"/>
        <w:tblInd w:w="6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8385"/>
      </w:tblGrid>
      <w:tr w14:paraId="445FE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83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3E593D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782F4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259" w:hRule="atLeast"/>
        </w:trPr>
        <w:tc>
          <w:tcPr>
            <w:tcW w:w="83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D59D1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考核意见</w:t>
            </w:r>
          </w:p>
          <w:p w14:paraId="7C012EF5">
            <w:pPr>
              <w:pStyle w:val="18"/>
              <w:rPr>
                <w:rFonts w:hint="eastAsia"/>
                <w:lang w:val="en-US" w:eastAsia="zh-CN"/>
              </w:rPr>
            </w:pPr>
          </w:p>
          <w:p w14:paraId="539FCF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签名：</w:t>
            </w:r>
          </w:p>
          <w:p w14:paraId="2C61ADF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cs="宋体"/>
                <w:color w:val="auto"/>
                <w:sz w:val="20"/>
                <w:szCs w:val="20"/>
                <w:highlight w:val="none"/>
                <w:u w:val="none"/>
                <w:vertAlign w:val="baseline"/>
                <w:lang w:val="en-US" w:eastAsia="zh-CN"/>
              </w:rPr>
              <w:t xml:space="preserve">                                             </w:t>
            </w:r>
            <w:r>
              <w:rPr>
                <w:rFonts w:hint="eastAsia" w:ascii="宋体" w:hAnsi="宋体" w:eastAsia="宋体" w:cs="宋体"/>
                <w:color w:val="auto"/>
                <w:sz w:val="20"/>
                <w:szCs w:val="20"/>
                <w:highlight w:val="none"/>
                <w:u w:val="none"/>
                <w:vertAlign w:val="baseline"/>
                <w:lang w:val="en-US" w:eastAsia="zh-CN"/>
              </w:rPr>
              <w:t>日期：</w:t>
            </w:r>
          </w:p>
        </w:tc>
      </w:tr>
    </w:tbl>
    <w:p w14:paraId="449E73BC">
      <w:pPr>
        <w:rPr>
          <w:rFonts w:hint="eastAsia" w:ascii="宋体" w:hAnsi="宋体" w:eastAsia="宋体" w:cs="宋体"/>
          <w:sz w:val="20"/>
          <w:szCs w:val="20"/>
          <w:lang w:val="en-US" w:eastAsia="zh-CN"/>
        </w:rPr>
      </w:pPr>
      <w:bookmarkStart w:id="772" w:name="_Toc8109"/>
      <w:r>
        <w:rPr>
          <w:rFonts w:hint="eastAsia" w:ascii="宋体" w:hAnsi="宋体" w:eastAsia="宋体" w:cs="宋体"/>
          <w:sz w:val="20"/>
          <w:szCs w:val="20"/>
          <w:lang w:val="en-US" w:eastAsia="zh-CN"/>
        </w:rPr>
        <w:br w:type="page"/>
      </w:r>
    </w:p>
    <w:p w14:paraId="1D12BBD5">
      <w:pPr>
        <w:pStyle w:val="5"/>
        <w:numPr>
          <w:ilvl w:val="1"/>
          <w:numId w:val="0"/>
        </w:numPr>
        <w:bidi w:val="0"/>
        <w:ind w:leftChars="0"/>
        <w:jc w:val="center"/>
        <w:rPr>
          <w:rFonts w:hint="eastAsia" w:ascii="宋体" w:hAnsi="宋体" w:eastAsia="宋体" w:cs="宋体"/>
          <w:sz w:val="20"/>
          <w:szCs w:val="20"/>
          <w:lang w:val="en-US" w:eastAsia="zh-CN"/>
        </w:rPr>
      </w:pPr>
      <w:bookmarkStart w:id="773" w:name="_Toc7918"/>
      <w:r>
        <w:rPr>
          <w:rFonts w:hint="eastAsia" w:ascii="宋体" w:hAnsi="宋体" w:eastAsia="宋体" w:cs="宋体"/>
          <w:sz w:val="20"/>
          <w:szCs w:val="20"/>
          <w:lang w:val="en-US" w:eastAsia="zh-CN"/>
        </w:rPr>
        <w:t>（三十）立体停车库维保服务项目</w:t>
      </w:r>
      <w:bookmarkEnd w:id="772"/>
      <w:bookmarkEnd w:id="773"/>
      <w:bookmarkStart w:id="774" w:name="_Toc17985"/>
    </w:p>
    <w:p w14:paraId="24B24249">
      <w:pPr>
        <w:pageBreakBefore w:val="0"/>
        <w:widowControl w:val="0"/>
        <w:kinsoku/>
        <w:wordWrap/>
        <w:overflowPunct/>
        <w:topLinePunct w:val="0"/>
        <w:autoSpaceDE/>
        <w:autoSpaceDN/>
        <w:bidi w:val="0"/>
        <w:adjustRightInd/>
        <w:snapToGrid/>
        <w:spacing w:line="160" w:lineRule="atLeast"/>
        <w:ind w:firstLine="402" w:firstLineChars="200"/>
        <w:textAlignment w:val="auto"/>
        <w:rPr>
          <w:rFonts w:hint="eastAsia" w:ascii="宋体" w:hAnsi="宋体" w:eastAsia="宋体" w:cs="宋体"/>
          <w:b/>
          <w:bCs/>
          <w:kern w:val="2"/>
          <w:sz w:val="20"/>
          <w:szCs w:val="20"/>
          <w:lang w:val="en-US" w:eastAsia="zh-CN" w:bidi="ar-SA"/>
        </w:rPr>
      </w:pPr>
    </w:p>
    <w:p w14:paraId="5DEC6051">
      <w:pPr>
        <w:pageBreakBefore w:val="0"/>
        <w:widowControl w:val="0"/>
        <w:kinsoku/>
        <w:wordWrap/>
        <w:overflowPunct/>
        <w:topLinePunct w:val="0"/>
        <w:autoSpaceDE/>
        <w:autoSpaceDN/>
        <w:bidi w:val="0"/>
        <w:adjustRightInd/>
        <w:snapToGrid/>
        <w:spacing w:line="160" w:lineRule="atLeast"/>
        <w:ind w:firstLine="402" w:firstLineChars="200"/>
        <w:textAlignment w:val="auto"/>
        <w:rPr>
          <w:rFonts w:hint="eastAsia" w:ascii="宋体" w:hAnsi="宋体" w:eastAsia="宋体" w:cs="宋体"/>
          <w:b/>
          <w:bCs/>
          <w:kern w:val="2"/>
          <w:sz w:val="20"/>
          <w:szCs w:val="20"/>
          <w:lang w:val="en-US" w:eastAsia="zh-CN" w:bidi="ar-SA"/>
        </w:rPr>
      </w:pPr>
      <w:r>
        <w:rPr>
          <w:rFonts w:hint="eastAsia" w:ascii="宋体" w:hAnsi="宋体" w:eastAsia="宋体" w:cs="宋体"/>
          <w:b/>
          <w:bCs/>
          <w:kern w:val="2"/>
          <w:sz w:val="20"/>
          <w:szCs w:val="20"/>
          <w:lang w:val="en-US" w:eastAsia="zh-CN" w:bidi="ar-SA"/>
        </w:rPr>
        <w:t>1.项目服务内容及标准</w:t>
      </w:r>
      <w:bookmarkEnd w:id="774"/>
    </w:p>
    <w:p w14:paraId="03EA4DC2">
      <w:pPr>
        <w:pageBreakBefore w:val="0"/>
        <w:widowControl w:val="0"/>
        <w:kinsoku/>
        <w:wordWrap/>
        <w:overflowPunct/>
        <w:topLinePunct w:val="0"/>
        <w:autoSpaceDE/>
        <w:autoSpaceDN/>
        <w:bidi w:val="0"/>
        <w:adjustRightInd/>
        <w:snapToGrid/>
        <w:spacing w:line="160" w:lineRule="atLeast"/>
        <w:ind w:firstLine="400" w:firstLineChars="200"/>
        <w:textAlignment w:val="auto"/>
        <w:rPr>
          <w:rFonts w:hint="eastAsia" w:ascii="宋体" w:hAnsi="宋体" w:eastAsia="宋体" w:cs="宋体"/>
          <w:b w:val="0"/>
          <w:kern w:val="2"/>
          <w:sz w:val="20"/>
          <w:szCs w:val="20"/>
          <w:lang w:val="en-US" w:eastAsia="zh-CN" w:bidi="ar-SA"/>
        </w:rPr>
      </w:pPr>
      <w:r>
        <w:rPr>
          <w:rFonts w:hint="eastAsia" w:ascii="宋体" w:hAnsi="宋体" w:eastAsia="宋体" w:cs="宋体"/>
          <w:b w:val="0"/>
          <w:kern w:val="2"/>
          <w:sz w:val="20"/>
          <w:szCs w:val="20"/>
          <w:lang w:val="en-US" w:eastAsia="zh-CN" w:bidi="ar-SA"/>
        </w:rPr>
        <w:t>1.1立体停车库的日常维保服务及简易故障处理、易损配件更换。</w:t>
      </w:r>
    </w:p>
    <w:p w14:paraId="72425B6E">
      <w:pPr>
        <w:pageBreakBefore w:val="0"/>
        <w:widowControl w:val="0"/>
        <w:kinsoku/>
        <w:wordWrap/>
        <w:overflowPunct/>
        <w:topLinePunct w:val="0"/>
        <w:autoSpaceDE/>
        <w:autoSpaceDN/>
        <w:bidi w:val="0"/>
        <w:adjustRightInd/>
        <w:snapToGrid/>
        <w:spacing w:line="160" w:lineRule="atLeast"/>
        <w:ind w:firstLine="400" w:firstLineChars="200"/>
        <w:textAlignment w:val="auto"/>
        <w:rPr>
          <w:rFonts w:hint="eastAsia" w:ascii="宋体" w:hAnsi="宋体" w:eastAsia="宋体" w:cs="宋体"/>
          <w:b w:val="0"/>
          <w:kern w:val="2"/>
          <w:sz w:val="20"/>
          <w:szCs w:val="20"/>
          <w:lang w:val="en-US" w:eastAsia="zh-CN" w:bidi="ar-SA"/>
        </w:rPr>
      </w:pPr>
      <w:r>
        <w:rPr>
          <w:rFonts w:hint="eastAsia" w:ascii="宋体" w:hAnsi="宋体" w:eastAsia="宋体" w:cs="宋体"/>
          <w:b w:val="0"/>
          <w:kern w:val="2"/>
          <w:sz w:val="20"/>
          <w:szCs w:val="20"/>
          <w:lang w:val="en-US" w:eastAsia="zh-CN" w:bidi="ar-SA"/>
        </w:rPr>
        <w:t>1.2</w:t>
      </w:r>
      <w:r>
        <w:rPr>
          <w:rFonts w:hint="eastAsia" w:ascii="宋体" w:hAnsi="宋体" w:cs="宋体"/>
          <w:b w:val="0"/>
          <w:kern w:val="2"/>
          <w:sz w:val="20"/>
          <w:szCs w:val="20"/>
          <w:lang w:val="en-US" w:eastAsia="zh-CN" w:bidi="ar-SA"/>
        </w:rPr>
        <w:t>服务商</w:t>
      </w:r>
      <w:r>
        <w:rPr>
          <w:rFonts w:hint="eastAsia" w:ascii="宋体" w:hAnsi="宋体" w:eastAsia="宋体" w:cs="宋体"/>
          <w:b w:val="0"/>
          <w:kern w:val="2"/>
          <w:sz w:val="20"/>
          <w:szCs w:val="20"/>
          <w:lang w:val="en-US" w:eastAsia="zh-CN" w:bidi="ar-SA"/>
        </w:rPr>
        <w:t>定点和安排人员到</w:t>
      </w:r>
      <w:r>
        <w:rPr>
          <w:rFonts w:hint="eastAsia" w:ascii="宋体" w:hAnsi="宋体" w:cs="宋体"/>
          <w:b w:val="0"/>
          <w:kern w:val="2"/>
          <w:sz w:val="20"/>
          <w:szCs w:val="20"/>
          <w:lang w:val="en-US" w:eastAsia="zh-CN" w:bidi="ar-SA"/>
        </w:rPr>
        <w:t>采购方</w:t>
      </w:r>
      <w:r>
        <w:rPr>
          <w:rFonts w:hint="eastAsia" w:ascii="宋体" w:hAnsi="宋体" w:eastAsia="宋体" w:cs="宋体"/>
          <w:b w:val="0"/>
          <w:kern w:val="2"/>
          <w:sz w:val="20"/>
          <w:szCs w:val="20"/>
          <w:lang w:val="en-US" w:eastAsia="zh-CN" w:bidi="ar-SA"/>
        </w:rPr>
        <w:t>的实施地点立体停车库开展维保工作，维保产生的维修人工费、交通费、工具费、日常维修保养所需的润滑油脂费、辅助耗材费（如棉纱、螺栓等)等由</w:t>
      </w:r>
      <w:r>
        <w:rPr>
          <w:rFonts w:hint="eastAsia" w:ascii="宋体" w:hAnsi="宋体" w:cs="宋体"/>
          <w:b w:val="0"/>
          <w:kern w:val="2"/>
          <w:sz w:val="20"/>
          <w:szCs w:val="20"/>
          <w:lang w:val="en-US" w:eastAsia="zh-CN" w:bidi="ar-SA"/>
        </w:rPr>
        <w:t>服务商</w:t>
      </w:r>
      <w:r>
        <w:rPr>
          <w:rFonts w:hint="eastAsia" w:ascii="宋体" w:hAnsi="宋体" w:eastAsia="宋体" w:cs="宋体"/>
          <w:b w:val="0"/>
          <w:kern w:val="2"/>
          <w:sz w:val="20"/>
          <w:szCs w:val="20"/>
          <w:lang w:val="en-US" w:eastAsia="zh-CN" w:bidi="ar-SA"/>
        </w:rPr>
        <w:t>负责。由</w:t>
      </w:r>
      <w:r>
        <w:rPr>
          <w:rFonts w:hint="eastAsia" w:ascii="宋体" w:hAnsi="宋体" w:cs="宋体"/>
          <w:b w:val="0"/>
          <w:kern w:val="2"/>
          <w:sz w:val="20"/>
          <w:szCs w:val="20"/>
          <w:lang w:val="en-US" w:eastAsia="zh-CN" w:bidi="ar-SA"/>
        </w:rPr>
        <w:t>服务商</w:t>
      </w:r>
      <w:r>
        <w:rPr>
          <w:rFonts w:hint="eastAsia" w:ascii="宋体" w:hAnsi="宋体" w:eastAsia="宋体" w:cs="宋体"/>
          <w:b w:val="0"/>
          <w:kern w:val="2"/>
          <w:sz w:val="20"/>
          <w:szCs w:val="20"/>
          <w:lang w:val="en-US" w:eastAsia="zh-CN" w:bidi="ar-SA"/>
        </w:rPr>
        <w:t>提供上门服务，维修期间产生的配件更换费用由</w:t>
      </w:r>
      <w:r>
        <w:rPr>
          <w:rFonts w:hint="eastAsia" w:ascii="宋体" w:hAnsi="宋体" w:cs="宋体"/>
          <w:b w:val="0"/>
          <w:kern w:val="2"/>
          <w:sz w:val="20"/>
          <w:szCs w:val="20"/>
          <w:lang w:val="en-US" w:eastAsia="zh-CN" w:bidi="ar-SA"/>
        </w:rPr>
        <w:t>采购方</w:t>
      </w:r>
      <w:r>
        <w:rPr>
          <w:rFonts w:hint="eastAsia" w:ascii="宋体" w:hAnsi="宋体" w:eastAsia="宋体" w:cs="宋体"/>
          <w:b w:val="0"/>
          <w:kern w:val="2"/>
          <w:sz w:val="20"/>
          <w:szCs w:val="20"/>
          <w:lang w:val="en-US" w:eastAsia="zh-CN" w:bidi="ar-SA"/>
        </w:rPr>
        <w:t>负责。</w:t>
      </w:r>
    </w:p>
    <w:p w14:paraId="18F46579">
      <w:pPr>
        <w:pageBreakBefore w:val="0"/>
        <w:widowControl w:val="0"/>
        <w:kinsoku/>
        <w:wordWrap/>
        <w:overflowPunct/>
        <w:topLinePunct w:val="0"/>
        <w:autoSpaceDE/>
        <w:autoSpaceDN/>
        <w:bidi w:val="0"/>
        <w:adjustRightInd/>
        <w:snapToGrid/>
        <w:spacing w:line="160" w:lineRule="atLeast"/>
        <w:ind w:firstLine="400" w:firstLineChars="200"/>
        <w:textAlignment w:val="auto"/>
        <w:rPr>
          <w:rFonts w:hint="eastAsia" w:ascii="宋体" w:hAnsi="宋体" w:eastAsia="宋体" w:cs="宋体"/>
          <w:b w:val="0"/>
          <w:kern w:val="2"/>
          <w:sz w:val="20"/>
          <w:szCs w:val="20"/>
          <w:lang w:val="en-US" w:eastAsia="zh-CN" w:bidi="ar-SA"/>
        </w:rPr>
      </w:pPr>
      <w:r>
        <w:rPr>
          <w:rFonts w:hint="eastAsia" w:ascii="宋体" w:hAnsi="宋体" w:eastAsia="宋体" w:cs="宋体"/>
          <w:b w:val="0"/>
          <w:kern w:val="2"/>
          <w:sz w:val="20"/>
          <w:szCs w:val="20"/>
          <w:lang w:val="en-US" w:eastAsia="zh-CN" w:bidi="ar-SA"/>
        </w:rPr>
        <w:t>1.3</w:t>
      </w:r>
      <w:r>
        <w:rPr>
          <w:rFonts w:hint="eastAsia" w:ascii="宋体" w:hAnsi="宋体" w:cs="宋体"/>
          <w:b w:val="0"/>
          <w:kern w:val="2"/>
          <w:sz w:val="20"/>
          <w:szCs w:val="20"/>
          <w:lang w:val="en-US" w:eastAsia="zh-CN" w:bidi="ar-SA"/>
        </w:rPr>
        <w:t>服务商</w:t>
      </w:r>
      <w:r>
        <w:rPr>
          <w:rFonts w:hint="eastAsia" w:ascii="宋体" w:hAnsi="宋体" w:eastAsia="宋体" w:cs="宋体"/>
          <w:b w:val="0"/>
          <w:kern w:val="2"/>
          <w:sz w:val="20"/>
          <w:szCs w:val="20"/>
          <w:lang w:val="en-US" w:eastAsia="zh-CN" w:bidi="ar-SA"/>
        </w:rPr>
        <w:t>应按行业服务标准为</w:t>
      </w:r>
      <w:r>
        <w:rPr>
          <w:rFonts w:hint="eastAsia" w:ascii="宋体" w:hAnsi="宋体" w:cs="宋体"/>
          <w:b w:val="0"/>
          <w:kern w:val="2"/>
          <w:sz w:val="20"/>
          <w:szCs w:val="20"/>
          <w:lang w:val="en-US" w:eastAsia="zh-CN" w:bidi="ar-SA"/>
        </w:rPr>
        <w:t>采购方</w:t>
      </w:r>
      <w:r>
        <w:rPr>
          <w:rFonts w:hint="eastAsia" w:ascii="宋体" w:hAnsi="宋体" w:eastAsia="宋体" w:cs="宋体"/>
          <w:b w:val="0"/>
          <w:kern w:val="2"/>
          <w:sz w:val="20"/>
          <w:szCs w:val="20"/>
          <w:lang w:val="en-US" w:eastAsia="zh-CN" w:bidi="ar-SA"/>
        </w:rPr>
        <w:t>服务。</w:t>
      </w:r>
    </w:p>
    <w:p w14:paraId="180CB38F">
      <w:pPr>
        <w:pageBreakBefore w:val="0"/>
        <w:widowControl w:val="0"/>
        <w:kinsoku/>
        <w:wordWrap/>
        <w:overflowPunct/>
        <w:topLinePunct w:val="0"/>
        <w:autoSpaceDE/>
        <w:autoSpaceDN/>
        <w:bidi w:val="0"/>
        <w:adjustRightInd/>
        <w:snapToGrid/>
        <w:spacing w:line="160" w:lineRule="atLeast"/>
        <w:ind w:firstLine="400" w:firstLineChars="200"/>
        <w:textAlignment w:val="auto"/>
        <w:rPr>
          <w:rFonts w:hint="eastAsia" w:ascii="宋体" w:hAnsi="宋体" w:eastAsia="宋体" w:cs="宋体"/>
          <w:b w:val="0"/>
          <w:kern w:val="2"/>
          <w:sz w:val="20"/>
          <w:szCs w:val="20"/>
          <w:lang w:val="en-US" w:eastAsia="zh-CN" w:bidi="ar-SA"/>
        </w:rPr>
      </w:pPr>
      <w:r>
        <w:rPr>
          <w:rFonts w:hint="eastAsia" w:ascii="宋体" w:hAnsi="宋体" w:eastAsia="宋体" w:cs="宋体"/>
          <w:b w:val="0"/>
          <w:kern w:val="2"/>
          <w:sz w:val="20"/>
          <w:szCs w:val="20"/>
          <w:lang w:val="en-US" w:eastAsia="zh-CN" w:bidi="ar-SA"/>
        </w:rPr>
        <w:t>1.4</w:t>
      </w:r>
      <w:r>
        <w:rPr>
          <w:rFonts w:hint="eastAsia" w:ascii="宋体" w:hAnsi="宋体" w:cs="宋体"/>
          <w:b w:val="0"/>
          <w:kern w:val="2"/>
          <w:sz w:val="20"/>
          <w:szCs w:val="20"/>
          <w:lang w:val="en-US" w:eastAsia="zh-CN" w:bidi="ar-SA"/>
        </w:rPr>
        <w:t>服务商</w:t>
      </w:r>
      <w:r>
        <w:rPr>
          <w:rFonts w:hint="eastAsia" w:ascii="宋体" w:hAnsi="宋体" w:eastAsia="宋体" w:cs="宋体"/>
          <w:b w:val="0"/>
          <w:kern w:val="2"/>
          <w:sz w:val="20"/>
          <w:szCs w:val="20"/>
          <w:lang w:val="en-US" w:eastAsia="zh-CN" w:bidi="ar-SA"/>
        </w:rPr>
        <w:t>维保服务需具备相应资质，如：营业执照、特种设备维护资质等。</w:t>
      </w:r>
    </w:p>
    <w:p w14:paraId="777D5749">
      <w:pPr>
        <w:pageBreakBefore w:val="0"/>
        <w:widowControl w:val="0"/>
        <w:kinsoku/>
        <w:wordWrap/>
        <w:overflowPunct/>
        <w:topLinePunct w:val="0"/>
        <w:autoSpaceDE/>
        <w:autoSpaceDN/>
        <w:bidi w:val="0"/>
        <w:adjustRightInd/>
        <w:snapToGrid/>
        <w:spacing w:line="160" w:lineRule="atLeast"/>
        <w:ind w:firstLine="400" w:firstLineChars="200"/>
        <w:textAlignment w:val="auto"/>
        <w:rPr>
          <w:rFonts w:hint="eastAsia" w:ascii="宋体" w:hAnsi="宋体" w:eastAsia="宋体" w:cs="宋体"/>
          <w:sz w:val="20"/>
          <w:szCs w:val="20"/>
          <w:lang w:val="en-US" w:eastAsia="zh-CN"/>
        </w:rPr>
      </w:pPr>
      <w:r>
        <w:rPr>
          <w:rFonts w:hint="eastAsia" w:ascii="宋体" w:hAnsi="宋体" w:eastAsia="宋体" w:cs="宋体"/>
          <w:b w:val="0"/>
          <w:kern w:val="2"/>
          <w:sz w:val="20"/>
          <w:szCs w:val="20"/>
          <w:lang w:val="en-US" w:eastAsia="zh-CN" w:bidi="ar-SA"/>
        </w:rPr>
        <w:t>1.5在服务其内的各项服务，其工作时间必须满足</w:t>
      </w:r>
      <w:r>
        <w:rPr>
          <w:rFonts w:hint="eastAsia" w:ascii="宋体" w:hAnsi="宋体" w:cs="宋体"/>
          <w:b w:val="0"/>
          <w:kern w:val="2"/>
          <w:sz w:val="20"/>
          <w:szCs w:val="20"/>
          <w:lang w:val="en-US" w:eastAsia="zh-CN" w:bidi="ar-SA"/>
        </w:rPr>
        <w:t>采购方</w:t>
      </w:r>
      <w:r>
        <w:rPr>
          <w:rFonts w:hint="eastAsia" w:ascii="宋体" w:hAnsi="宋体" w:eastAsia="宋体" w:cs="宋体"/>
          <w:b w:val="0"/>
          <w:kern w:val="2"/>
          <w:sz w:val="20"/>
          <w:szCs w:val="20"/>
          <w:lang w:val="en-US" w:eastAsia="zh-CN" w:bidi="ar-SA"/>
        </w:rPr>
        <w:t>的工作要求，包括双休日及国家法定</w:t>
      </w:r>
      <w:r>
        <w:rPr>
          <w:rFonts w:hint="eastAsia" w:ascii="宋体" w:hAnsi="宋体" w:eastAsia="宋体" w:cs="宋体"/>
          <w:sz w:val="20"/>
          <w:szCs w:val="20"/>
          <w:lang w:val="en-US" w:eastAsia="zh-CN"/>
        </w:rPr>
        <w:t>节假日。如遇特殊情况，</w:t>
      </w:r>
      <w:r>
        <w:rPr>
          <w:rFonts w:hint="eastAsia" w:ascii="宋体" w:hAnsi="宋体" w:cs="宋体"/>
          <w:sz w:val="20"/>
          <w:szCs w:val="20"/>
          <w:lang w:val="en-US" w:eastAsia="zh-CN"/>
        </w:rPr>
        <w:t>采购方</w:t>
      </w:r>
      <w:r>
        <w:rPr>
          <w:rFonts w:hint="eastAsia" w:ascii="宋体" w:hAnsi="宋体" w:eastAsia="宋体" w:cs="宋体"/>
          <w:sz w:val="20"/>
          <w:szCs w:val="20"/>
          <w:lang w:val="en-US" w:eastAsia="zh-CN"/>
        </w:rPr>
        <w:t>可要求</w:t>
      </w:r>
      <w:r>
        <w:rPr>
          <w:rFonts w:hint="eastAsia" w:ascii="宋体" w:hAnsi="宋体" w:cs="宋体"/>
          <w:sz w:val="20"/>
          <w:szCs w:val="20"/>
          <w:lang w:val="en-US" w:eastAsia="zh-CN"/>
        </w:rPr>
        <w:t>服务商</w:t>
      </w:r>
      <w:r>
        <w:rPr>
          <w:rFonts w:hint="eastAsia" w:ascii="宋体" w:hAnsi="宋体" w:eastAsia="宋体" w:cs="宋体"/>
          <w:sz w:val="20"/>
          <w:szCs w:val="20"/>
          <w:lang w:val="en-US" w:eastAsia="zh-CN"/>
        </w:rPr>
        <w:t>调整工作时间直至全天二十四小时工作。</w:t>
      </w:r>
    </w:p>
    <w:p w14:paraId="78DA742A">
      <w:pPr>
        <w:pageBreakBefore w:val="0"/>
        <w:widowControl w:val="0"/>
        <w:kinsoku/>
        <w:wordWrap/>
        <w:overflowPunct/>
        <w:topLinePunct w:val="0"/>
        <w:autoSpaceDE/>
        <w:autoSpaceDN/>
        <w:bidi w:val="0"/>
        <w:adjustRightInd/>
        <w:snapToGrid/>
        <w:spacing w:line="160" w:lineRule="atLeast"/>
        <w:ind w:firstLine="400" w:firstLineChars="200"/>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1.6在</w:t>
      </w:r>
      <w:r>
        <w:rPr>
          <w:rFonts w:hint="eastAsia" w:ascii="宋体" w:hAnsi="宋体" w:cs="宋体"/>
          <w:sz w:val="20"/>
          <w:szCs w:val="20"/>
          <w:lang w:val="en-US" w:eastAsia="zh-CN"/>
        </w:rPr>
        <w:t>采购方</w:t>
      </w:r>
      <w:r>
        <w:rPr>
          <w:rFonts w:hint="eastAsia" w:ascii="宋体" w:hAnsi="宋体" w:eastAsia="宋体" w:cs="宋体"/>
          <w:sz w:val="20"/>
          <w:szCs w:val="20"/>
          <w:lang w:val="en-US" w:eastAsia="zh-CN"/>
        </w:rPr>
        <w:t>规定的时间范围外，</w:t>
      </w:r>
      <w:r>
        <w:rPr>
          <w:rFonts w:hint="eastAsia" w:ascii="宋体" w:hAnsi="宋体" w:cs="宋体"/>
          <w:sz w:val="20"/>
          <w:szCs w:val="20"/>
          <w:lang w:val="en-US" w:eastAsia="zh-CN"/>
        </w:rPr>
        <w:t>服务商</w:t>
      </w:r>
      <w:r>
        <w:rPr>
          <w:rFonts w:hint="eastAsia" w:ascii="宋体" w:hAnsi="宋体" w:eastAsia="宋体" w:cs="宋体"/>
          <w:sz w:val="20"/>
          <w:szCs w:val="20"/>
          <w:lang w:val="en-US" w:eastAsia="zh-CN"/>
        </w:rPr>
        <w:t>驻点人员需撤离</w:t>
      </w:r>
      <w:r>
        <w:rPr>
          <w:rFonts w:hint="eastAsia" w:ascii="宋体" w:hAnsi="宋体" w:cs="宋体"/>
          <w:sz w:val="20"/>
          <w:szCs w:val="20"/>
          <w:lang w:val="en-US" w:eastAsia="zh-CN"/>
        </w:rPr>
        <w:t>采购方</w:t>
      </w:r>
      <w:r>
        <w:rPr>
          <w:rFonts w:hint="eastAsia" w:ascii="宋体" w:hAnsi="宋体" w:eastAsia="宋体" w:cs="宋体"/>
          <w:sz w:val="20"/>
          <w:szCs w:val="20"/>
          <w:lang w:val="en-US" w:eastAsia="zh-CN"/>
        </w:rPr>
        <w:t>办公场所，不得逗留。</w:t>
      </w:r>
    </w:p>
    <w:p w14:paraId="107D8637">
      <w:pPr>
        <w:pageBreakBefore w:val="0"/>
        <w:widowControl w:val="0"/>
        <w:kinsoku/>
        <w:wordWrap/>
        <w:overflowPunct/>
        <w:topLinePunct w:val="0"/>
        <w:autoSpaceDE/>
        <w:autoSpaceDN/>
        <w:bidi w:val="0"/>
        <w:adjustRightInd/>
        <w:snapToGrid/>
        <w:spacing w:line="160" w:lineRule="atLeast"/>
        <w:ind w:firstLine="400" w:firstLineChars="200"/>
        <w:textAlignment w:val="auto"/>
        <w:rPr>
          <w:rFonts w:hint="eastAsia" w:ascii="宋体" w:hAnsi="宋体" w:eastAsia="宋体" w:cs="宋体"/>
          <w:b w:val="0"/>
          <w:kern w:val="2"/>
          <w:sz w:val="20"/>
          <w:szCs w:val="20"/>
          <w:lang w:val="en-US" w:eastAsia="zh-CN" w:bidi="ar-SA"/>
        </w:rPr>
      </w:pPr>
      <w:r>
        <w:rPr>
          <w:rFonts w:hint="eastAsia" w:ascii="宋体" w:hAnsi="宋体" w:eastAsia="宋体" w:cs="宋体"/>
          <w:b w:val="0"/>
          <w:kern w:val="2"/>
          <w:sz w:val="20"/>
          <w:szCs w:val="20"/>
          <w:lang w:val="en-US" w:eastAsia="zh-CN" w:bidi="ar-SA"/>
        </w:rPr>
        <w:t>1.7建立健全严格的安全管理制度，在开展立体车库维保服务工作中严格执行安全管理规定。若不幸发生安全事故（含人身伤亡事故），全部责任由</w:t>
      </w:r>
      <w:r>
        <w:rPr>
          <w:rFonts w:hint="eastAsia" w:ascii="宋体" w:hAnsi="宋体" w:cs="宋体"/>
          <w:b w:val="0"/>
          <w:kern w:val="2"/>
          <w:sz w:val="20"/>
          <w:szCs w:val="20"/>
          <w:lang w:val="en-US" w:eastAsia="zh-CN" w:bidi="ar-SA"/>
        </w:rPr>
        <w:t>服务商</w:t>
      </w:r>
      <w:r>
        <w:rPr>
          <w:rFonts w:hint="eastAsia" w:ascii="宋体" w:hAnsi="宋体" w:eastAsia="宋体" w:cs="宋体"/>
          <w:b w:val="0"/>
          <w:kern w:val="2"/>
          <w:sz w:val="20"/>
          <w:szCs w:val="20"/>
          <w:lang w:val="en-US" w:eastAsia="zh-CN" w:bidi="ar-SA"/>
        </w:rPr>
        <w:t>承担。</w:t>
      </w:r>
    </w:p>
    <w:p w14:paraId="47BA9831">
      <w:pPr>
        <w:pageBreakBefore w:val="0"/>
        <w:widowControl w:val="0"/>
        <w:kinsoku/>
        <w:wordWrap/>
        <w:overflowPunct/>
        <w:topLinePunct w:val="0"/>
        <w:autoSpaceDE/>
        <w:autoSpaceDN/>
        <w:bidi w:val="0"/>
        <w:adjustRightInd/>
        <w:snapToGrid/>
        <w:spacing w:line="160" w:lineRule="atLeast"/>
        <w:ind w:firstLine="402" w:firstLineChars="200"/>
        <w:textAlignment w:val="auto"/>
        <w:rPr>
          <w:rFonts w:hint="eastAsia" w:ascii="宋体" w:hAnsi="宋体" w:eastAsia="宋体" w:cs="宋体"/>
          <w:b/>
          <w:bCs/>
          <w:kern w:val="2"/>
          <w:sz w:val="20"/>
          <w:szCs w:val="20"/>
          <w:lang w:val="en-US" w:eastAsia="zh-CN" w:bidi="ar-SA"/>
        </w:rPr>
      </w:pPr>
      <w:bookmarkStart w:id="775" w:name="_Toc27727"/>
      <w:r>
        <w:rPr>
          <w:rFonts w:hint="eastAsia" w:ascii="宋体" w:hAnsi="宋体" w:eastAsia="宋体" w:cs="宋体"/>
          <w:b/>
          <w:bCs/>
          <w:kern w:val="2"/>
          <w:sz w:val="20"/>
          <w:szCs w:val="20"/>
          <w:lang w:val="en-US" w:eastAsia="zh-CN" w:bidi="ar-SA"/>
        </w:rPr>
        <w:t>2.维保要求</w:t>
      </w:r>
      <w:bookmarkEnd w:id="775"/>
    </w:p>
    <w:p w14:paraId="5671F1F7">
      <w:pPr>
        <w:pageBreakBefore w:val="0"/>
        <w:widowControl w:val="0"/>
        <w:kinsoku/>
        <w:wordWrap/>
        <w:overflowPunct/>
        <w:topLinePunct w:val="0"/>
        <w:autoSpaceDE/>
        <w:autoSpaceDN/>
        <w:bidi w:val="0"/>
        <w:adjustRightInd/>
        <w:snapToGrid/>
        <w:spacing w:line="160" w:lineRule="atLeast"/>
        <w:ind w:firstLine="400" w:firstLineChars="200"/>
        <w:textAlignment w:val="auto"/>
        <w:rPr>
          <w:rFonts w:hint="eastAsia" w:ascii="宋体" w:hAnsi="宋体" w:eastAsia="宋体" w:cs="宋体"/>
          <w:b w:val="0"/>
          <w:kern w:val="2"/>
          <w:sz w:val="20"/>
          <w:szCs w:val="20"/>
          <w:lang w:val="en-US" w:eastAsia="zh-CN" w:bidi="ar-SA"/>
        </w:rPr>
      </w:pPr>
      <w:r>
        <w:rPr>
          <w:rFonts w:hint="eastAsia" w:ascii="宋体" w:hAnsi="宋体" w:eastAsia="宋体" w:cs="宋体"/>
          <w:b w:val="0"/>
          <w:kern w:val="2"/>
          <w:sz w:val="20"/>
          <w:szCs w:val="20"/>
          <w:lang w:val="en-US" w:eastAsia="zh-CN" w:bidi="ar-SA"/>
        </w:rPr>
        <w:t>2.1每月对项目进行一次巡检，配合故障叫修。故障响应时间2小时到达现场。</w:t>
      </w:r>
      <w:r>
        <w:rPr>
          <w:rFonts w:hint="eastAsia" w:ascii="宋体" w:hAnsi="宋体" w:eastAsia="宋体" w:cs="宋体"/>
          <w:b w:val="0"/>
          <w:kern w:val="2"/>
          <w:sz w:val="20"/>
          <w:szCs w:val="20"/>
          <w:lang w:val="en-US" w:eastAsia="zh-CN" w:bidi="ar-SA"/>
        </w:rPr>
        <w:br w:type="textWrapping"/>
      </w:r>
      <w:r>
        <w:rPr>
          <w:rFonts w:hint="eastAsia" w:ascii="宋体" w:hAnsi="宋体" w:eastAsia="宋体" w:cs="宋体"/>
          <w:b w:val="0"/>
          <w:kern w:val="2"/>
          <w:sz w:val="20"/>
          <w:szCs w:val="20"/>
          <w:lang w:val="en-US" w:eastAsia="zh-CN" w:bidi="ar-SA"/>
        </w:rPr>
        <w:t xml:space="preserve">    2.2定期进行系统维护，包括但不限于控制系统，存取车系统以及引导系统，保障项目问题及时解决。</w:t>
      </w:r>
      <w:r>
        <w:rPr>
          <w:rFonts w:hint="eastAsia" w:ascii="宋体" w:hAnsi="宋体" w:eastAsia="宋体" w:cs="宋体"/>
          <w:b w:val="0"/>
          <w:kern w:val="2"/>
          <w:sz w:val="20"/>
          <w:szCs w:val="20"/>
          <w:lang w:val="en-US" w:eastAsia="zh-CN" w:bidi="ar-SA"/>
        </w:rPr>
        <w:br w:type="textWrapping"/>
      </w:r>
      <w:r>
        <w:rPr>
          <w:rFonts w:hint="eastAsia" w:ascii="宋体" w:hAnsi="宋体" w:eastAsia="宋体" w:cs="宋体"/>
          <w:b w:val="0"/>
          <w:kern w:val="2"/>
          <w:sz w:val="20"/>
          <w:szCs w:val="20"/>
          <w:lang w:val="en-US" w:eastAsia="zh-CN" w:bidi="ar-SA"/>
        </w:rPr>
        <w:t xml:space="preserve">   2.3关于重大故障48小时内工程师现场解决，支持工程师远程技术指导。</w:t>
      </w:r>
    </w:p>
    <w:p w14:paraId="0A63963F">
      <w:pPr>
        <w:pageBreakBefore w:val="0"/>
        <w:widowControl w:val="0"/>
        <w:kinsoku/>
        <w:wordWrap/>
        <w:overflowPunct/>
        <w:topLinePunct w:val="0"/>
        <w:autoSpaceDE/>
        <w:autoSpaceDN/>
        <w:bidi w:val="0"/>
        <w:adjustRightInd/>
        <w:snapToGrid/>
        <w:spacing w:line="160" w:lineRule="atLeast"/>
        <w:ind w:firstLine="402" w:firstLineChars="200"/>
        <w:textAlignment w:val="auto"/>
        <w:rPr>
          <w:rFonts w:hint="eastAsia" w:ascii="宋体" w:hAnsi="宋体" w:eastAsia="宋体" w:cs="宋体"/>
          <w:b/>
          <w:bCs/>
          <w:kern w:val="2"/>
          <w:sz w:val="20"/>
          <w:szCs w:val="20"/>
          <w:lang w:val="en-US" w:eastAsia="zh-CN" w:bidi="ar-SA"/>
        </w:rPr>
      </w:pPr>
      <w:bookmarkStart w:id="776" w:name="_Toc15880"/>
      <w:r>
        <w:rPr>
          <w:rFonts w:hint="eastAsia" w:ascii="宋体" w:hAnsi="宋体" w:eastAsia="宋体" w:cs="宋体"/>
          <w:b/>
          <w:bCs/>
          <w:kern w:val="2"/>
          <w:sz w:val="20"/>
          <w:szCs w:val="20"/>
          <w:lang w:val="en-US" w:eastAsia="zh-CN" w:bidi="ar-SA"/>
        </w:rPr>
        <w:t>3.服务履约考核</w:t>
      </w:r>
      <w:bookmarkEnd w:id="776"/>
    </w:p>
    <w:p w14:paraId="598BACD7">
      <w:pPr>
        <w:pageBreakBefore w:val="0"/>
        <w:widowControl w:val="0"/>
        <w:kinsoku/>
        <w:wordWrap/>
        <w:overflowPunct/>
        <w:topLinePunct w:val="0"/>
        <w:autoSpaceDE/>
        <w:autoSpaceDN/>
        <w:bidi w:val="0"/>
        <w:adjustRightInd/>
        <w:snapToGrid/>
        <w:spacing w:line="160" w:lineRule="atLeast"/>
        <w:ind w:firstLine="400" w:firstLineChars="200"/>
        <w:textAlignment w:val="auto"/>
        <w:rPr>
          <w:rFonts w:hint="eastAsia" w:ascii="宋体" w:hAnsi="宋体" w:eastAsia="宋体" w:cs="宋体"/>
          <w:b w:val="0"/>
          <w:kern w:val="2"/>
          <w:sz w:val="20"/>
          <w:szCs w:val="20"/>
          <w:lang w:val="en-US" w:eastAsia="zh-CN" w:bidi="ar-SA"/>
        </w:rPr>
      </w:pPr>
      <w:r>
        <w:rPr>
          <w:rFonts w:hint="eastAsia" w:ascii="宋体" w:hAnsi="宋体" w:eastAsia="宋体" w:cs="宋体"/>
          <w:b w:val="0"/>
          <w:kern w:val="2"/>
          <w:sz w:val="20"/>
          <w:szCs w:val="20"/>
          <w:lang w:val="en-US" w:eastAsia="zh-CN" w:bidi="ar-SA"/>
        </w:rPr>
        <w:t>采购方每月对服务商工作进行考核，考核结果作为对服务商履约考核的评价，每扣1分折合人民币100元。</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5"/>
        <w:gridCol w:w="654"/>
        <w:gridCol w:w="1667"/>
        <w:gridCol w:w="3448"/>
        <w:gridCol w:w="1327"/>
        <w:gridCol w:w="726"/>
      </w:tblGrid>
      <w:tr w14:paraId="65727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5"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9A6DD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8CCE5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维度</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D9AF9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评价内容</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1A070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评分标准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30CD9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考核扣分</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AB7AA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25D21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45022A8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8C6CB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服务评价</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84172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质量评价的评价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DDC881">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所提供的服务不符合</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的质量要求。每次扣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AF3C5A">
            <w:pPr>
              <w:keepNext w:val="0"/>
              <w:keepLines w:val="0"/>
              <w:pageBreakBefore w:val="0"/>
              <w:widowControl w:val="0"/>
              <w:suppressLineNumbers w:val="0"/>
              <w:kinsoku/>
              <w:wordWrap/>
              <w:overflowPunct/>
              <w:topLinePunct w:val="0"/>
              <w:autoSpaceDE/>
              <w:autoSpaceDN/>
              <w:bidi w:val="0"/>
              <w:adjustRightInd/>
              <w:snapToGrid/>
              <w:ind w:firstLine="0" w:firstLineChars="0"/>
              <w:jc w:val="both"/>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CA420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002A8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583D44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2</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8B33D6">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AA17DB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响应速度的评价</w:t>
            </w:r>
          </w:p>
        </w:tc>
        <w:tc>
          <w:tcPr>
            <w:tcW w:w="2024"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0CB73083">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服务响应速度慢，影响</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的预期计划。每次扣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6C951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A273E9">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7373C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98CEE1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3</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2E4CFC93">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0EDF39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服务准时性的评价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6E6B802">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应对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布置的工作要求、任务予以积极响应。未按规定时间提供服务的或完成交办事项的，每次扣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6F890C0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3DD3BC">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1F77B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34"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B02C5D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4</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30CD1BF6">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89B194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290A02C">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应保持良好的沟通形式，下达任务因反馈不及时，影响工作进度、质量的，每次扣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7975F94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50A6EB">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59900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39CCB11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5</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3101850D">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501AA5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6331A8">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服务态度差，</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向</w:t>
            </w: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要求换人或投诉，每次扣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30919E5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696AC5">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2C148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37687D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cs="宋体"/>
                <w:b w:val="0"/>
                <w:bCs w:val="0"/>
                <w:i w:val="0"/>
                <w:iCs w:val="0"/>
                <w:color w:val="auto"/>
                <w:kern w:val="0"/>
                <w:sz w:val="20"/>
                <w:szCs w:val="20"/>
                <w:highlight w:val="none"/>
                <w:u w:val="none"/>
                <w:lang w:val="en-US" w:eastAsia="zh-CN" w:bidi="ar"/>
              </w:rPr>
              <w:t>6</w:t>
            </w:r>
          </w:p>
        </w:tc>
        <w:tc>
          <w:tcPr>
            <w:tcW w:w="383"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B6E1DD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w:t>
            </w: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332A28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B20C0F">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必须严格执行</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的安全规定。每出现一次安全事故，扣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分；每出现一次重大安全事故，每次扣</w:t>
            </w:r>
            <w:r>
              <w:rPr>
                <w:rFonts w:hint="eastAsia" w:ascii="宋体" w:hAnsi="宋体"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7A7E0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；10分/次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127F6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70BFC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DBA992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383"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3B426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w:t>
            </w: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4ADD6C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保密管理的评价</w:t>
            </w:r>
          </w:p>
        </w:tc>
        <w:tc>
          <w:tcPr>
            <w:tcW w:w="2024"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5CD53B14">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服务人员未做好保密工作，造成了信息泄露，每次扣</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分；信息泄露给</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带来重大影响的，每次扣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A2E2D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；5分/次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D5DF2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422C8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1F7272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70C93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259"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F6625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考核意见：</w:t>
            </w:r>
          </w:p>
          <w:p w14:paraId="2ECC2C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签名：</w:t>
            </w:r>
          </w:p>
          <w:p w14:paraId="2662E31C">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color w:val="auto"/>
                <w:sz w:val="20"/>
                <w:szCs w:val="20"/>
                <w:highlight w:val="none"/>
                <w:u w:val="none"/>
                <w:vertAlign w:val="baseline"/>
                <w:lang w:val="en-US" w:eastAsia="zh-CN"/>
              </w:rPr>
              <w:t>日期：</w:t>
            </w:r>
          </w:p>
        </w:tc>
      </w:tr>
    </w:tbl>
    <w:p w14:paraId="1AAB83F4">
      <w:pPr>
        <w:rPr>
          <w:rFonts w:hint="eastAsia" w:ascii="宋体" w:hAnsi="宋体" w:eastAsia="宋体" w:cs="宋体"/>
          <w:b/>
          <w:kern w:val="2"/>
          <w:sz w:val="20"/>
          <w:szCs w:val="20"/>
          <w:lang w:val="en-US" w:eastAsia="zh-CN" w:bidi="ar-SA"/>
        </w:rPr>
      </w:pPr>
      <w:bookmarkStart w:id="777" w:name="_Toc19787"/>
      <w:r>
        <w:rPr>
          <w:rFonts w:hint="eastAsia" w:ascii="宋体" w:hAnsi="宋体" w:eastAsia="宋体" w:cs="宋体"/>
          <w:b/>
          <w:kern w:val="2"/>
          <w:sz w:val="20"/>
          <w:szCs w:val="20"/>
          <w:lang w:val="en-US" w:eastAsia="zh-CN" w:bidi="ar-SA"/>
        </w:rPr>
        <w:br w:type="page"/>
      </w:r>
    </w:p>
    <w:p w14:paraId="7CA70861">
      <w:pPr>
        <w:keepNext/>
        <w:keepLines/>
        <w:widowControl w:val="0"/>
        <w:bidi w:val="0"/>
        <w:spacing w:beforeLines="0" w:beforeAutospacing="0" w:afterLines="0" w:afterAutospacing="0" w:line="360" w:lineRule="auto"/>
        <w:ind w:firstLine="0" w:firstLineChars="0"/>
        <w:jc w:val="center"/>
        <w:outlineLvl w:val="1"/>
        <w:rPr>
          <w:rFonts w:hint="eastAsia" w:ascii="宋体" w:hAnsi="宋体" w:eastAsia="宋体" w:cs="宋体"/>
          <w:b/>
          <w:kern w:val="2"/>
          <w:sz w:val="20"/>
          <w:szCs w:val="20"/>
          <w:lang w:val="en-US" w:eastAsia="zh-CN" w:bidi="ar-SA"/>
        </w:rPr>
      </w:pPr>
      <w:bookmarkStart w:id="778" w:name="_Toc9829"/>
      <w:r>
        <w:rPr>
          <w:rFonts w:hint="eastAsia" w:ascii="宋体" w:hAnsi="宋体" w:eastAsia="宋体" w:cs="宋体"/>
          <w:b/>
          <w:kern w:val="2"/>
          <w:sz w:val="20"/>
          <w:szCs w:val="20"/>
          <w:lang w:val="en-US" w:eastAsia="zh-CN" w:bidi="ar-SA"/>
        </w:rPr>
        <w:t>（三十一）视频维保（“110”联网报警）服务项目</w:t>
      </w:r>
      <w:bookmarkEnd w:id="777"/>
      <w:bookmarkEnd w:id="778"/>
    </w:p>
    <w:p w14:paraId="7AB37891">
      <w:pPr>
        <w:pageBreakBefore w:val="0"/>
        <w:widowControl w:val="0"/>
        <w:kinsoku/>
        <w:wordWrap/>
        <w:overflowPunct/>
        <w:topLinePunct w:val="0"/>
        <w:autoSpaceDE/>
        <w:autoSpaceDN/>
        <w:bidi w:val="0"/>
        <w:adjustRightInd/>
        <w:snapToGrid/>
        <w:spacing w:line="160" w:lineRule="atLeast"/>
        <w:ind w:firstLine="402" w:firstLineChars="200"/>
        <w:textAlignment w:val="auto"/>
        <w:rPr>
          <w:rFonts w:hint="eastAsia" w:ascii="宋体" w:hAnsi="宋体" w:eastAsia="宋体" w:cs="宋体"/>
          <w:b/>
          <w:bCs/>
          <w:kern w:val="2"/>
          <w:sz w:val="20"/>
          <w:szCs w:val="20"/>
          <w:lang w:val="en-US" w:eastAsia="zh-CN" w:bidi="ar-SA"/>
        </w:rPr>
      </w:pPr>
      <w:bookmarkStart w:id="779" w:name="_Toc331"/>
    </w:p>
    <w:p w14:paraId="5111FDE4">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kern w:val="2"/>
          <w:sz w:val="20"/>
          <w:szCs w:val="20"/>
          <w:lang w:val="en-US" w:eastAsia="zh-CN" w:bidi="ar-SA"/>
        </w:rPr>
      </w:pPr>
      <w:r>
        <w:rPr>
          <w:rFonts w:hint="eastAsia" w:ascii="宋体" w:hAnsi="宋体" w:eastAsia="宋体" w:cs="宋体"/>
          <w:b/>
          <w:bCs/>
          <w:kern w:val="2"/>
          <w:sz w:val="20"/>
          <w:szCs w:val="20"/>
          <w:lang w:val="en-US" w:eastAsia="zh-CN" w:bidi="ar-SA"/>
        </w:rPr>
        <w:t>1.项目服务标准及要求</w:t>
      </w:r>
      <w:bookmarkEnd w:id="779"/>
    </w:p>
    <w:p w14:paraId="7F7B6C14">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780" w:name="_Toc23971"/>
      <w:bookmarkStart w:id="781" w:name="_Toc11199"/>
      <w:r>
        <w:rPr>
          <w:rFonts w:hint="eastAsia" w:ascii="宋体" w:hAnsi="宋体" w:eastAsia="宋体" w:cs="宋体"/>
          <w:b w:val="0"/>
          <w:bCs w:val="0"/>
          <w:kern w:val="2"/>
          <w:sz w:val="20"/>
          <w:szCs w:val="20"/>
          <w:lang w:val="en-US" w:eastAsia="zh-CN" w:bidi="ar-SA"/>
        </w:rPr>
        <w:t>1.1 每周提供7*24小时的联网在线监控服务。</w:t>
      </w:r>
      <w:bookmarkEnd w:id="780"/>
      <w:bookmarkEnd w:id="781"/>
    </w:p>
    <w:p w14:paraId="60CC7EED">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782" w:name="_Toc4614"/>
      <w:bookmarkStart w:id="783" w:name="_Toc20935"/>
      <w:r>
        <w:rPr>
          <w:rFonts w:hint="eastAsia" w:ascii="宋体" w:hAnsi="宋体" w:eastAsia="宋体" w:cs="宋体"/>
          <w:b w:val="0"/>
          <w:bCs w:val="0"/>
          <w:kern w:val="2"/>
          <w:sz w:val="20"/>
          <w:szCs w:val="20"/>
          <w:lang w:val="en-US" w:eastAsia="zh-CN" w:bidi="ar-SA"/>
        </w:rPr>
        <w:t>1.2发生警情一经核实推送到“110报警平台”。</w:t>
      </w:r>
      <w:bookmarkEnd w:id="782"/>
      <w:bookmarkEnd w:id="783"/>
    </w:p>
    <w:p w14:paraId="65BDA2B0">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784" w:name="_Toc461"/>
      <w:bookmarkStart w:id="785" w:name="_Toc17223"/>
      <w:r>
        <w:rPr>
          <w:rFonts w:hint="eastAsia" w:ascii="宋体" w:hAnsi="宋体" w:eastAsia="宋体" w:cs="宋体"/>
          <w:b w:val="0"/>
          <w:bCs w:val="0"/>
          <w:kern w:val="2"/>
          <w:sz w:val="20"/>
          <w:szCs w:val="20"/>
          <w:lang w:val="en-US" w:eastAsia="zh-CN" w:bidi="ar-SA"/>
        </w:rPr>
        <w:t>1.3视频监控中断需及时告知。</w:t>
      </w:r>
      <w:bookmarkEnd w:id="784"/>
      <w:bookmarkEnd w:id="785"/>
    </w:p>
    <w:p w14:paraId="3EC8B503">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kern w:val="2"/>
          <w:sz w:val="20"/>
          <w:szCs w:val="20"/>
          <w:lang w:val="en-US" w:eastAsia="zh-CN" w:bidi="ar-SA"/>
        </w:rPr>
      </w:pPr>
      <w:bookmarkStart w:id="786" w:name="_Toc2223"/>
      <w:r>
        <w:rPr>
          <w:rFonts w:hint="eastAsia" w:ascii="宋体" w:hAnsi="宋体" w:eastAsia="宋体" w:cs="宋体"/>
          <w:b/>
          <w:bCs/>
          <w:kern w:val="2"/>
          <w:sz w:val="20"/>
          <w:szCs w:val="20"/>
          <w:lang w:val="en-US" w:eastAsia="zh-CN" w:bidi="ar-SA"/>
        </w:rPr>
        <w:t>2.服务履约考核</w:t>
      </w:r>
      <w:bookmarkEnd w:id="786"/>
    </w:p>
    <w:p w14:paraId="6DA5D669">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采购方每月对服务商工作进行考核，考核结果作为对服务商履约考核的评价，每扣1分折合人民币100元。</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5"/>
        <w:gridCol w:w="654"/>
        <w:gridCol w:w="1668"/>
        <w:gridCol w:w="3450"/>
        <w:gridCol w:w="1328"/>
        <w:gridCol w:w="722"/>
      </w:tblGrid>
      <w:tr w14:paraId="4A095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5"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B44C7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270263">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维度</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C861A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评价内容</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E6D52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评分标准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AAF27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考核扣分</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2D09A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27564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03F56B2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1</w:t>
            </w:r>
          </w:p>
        </w:tc>
        <w:tc>
          <w:tcPr>
            <w:tcW w:w="383" w:type="pct"/>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6AFA3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服务评价</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C7111F">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质量评价的评价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BFD9D1">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所提供的服务不符合</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的质量要求。每次扣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9DB837">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CCBFC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029BA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4A61598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2</w:t>
            </w:r>
          </w:p>
        </w:tc>
        <w:tc>
          <w:tcPr>
            <w:tcW w:w="383" w:type="pct"/>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A2B89C">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764BBE9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响应速度的评价</w:t>
            </w:r>
          </w:p>
        </w:tc>
        <w:tc>
          <w:tcPr>
            <w:tcW w:w="2024"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A33AD4D">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服务响应速度慢，影响</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的预期计划。每次扣</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w:t>
            </w:r>
            <w:r>
              <w:rPr>
                <w:rFonts w:hint="eastAsia" w:ascii="宋体" w:hAnsi="宋体" w:cs="宋体"/>
                <w:i w:val="0"/>
                <w:iCs w:val="0"/>
                <w:color w:val="auto"/>
                <w:kern w:val="0"/>
                <w:sz w:val="20"/>
                <w:szCs w:val="20"/>
                <w:highlight w:val="none"/>
                <w:u w:val="none"/>
                <w:lang w:val="en-US" w:eastAsia="zh-CN" w:bidi="ar"/>
              </w:rPr>
              <w:t>。</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4148F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4EC53A">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5053B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7C6DB4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3</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2273A677">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5BBA235">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服务准时性的评价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ABE795">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应对</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布置的工作要求、任务予以积极响应。未按规定时间提供服务的或完成交办事项的，每次扣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1F9F03C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B7A735">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247DD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34"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1F2CC6EE">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4</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07047FB7">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4BD0AB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45DFC28">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应保持良好的沟通形式，下达任务因反馈不及时，影响工作进度、质量的，每次扣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09F1A3C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CABED2">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40593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86"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01328A2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eastAsia="宋体" w:cs="宋体"/>
                <w:b w:val="0"/>
                <w:bCs w:val="0"/>
                <w:i w:val="0"/>
                <w:iCs w:val="0"/>
                <w:color w:val="auto"/>
                <w:kern w:val="0"/>
                <w:sz w:val="20"/>
                <w:szCs w:val="20"/>
                <w:highlight w:val="none"/>
                <w:u w:val="none"/>
                <w:lang w:val="en-US" w:eastAsia="zh-CN" w:bidi="ar"/>
              </w:rPr>
              <w:t>5</w:t>
            </w:r>
          </w:p>
        </w:tc>
        <w:tc>
          <w:tcPr>
            <w:tcW w:w="383" w:type="pct"/>
            <w:vMerge w:val="continue"/>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2B6CE940">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sz w:val="20"/>
                <w:szCs w:val="20"/>
                <w:highlight w:val="none"/>
                <w:u w:val="none"/>
              </w:rPr>
            </w:pPr>
          </w:p>
        </w:tc>
        <w:tc>
          <w:tcPr>
            <w:tcW w:w="97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B31ADC">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服务态度的评价</w:t>
            </w:r>
          </w:p>
        </w:tc>
        <w:tc>
          <w:tcPr>
            <w:tcW w:w="202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1E6578">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服务态度差，</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向</w:t>
            </w: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要求换人或投诉，每次扣</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1068164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2218ED">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r w14:paraId="23DFF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6CA96222">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kern w:val="2"/>
                <w:sz w:val="20"/>
                <w:szCs w:val="20"/>
                <w:highlight w:val="none"/>
                <w:u w:val="none"/>
                <w:lang w:val="en-US" w:eastAsia="zh-CN" w:bidi="ar-SA"/>
              </w:rPr>
            </w:pPr>
            <w:r>
              <w:rPr>
                <w:rFonts w:hint="eastAsia" w:ascii="宋体" w:hAnsi="宋体" w:cs="宋体"/>
                <w:b w:val="0"/>
                <w:bCs w:val="0"/>
                <w:i w:val="0"/>
                <w:iCs w:val="0"/>
                <w:color w:val="auto"/>
                <w:kern w:val="0"/>
                <w:sz w:val="20"/>
                <w:szCs w:val="20"/>
                <w:highlight w:val="none"/>
                <w:u w:val="none"/>
                <w:lang w:val="en-US" w:eastAsia="zh-CN" w:bidi="ar"/>
              </w:rPr>
              <w:t>6</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E3F786">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486CDD">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301765">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服务商</w:t>
            </w:r>
            <w:r>
              <w:rPr>
                <w:rFonts w:hint="eastAsia" w:ascii="宋体" w:hAnsi="宋体" w:eastAsia="宋体" w:cs="宋体"/>
                <w:i w:val="0"/>
                <w:iCs w:val="0"/>
                <w:color w:val="auto"/>
                <w:kern w:val="0"/>
                <w:sz w:val="20"/>
                <w:szCs w:val="20"/>
                <w:highlight w:val="none"/>
                <w:u w:val="none"/>
                <w:lang w:val="en-US" w:eastAsia="zh-CN" w:bidi="ar"/>
              </w:rPr>
              <w:t>必须严格执行</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的安全规定。每出现一次安全事故，扣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分；每出现一次重大安全事故，每次扣</w:t>
            </w:r>
            <w:r>
              <w:rPr>
                <w:rFonts w:hint="eastAsia" w:ascii="宋体" w:hAnsi="宋体" w:cs="宋体"/>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4D616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；10分/次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0DC3E9">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74B9F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17" w:hRule="atLeast"/>
        </w:trPr>
        <w:tc>
          <w:tcPr>
            <w:tcW w:w="407" w:type="pct"/>
            <w:tcBorders>
              <w:top w:val="single" w:color="000000" w:sz="4" w:space="0"/>
              <w:left w:val="single" w:color="000000" w:sz="4" w:space="0"/>
              <w:bottom w:val="nil"/>
              <w:right w:val="single" w:color="000000" w:sz="4" w:space="0"/>
            </w:tcBorders>
            <w:shd w:val="clear" w:color="auto" w:fill="FFFFFF" w:themeFill="background1"/>
            <w:vAlign w:val="center"/>
          </w:tcPr>
          <w:p w14:paraId="7A589A80">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val="0"/>
                <w:bCs w:val="0"/>
                <w:i w:val="0"/>
                <w:iCs w:val="0"/>
                <w:color w:val="auto"/>
                <w:sz w:val="20"/>
                <w:szCs w:val="20"/>
                <w:highlight w:val="none"/>
                <w:u w:val="none"/>
                <w:lang w:val="en-US" w:eastAsia="zh-CN"/>
              </w:rPr>
            </w:pPr>
            <w:r>
              <w:rPr>
                <w:rFonts w:hint="eastAsia" w:ascii="宋体" w:hAnsi="宋体" w:cs="宋体"/>
                <w:b w:val="0"/>
                <w:bCs w:val="0"/>
                <w:i w:val="0"/>
                <w:iCs w:val="0"/>
                <w:color w:val="auto"/>
                <w:sz w:val="20"/>
                <w:szCs w:val="20"/>
                <w:highlight w:val="none"/>
                <w:u w:val="none"/>
                <w:lang w:val="en-US" w:eastAsia="zh-CN"/>
              </w:rPr>
              <w:t>7</w:t>
            </w:r>
          </w:p>
        </w:tc>
        <w:tc>
          <w:tcPr>
            <w:tcW w:w="38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4CD238">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w:t>
            </w:r>
          </w:p>
        </w:tc>
        <w:tc>
          <w:tcPr>
            <w:tcW w:w="9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263DB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保密管理的评价</w:t>
            </w:r>
          </w:p>
        </w:tc>
        <w:tc>
          <w:tcPr>
            <w:tcW w:w="202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42F4DE">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服务人员未做好保密工作，造成了信息泄露，每次扣</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分；信息泄露给</w:t>
            </w:r>
            <w:r>
              <w:rPr>
                <w:rFonts w:hint="eastAsia" w:ascii="宋体" w:hAnsi="宋体" w:cs="宋体"/>
                <w:i w:val="0"/>
                <w:iCs w:val="0"/>
                <w:color w:val="auto"/>
                <w:kern w:val="0"/>
                <w:sz w:val="20"/>
                <w:szCs w:val="20"/>
                <w:highlight w:val="none"/>
                <w:u w:val="none"/>
                <w:lang w:val="en-US" w:eastAsia="zh-CN" w:bidi="ar"/>
              </w:rPr>
              <w:t>采购方</w:t>
            </w:r>
            <w:r>
              <w:rPr>
                <w:rFonts w:hint="eastAsia" w:ascii="宋体" w:hAnsi="宋体" w:eastAsia="宋体" w:cs="宋体"/>
                <w:i w:val="0"/>
                <w:iCs w:val="0"/>
                <w:color w:val="auto"/>
                <w:kern w:val="0"/>
                <w:sz w:val="20"/>
                <w:szCs w:val="20"/>
                <w:highlight w:val="none"/>
                <w:u w:val="none"/>
                <w:lang w:val="en-US" w:eastAsia="zh-CN" w:bidi="ar"/>
              </w:rPr>
              <w:t>带来重大影响的，每次扣</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分。</w:t>
            </w:r>
          </w:p>
        </w:tc>
        <w:tc>
          <w:tcPr>
            <w:tcW w:w="7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E07E1A">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分/次</w:t>
            </w:r>
            <w:r>
              <w:rPr>
                <w:rFonts w:hint="eastAsia" w:ascii="宋体" w:hAnsi="宋体" w:cs="宋体"/>
                <w:i w:val="0"/>
                <w:iCs w:val="0"/>
                <w:color w:val="auto"/>
                <w:kern w:val="0"/>
                <w:sz w:val="20"/>
                <w:szCs w:val="20"/>
                <w:highlight w:val="none"/>
                <w:u w:val="none"/>
                <w:lang w:val="en-US" w:eastAsia="zh-CN" w:bidi="ar"/>
              </w:rPr>
              <w:t>；5分/次</w:t>
            </w:r>
          </w:p>
        </w:tc>
        <w:tc>
          <w:tcPr>
            <w:tcW w:w="42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805F11">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2644C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9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4DC8B64">
            <w:pPr>
              <w:keepNext w:val="0"/>
              <w:keepLines w:val="0"/>
              <w:pageBreakBefore w:val="0"/>
              <w:widowControl w:val="0"/>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                      考核得分：</w:t>
            </w:r>
          </w:p>
        </w:tc>
      </w:tr>
      <w:tr w14:paraId="17180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259"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0A848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考核意见：</w:t>
            </w:r>
          </w:p>
          <w:p w14:paraId="2B94B2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0"/>
                <w:szCs w:val="20"/>
                <w:highlight w:val="none"/>
                <w:u w:val="none"/>
                <w:vertAlign w:val="baseline"/>
                <w:lang w:val="en-US" w:eastAsia="zh-CN"/>
              </w:rPr>
            </w:pPr>
            <w:r>
              <w:rPr>
                <w:rFonts w:hint="eastAsia" w:ascii="宋体" w:hAnsi="宋体" w:eastAsia="宋体" w:cs="宋体"/>
                <w:color w:val="auto"/>
                <w:sz w:val="20"/>
                <w:szCs w:val="20"/>
                <w:highlight w:val="none"/>
                <w:u w:val="none"/>
                <w:vertAlign w:val="baseline"/>
                <w:lang w:val="en-US" w:eastAsia="zh-CN"/>
              </w:rPr>
              <w:t>签名：</w:t>
            </w:r>
          </w:p>
          <w:p w14:paraId="37E12117">
            <w:pPr>
              <w:keepNext w:val="0"/>
              <w:keepLines w:val="0"/>
              <w:pageBreakBefore w:val="0"/>
              <w:widowControl w:val="0"/>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color w:val="auto"/>
                <w:sz w:val="20"/>
                <w:szCs w:val="20"/>
                <w:highlight w:val="none"/>
                <w:u w:val="none"/>
                <w:vertAlign w:val="baseline"/>
                <w:lang w:val="en-US" w:eastAsia="zh-CN"/>
              </w:rPr>
              <w:t>日期：</w:t>
            </w:r>
          </w:p>
        </w:tc>
      </w:tr>
    </w:tbl>
    <w:p w14:paraId="31CBFB17">
      <w:pPr>
        <w:pStyle w:val="18"/>
        <w:rPr>
          <w:sz w:val="20"/>
          <w:szCs w:val="20"/>
        </w:rPr>
      </w:pPr>
    </w:p>
    <w:p w14:paraId="050C5EB9">
      <w:pPr>
        <w:rPr>
          <w:sz w:val="20"/>
          <w:szCs w:val="20"/>
        </w:rPr>
      </w:pPr>
    </w:p>
    <w:p w14:paraId="69A39062">
      <w:pPr>
        <w:pStyle w:val="2"/>
      </w:pPr>
    </w:p>
    <w:p w14:paraId="106E8298">
      <w:pPr>
        <w:pStyle w:val="2"/>
        <w:rPr>
          <w:sz w:val="20"/>
          <w:szCs w:val="20"/>
        </w:rPr>
      </w:pPr>
    </w:p>
    <w:p w14:paraId="3D47F119">
      <w:pPr>
        <w:jc w:val="center"/>
        <w:rPr>
          <w:rFonts w:hint="eastAsia"/>
          <w:b/>
          <w:bCs/>
          <w:color w:val="0000FF"/>
          <w:sz w:val="20"/>
          <w:szCs w:val="20"/>
          <w:lang w:val="en-US" w:eastAsia="zh-CN"/>
        </w:rPr>
      </w:pPr>
      <w:r>
        <w:rPr>
          <w:rFonts w:hint="eastAsia"/>
          <w:b/>
          <w:bCs/>
          <w:color w:val="0000FF"/>
          <w:sz w:val="20"/>
          <w:szCs w:val="20"/>
          <w:lang w:val="en-US" w:eastAsia="zh-CN"/>
        </w:rPr>
        <w:t>（三十二）应急保障服务项目</w:t>
      </w:r>
    </w:p>
    <w:p w14:paraId="2B2D2DEF">
      <w:pPr>
        <w:pStyle w:val="2"/>
        <w:rPr>
          <w:rFonts w:hint="eastAsia"/>
          <w:color w:val="0000FF"/>
          <w:lang w:val="en-US" w:eastAsia="zh-CN"/>
        </w:rPr>
      </w:pPr>
    </w:p>
    <w:p w14:paraId="5AF34A2B">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0000FF"/>
          <w:sz w:val="20"/>
          <w:szCs w:val="20"/>
          <w:highlight w:val="none"/>
          <w:lang w:eastAsia="zh-CN"/>
        </w:rPr>
      </w:pPr>
      <w:r>
        <w:rPr>
          <w:rFonts w:hint="eastAsia" w:ascii="宋体" w:hAnsi="宋体" w:eastAsia="宋体" w:cs="宋体"/>
          <w:b/>
          <w:bCs/>
          <w:color w:val="0000FF"/>
          <w:sz w:val="20"/>
          <w:szCs w:val="20"/>
          <w:highlight w:val="none"/>
          <w:lang w:val="en-US" w:eastAsia="zh-CN"/>
        </w:rPr>
        <w:t>1.</w:t>
      </w:r>
      <w:r>
        <w:rPr>
          <w:rFonts w:hint="eastAsia" w:ascii="宋体" w:hAnsi="宋体" w:eastAsia="宋体" w:cs="宋体"/>
          <w:b/>
          <w:bCs/>
          <w:color w:val="0000FF"/>
          <w:sz w:val="20"/>
          <w:szCs w:val="20"/>
          <w:highlight w:val="none"/>
        </w:rPr>
        <w:t>项目服务标准</w:t>
      </w:r>
      <w:r>
        <w:rPr>
          <w:rFonts w:hint="eastAsia" w:ascii="宋体" w:hAnsi="宋体" w:eastAsia="宋体" w:cs="宋体"/>
          <w:b/>
          <w:bCs/>
          <w:color w:val="0000FF"/>
          <w:sz w:val="20"/>
          <w:szCs w:val="20"/>
          <w:highlight w:val="none"/>
          <w:lang w:eastAsia="zh-CN"/>
        </w:rPr>
        <w:t>及要求</w:t>
      </w:r>
    </w:p>
    <w:p w14:paraId="1325AA3C">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1"/>
        <w:rPr>
          <w:rFonts w:hint="eastAsia" w:ascii="宋体" w:hAnsi="宋体" w:eastAsia="宋体" w:cs="宋体"/>
          <w:b/>
          <w:bCs/>
          <w:color w:val="0000FF"/>
          <w:sz w:val="20"/>
          <w:szCs w:val="20"/>
          <w:highlight w:val="none"/>
        </w:rPr>
      </w:pPr>
      <w:r>
        <w:rPr>
          <w:rFonts w:hint="eastAsia" w:ascii="宋体" w:hAnsi="宋体" w:eastAsia="宋体" w:cs="宋体"/>
          <w:b/>
          <w:bCs/>
          <w:color w:val="0000FF"/>
          <w:sz w:val="20"/>
          <w:szCs w:val="20"/>
          <w:highlight w:val="none"/>
          <w:lang w:val="en-US" w:eastAsia="zh-CN"/>
        </w:rPr>
        <w:t>1.1</w:t>
      </w:r>
      <w:r>
        <w:rPr>
          <w:rFonts w:hint="eastAsia" w:ascii="宋体" w:hAnsi="宋体" w:eastAsia="宋体" w:cs="宋体"/>
          <w:b/>
          <w:bCs/>
          <w:color w:val="0000FF"/>
          <w:sz w:val="20"/>
          <w:szCs w:val="20"/>
          <w:highlight w:val="none"/>
        </w:rPr>
        <w:t>项目服务标准</w:t>
      </w:r>
    </w:p>
    <w:p w14:paraId="5DC34DE7">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0000FF"/>
          <w:sz w:val="20"/>
          <w:szCs w:val="20"/>
          <w:highlight w:val="none"/>
        </w:rPr>
      </w:pPr>
      <w:r>
        <w:rPr>
          <w:rFonts w:hint="eastAsia" w:ascii="宋体" w:hAnsi="宋体" w:eastAsia="宋体" w:cs="宋体"/>
          <w:color w:val="0000FF"/>
          <w:sz w:val="20"/>
          <w:szCs w:val="20"/>
          <w:highlight w:val="none"/>
        </w:rPr>
        <w:t>服务商在提供应急保障</w:t>
      </w:r>
      <w:r>
        <w:rPr>
          <w:rFonts w:hint="eastAsia" w:ascii="宋体" w:hAnsi="宋体" w:eastAsia="宋体" w:cs="宋体"/>
          <w:color w:val="0000FF"/>
          <w:sz w:val="20"/>
          <w:szCs w:val="20"/>
          <w:highlight w:val="none"/>
          <w:lang w:val="en-US" w:eastAsia="zh-CN"/>
        </w:rPr>
        <w:t>辅助</w:t>
      </w:r>
      <w:r>
        <w:rPr>
          <w:rFonts w:hint="eastAsia" w:ascii="宋体" w:hAnsi="宋体" w:eastAsia="宋体" w:cs="宋体"/>
          <w:color w:val="0000FF"/>
          <w:sz w:val="20"/>
          <w:szCs w:val="20"/>
          <w:highlight w:val="none"/>
        </w:rPr>
        <w:t>服务时，需按照如下标准执行</w:t>
      </w:r>
      <w:r>
        <w:rPr>
          <w:rFonts w:hint="eastAsia" w:ascii="宋体" w:hAnsi="宋体" w:eastAsia="宋体" w:cs="宋体"/>
          <w:color w:val="0000FF"/>
          <w:sz w:val="20"/>
          <w:szCs w:val="20"/>
          <w:highlight w:val="none"/>
          <w:lang w:eastAsia="zh-CN"/>
        </w:rPr>
        <w:t>，所用标准必须为最新版本。</w:t>
      </w:r>
      <w:r>
        <w:rPr>
          <w:rFonts w:hint="eastAsia" w:ascii="宋体" w:hAnsi="宋体" w:eastAsia="宋体" w:cs="宋体"/>
          <w:color w:val="0000FF"/>
          <w:sz w:val="20"/>
          <w:szCs w:val="20"/>
          <w:highlight w:val="none"/>
        </w:rPr>
        <w:t>如果这些标准有矛盾时，应按最高标准的条款执行或按双方商定的标准执行。此外，</w:t>
      </w:r>
      <w:r>
        <w:rPr>
          <w:rFonts w:hint="eastAsia" w:ascii="宋体" w:hAnsi="宋体" w:eastAsia="宋体" w:cs="宋体"/>
          <w:color w:val="0000FF"/>
          <w:sz w:val="20"/>
          <w:szCs w:val="20"/>
          <w:highlight w:val="none"/>
          <w:lang w:eastAsia="zh-CN"/>
        </w:rPr>
        <w:t>若</w:t>
      </w:r>
      <w:r>
        <w:rPr>
          <w:rFonts w:hint="eastAsia" w:ascii="宋体" w:hAnsi="宋体" w:eastAsia="宋体" w:cs="宋体"/>
          <w:color w:val="0000FF"/>
          <w:sz w:val="20"/>
          <w:szCs w:val="20"/>
          <w:highlight w:val="none"/>
        </w:rPr>
        <w:t>在合同执行期间国家颁布新的</w:t>
      </w:r>
      <w:r>
        <w:rPr>
          <w:rFonts w:hint="eastAsia" w:ascii="宋体" w:hAnsi="宋体" w:eastAsia="宋体" w:cs="宋体"/>
          <w:color w:val="0000FF"/>
          <w:sz w:val="20"/>
          <w:szCs w:val="20"/>
          <w:highlight w:val="none"/>
          <w:lang w:eastAsia="zh-CN"/>
        </w:rPr>
        <w:t>标准</w:t>
      </w:r>
      <w:r>
        <w:rPr>
          <w:rFonts w:hint="eastAsia" w:ascii="宋体" w:hAnsi="宋体" w:eastAsia="宋体" w:cs="宋体"/>
          <w:color w:val="0000FF"/>
          <w:sz w:val="20"/>
          <w:szCs w:val="20"/>
          <w:highlight w:val="none"/>
        </w:rPr>
        <w:t>，应按最新</w:t>
      </w:r>
      <w:r>
        <w:rPr>
          <w:rFonts w:hint="eastAsia" w:ascii="宋体" w:hAnsi="宋体" w:eastAsia="宋体" w:cs="宋体"/>
          <w:color w:val="0000FF"/>
          <w:sz w:val="20"/>
          <w:szCs w:val="20"/>
          <w:highlight w:val="none"/>
          <w:lang w:eastAsia="zh-CN"/>
        </w:rPr>
        <w:t>标准的</w:t>
      </w:r>
      <w:r>
        <w:rPr>
          <w:rFonts w:hint="eastAsia" w:ascii="宋体" w:hAnsi="宋体" w:eastAsia="宋体" w:cs="宋体"/>
          <w:color w:val="0000FF"/>
          <w:sz w:val="20"/>
          <w:szCs w:val="20"/>
          <w:highlight w:val="none"/>
        </w:rPr>
        <w:t>条款执行。</w:t>
      </w:r>
    </w:p>
    <w:tbl>
      <w:tblPr>
        <w:tblStyle w:val="16"/>
        <w:tblW w:w="908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8332"/>
      </w:tblGrid>
      <w:tr w14:paraId="56AAC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blHeader/>
        </w:trPr>
        <w:tc>
          <w:tcPr>
            <w:tcW w:w="750" w:type="dxa"/>
            <w:noWrap w:val="0"/>
            <w:vAlign w:val="center"/>
          </w:tcPr>
          <w:p w14:paraId="7A97BBCF">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0000FF"/>
                <w:sz w:val="20"/>
                <w:szCs w:val="20"/>
                <w:highlight w:val="none"/>
              </w:rPr>
            </w:pPr>
            <w:r>
              <w:rPr>
                <w:rFonts w:hint="eastAsia" w:ascii="宋体" w:hAnsi="宋体" w:eastAsia="宋体" w:cs="宋体"/>
                <w:b/>
                <w:bCs/>
                <w:color w:val="0000FF"/>
                <w:sz w:val="20"/>
                <w:szCs w:val="20"/>
                <w:highlight w:val="none"/>
              </w:rPr>
              <w:t>序号</w:t>
            </w:r>
          </w:p>
        </w:tc>
        <w:tc>
          <w:tcPr>
            <w:tcW w:w="8332" w:type="dxa"/>
            <w:noWrap w:val="0"/>
            <w:vAlign w:val="center"/>
          </w:tcPr>
          <w:p w14:paraId="0D84A5A8">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b/>
                <w:bCs/>
                <w:color w:val="0000FF"/>
                <w:sz w:val="20"/>
                <w:szCs w:val="20"/>
                <w:highlight w:val="none"/>
                <w:lang w:eastAsia="zh-CN"/>
              </w:rPr>
            </w:pPr>
            <w:r>
              <w:rPr>
                <w:rFonts w:hint="eastAsia" w:ascii="宋体" w:hAnsi="宋体" w:eastAsia="宋体" w:cs="宋体"/>
                <w:b/>
                <w:bCs/>
                <w:color w:val="0000FF"/>
                <w:sz w:val="20"/>
                <w:szCs w:val="20"/>
                <w:highlight w:val="none"/>
                <w:lang w:val="en-US" w:eastAsia="zh-CN"/>
              </w:rPr>
              <w:t>相关标准</w:t>
            </w:r>
          </w:p>
        </w:tc>
      </w:tr>
      <w:tr w14:paraId="156A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noWrap w:val="0"/>
            <w:vAlign w:val="center"/>
          </w:tcPr>
          <w:p w14:paraId="2F0E2DBE">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0000FF"/>
                <w:sz w:val="20"/>
                <w:szCs w:val="20"/>
                <w:highlight w:val="none"/>
                <w:lang w:val="en-US" w:eastAsia="zh-CN"/>
              </w:rPr>
            </w:pPr>
            <w:r>
              <w:rPr>
                <w:rFonts w:hint="eastAsia" w:ascii="宋体" w:hAnsi="宋体" w:eastAsia="宋体" w:cs="宋体"/>
                <w:color w:val="0000FF"/>
                <w:sz w:val="20"/>
                <w:szCs w:val="20"/>
                <w:highlight w:val="none"/>
                <w:lang w:val="en-US" w:eastAsia="zh-CN"/>
              </w:rPr>
              <w:t>1</w:t>
            </w:r>
          </w:p>
        </w:tc>
        <w:tc>
          <w:tcPr>
            <w:tcW w:w="8332" w:type="dxa"/>
            <w:noWrap w:val="0"/>
            <w:vAlign w:val="center"/>
          </w:tcPr>
          <w:p w14:paraId="7419F603">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0000FF"/>
                <w:sz w:val="20"/>
                <w:szCs w:val="20"/>
                <w:highlight w:val="none"/>
              </w:rPr>
            </w:pPr>
            <w:r>
              <w:rPr>
                <w:rFonts w:hint="eastAsia" w:ascii="宋体" w:hAnsi="宋体" w:eastAsia="宋体" w:cs="宋体"/>
                <w:color w:val="0000FF"/>
                <w:sz w:val="20"/>
                <w:szCs w:val="20"/>
                <w:highlight w:val="none"/>
              </w:rPr>
              <w:t>《中华人民共和国突发事件应对法》</w:t>
            </w:r>
          </w:p>
        </w:tc>
      </w:tr>
      <w:tr w14:paraId="2237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noWrap w:val="0"/>
            <w:vAlign w:val="center"/>
          </w:tcPr>
          <w:p w14:paraId="7C73FBB0">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0000FF"/>
                <w:sz w:val="20"/>
                <w:szCs w:val="20"/>
                <w:highlight w:val="none"/>
                <w:lang w:val="en-US" w:eastAsia="zh-CN"/>
              </w:rPr>
            </w:pPr>
            <w:r>
              <w:rPr>
                <w:rFonts w:hint="eastAsia" w:ascii="宋体" w:hAnsi="宋体" w:eastAsia="宋体" w:cs="宋体"/>
                <w:color w:val="0000FF"/>
                <w:sz w:val="20"/>
                <w:szCs w:val="20"/>
                <w:highlight w:val="none"/>
                <w:lang w:val="en-US" w:eastAsia="zh-CN"/>
              </w:rPr>
              <w:t>2</w:t>
            </w:r>
          </w:p>
        </w:tc>
        <w:tc>
          <w:tcPr>
            <w:tcW w:w="8332" w:type="dxa"/>
            <w:noWrap w:val="0"/>
            <w:vAlign w:val="center"/>
          </w:tcPr>
          <w:p w14:paraId="5A069C5F">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0000FF"/>
                <w:sz w:val="20"/>
                <w:szCs w:val="20"/>
                <w:highlight w:val="none"/>
              </w:rPr>
            </w:pPr>
            <w:r>
              <w:rPr>
                <w:rFonts w:hint="eastAsia" w:ascii="宋体" w:hAnsi="宋体" w:eastAsia="宋体" w:cs="宋体"/>
                <w:color w:val="0000FF"/>
                <w:sz w:val="20"/>
                <w:szCs w:val="20"/>
                <w:highlight w:val="none"/>
              </w:rPr>
              <w:t>《中华人民共和国安全生产法》</w:t>
            </w:r>
          </w:p>
        </w:tc>
      </w:tr>
      <w:tr w14:paraId="2F675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noWrap w:val="0"/>
            <w:vAlign w:val="center"/>
          </w:tcPr>
          <w:p w14:paraId="32E1C691">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0000FF"/>
                <w:sz w:val="20"/>
                <w:szCs w:val="20"/>
                <w:highlight w:val="none"/>
                <w:lang w:val="en-US" w:eastAsia="zh-CN"/>
              </w:rPr>
            </w:pPr>
            <w:r>
              <w:rPr>
                <w:rFonts w:hint="eastAsia" w:ascii="宋体" w:hAnsi="宋体" w:eastAsia="宋体" w:cs="宋体"/>
                <w:color w:val="0000FF"/>
                <w:sz w:val="20"/>
                <w:szCs w:val="20"/>
                <w:highlight w:val="none"/>
                <w:lang w:val="en-US" w:eastAsia="zh-CN"/>
              </w:rPr>
              <w:t>3</w:t>
            </w:r>
          </w:p>
        </w:tc>
        <w:tc>
          <w:tcPr>
            <w:tcW w:w="8332" w:type="dxa"/>
            <w:noWrap w:val="0"/>
            <w:vAlign w:val="center"/>
          </w:tcPr>
          <w:p w14:paraId="598FC37C">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0000FF"/>
                <w:sz w:val="20"/>
                <w:szCs w:val="20"/>
                <w:highlight w:val="none"/>
              </w:rPr>
            </w:pPr>
            <w:r>
              <w:rPr>
                <w:rFonts w:hint="eastAsia" w:ascii="宋体" w:hAnsi="宋体" w:eastAsia="宋体" w:cs="宋体"/>
                <w:color w:val="0000FF"/>
                <w:sz w:val="20"/>
                <w:szCs w:val="20"/>
                <w:highlight w:val="none"/>
              </w:rPr>
              <w:t>《生产安全事故应急条例》</w:t>
            </w:r>
          </w:p>
        </w:tc>
      </w:tr>
      <w:tr w14:paraId="65B96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noWrap w:val="0"/>
            <w:vAlign w:val="center"/>
          </w:tcPr>
          <w:p w14:paraId="619355D3">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0000FF"/>
                <w:sz w:val="20"/>
                <w:szCs w:val="20"/>
                <w:highlight w:val="none"/>
                <w:lang w:val="en-US" w:eastAsia="zh-CN"/>
              </w:rPr>
            </w:pPr>
            <w:r>
              <w:rPr>
                <w:rFonts w:hint="eastAsia" w:ascii="宋体" w:hAnsi="宋体" w:eastAsia="宋体" w:cs="宋体"/>
                <w:color w:val="0000FF"/>
                <w:sz w:val="20"/>
                <w:szCs w:val="20"/>
                <w:highlight w:val="none"/>
                <w:lang w:val="en-US" w:eastAsia="zh-CN"/>
              </w:rPr>
              <w:t>4</w:t>
            </w:r>
          </w:p>
        </w:tc>
        <w:tc>
          <w:tcPr>
            <w:tcW w:w="8332" w:type="dxa"/>
            <w:noWrap w:val="0"/>
            <w:vAlign w:val="center"/>
          </w:tcPr>
          <w:p w14:paraId="12E021E5">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0000FF"/>
                <w:sz w:val="20"/>
                <w:szCs w:val="20"/>
                <w:highlight w:val="none"/>
              </w:rPr>
            </w:pPr>
            <w:r>
              <w:rPr>
                <w:rFonts w:hint="eastAsia" w:ascii="宋体" w:hAnsi="宋体" w:eastAsia="宋体" w:cs="宋体"/>
                <w:color w:val="0000FF"/>
                <w:sz w:val="20"/>
                <w:szCs w:val="20"/>
                <w:highlight w:val="none"/>
              </w:rPr>
              <w:t>《生产安全事故应急预案管理办法》</w:t>
            </w:r>
          </w:p>
        </w:tc>
      </w:tr>
      <w:tr w14:paraId="63F61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noWrap w:val="0"/>
            <w:vAlign w:val="center"/>
          </w:tcPr>
          <w:p w14:paraId="2F27E614">
            <w:pPr>
              <w:keepNext w:val="0"/>
              <w:keepLines w:val="0"/>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宋体"/>
                <w:color w:val="0000FF"/>
                <w:sz w:val="20"/>
                <w:szCs w:val="20"/>
                <w:highlight w:val="none"/>
                <w:lang w:val="en-US" w:eastAsia="zh-CN"/>
              </w:rPr>
            </w:pPr>
            <w:r>
              <w:rPr>
                <w:rFonts w:hint="eastAsia" w:ascii="宋体" w:hAnsi="宋体" w:eastAsia="宋体" w:cs="宋体"/>
                <w:color w:val="0000FF"/>
                <w:sz w:val="20"/>
                <w:szCs w:val="20"/>
                <w:highlight w:val="none"/>
                <w:lang w:val="en-US" w:eastAsia="zh-CN"/>
              </w:rPr>
              <w:t>5</w:t>
            </w:r>
          </w:p>
        </w:tc>
        <w:tc>
          <w:tcPr>
            <w:tcW w:w="8332" w:type="dxa"/>
            <w:noWrap w:val="0"/>
            <w:vAlign w:val="center"/>
          </w:tcPr>
          <w:p w14:paraId="7AD31CAC">
            <w:pPr>
              <w:keepNext w:val="0"/>
              <w:keepLines w:val="0"/>
              <w:pageBreakBefore w:val="0"/>
              <w:widowControl w:val="0"/>
              <w:kinsoku/>
              <w:wordWrap/>
              <w:overflowPunct/>
              <w:topLinePunct w:val="0"/>
              <w:autoSpaceDE/>
              <w:autoSpaceDN/>
              <w:bidi w:val="0"/>
              <w:adjustRightInd/>
              <w:snapToGrid/>
              <w:spacing w:line="500" w:lineRule="exact"/>
              <w:jc w:val="left"/>
              <w:rPr>
                <w:rFonts w:hint="eastAsia" w:ascii="宋体" w:hAnsi="宋体" w:eastAsia="宋体" w:cs="宋体"/>
                <w:color w:val="0000FF"/>
                <w:sz w:val="20"/>
                <w:szCs w:val="20"/>
                <w:highlight w:val="none"/>
              </w:rPr>
            </w:pPr>
            <w:r>
              <w:rPr>
                <w:rFonts w:hint="eastAsia" w:ascii="宋体" w:hAnsi="宋体" w:eastAsia="宋体" w:cs="宋体"/>
                <w:color w:val="0000FF"/>
                <w:sz w:val="20"/>
                <w:szCs w:val="20"/>
                <w:highlight w:val="none"/>
              </w:rPr>
              <w:t>《生产经营单位生产安全事故应急预案编制导则》（GB/T 29639-2020）</w:t>
            </w:r>
          </w:p>
        </w:tc>
      </w:tr>
    </w:tbl>
    <w:p w14:paraId="17440FA5">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rPr>
          <w:rFonts w:hint="eastAsia" w:ascii="宋体" w:hAnsi="宋体" w:eastAsia="宋体" w:cs="宋体"/>
          <w:b/>
          <w:bCs/>
          <w:color w:val="0000FF"/>
          <w:sz w:val="20"/>
          <w:szCs w:val="20"/>
          <w:highlight w:val="none"/>
          <w:lang w:val="en-US" w:eastAsia="zh-CN"/>
        </w:rPr>
      </w:pPr>
      <w:r>
        <w:rPr>
          <w:rFonts w:hint="eastAsia" w:ascii="宋体" w:hAnsi="宋体" w:eastAsia="宋体" w:cs="宋体"/>
          <w:b/>
          <w:bCs/>
          <w:color w:val="0000FF"/>
          <w:sz w:val="20"/>
          <w:szCs w:val="20"/>
          <w:highlight w:val="none"/>
          <w:lang w:val="en-US" w:eastAsia="zh-CN"/>
        </w:rPr>
        <w:t>1.2 项目服务要求</w:t>
      </w:r>
    </w:p>
    <w:p w14:paraId="62EBB04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kern w:val="2"/>
          <w:sz w:val="20"/>
          <w:szCs w:val="20"/>
          <w:highlight w:val="none"/>
          <w:lang w:val="en-US" w:eastAsia="zh-CN" w:bidi="ar-SA"/>
        </w:rPr>
      </w:pPr>
      <w:r>
        <w:rPr>
          <w:rFonts w:hint="eastAsia" w:ascii="宋体" w:hAnsi="宋体" w:eastAsia="宋体" w:cs="宋体"/>
          <w:b w:val="0"/>
          <w:bCs w:val="0"/>
          <w:color w:val="0000FF"/>
          <w:sz w:val="20"/>
          <w:szCs w:val="20"/>
          <w:highlight w:val="none"/>
          <w:lang w:val="en-US" w:eastAsia="zh-CN"/>
        </w:rPr>
        <w:t>1.2.1 合同实施前，服务商应依照物业服务合同要求，</w:t>
      </w:r>
      <w:r>
        <w:rPr>
          <w:rFonts w:hint="eastAsia" w:ascii="宋体" w:hAnsi="宋体" w:eastAsia="宋体" w:cs="宋体"/>
          <w:b w:val="0"/>
          <w:bCs w:val="0"/>
          <w:color w:val="0000FF"/>
          <w:kern w:val="2"/>
          <w:sz w:val="20"/>
          <w:szCs w:val="20"/>
          <w:highlight w:val="none"/>
          <w:lang w:val="en-US" w:eastAsia="zh-CN" w:bidi="ar-SA"/>
        </w:rPr>
        <w:t>对采购方的应急后勤保障</w:t>
      </w:r>
      <w:r>
        <w:rPr>
          <w:rFonts w:hint="eastAsia" w:ascii="宋体" w:hAnsi="宋体" w:eastAsia="宋体" w:cs="宋体"/>
          <w:color w:val="0000FF"/>
          <w:sz w:val="20"/>
          <w:szCs w:val="20"/>
          <w:highlight w:val="none"/>
          <w:lang w:val="en-US" w:eastAsia="zh-CN"/>
        </w:rPr>
        <w:t>辅助</w:t>
      </w:r>
      <w:r>
        <w:rPr>
          <w:rFonts w:hint="eastAsia" w:ascii="宋体" w:hAnsi="宋体" w:eastAsia="宋体" w:cs="宋体"/>
          <w:b w:val="0"/>
          <w:bCs w:val="0"/>
          <w:color w:val="0000FF"/>
          <w:kern w:val="2"/>
          <w:sz w:val="20"/>
          <w:szCs w:val="20"/>
          <w:highlight w:val="none"/>
          <w:lang w:val="en-US" w:eastAsia="zh-CN" w:bidi="ar-SA"/>
        </w:rPr>
        <w:t>需求进行摸查，并根据摸查情况指派专人对接。</w:t>
      </w:r>
    </w:p>
    <w:p w14:paraId="3606757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kern w:val="2"/>
          <w:sz w:val="20"/>
          <w:szCs w:val="20"/>
          <w:highlight w:val="none"/>
          <w:lang w:val="en-US" w:eastAsia="zh-CN" w:bidi="ar-SA"/>
        </w:rPr>
      </w:pPr>
      <w:r>
        <w:rPr>
          <w:rFonts w:hint="eastAsia" w:ascii="宋体" w:hAnsi="宋体" w:eastAsia="宋体" w:cs="宋体"/>
          <w:b w:val="0"/>
          <w:bCs w:val="0"/>
          <w:color w:val="0000FF"/>
          <w:sz w:val="20"/>
          <w:szCs w:val="20"/>
          <w:highlight w:val="none"/>
          <w:lang w:val="en-US" w:eastAsia="zh-CN"/>
        </w:rPr>
        <w:t xml:space="preserve">1.2.2 </w:t>
      </w:r>
      <w:r>
        <w:rPr>
          <w:rFonts w:hint="eastAsia" w:ascii="宋体" w:hAnsi="宋体" w:eastAsia="宋体" w:cs="宋体"/>
          <w:b w:val="0"/>
          <w:bCs w:val="0"/>
          <w:color w:val="0000FF"/>
          <w:kern w:val="2"/>
          <w:sz w:val="20"/>
          <w:szCs w:val="20"/>
          <w:highlight w:val="none"/>
          <w:lang w:val="en-US" w:eastAsia="zh-CN" w:bidi="ar-SA"/>
        </w:rPr>
        <w:t>服务商应遵循“统一领导、分级负责、属地为主、横向协同”的原则，构建职责清晰的应急组织架构，明确“决策指挥以物业应急，辅助协同电网应急”的功能定位。要精准对接属地需求，承担服务商抢险救灾队伍组建、应急资源调配、专项业务培训、属地快速响应及监督考核等职责，协同支持供电企业在属地及跨区域范围内的各项应急任务的后勤需求。</w:t>
      </w:r>
    </w:p>
    <w:p w14:paraId="7091ABF4">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1.2.3 服务商应构建“1+ N + N”应急预案体系（即1份总体预案+N份专项预案+N份现场处置方案及处置卡），</w:t>
      </w:r>
      <w:r>
        <w:rPr>
          <w:rFonts w:hint="eastAsia" w:ascii="宋体" w:hAnsi="宋体" w:eastAsia="宋体" w:cs="宋体"/>
          <w:b w:val="0"/>
          <w:bCs w:val="0"/>
          <w:color w:val="0000FF"/>
          <w:kern w:val="2"/>
          <w:sz w:val="20"/>
          <w:szCs w:val="20"/>
          <w:highlight w:val="none"/>
          <w:lang w:val="en-US" w:eastAsia="zh-CN" w:bidi="ar-SA"/>
        </w:rPr>
        <w:t>在服务范围内与采购方相关应急预案后勤需求有效衔接</w:t>
      </w:r>
      <w:r>
        <w:rPr>
          <w:rFonts w:hint="eastAsia" w:ascii="宋体" w:hAnsi="宋体" w:eastAsia="宋体" w:cs="宋体"/>
          <w:b w:val="0"/>
          <w:bCs w:val="0"/>
          <w:color w:val="0000FF"/>
          <w:sz w:val="20"/>
          <w:szCs w:val="20"/>
          <w:highlight w:val="none"/>
          <w:lang w:val="en-US" w:eastAsia="zh-CN"/>
        </w:rPr>
        <w:t>。预案内容应结合服务区域业态特点和灾害风险特征，分层级细化应急响应流程。</w:t>
      </w:r>
    </w:p>
    <w:p w14:paraId="6261D121">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1.2.4 服务商应提供24小时的应急响应接收渠道（热线电话、微信、eLink等）。采购方提出需求后，服务商应在1小时内作出响应，并派出专业人员按采购方时间要求到达现场提供服务。如未能按规定时间响应，应与采购方协商解决。</w:t>
      </w:r>
    </w:p>
    <w:p w14:paraId="5CD9F66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1.2.5</w:t>
      </w:r>
      <w:r>
        <w:rPr>
          <w:rFonts w:hint="eastAsia" w:ascii="宋体" w:hAnsi="宋体" w:eastAsia="宋体" w:cs="宋体"/>
          <w:color w:val="0000FF"/>
          <w:sz w:val="20"/>
          <w:szCs w:val="20"/>
          <w:highlight w:val="none"/>
          <w:lang w:val="en-US" w:eastAsia="zh-CN"/>
        </w:rPr>
        <w:t xml:space="preserve"> 服务商应全面梳理应急后勤保障需求，整合属地应急储备力量。依托物业项目在岗员工（含自有及劳务用工），组建涵盖驾驶、工程、餐饮、安保专业的属地化应急队伍，纳入属地供电企业</w:t>
      </w:r>
      <w:r>
        <w:rPr>
          <w:rFonts w:hint="eastAsia" w:ascii="宋体" w:hAnsi="宋体" w:eastAsia="宋体" w:cs="宋体"/>
          <w:strike w:val="0"/>
          <w:dstrike w:val="0"/>
          <w:color w:val="0000FF"/>
          <w:sz w:val="20"/>
          <w:szCs w:val="20"/>
          <w:highlight w:val="none"/>
          <w:lang w:val="en-US" w:eastAsia="zh-CN"/>
        </w:rPr>
        <w:t>应急</w:t>
      </w:r>
      <w:r>
        <w:rPr>
          <w:rFonts w:hint="eastAsia" w:ascii="宋体" w:hAnsi="宋体" w:eastAsia="宋体" w:cs="宋体"/>
          <w:color w:val="0000FF"/>
          <w:sz w:val="20"/>
          <w:szCs w:val="20"/>
          <w:highlight w:val="none"/>
          <w:lang w:val="en-US" w:eastAsia="zh-CN"/>
        </w:rPr>
        <w:t>管理，服从应急指挥调度，参与属地与跨区域应急支援任务，确保应急状态下</w:t>
      </w:r>
      <w:r>
        <w:rPr>
          <w:rFonts w:hint="eastAsia" w:ascii="宋体" w:hAnsi="宋体" w:eastAsia="宋体" w:cs="宋体"/>
          <w:strike w:val="0"/>
          <w:dstrike w:val="0"/>
          <w:color w:val="0000FF"/>
          <w:sz w:val="20"/>
          <w:szCs w:val="20"/>
          <w:highlight w:val="none"/>
          <w:lang w:val="en-US" w:eastAsia="zh-CN"/>
        </w:rPr>
        <w:t>人员与物资调配</w:t>
      </w:r>
      <w:r>
        <w:rPr>
          <w:rFonts w:hint="eastAsia" w:ascii="宋体" w:hAnsi="宋体" w:eastAsia="宋体" w:cs="宋体"/>
          <w:color w:val="0000FF"/>
          <w:sz w:val="20"/>
          <w:szCs w:val="20"/>
          <w:highlight w:val="none"/>
          <w:lang w:val="en-US" w:eastAsia="zh-CN"/>
        </w:rPr>
        <w:t>高效有序，应急用餐保障及时到位。</w:t>
      </w:r>
    </w:p>
    <w:p w14:paraId="266CC91C">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0000FF"/>
          <w:sz w:val="20"/>
          <w:szCs w:val="20"/>
          <w:highlight w:val="none"/>
          <w:lang w:val="en-US" w:eastAsia="zh-CN"/>
        </w:rPr>
      </w:pPr>
      <w:r>
        <w:rPr>
          <w:rFonts w:hint="eastAsia" w:ascii="宋体" w:hAnsi="宋体" w:eastAsia="宋体" w:cs="宋体"/>
          <w:color w:val="0000FF"/>
          <w:sz w:val="20"/>
          <w:szCs w:val="20"/>
          <w:highlight w:val="none"/>
          <w:lang w:val="en-US" w:eastAsia="zh-CN"/>
        </w:rPr>
        <w:t>1.2.6 服务商应建立健全应急队伍台账，明确人员紧急联系方式及基本应急技能。每年</w:t>
      </w:r>
      <w:r>
        <w:rPr>
          <w:rFonts w:hint="eastAsia" w:ascii="宋体" w:hAnsi="宋体" w:cs="宋体"/>
          <w:color w:val="0000FF"/>
          <w:sz w:val="20"/>
          <w:szCs w:val="20"/>
          <w:highlight w:val="none"/>
          <w:lang w:val="en-US" w:eastAsia="zh-CN"/>
        </w:rPr>
        <w:t>上半年、下半年</w:t>
      </w:r>
      <w:r>
        <w:rPr>
          <w:rFonts w:hint="eastAsia" w:ascii="宋体" w:hAnsi="宋体" w:eastAsia="宋体" w:cs="宋体"/>
          <w:color w:val="0000FF"/>
          <w:sz w:val="20"/>
          <w:szCs w:val="20"/>
          <w:highlight w:val="none"/>
          <w:lang w:val="en-US" w:eastAsia="zh-CN"/>
        </w:rPr>
        <w:t>分别开展应急队伍状态评估，动态更新相关信息。积极参加属地供电企业组织的保命技能培训、专项应急演练、成建制队伍拉练等应急活动，持续提升应急响应与协同作战能力。</w:t>
      </w:r>
    </w:p>
    <w:p w14:paraId="328B8ADB">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1.2.7 服务商应按照“以工代练、工练结合”模式建立常态化培训演练机制，将应急常识、应急技能纳入日常培训内容，在日常工作中锻炼应急技能。</w:t>
      </w:r>
    </w:p>
    <w:p w14:paraId="76F9A204">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1.2.8 服务商应与属地供电企业建立应急联动机制，向采购方申请开通南网eLink、应急管理信息系统等必要权限，实现应急信息互通，及时掌握应急态势变化及后勤保障需求。采购方应根据后勤应急工作实际需要，适度开放相应系统权限。</w:t>
      </w:r>
    </w:p>
    <w:p w14:paraId="6E0EA914">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 xml:space="preserve">1.2.9 </w:t>
      </w:r>
      <w:r>
        <w:rPr>
          <w:rFonts w:hint="eastAsia" w:ascii="宋体" w:hAnsi="宋体" w:eastAsia="宋体" w:cs="宋体"/>
          <w:color w:val="0000FF"/>
          <w:sz w:val="20"/>
          <w:szCs w:val="20"/>
          <w:highlight w:val="none"/>
          <w:lang w:val="en-US" w:eastAsia="zh-CN"/>
        </w:rPr>
        <w:t>服务商应结合甲方应急物资清单，梳理物业自有产权物资、代管物资、与甲方共用物资及借用物资，建立后勤应急物资台账。定期开展物资盘点、检查与维护，结合业主应急需求与历史消耗数据，按产权归属及时补充或采购，确保应急物资储备</w:t>
      </w:r>
      <w:r>
        <w:rPr>
          <w:rFonts w:hint="eastAsia" w:ascii="宋体" w:hAnsi="宋体" w:eastAsia="宋体" w:cs="宋体"/>
          <w:strike w:val="0"/>
          <w:dstrike w:val="0"/>
          <w:color w:val="0000FF"/>
          <w:sz w:val="20"/>
          <w:szCs w:val="20"/>
          <w:highlight w:val="none"/>
          <w:lang w:val="en-US" w:eastAsia="zh-CN"/>
        </w:rPr>
        <w:t>充足</w:t>
      </w:r>
      <w:r>
        <w:rPr>
          <w:rFonts w:hint="eastAsia" w:ascii="宋体" w:hAnsi="宋体" w:eastAsia="宋体" w:cs="宋体"/>
          <w:color w:val="0000FF"/>
          <w:sz w:val="20"/>
          <w:szCs w:val="20"/>
          <w:highlight w:val="none"/>
          <w:lang w:val="en-US" w:eastAsia="zh-CN"/>
        </w:rPr>
        <w:t>、随时可用。</w:t>
      </w:r>
    </w:p>
    <w:p w14:paraId="4D48BB15">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1.2.10 服务商应建立覆盖应急值守、预警响应、现场处置、事后复盘的全流程管理标准。灾前配合风险排查，灾中1小时内响应指令开展秩序维护和后勤保障，灾后配合恢复与复盘总结。</w:t>
      </w:r>
    </w:p>
    <w:p w14:paraId="26253F0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kern w:val="2"/>
          <w:sz w:val="20"/>
          <w:szCs w:val="20"/>
          <w:highlight w:val="none"/>
          <w:lang w:val="en-US" w:eastAsia="zh-CN" w:bidi="ar-SA"/>
        </w:rPr>
      </w:pPr>
      <w:r>
        <w:rPr>
          <w:rFonts w:hint="eastAsia" w:ascii="宋体" w:hAnsi="宋体" w:eastAsia="宋体" w:cs="宋体"/>
          <w:b w:val="0"/>
          <w:bCs w:val="0"/>
          <w:color w:val="0000FF"/>
          <w:kern w:val="2"/>
          <w:sz w:val="20"/>
          <w:szCs w:val="20"/>
          <w:highlight w:val="none"/>
          <w:lang w:val="en-US" w:eastAsia="zh-CN" w:bidi="ar-SA"/>
        </w:rPr>
        <w:t>1.2.11 服务商应按采购方要求填写应急服务活动记录表，并经采购方值班人员或现场管理员签字确认，作为应急后勤费用结算依据。应急响应期间根据采购方要求报送简报，任务完成后汇总统计，确保记录完整、可追溯。</w:t>
      </w:r>
    </w:p>
    <w:p w14:paraId="28E60597">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1.2.12 服务商应建立健全安全管理制度，在应急服务期间落实现场安全防护措施。如因服务商责任导致安全问题，由服务商按合同约定承担相应责任。</w:t>
      </w:r>
    </w:p>
    <w:p w14:paraId="2EA3A990">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1.2.13 服务商应严格遵守有关法律法规和采购方内部规章制度，对接触的应急信息、数据做好保密工作，不得擅自翻阅、复制、传播，并负责约束有关员工的保密行为。</w:t>
      </w:r>
    </w:p>
    <w:p w14:paraId="3D576983">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rPr>
          <w:rFonts w:hint="eastAsia" w:ascii="宋体" w:hAnsi="宋体" w:eastAsia="宋体" w:cs="宋体"/>
          <w:b/>
          <w:bCs/>
          <w:color w:val="0000FF"/>
          <w:sz w:val="20"/>
          <w:szCs w:val="20"/>
          <w:highlight w:val="none"/>
          <w:lang w:val="en-US" w:eastAsia="zh-CN"/>
        </w:rPr>
      </w:pPr>
      <w:r>
        <w:rPr>
          <w:rFonts w:hint="eastAsia" w:ascii="宋体" w:hAnsi="宋体" w:eastAsia="宋体" w:cs="宋体"/>
          <w:b/>
          <w:bCs/>
          <w:color w:val="0000FF"/>
          <w:sz w:val="20"/>
          <w:szCs w:val="20"/>
          <w:highlight w:val="none"/>
          <w:lang w:val="en-US" w:eastAsia="zh-CN"/>
        </w:rPr>
        <w:t>2.具体工作要求</w:t>
      </w:r>
    </w:p>
    <w:p w14:paraId="490B9585">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rPr>
          <w:rFonts w:hint="eastAsia" w:ascii="宋体" w:hAnsi="宋体" w:eastAsia="宋体" w:cs="宋体"/>
          <w:b/>
          <w:bCs/>
          <w:color w:val="0000FF"/>
          <w:sz w:val="20"/>
          <w:szCs w:val="20"/>
          <w:highlight w:val="none"/>
          <w:lang w:val="en-US" w:eastAsia="zh-CN"/>
        </w:rPr>
      </w:pPr>
      <w:r>
        <w:rPr>
          <w:rFonts w:hint="eastAsia" w:ascii="宋体" w:hAnsi="宋体" w:eastAsia="宋体" w:cs="宋体"/>
          <w:b/>
          <w:bCs/>
          <w:color w:val="0000FF"/>
          <w:sz w:val="20"/>
          <w:szCs w:val="20"/>
          <w:highlight w:val="none"/>
          <w:lang w:val="en-US" w:eastAsia="zh-CN"/>
        </w:rPr>
        <w:t>2.1应急保障服务具体工作要求</w:t>
      </w:r>
    </w:p>
    <w:tbl>
      <w:tblPr>
        <w:tblStyle w:val="15"/>
        <w:tblW w:w="8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80"/>
        <w:gridCol w:w="1080"/>
        <w:gridCol w:w="6240"/>
      </w:tblGrid>
      <w:tr w14:paraId="0E43D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7FAAA9">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57388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工作内容</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F6EC2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具体要求</w:t>
            </w:r>
          </w:p>
        </w:tc>
      </w:tr>
      <w:tr w14:paraId="31098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642FCA">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FF28E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体系建设</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7FDE4F">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建立职责清晰的应急组织架构，明确各岗位应急职责，做好应急组织架构图等资料归档工作。</w:t>
            </w:r>
          </w:p>
        </w:tc>
      </w:tr>
      <w:tr w14:paraId="1EE36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9A993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813C2C">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预案管理</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B70FCB">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建立“1份总体预案+N份专项预案+N份应急处置卡”的预案体系，对应承接南方电网公司相关预案，做好预案的编制、备案、修订工作，并做好相关记录备查。</w:t>
            </w:r>
          </w:p>
        </w:tc>
      </w:tr>
      <w:tr w14:paraId="46E6E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A4AFF5">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249F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队伍管理</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3A8A56">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lang w:val="en-US"/>
              </w:rPr>
            </w:pPr>
            <w:r>
              <w:rPr>
                <w:rFonts w:hint="eastAsia" w:ascii="宋体" w:hAnsi="宋体" w:eastAsia="宋体" w:cs="宋体"/>
                <w:i w:val="0"/>
                <w:iCs w:val="0"/>
                <w:color w:val="0000FF"/>
                <w:kern w:val="0"/>
                <w:sz w:val="20"/>
                <w:szCs w:val="20"/>
                <w:highlight w:val="none"/>
                <w:u w:val="none"/>
                <w:lang w:val="en-US" w:eastAsia="zh-CN" w:bidi="ar"/>
              </w:rPr>
              <w:t>按属地组建应急队伍，涵盖驾驶、工程、餐饮、安保等专业，参与属地应急支援任务；组建驾驶、餐饮应急特勤队伍，参与跨区域应急支援任务。</w:t>
            </w:r>
          </w:p>
        </w:tc>
      </w:tr>
      <w:tr w14:paraId="18838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62D5C6">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84F3C9">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台账管理</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77DB56">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做好应急队伍台账、物资台账、应急演练台账、应急处置记录等档案资料</w:t>
            </w:r>
            <w:r>
              <w:rPr>
                <w:rFonts w:hint="eastAsia" w:ascii="宋体" w:hAnsi="宋体" w:cs="宋体"/>
                <w:i w:val="0"/>
                <w:iCs w:val="0"/>
                <w:color w:val="0000FF"/>
                <w:kern w:val="0"/>
                <w:sz w:val="20"/>
                <w:szCs w:val="20"/>
                <w:highlight w:val="none"/>
                <w:u w:val="none"/>
                <w:lang w:val="en-US" w:eastAsia="zh-CN" w:bidi="ar"/>
              </w:rPr>
              <w:t>的管理工作，</w:t>
            </w:r>
            <w:r>
              <w:rPr>
                <w:rFonts w:hint="eastAsia" w:ascii="宋体" w:hAnsi="宋体" w:eastAsia="宋体" w:cs="宋体"/>
                <w:i w:val="0"/>
                <w:iCs w:val="0"/>
                <w:color w:val="0000FF"/>
                <w:kern w:val="0"/>
                <w:sz w:val="20"/>
                <w:szCs w:val="20"/>
                <w:highlight w:val="none"/>
                <w:u w:val="none"/>
                <w:lang w:val="en-US" w:eastAsia="zh-CN" w:bidi="ar"/>
              </w:rPr>
              <w:t>每年3月、10月进行状态评估并更新备案。</w:t>
            </w:r>
          </w:p>
        </w:tc>
      </w:tr>
      <w:tr w14:paraId="04211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55CF2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C21632">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物资储备</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FC9761">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分地域、分灾种配置应急物资，做好物资清点、检查、维护记录。</w:t>
            </w:r>
          </w:p>
        </w:tc>
      </w:tr>
      <w:tr w14:paraId="3E0BB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D6FD2A">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9CA07A">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培训管理</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390EA1">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按“以工代练、工练结合”模式开展应急培训，将培训计划、培训记录、考核成绩纳入档案管理。</w:t>
            </w:r>
          </w:p>
        </w:tc>
      </w:tr>
      <w:tr w14:paraId="282DB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C377E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E948A0">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演练管理</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2943A4">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按要求参与属地供电企业组织的应急演练或拉练活动，做好演练方案、演练记录、评估总结等资料归档。</w:t>
            </w:r>
          </w:p>
        </w:tc>
      </w:tr>
      <w:tr w14:paraId="48211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614800">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346D1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响应时效</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9E9D64">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应急人员应在接到指令后1小时内完成响应，并按采购方时限要求到达现场，做好响应时间、到达时间、处置情况的详细记录。</w:t>
            </w:r>
          </w:p>
        </w:tc>
      </w:tr>
      <w:tr w14:paraId="311C1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64A05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4B57EE">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信息互通</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A3E4B7">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按要求向采购方申请开通南网eLink、应急管理信息系统权限，及时掌握应急形势变化，做好信息接收、传递、反馈记录。</w:t>
            </w:r>
          </w:p>
        </w:tc>
      </w:tr>
      <w:tr w14:paraId="0132E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EE36C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8B67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灾前预控</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C0C36A">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配合采购方开展风险隐患排查，落实灾害预防管控措施，提前做好应急物资、人员储备，安排后勤应急值班，做好预控工作记录。</w:t>
            </w:r>
          </w:p>
        </w:tc>
      </w:tr>
      <w:tr w14:paraId="2B32C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BE5BC7">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B1CA0D">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灾中守护</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EA6DD7">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第一时间响应应急指令，开展管辖场所隐患处置、秩序维护工作，做好“衣、食、住、行”后勤保障，填写应急处置记录表。</w:t>
            </w:r>
          </w:p>
        </w:tc>
      </w:tr>
      <w:tr w14:paraId="4D34F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C1FF14">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89FC94">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灾后处置</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AA2C5D">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配合开展管辖场所灾后恢复、复盘总结工作，梳理应急处置问题，优化预案与流程，做好总结报告。</w:t>
            </w:r>
          </w:p>
        </w:tc>
      </w:tr>
      <w:tr w14:paraId="5D9BF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85AE9D">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99BAA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后勤保障</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B1071A">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积极做好应急人员餐饮、住宿、车辆调度等后勤保障工作，确保抢险队伍正常运转。</w:t>
            </w:r>
          </w:p>
        </w:tc>
      </w:tr>
      <w:tr w14:paraId="3BF57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47AE5">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lang w:val="en-US"/>
              </w:rPr>
            </w:pPr>
            <w:r>
              <w:rPr>
                <w:rFonts w:hint="eastAsia" w:ascii="宋体" w:hAnsi="宋体" w:eastAsia="宋体" w:cs="宋体"/>
                <w:i w:val="0"/>
                <w:iCs w:val="0"/>
                <w:color w:val="0000FF"/>
                <w:kern w:val="0"/>
                <w:sz w:val="20"/>
                <w:szCs w:val="20"/>
                <w:highlight w:val="none"/>
                <w:u w:val="none"/>
                <w:lang w:val="en-US" w:eastAsia="zh-CN" w:bidi="ar"/>
              </w:rPr>
              <w:t>14</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B2D50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数据报送</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A9F25F">
            <w:pPr>
              <w:keepNext w:val="0"/>
              <w:keepLines w:val="0"/>
              <w:widowControl/>
              <w:suppressLineNumbers w:val="0"/>
              <w:jc w:val="left"/>
              <w:textAlignment w:val="center"/>
              <w:rPr>
                <w:rFonts w:hint="eastAsia" w:ascii="宋体" w:hAnsi="宋体" w:eastAsia="宋体" w:cs="宋体"/>
                <w:color w:val="0000FF"/>
                <w:sz w:val="20"/>
                <w:szCs w:val="20"/>
                <w:highlight w:val="none"/>
              </w:rPr>
            </w:pPr>
            <w:r>
              <w:rPr>
                <w:rFonts w:hint="eastAsia" w:ascii="宋体" w:hAnsi="宋体" w:eastAsia="宋体" w:cs="宋体"/>
                <w:i w:val="0"/>
                <w:iCs w:val="0"/>
                <w:color w:val="0000FF"/>
                <w:kern w:val="0"/>
                <w:sz w:val="20"/>
                <w:szCs w:val="20"/>
                <w:highlight w:val="none"/>
                <w:u w:val="none"/>
                <w:lang w:val="en-US" w:eastAsia="zh-CN" w:bidi="ar"/>
              </w:rPr>
              <w:t>应急响应期间实行每天简易报送数据，任务完成后全面统计上报，做好数据统计、核对、报送记录。</w:t>
            </w:r>
          </w:p>
        </w:tc>
      </w:tr>
      <w:tr w14:paraId="371B3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419D62">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181E2B">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结算申请</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84C19C">
            <w:pPr>
              <w:keepNext w:val="0"/>
              <w:keepLines w:val="0"/>
              <w:widowControl/>
              <w:suppressLineNumbers w:val="0"/>
              <w:jc w:val="left"/>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应急任务完成后，及时整理应急处置记录、物资消耗凭证、人员工时记录等相关资料，向采购方提出应急结算申请。</w:t>
            </w:r>
          </w:p>
        </w:tc>
      </w:tr>
      <w:tr w14:paraId="0FDCF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4F8EE6">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lang w:val="en-US"/>
              </w:rPr>
            </w:pPr>
            <w:r>
              <w:rPr>
                <w:rFonts w:hint="eastAsia" w:ascii="宋体" w:hAnsi="宋体" w:eastAsia="宋体" w:cs="宋体"/>
                <w:i w:val="0"/>
                <w:iCs w:val="0"/>
                <w:color w:val="0000FF"/>
                <w:kern w:val="0"/>
                <w:sz w:val="20"/>
                <w:szCs w:val="20"/>
                <w:highlight w:val="none"/>
                <w:u w:val="none"/>
                <w:lang w:val="en-US" w:eastAsia="zh-CN" w:bidi="ar"/>
              </w:rPr>
              <w:t>16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0B4AD9">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保密管理</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9FE9F3">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严格遵守保密规定，对接触的应急信息、数据做好保密工作，不得擅自翻阅、复制、传播。</w:t>
            </w:r>
          </w:p>
        </w:tc>
      </w:tr>
      <w:tr w14:paraId="25BB3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7C1EB1">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lang w:val="en-US"/>
              </w:rPr>
            </w:pPr>
            <w:r>
              <w:rPr>
                <w:rFonts w:hint="eastAsia" w:ascii="宋体" w:hAnsi="宋体" w:eastAsia="宋体" w:cs="宋体"/>
                <w:i w:val="0"/>
                <w:iCs w:val="0"/>
                <w:color w:val="0000FF"/>
                <w:kern w:val="0"/>
                <w:sz w:val="20"/>
                <w:szCs w:val="20"/>
                <w:highlight w:val="none"/>
                <w:u w:val="none"/>
                <w:lang w:val="en-US" w:eastAsia="zh-CN" w:bidi="ar"/>
              </w:rPr>
              <w:t>17</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BBEC63">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协同配合</w:t>
            </w:r>
          </w:p>
        </w:tc>
        <w:tc>
          <w:tcPr>
            <w:tcW w:w="62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134FC2">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服从采购方统一调度指挥，按要求参与跨区域应急支援任务，做好协同配合工作记录。</w:t>
            </w:r>
          </w:p>
        </w:tc>
      </w:tr>
    </w:tbl>
    <w:p w14:paraId="78F776B2">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rPr>
          <w:rFonts w:hint="eastAsia" w:ascii="宋体" w:hAnsi="宋体" w:eastAsia="宋体" w:cs="宋体"/>
          <w:b/>
          <w:bCs/>
          <w:color w:val="0000FF"/>
          <w:sz w:val="20"/>
          <w:szCs w:val="20"/>
          <w:highlight w:val="none"/>
          <w:lang w:val="en-US" w:eastAsia="zh-CN"/>
        </w:rPr>
      </w:pPr>
      <w:r>
        <w:rPr>
          <w:rFonts w:hint="eastAsia" w:ascii="宋体" w:hAnsi="宋体" w:eastAsia="宋体" w:cs="宋体"/>
          <w:b/>
          <w:bCs/>
          <w:color w:val="0000FF"/>
          <w:sz w:val="20"/>
          <w:szCs w:val="20"/>
          <w:highlight w:val="none"/>
          <w:lang w:val="en-US" w:eastAsia="zh-CN"/>
        </w:rPr>
        <w:t>3.服务履约考核</w:t>
      </w:r>
    </w:p>
    <w:p w14:paraId="3F067351">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kern w:val="2"/>
          <w:sz w:val="20"/>
          <w:szCs w:val="20"/>
          <w:highlight w:val="none"/>
          <w:lang w:val="en-US" w:eastAsia="zh-CN" w:bidi="ar-SA"/>
        </w:rPr>
      </w:pPr>
      <w:r>
        <w:rPr>
          <w:rFonts w:hint="eastAsia" w:ascii="宋体" w:hAnsi="宋体" w:eastAsia="宋体" w:cs="宋体"/>
          <w:b w:val="0"/>
          <w:bCs w:val="0"/>
          <w:color w:val="0000FF"/>
          <w:kern w:val="2"/>
          <w:sz w:val="20"/>
          <w:szCs w:val="20"/>
          <w:highlight w:val="none"/>
          <w:lang w:val="en-US" w:eastAsia="zh-CN" w:bidi="ar-SA"/>
        </w:rPr>
        <w:t>业主方每月对服务商应急服务工作进行考核，考核结果作为对服务商履约考核的评价，每扣1分折合人民币100元，从结算的应急专项费用中扣除。</w:t>
      </w:r>
    </w:p>
    <w:p w14:paraId="0C69E960">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rPr>
          <w:rFonts w:hint="eastAsia" w:ascii="宋体" w:hAnsi="宋体" w:eastAsia="宋体" w:cs="宋体"/>
          <w:color w:val="0000FF"/>
          <w:sz w:val="20"/>
          <w:szCs w:val="20"/>
          <w:highlight w:val="none"/>
          <w:lang w:val="en-US" w:eastAsia="zh-CN"/>
        </w:rPr>
      </w:pPr>
      <w:r>
        <w:rPr>
          <w:rFonts w:hint="eastAsia" w:ascii="宋体" w:hAnsi="宋体" w:eastAsia="宋体" w:cs="宋体"/>
          <w:b/>
          <w:bCs/>
          <w:color w:val="0000FF"/>
          <w:sz w:val="20"/>
          <w:szCs w:val="20"/>
          <w:highlight w:val="none"/>
          <w:lang w:val="en-US" w:eastAsia="zh-CN"/>
        </w:rPr>
        <w:t>3.1应急保障服务履约考核表（100分）</w:t>
      </w:r>
    </w:p>
    <w:tbl>
      <w:tblPr>
        <w:tblStyle w:val="15"/>
        <w:tblW w:w="97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6"/>
        <w:gridCol w:w="1083"/>
        <w:gridCol w:w="1317"/>
        <w:gridCol w:w="816"/>
        <w:gridCol w:w="2950"/>
        <w:gridCol w:w="1048"/>
        <w:gridCol w:w="1036"/>
        <w:gridCol w:w="816"/>
      </w:tblGrid>
      <w:tr w14:paraId="2D3ED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099FCA1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序号</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13ECF842">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考核项目</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14:paraId="6EA54D14">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服务内容及标准要求</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FD23DFD">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标准分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269A7A2F">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检查内容</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1061DBF7">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扣分标准</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1DCD96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实际得分</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84939CE">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备注</w:t>
            </w:r>
          </w:p>
        </w:tc>
      </w:tr>
      <w:tr w14:paraId="39EBA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14:paraId="3103341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0AD1B1E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组织体系建设</w:t>
            </w:r>
          </w:p>
        </w:tc>
        <w:tc>
          <w:tcPr>
            <w:tcW w:w="1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0EB4B884">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完善应急组织架构与预案体系</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0BEE49D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10分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2E5AA367">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按采购方要求建立职责清晰的应急组织架构</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5463B463">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C35E431">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1531FF7">
            <w:pPr>
              <w:jc w:val="center"/>
              <w:rPr>
                <w:rFonts w:hint="eastAsia" w:ascii="宋体" w:hAnsi="宋体" w:eastAsia="宋体" w:cs="宋体"/>
                <w:i w:val="0"/>
                <w:iCs w:val="0"/>
                <w:color w:val="0000FF"/>
                <w:sz w:val="20"/>
                <w:szCs w:val="20"/>
                <w:highlight w:val="none"/>
                <w:u w:val="none"/>
              </w:rPr>
            </w:pPr>
          </w:p>
        </w:tc>
      </w:tr>
      <w:tr w14:paraId="5F327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943F9A">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F75577">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46B3EB">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78443E">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511FB033">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未建立“1+N+N”预案体系</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27EDE066">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-5分</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6BEA647">
            <w:pPr>
              <w:jc w:val="center"/>
              <w:rPr>
                <w:rFonts w:hint="eastAsia" w:ascii="宋体" w:hAnsi="宋体" w:eastAsia="宋体" w:cs="宋体"/>
                <w:i w:val="0"/>
                <w:iCs w:val="0"/>
                <w:color w:val="0000FF"/>
                <w:sz w:val="20"/>
                <w:szCs w:val="20"/>
                <w:highlight w:val="none"/>
                <w:u w:val="none"/>
                <w:lang w:val="en-US" w:eastAsia="zh-CN"/>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D0DB5D4">
            <w:pPr>
              <w:jc w:val="center"/>
              <w:rPr>
                <w:rFonts w:hint="eastAsia" w:ascii="宋体" w:hAnsi="宋体" w:eastAsia="宋体" w:cs="宋体"/>
                <w:i w:val="0"/>
                <w:iCs w:val="0"/>
                <w:color w:val="0000FF"/>
                <w:sz w:val="20"/>
                <w:szCs w:val="20"/>
                <w:highlight w:val="none"/>
                <w:u w:val="none"/>
              </w:rPr>
            </w:pPr>
          </w:p>
        </w:tc>
      </w:tr>
      <w:tr w14:paraId="0FCB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145369">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659FB9">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4D3BB5">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C0DBBC">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4DE480CC">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未制定差异化应急预案（防风、防山火、防地震等）</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1420D179">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-2分/项</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84E3444">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91CBAAC">
            <w:pPr>
              <w:jc w:val="center"/>
              <w:rPr>
                <w:rFonts w:hint="eastAsia" w:ascii="宋体" w:hAnsi="宋体" w:eastAsia="宋体" w:cs="宋体"/>
                <w:i w:val="0"/>
                <w:iCs w:val="0"/>
                <w:color w:val="0000FF"/>
                <w:sz w:val="20"/>
                <w:szCs w:val="20"/>
                <w:highlight w:val="none"/>
                <w:u w:val="none"/>
              </w:rPr>
            </w:pPr>
          </w:p>
        </w:tc>
      </w:tr>
      <w:tr w14:paraId="43D9C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14:paraId="2CD4D5D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30A8B889">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应急队伍建设</w:t>
            </w:r>
          </w:p>
        </w:tc>
        <w:tc>
          <w:tcPr>
            <w:tcW w:w="1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63480167">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按标准组建应急队伍并动态管理</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506B75EE">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10分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64E59285">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未建立应急队伍台账或未按时更新</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0CDFE83D">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EEA5DCB">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41DB9AC">
            <w:pPr>
              <w:jc w:val="center"/>
              <w:rPr>
                <w:rFonts w:hint="eastAsia" w:ascii="宋体" w:hAnsi="宋体" w:eastAsia="宋体" w:cs="宋体"/>
                <w:i w:val="0"/>
                <w:iCs w:val="0"/>
                <w:color w:val="0000FF"/>
                <w:sz w:val="20"/>
                <w:szCs w:val="20"/>
                <w:highlight w:val="none"/>
                <w:u w:val="none"/>
              </w:rPr>
            </w:pPr>
          </w:p>
        </w:tc>
      </w:tr>
      <w:tr w14:paraId="3D032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0D43DE">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9E3DCE">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84411E">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F8BA77">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04AE8523">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队伍人员信息不准确、联系方式无效</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469E4EA6">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-1分/处</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6E5F2BCE">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97D32A9">
            <w:pPr>
              <w:jc w:val="center"/>
              <w:rPr>
                <w:rFonts w:hint="eastAsia" w:ascii="宋体" w:hAnsi="宋体" w:eastAsia="宋体" w:cs="宋体"/>
                <w:i w:val="0"/>
                <w:iCs w:val="0"/>
                <w:color w:val="0000FF"/>
                <w:sz w:val="20"/>
                <w:szCs w:val="20"/>
                <w:highlight w:val="none"/>
                <w:u w:val="none"/>
              </w:rPr>
            </w:pPr>
          </w:p>
        </w:tc>
      </w:tr>
      <w:tr w14:paraId="6F6FE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C85AFB">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F822A5">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7E81FF">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6C0BD1">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17871612">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未按要求向业主备案队伍台账</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54418C63">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4EEC8666">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2DBC3EA">
            <w:pPr>
              <w:jc w:val="center"/>
              <w:rPr>
                <w:rFonts w:hint="eastAsia" w:ascii="宋体" w:hAnsi="宋体" w:eastAsia="宋体" w:cs="宋体"/>
                <w:i w:val="0"/>
                <w:iCs w:val="0"/>
                <w:color w:val="0000FF"/>
                <w:sz w:val="20"/>
                <w:szCs w:val="20"/>
                <w:highlight w:val="none"/>
                <w:u w:val="none"/>
              </w:rPr>
            </w:pPr>
          </w:p>
        </w:tc>
      </w:tr>
      <w:tr w14:paraId="70B5E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14:paraId="10570852">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3</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5B036FB3">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培训与演练</w:t>
            </w:r>
          </w:p>
        </w:tc>
        <w:tc>
          <w:tcPr>
            <w:tcW w:w="1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06B0F395">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按计划开展培训演练</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596C904A">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10分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50A522B6">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未制定年度应急培训计划</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458520AC">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-3分</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CD37E9F">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126D024">
            <w:pPr>
              <w:jc w:val="center"/>
              <w:rPr>
                <w:rFonts w:hint="eastAsia" w:ascii="宋体" w:hAnsi="宋体" w:eastAsia="宋体" w:cs="宋体"/>
                <w:i w:val="0"/>
                <w:iCs w:val="0"/>
                <w:color w:val="0000FF"/>
                <w:sz w:val="20"/>
                <w:szCs w:val="20"/>
                <w:highlight w:val="none"/>
                <w:u w:val="none"/>
              </w:rPr>
            </w:pPr>
          </w:p>
        </w:tc>
      </w:tr>
      <w:tr w14:paraId="044DF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9EF84B">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4B37BD">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9B35DB">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96A41B">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519B2F2C">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未按季度开展应急专项培训</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38F5C53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A9579DE">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D869D39">
            <w:pPr>
              <w:jc w:val="center"/>
              <w:rPr>
                <w:rFonts w:hint="eastAsia" w:ascii="宋体" w:hAnsi="宋体" w:eastAsia="宋体" w:cs="宋体"/>
                <w:i w:val="0"/>
                <w:iCs w:val="0"/>
                <w:color w:val="0000FF"/>
                <w:sz w:val="20"/>
                <w:szCs w:val="20"/>
                <w:highlight w:val="none"/>
                <w:u w:val="none"/>
              </w:rPr>
            </w:pPr>
          </w:p>
        </w:tc>
      </w:tr>
      <w:tr w14:paraId="763D0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EE9302">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B106B4">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1F271C">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3C031B">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33239021">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未参与属地业主应急演练/拉练</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685FEB6C">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-3分/次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145A1A9A">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BCF1A5E">
            <w:pPr>
              <w:jc w:val="center"/>
              <w:rPr>
                <w:rFonts w:hint="eastAsia" w:ascii="宋体" w:hAnsi="宋体" w:eastAsia="宋体" w:cs="宋体"/>
                <w:i w:val="0"/>
                <w:iCs w:val="0"/>
                <w:color w:val="0000FF"/>
                <w:sz w:val="20"/>
                <w:szCs w:val="20"/>
                <w:highlight w:val="none"/>
                <w:u w:val="none"/>
              </w:rPr>
            </w:pPr>
          </w:p>
        </w:tc>
      </w:tr>
      <w:tr w14:paraId="61E7D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A577CC">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0A435C">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D42D2C">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FECA78">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7D1E1A49">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培训演练记录缺失</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671B0BE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469FA947">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65D264F">
            <w:pPr>
              <w:jc w:val="center"/>
              <w:rPr>
                <w:rFonts w:hint="eastAsia" w:ascii="宋体" w:hAnsi="宋体" w:eastAsia="宋体" w:cs="宋体"/>
                <w:i w:val="0"/>
                <w:iCs w:val="0"/>
                <w:color w:val="0000FF"/>
                <w:sz w:val="20"/>
                <w:szCs w:val="20"/>
                <w:highlight w:val="none"/>
                <w:u w:val="none"/>
              </w:rPr>
            </w:pPr>
          </w:p>
        </w:tc>
      </w:tr>
      <w:tr w14:paraId="53190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14:paraId="06734401">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4</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3D87478E">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应急响应效率</w:t>
            </w:r>
          </w:p>
        </w:tc>
        <w:tc>
          <w:tcPr>
            <w:tcW w:w="1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3D4DE30E">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1小时内响应，2小时内到达</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69855C51">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10分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70721B4B">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应急响应超时（超过1小时）</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35FC130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461C6C5A">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A35E4F2">
            <w:pPr>
              <w:jc w:val="center"/>
              <w:rPr>
                <w:rFonts w:hint="eastAsia" w:ascii="宋体" w:hAnsi="宋体" w:eastAsia="宋体" w:cs="宋体"/>
                <w:i w:val="0"/>
                <w:iCs w:val="0"/>
                <w:color w:val="0000FF"/>
                <w:sz w:val="20"/>
                <w:szCs w:val="20"/>
                <w:highlight w:val="none"/>
                <w:u w:val="none"/>
              </w:rPr>
            </w:pPr>
          </w:p>
        </w:tc>
      </w:tr>
      <w:tr w14:paraId="5EF57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C49AC0">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0013E0">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9AA2D6">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CE46FA">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2D836573">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cs="宋体"/>
                <w:i w:val="0"/>
                <w:iCs w:val="0"/>
                <w:color w:val="0000FF"/>
                <w:kern w:val="0"/>
                <w:sz w:val="20"/>
                <w:szCs w:val="20"/>
                <w:highlight w:val="none"/>
                <w:u w:val="none"/>
                <w:lang w:val="en-US" w:eastAsia="zh-CN" w:bidi="ar"/>
              </w:rPr>
              <w:t>无</w:t>
            </w:r>
            <w:r>
              <w:rPr>
                <w:rFonts w:hint="eastAsia" w:ascii="宋体" w:hAnsi="宋体" w:eastAsia="宋体" w:cs="宋体"/>
                <w:i w:val="0"/>
                <w:iCs w:val="0"/>
                <w:color w:val="0000FF"/>
                <w:kern w:val="0"/>
                <w:sz w:val="20"/>
                <w:szCs w:val="20"/>
                <w:highlight w:val="none"/>
                <w:u w:val="none"/>
                <w:lang w:val="en-US" w:eastAsia="zh-CN" w:bidi="ar"/>
              </w:rPr>
              <w:t>不可抗力因素，但未在规定时限内抵达现场</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067EDA4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FCC15D0">
            <w:pPr>
              <w:jc w:val="center"/>
              <w:rPr>
                <w:rFonts w:hint="eastAsia" w:ascii="宋体" w:hAnsi="宋体" w:eastAsia="宋体" w:cs="宋体"/>
                <w:i w:val="0"/>
                <w:iCs w:val="0"/>
                <w:color w:val="0000FF"/>
                <w:sz w:val="20"/>
                <w:szCs w:val="20"/>
                <w:highlight w:val="none"/>
                <w:u w:val="none"/>
                <w:lang w:val="en-US" w:eastAsia="zh-CN"/>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434C347">
            <w:pPr>
              <w:jc w:val="center"/>
              <w:rPr>
                <w:rFonts w:hint="eastAsia" w:ascii="宋体" w:hAnsi="宋体" w:eastAsia="宋体" w:cs="宋体"/>
                <w:i w:val="0"/>
                <w:iCs w:val="0"/>
                <w:color w:val="0000FF"/>
                <w:sz w:val="20"/>
                <w:szCs w:val="20"/>
                <w:highlight w:val="none"/>
                <w:u w:val="none"/>
                <w:lang w:val="en-US" w:eastAsia="zh-CN"/>
              </w:rPr>
            </w:pPr>
          </w:p>
        </w:tc>
      </w:tr>
      <w:tr w14:paraId="20EBB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D72C6A">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077BF8">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B377AB">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129075">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7310955E">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未建立24小时应急响应渠道</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3416054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-3分</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4DAD227D">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455337C">
            <w:pPr>
              <w:jc w:val="center"/>
              <w:rPr>
                <w:rFonts w:hint="eastAsia" w:ascii="宋体" w:hAnsi="宋体" w:eastAsia="宋体" w:cs="宋体"/>
                <w:i w:val="0"/>
                <w:iCs w:val="0"/>
                <w:color w:val="0000FF"/>
                <w:sz w:val="20"/>
                <w:szCs w:val="20"/>
                <w:highlight w:val="none"/>
                <w:u w:val="none"/>
              </w:rPr>
            </w:pPr>
          </w:p>
        </w:tc>
      </w:tr>
      <w:tr w14:paraId="1D836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11D48D">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9DF7C4">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D3335E">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DCEC05">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5B57DCB4">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响应渠道无人接听/回复</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541F369D">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5F0D6F2">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603CCE5">
            <w:pPr>
              <w:jc w:val="center"/>
              <w:rPr>
                <w:rFonts w:hint="eastAsia" w:ascii="宋体" w:hAnsi="宋体" w:eastAsia="宋体" w:cs="宋体"/>
                <w:i w:val="0"/>
                <w:iCs w:val="0"/>
                <w:color w:val="0000FF"/>
                <w:sz w:val="20"/>
                <w:szCs w:val="20"/>
                <w:highlight w:val="none"/>
                <w:u w:val="none"/>
              </w:rPr>
            </w:pPr>
          </w:p>
        </w:tc>
      </w:tr>
      <w:tr w14:paraId="17B59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14:paraId="343016A2">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5D39128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后勤保障质量</w:t>
            </w:r>
          </w:p>
        </w:tc>
        <w:tc>
          <w:tcPr>
            <w:tcW w:w="1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11597106">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“衣、食、住、行”保障到位</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5B8D1401">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15分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1AF7D8DC">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物资台账不清、账实不符</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422E0BB1">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25C0C5CA">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C9EB604">
            <w:pPr>
              <w:jc w:val="center"/>
              <w:rPr>
                <w:rFonts w:hint="eastAsia" w:ascii="宋体" w:hAnsi="宋体" w:eastAsia="宋体" w:cs="宋体"/>
                <w:i w:val="0"/>
                <w:iCs w:val="0"/>
                <w:color w:val="0000FF"/>
                <w:sz w:val="20"/>
                <w:szCs w:val="20"/>
                <w:highlight w:val="none"/>
                <w:u w:val="none"/>
              </w:rPr>
            </w:pPr>
          </w:p>
        </w:tc>
      </w:tr>
      <w:tr w14:paraId="45037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66DF3F">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838A72">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1EB292">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CDBC7E">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4E4A998E">
            <w:pPr>
              <w:keepNext w:val="0"/>
              <w:keepLines w:val="0"/>
              <w:widowControl/>
              <w:suppressLineNumbers w:val="0"/>
              <w:jc w:val="left"/>
              <w:textAlignment w:val="center"/>
              <w:rPr>
                <w:rFonts w:hint="eastAsia" w:ascii="宋体" w:hAnsi="宋体" w:eastAsia="宋体" w:cs="宋体"/>
                <w:i w:val="0"/>
                <w:iCs w:val="0"/>
                <w:color w:val="0000FF"/>
                <w:kern w:val="2"/>
                <w:sz w:val="20"/>
                <w:szCs w:val="20"/>
                <w:highlight w:val="none"/>
                <w:u w:val="none"/>
                <w:lang w:val="en-US" w:eastAsia="zh-CN" w:bidi="ar-SA"/>
              </w:rPr>
            </w:pPr>
            <w:r>
              <w:rPr>
                <w:rFonts w:hint="eastAsia" w:ascii="宋体" w:hAnsi="宋体" w:eastAsia="宋体" w:cs="宋体"/>
                <w:i w:val="0"/>
                <w:iCs w:val="0"/>
                <w:color w:val="0000FF"/>
                <w:kern w:val="0"/>
                <w:sz w:val="20"/>
                <w:szCs w:val="20"/>
                <w:highlight w:val="none"/>
                <w:u w:val="none"/>
                <w:lang w:val="en-US" w:eastAsia="zh-CN" w:bidi="ar"/>
              </w:rPr>
              <w:t>物资未定期检查维护、失效损坏</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08911D97">
            <w:pPr>
              <w:keepNext w:val="0"/>
              <w:keepLines w:val="0"/>
              <w:widowControl/>
              <w:suppressLineNumbers w:val="0"/>
              <w:jc w:val="center"/>
              <w:textAlignment w:val="center"/>
              <w:rPr>
                <w:rFonts w:hint="eastAsia" w:ascii="宋体" w:hAnsi="宋体" w:eastAsia="宋体" w:cs="宋体"/>
                <w:i w:val="0"/>
                <w:iCs w:val="0"/>
                <w:color w:val="0000FF"/>
                <w:kern w:val="2"/>
                <w:sz w:val="20"/>
                <w:szCs w:val="20"/>
                <w:highlight w:val="none"/>
                <w:u w:val="none"/>
                <w:lang w:val="en-US" w:eastAsia="zh-CN" w:bidi="ar-SA"/>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auto" w:sz="4" w:space="0"/>
              <w:right w:val="single" w:color="000000" w:sz="4" w:space="0"/>
            </w:tcBorders>
            <w:noWrap w:val="0"/>
            <w:vAlign w:val="center"/>
          </w:tcPr>
          <w:p w14:paraId="71A6E59C">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auto" w:sz="4" w:space="0"/>
              <w:right w:val="single" w:color="000000" w:sz="4" w:space="0"/>
            </w:tcBorders>
            <w:noWrap w:val="0"/>
            <w:vAlign w:val="center"/>
          </w:tcPr>
          <w:p w14:paraId="5DF9CFBF">
            <w:pPr>
              <w:jc w:val="center"/>
              <w:rPr>
                <w:rFonts w:hint="eastAsia" w:ascii="宋体" w:hAnsi="宋体" w:eastAsia="宋体" w:cs="宋体"/>
                <w:i w:val="0"/>
                <w:iCs w:val="0"/>
                <w:caps w:val="0"/>
                <w:color w:val="0000FF"/>
                <w:spacing w:val="0"/>
                <w:sz w:val="20"/>
                <w:szCs w:val="20"/>
                <w:highlight w:val="none"/>
                <w:shd w:val="clear" w:color="auto" w:fill="FFFFFF"/>
              </w:rPr>
            </w:pPr>
          </w:p>
        </w:tc>
      </w:tr>
      <w:tr w14:paraId="24174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A0088A">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844E2F">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421193">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F3007A">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791E2293">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cs="宋体"/>
                <w:i w:val="0"/>
                <w:iCs w:val="0"/>
                <w:color w:val="0000FF"/>
                <w:kern w:val="0"/>
                <w:sz w:val="20"/>
                <w:szCs w:val="20"/>
                <w:highlight w:val="none"/>
                <w:u w:val="none"/>
                <w:lang w:val="en-US" w:eastAsia="zh-CN" w:bidi="ar"/>
              </w:rPr>
              <w:t>无</w:t>
            </w:r>
            <w:r>
              <w:rPr>
                <w:rFonts w:hint="eastAsia" w:ascii="宋体" w:hAnsi="宋体" w:eastAsia="宋体" w:cs="宋体"/>
                <w:i w:val="0"/>
                <w:iCs w:val="0"/>
                <w:color w:val="0000FF"/>
                <w:kern w:val="0"/>
                <w:sz w:val="20"/>
                <w:szCs w:val="20"/>
                <w:highlight w:val="none"/>
                <w:u w:val="none"/>
                <w:lang w:val="en-US" w:eastAsia="zh-CN" w:bidi="ar"/>
              </w:rPr>
              <w:t>不可抗力因素，导致餐饮供给滞后，延误抢险进度</w:t>
            </w:r>
          </w:p>
        </w:tc>
        <w:tc>
          <w:tcPr>
            <w:tcW w:w="1048" w:type="dxa"/>
            <w:tcBorders>
              <w:top w:val="single" w:color="000000" w:sz="4" w:space="0"/>
              <w:left w:val="single" w:color="000000" w:sz="4" w:space="0"/>
              <w:bottom w:val="single" w:color="000000" w:sz="4" w:space="0"/>
              <w:right w:val="single" w:color="auto" w:sz="4" w:space="0"/>
            </w:tcBorders>
            <w:noWrap w:val="0"/>
            <w:vAlign w:val="center"/>
          </w:tcPr>
          <w:p w14:paraId="4602777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-3分/次</w:t>
            </w:r>
          </w:p>
        </w:tc>
        <w:tc>
          <w:tcPr>
            <w:tcW w:w="1036" w:type="dxa"/>
            <w:tcBorders>
              <w:top w:val="single" w:color="auto" w:sz="4" w:space="0"/>
              <w:left w:val="single" w:color="auto" w:sz="4" w:space="0"/>
              <w:bottom w:val="single" w:color="auto" w:sz="4" w:space="0"/>
              <w:right w:val="single" w:color="auto" w:sz="4" w:space="0"/>
            </w:tcBorders>
            <w:noWrap w:val="0"/>
            <w:vAlign w:val="center"/>
          </w:tcPr>
          <w:p w14:paraId="43872489">
            <w:pPr>
              <w:jc w:val="center"/>
              <w:rPr>
                <w:rFonts w:hint="eastAsia" w:ascii="宋体" w:hAnsi="宋体" w:eastAsia="宋体" w:cs="宋体"/>
                <w:i w:val="0"/>
                <w:iCs w:val="0"/>
                <w:color w:val="0000FF"/>
                <w:sz w:val="20"/>
                <w:szCs w:val="20"/>
                <w:highlight w:val="none"/>
                <w:u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143B94D0">
            <w:pPr>
              <w:pStyle w:val="2"/>
              <w:rPr>
                <w:rFonts w:hint="eastAsia" w:ascii="宋体" w:hAnsi="宋体" w:eastAsia="宋体" w:cs="宋体"/>
                <w:color w:val="0000FF"/>
                <w:sz w:val="20"/>
                <w:szCs w:val="20"/>
                <w:highlight w:val="none"/>
                <w:lang w:val="en-US" w:eastAsia="zh-CN"/>
              </w:rPr>
            </w:pPr>
          </w:p>
        </w:tc>
      </w:tr>
      <w:tr w14:paraId="67E51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9A0BFF">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8336A0">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2C6B02">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A18BB0">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165D3B81">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cs="宋体"/>
                <w:i w:val="0"/>
                <w:iCs w:val="0"/>
                <w:color w:val="0000FF"/>
                <w:kern w:val="0"/>
                <w:sz w:val="20"/>
                <w:szCs w:val="20"/>
                <w:highlight w:val="none"/>
                <w:u w:val="none"/>
                <w:lang w:val="en-US" w:eastAsia="zh-CN" w:bidi="ar"/>
              </w:rPr>
              <w:t>无</w:t>
            </w:r>
            <w:r>
              <w:rPr>
                <w:rFonts w:hint="eastAsia" w:ascii="宋体" w:hAnsi="宋体" w:eastAsia="宋体" w:cs="宋体"/>
                <w:i w:val="0"/>
                <w:iCs w:val="0"/>
                <w:color w:val="0000FF"/>
                <w:kern w:val="0"/>
                <w:sz w:val="20"/>
                <w:szCs w:val="20"/>
                <w:highlight w:val="none"/>
                <w:u w:val="none"/>
                <w:lang w:val="en-US" w:eastAsia="zh-CN" w:bidi="ar"/>
              </w:rPr>
              <w:t>不可抗力因素，导致车辆调度失误，影响人员运输</w:t>
            </w:r>
          </w:p>
        </w:tc>
        <w:tc>
          <w:tcPr>
            <w:tcW w:w="1048" w:type="dxa"/>
            <w:tcBorders>
              <w:top w:val="single" w:color="000000" w:sz="4" w:space="0"/>
              <w:left w:val="single" w:color="000000" w:sz="4" w:space="0"/>
              <w:bottom w:val="single" w:color="000000" w:sz="4" w:space="0"/>
              <w:right w:val="single" w:color="auto" w:sz="4" w:space="0"/>
            </w:tcBorders>
            <w:noWrap w:val="0"/>
            <w:vAlign w:val="center"/>
          </w:tcPr>
          <w:p w14:paraId="75A06840">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auto" w:sz="4" w:space="0"/>
              <w:left w:val="single" w:color="auto" w:sz="4" w:space="0"/>
              <w:bottom w:val="single" w:color="auto" w:sz="4" w:space="0"/>
              <w:right w:val="single" w:color="auto" w:sz="4" w:space="0"/>
            </w:tcBorders>
            <w:noWrap w:val="0"/>
            <w:vAlign w:val="center"/>
          </w:tcPr>
          <w:p w14:paraId="039684C2">
            <w:pPr>
              <w:jc w:val="center"/>
              <w:rPr>
                <w:rFonts w:hint="eastAsia" w:ascii="宋体" w:hAnsi="宋体" w:eastAsia="宋体" w:cs="宋体"/>
                <w:i w:val="0"/>
                <w:iCs w:val="0"/>
                <w:color w:val="0000FF"/>
                <w:sz w:val="20"/>
                <w:szCs w:val="20"/>
                <w:highlight w:val="none"/>
                <w:u w:val="none"/>
                <w:lang w:val="en-US" w:eastAsia="zh-CN"/>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7A26A451">
            <w:pPr>
              <w:jc w:val="center"/>
              <w:rPr>
                <w:rFonts w:hint="eastAsia" w:ascii="宋体" w:hAnsi="宋体" w:eastAsia="宋体" w:cs="宋体"/>
                <w:i w:val="0"/>
                <w:iCs w:val="0"/>
                <w:color w:val="0000FF"/>
                <w:sz w:val="20"/>
                <w:szCs w:val="20"/>
                <w:highlight w:val="none"/>
                <w:u w:val="none"/>
              </w:rPr>
            </w:pPr>
          </w:p>
        </w:tc>
      </w:tr>
      <w:tr w14:paraId="44C82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A22AC0">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3D4898">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6E89B3">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DE707F">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2F439E37">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住宿安排混乱</w:t>
            </w:r>
            <w:r>
              <w:rPr>
                <w:rFonts w:hint="eastAsia" w:ascii="宋体" w:hAnsi="宋体" w:cs="宋体"/>
                <w:i w:val="0"/>
                <w:iCs w:val="0"/>
                <w:color w:val="0000FF"/>
                <w:kern w:val="0"/>
                <w:sz w:val="20"/>
                <w:szCs w:val="20"/>
                <w:highlight w:val="none"/>
                <w:u w:val="none"/>
                <w:lang w:val="en-US" w:eastAsia="zh-CN" w:bidi="ar"/>
              </w:rPr>
              <w:t>，</w:t>
            </w:r>
            <w:r>
              <w:rPr>
                <w:rFonts w:hint="eastAsia" w:ascii="宋体" w:hAnsi="宋体" w:eastAsia="宋体" w:cs="宋体"/>
                <w:i w:val="0"/>
                <w:iCs w:val="0"/>
                <w:color w:val="0000FF"/>
                <w:kern w:val="0"/>
                <w:sz w:val="20"/>
                <w:szCs w:val="20"/>
                <w:highlight w:val="none"/>
                <w:u w:val="none"/>
                <w:lang w:val="en-US" w:eastAsia="zh-CN" w:bidi="ar"/>
              </w:rPr>
              <w:t>影响队伍修整</w:t>
            </w:r>
          </w:p>
        </w:tc>
        <w:tc>
          <w:tcPr>
            <w:tcW w:w="1048" w:type="dxa"/>
            <w:tcBorders>
              <w:top w:val="single" w:color="000000" w:sz="4" w:space="0"/>
              <w:left w:val="single" w:color="000000" w:sz="4" w:space="0"/>
              <w:bottom w:val="single" w:color="000000" w:sz="4" w:space="0"/>
              <w:right w:val="single" w:color="auto" w:sz="4" w:space="0"/>
            </w:tcBorders>
            <w:noWrap w:val="0"/>
            <w:vAlign w:val="center"/>
          </w:tcPr>
          <w:p w14:paraId="02BE4502">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auto" w:sz="4" w:space="0"/>
              <w:left w:val="single" w:color="auto" w:sz="4" w:space="0"/>
              <w:bottom w:val="single" w:color="auto" w:sz="4" w:space="0"/>
              <w:right w:val="single" w:color="auto" w:sz="4" w:space="0"/>
            </w:tcBorders>
            <w:noWrap w:val="0"/>
            <w:vAlign w:val="center"/>
          </w:tcPr>
          <w:p w14:paraId="261D27E4">
            <w:pPr>
              <w:jc w:val="center"/>
              <w:rPr>
                <w:rFonts w:hint="eastAsia" w:ascii="宋体" w:hAnsi="宋体" w:eastAsia="宋体" w:cs="宋体"/>
                <w:i w:val="0"/>
                <w:iCs w:val="0"/>
                <w:color w:val="0000FF"/>
                <w:sz w:val="20"/>
                <w:szCs w:val="20"/>
                <w:highlight w:val="none"/>
                <w:u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7C573568">
            <w:pPr>
              <w:jc w:val="center"/>
              <w:rPr>
                <w:rFonts w:hint="eastAsia" w:ascii="宋体" w:hAnsi="宋体" w:eastAsia="宋体" w:cs="宋体"/>
                <w:i w:val="0"/>
                <w:iCs w:val="0"/>
                <w:color w:val="0000FF"/>
                <w:kern w:val="2"/>
                <w:sz w:val="20"/>
                <w:szCs w:val="20"/>
                <w:highlight w:val="none"/>
                <w:u w:val="none"/>
                <w:lang w:val="en-US" w:eastAsia="zh-CN" w:bidi="ar-SA"/>
              </w:rPr>
            </w:pPr>
          </w:p>
        </w:tc>
      </w:tr>
      <w:tr w14:paraId="41AF7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6" w:type="dxa"/>
            <w:vMerge w:val="restart"/>
            <w:tcBorders>
              <w:top w:val="single" w:color="000000" w:sz="4" w:space="0"/>
              <w:left w:val="single" w:color="000000" w:sz="4" w:space="0"/>
              <w:right w:val="single" w:color="000000" w:sz="4" w:space="0"/>
            </w:tcBorders>
            <w:noWrap w:val="0"/>
            <w:vAlign w:val="center"/>
          </w:tcPr>
          <w:p w14:paraId="20E30F87">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6</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12FAD373">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安全</w:t>
            </w:r>
          </w:p>
        </w:tc>
        <w:tc>
          <w:tcPr>
            <w:tcW w:w="1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521437B8">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应急人员在处置过程中严格遵守安全操作规程，严防事故发生</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68CD9BC1">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15分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023EB315">
            <w:pPr>
              <w:keepNext w:val="0"/>
              <w:keepLines w:val="0"/>
              <w:widowControl/>
              <w:suppressLineNumbers w:val="0"/>
              <w:jc w:val="left"/>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发生一般性安全事故（无人员伤亡）</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36D5549D">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-5分/次</w:t>
            </w:r>
          </w:p>
        </w:tc>
        <w:tc>
          <w:tcPr>
            <w:tcW w:w="1036" w:type="dxa"/>
            <w:tcBorders>
              <w:top w:val="single" w:color="auto" w:sz="4" w:space="0"/>
              <w:left w:val="single" w:color="000000" w:sz="4" w:space="0"/>
              <w:bottom w:val="single" w:color="000000" w:sz="4" w:space="0"/>
              <w:right w:val="single" w:color="000000" w:sz="4" w:space="0"/>
            </w:tcBorders>
            <w:noWrap w:val="0"/>
            <w:vAlign w:val="center"/>
          </w:tcPr>
          <w:p w14:paraId="771D9441">
            <w:pPr>
              <w:jc w:val="center"/>
              <w:rPr>
                <w:rFonts w:hint="eastAsia" w:ascii="宋体" w:hAnsi="宋体" w:eastAsia="宋体" w:cs="宋体"/>
                <w:i w:val="0"/>
                <w:iCs w:val="0"/>
                <w:color w:val="0000FF"/>
                <w:sz w:val="20"/>
                <w:szCs w:val="20"/>
                <w:highlight w:val="none"/>
                <w:u w:val="none"/>
              </w:rPr>
            </w:pPr>
          </w:p>
        </w:tc>
        <w:tc>
          <w:tcPr>
            <w:tcW w:w="816" w:type="dxa"/>
            <w:tcBorders>
              <w:top w:val="single" w:color="auto" w:sz="4" w:space="0"/>
              <w:left w:val="single" w:color="000000" w:sz="4" w:space="0"/>
              <w:bottom w:val="single" w:color="000000" w:sz="4" w:space="0"/>
              <w:right w:val="single" w:color="000000" w:sz="4" w:space="0"/>
            </w:tcBorders>
            <w:noWrap w:val="0"/>
            <w:vAlign w:val="center"/>
          </w:tcPr>
          <w:p w14:paraId="358AD152">
            <w:pPr>
              <w:jc w:val="center"/>
              <w:rPr>
                <w:rFonts w:hint="eastAsia" w:ascii="宋体" w:hAnsi="宋体" w:eastAsia="宋体" w:cs="宋体"/>
                <w:i w:val="0"/>
                <w:iCs w:val="0"/>
                <w:color w:val="0000FF"/>
                <w:sz w:val="20"/>
                <w:szCs w:val="20"/>
                <w:highlight w:val="none"/>
                <w:u w:val="none"/>
              </w:rPr>
            </w:pPr>
          </w:p>
        </w:tc>
      </w:tr>
      <w:tr w14:paraId="1D309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6" w:type="dxa"/>
            <w:vMerge w:val="continue"/>
            <w:tcBorders>
              <w:left w:val="single" w:color="000000" w:sz="4" w:space="0"/>
              <w:right w:val="single" w:color="000000" w:sz="4" w:space="0"/>
            </w:tcBorders>
            <w:noWrap w:val="0"/>
            <w:vAlign w:val="center"/>
          </w:tcPr>
          <w:p w14:paraId="69D7122B">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81BF54">
            <w:pPr>
              <w:jc w:val="center"/>
              <w:rPr>
                <w:rFonts w:hint="eastAsia" w:ascii="宋体" w:hAnsi="宋体" w:eastAsia="宋体" w:cs="宋体"/>
                <w:i w:val="0"/>
                <w:iCs w:val="0"/>
                <w:color w:val="0000FF"/>
                <w:kern w:val="0"/>
                <w:sz w:val="20"/>
                <w:szCs w:val="20"/>
                <w:highlight w:val="none"/>
                <w:u w:val="none"/>
                <w:lang w:val="en-US" w:eastAsia="zh-CN" w:bidi="ar"/>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8B89E8">
            <w:pPr>
              <w:jc w:val="center"/>
              <w:rPr>
                <w:rFonts w:hint="eastAsia" w:ascii="宋体" w:hAnsi="宋体" w:eastAsia="宋体" w:cs="宋体"/>
                <w:i w:val="0"/>
                <w:iCs w:val="0"/>
                <w:color w:val="0000FF"/>
                <w:kern w:val="0"/>
                <w:sz w:val="20"/>
                <w:szCs w:val="20"/>
                <w:highlight w:val="none"/>
                <w:u w:val="none"/>
                <w:lang w:val="en-US" w:eastAsia="zh-CN" w:bidi="ar"/>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3AE139">
            <w:pPr>
              <w:jc w:val="center"/>
              <w:rPr>
                <w:rFonts w:hint="eastAsia" w:ascii="宋体" w:hAnsi="宋体" w:eastAsia="宋体" w:cs="宋体"/>
                <w:i w:val="0"/>
                <w:iCs w:val="0"/>
                <w:color w:val="0000FF"/>
                <w:kern w:val="0"/>
                <w:sz w:val="20"/>
                <w:szCs w:val="20"/>
                <w:highlight w:val="none"/>
                <w:u w:val="none"/>
                <w:lang w:val="en-US" w:eastAsia="zh-CN" w:bidi="ar"/>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05D1099A">
            <w:pPr>
              <w:keepNext w:val="0"/>
              <w:keepLines w:val="0"/>
              <w:widowControl/>
              <w:suppressLineNumbers w:val="0"/>
              <w:jc w:val="left"/>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发生人员伤亡安全事故</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1EF75CCA">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-15分/次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579CA5B">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61A2310">
            <w:pPr>
              <w:jc w:val="center"/>
              <w:rPr>
                <w:rFonts w:hint="eastAsia" w:ascii="宋体" w:hAnsi="宋体" w:eastAsia="宋体" w:cs="宋体"/>
                <w:i w:val="0"/>
                <w:iCs w:val="0"/>
                <w:color w:val="0000FF"/>
                <w:sz w:val="20"/>
                <w:szCs w:val="20"/>
                <w:highlight w:val="none"/>
                <w:u w:val="none"/>
              </w:rPr>
            </w:pPr>
          </w:p>
        </w:tc>
      </w:tr>
      <w:tr w14:paraId="4C1FA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6" w:type="dxa"/>
            <w:vMerge w:val="continue"/>
            <w:tcBorders>
              <w:left w:val="single" w:color="000000" w:sz="4" w:space="0"/>
              <w:right w:val="single" w:color="000000" w:sz="4" w:space="0"/>
            </w:tcBorders>
            <w:noWrap w:val="0"/>
            <w:vAlign w:val="center"/>
          </w:tcPr>
          <w:p w14:paraId="771C3807">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667C60">
            <w:pPr>
              <w:jc w:val="center"/>
              <w:rPr>
                <w:rFonts w:hint="eastAsia" w:ascii="宋体" w:hAnsi="宋体" w:eastAsia="宋体" w:cs="宋体"/>
                <w:i w:val="0"/>
                <w:iCs w:val="0"/>
                <w:color w:val="0000FF"/>
                <w:kern w:val="0"/>
                <w:sz w:val="20"/>
                <w:szCs w:val="20"/>
                <w:highlight w:val="none"/>
                <w:u w:val="none"/>
                <w:lang w:val="en-US" w:eastAsia="zh-CN" w:bidi="ar"/>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324577">
            <w:pPr>
              <w:jc w:val="center"/>
              <w:rPr>
                <w:rFonts w:hint="eastAsia" w:ascii="宋体" w:hAnsi="宋体" w:eastAsia="宋体" w:cs="宋体"/>
                <w:i w:val="0"/>
                <w:iCs w:val="0"/>
                <w:color w:val="0000FF"/>
                <w:kern w:val="0"/>
                <w:sz w:val="20"/>
                <w:szCs w:val="20"/>
                <w:highlight w:val="none"/>
                <w:u w:val="none"/>
                <w:lang w:val="en-US" w:eastAsia="zh-CN" w:bidi="ar"/>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C1F537">
            <w:pPr>
              <w:jc w:val="center"/>
              <w:rPr>
                <w:rFonts w:hint="eastAsia" w:ascii="宋体" w:hAnsi="宋体" w:eastAsia="宋体" w:cs="宋体"/>
                <w:i w:val="0"/>
                <w:iCs w:val="0"/>
                <w:color w:val="0000FF"/>
                <w:kern w:val="0"/>
                <w:sz w:val="20"/>
                <w:szCs w:val="20"/>
                <w:highlight w:val="none"/>
                <w:u w:val="none"/>
                <w:lang w:val="en-US" w:eastAsia="zh-CN" w:bidi="ar"/>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1862534D">
            <w:pPr>
              <w:keepNext w:val="0"/>
              <w:keepLines w:val="0"/>
              <w:widowControl/>
              <w:suppressLineNumbers w:val="0"/>
              <w:jc w:val="left"/>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未按规定佩戴安全防护装备</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72557457">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-2分/人次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10359CA0">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8603D1D">
            <w:pPr>
              <w:jc w:val="center"/>
              <w:rPr>
                <w:rFonts w:hint="eastAsia" w:ascii="宋体" w:hAnsi="宋体" w:eastAsia="宋体" w:cs="宋体"/>
                <w:i w:val="0"/>
                <w:iCs w:val="0"/>
                <w:color w:val="0000FF"/>
                <w:sz w:val="20"/>
                <w:szCs w:val="20"/>
                <w:highlight w:val="none"/>
                <w:u w:val="none"/>
              </w:rPr>
            </w:pPr>
          </w:p>
        </w:tc>
      </w:tr>
      <w:tr w14:paraId="4E4E6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6" w:type="dxa"/>
            <w:vMerge w:val="continue"/>
            <w:tcBorders>
              <w:left w:val="single" w:color="000000" w:sz="4" w:space="0"/>
              <w:bottom w:val="single" w:color="000000" w:sz="4" w:space="0"/>
              <w:right w:val="single" w:color="000000" w:sz="4" w:space="0"/>
            </w:tcBorders>
            <w:noWrap w:val="0"/>
            <w:vAlign w:val="center"/>
          </w:tcPr>
          <w:p w14:paraId="780191B1">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FCD6FA">
            <w:pPr>
              <w:jc w:val="center"/>
              <w:rPr>
                <w:rFonts w:hint="eastAsia" w:ascii="宋体" w:hAnsi="宋体" w:eastAsia="宋体" w:cs="宋体"/>
                <w:i w:val="0"/>
                <w:iCs w:val="0"/>
                <w:color w:val="0000FF"/>
                <w:kern w:val="0"/>
                <w:sz w:val="20"/>
                <w:szCs w:val="20"/>
                <w:highlight w:val="none"/>
                <w:u w:val="none"/>
                <w:lang w:val="en-US" w:eastAsia="zh-CN" w:bidi="ar"/>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2AA592">
            <w:pPr>
              <w:jc w:val="center"/>
              <w:rPr>
                <w:rFonts w:hint="eastAsia" w:ascii="宋体" w:hAnsi="宋体" w:eastAsia="宋体" w:cs="宋体"/>
                <w:i w:val="0"/>
                <w:iCs w:val="0"/>
                <w:color w:val="0000FF"/>
                <w:kern w:val="0"/>
                <w:sz w:val="20"/>
                <w:szCs w:val="20"/>
                <w:highlight w:val="none"/>
                <w:u w:val="none"/>
                <w:lang w:val="en-US" w:eastAsia="zh-CN" w:bidi="ar"/>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299199">
            <w:pPr>
              <w:jc w:val="center"/>
              <w:rPr>
                <w:rFonts w:hint="eastAsia" w:ascii="宋体" w:hAnsi="宋体" w:eastAsia="宋体" w:cs="宋体"/>
                <w:i w:val="0"/>
                <w:iCs w:val="0"/>
                <w:color w:val="0000FF"/>
                <w:kern w:val="0"/>
                <w:sz w:val="20"/>
                <w:szCs w:val="20"/>
                <w:highlight w:val="none"/>
                <w:u w:val="none"/>
                <w:lang w:val="en-US" w:eastAsia="zh-CN" w:bidi="ar"/>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7BB312D6">
            <w:pPr>
              <w:keepNext w:val="0"/>
              <w:keepLines w:val="0"/>
              <w:widowControl/>
              <w:suppressLineNumbers w:val="0"/>
              <w:jc w:val="left"/>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现场安全防护措施不到位被下发违章通知书</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2470A0CA">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-3分/次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1B9BEF31">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9795BB3">
            <w:pPr>
              <w:jc w:val="center"/>
              <w:rPr>
                <w:rFonts w:hint="eastAsia" w:ascii="宋体" w:hAnsi="宋体" w:eastAsia="宋体" w:cs="宋体"/>
                <w:i w:val="0"/>
                <w:iCs w:val="0"/>
                <w:color w:val="0000FF"/>
                <w:sz w:val="20"/>
                <w:szCs w:val="20"/>
                <w:highlight w:val="none"/>
                <w:u w:val="none"/>
              </w:rPr>
            </w:pPr>
          </w:p>
        </w:tc>
      </w:tr>
      <w:tr w14:paraId="2380E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14:paraId="1B4B76C9">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7</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6ECB39C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信息互通与报送</w:t>
            </w:r>
          </w:p>
        </w:tc>
        <w:tc>
          <w:tcPr>
            <w:tcW w:w="1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68AD6BE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信息系统畅通，数据报送准确及时</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2DD642F4">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10分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4722F9EC">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未按采购方要求报送应急数据</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162586DD">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A5897C1">
            <w:pPr>
              <w:jc w:val="center"/>
              <w:rPr>
                <w:rFonts w:hint="eastAsia" w:ascii="宋体" w:hAnsi="宋体" w:eastAsia="宋体" w:cs="宋体"/>
                <w:i w:val="0"/>
                <w:iCs w:val="0"/>
                <w:color w:val="0000FF"/>
                <w:sz w:val="20"/>
                <w:szCs w:val="20"/>
                <w:highlight w:val="none"/>
                <w:u w:val="none"/>
                <w:lang w:val="en-US" w:eastAsia="zh-CN"/>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7250FAF">
            <w:pPr>
              <w:jc w:val="center"/>
              <w:rPr>
                <w:rFonts w:hint="eastAsia" w:ascii="宋体" w:hAnsi="宋体" w:eastAsia="宋体" w:cs="宋体"/>
                <w:i w:val="0"/>
                <w:iCs w:val="0"/>
                <w:color w:val="0000FF"/>
                <w:sz w:val="20"/>
                <w:szCs w:val="20"/>
                <w:highlight w:val="none"/>
                <w:u w:val="none"/>
              </w:rPr>
            </w:pPr>
          </w:p>
        </w:tc>
      </w:tr>
      <w:tr w14:paraId="51699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277D2E">
            <w:pPr>
              <w:jc w:val="left"/>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37169D">
            <w:pPr>
              <w:jc w:val="left"/>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40122F">
            <w:pPr>
              <w:jc w:val="left"/>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99A1F5">
            <w:pPr>
              <w:jc w:val="left"/>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3D2C0504">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lang w:val="en-US"/>
              </w:rPr>
            </w:pPr>
            <w:r>
              <w:rPr>
                <w:rFonts w:hint="eastAsia" w:ascii="宋体" w:hAnsi="宋体" w:eastAsia="宋体" w:cs="宋体"/>
                <w:i w:val="0"/>
                <w:iCs w:val="0"/>
                <w:color w:val="0000FF"/>
                <w:kern w:val="0"/>
                <w:sz w:val="20"/>
                <w:szCs w:val="20"/>
                <w:highlight w:val="none"/>
                <w:u w:val="none"/>
                <w:lang w:val="en-US" w:eastAsia="zh-CN" w:bidi="ar"/>
              </w:rPr>
              <w:t>责任性数据错漏，造成较大影响</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1190505A">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6F99BDEB">
            <w:pPr>
              <w:jc w:val="center"/>
              <w:rPr>
                <w:rFonts w:hint="eastAsia" w:ascii="宋体" w:hAnsi="宋体" w:eastAsia="宋体" w:cs="宋体"/>
                <w:i w:val="0"/>
                <w:iCs w:val="0"/>
                <w:color w:val="0000FF"/>
                <w:sz w:val="20"/>
                <w:szCs w:val="20"/>
                <w:highlight w:val="none"/>
                <w:u w:val="none"/>
                <w:lang w:val="en-US" w:eastAsia="zh-CN"/>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38B8568">
            <w:pPr>
              <w:jc w:val="center"/>
              <w:rPr>
                <w:rFonts w:hint="eastAsia" w:ascii="宋体" w:hAnsi="宋体" w:eastAsia="宋体" w:cs="宋体"/>
                <w:i w:val="0"/>
                <w:iCs w:val="0"/>
                <w:color w:val="0000FF"/>
                <w:sz w:val="20"/>
                <w:szCs w:val="20"/>
                <w:highlight w:val="none"/>
                <w:u w:val="none"/>
              </w:rPr>
            </w:pPr>
          </w:p>
        </w:tc>
      </w:tr>
      <w:tr w14:paraId="20769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5A2052">
            <w:pPr>
              <w:jc w:val="left"/>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70DE28">
            <w:pPr>
              <w:jc w:val="left"/>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63167C">
            <w:pPr>
              <w:jc w:val="left"/>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ECBF76">
            <w:pPr>
              <w:jc w:val="left"/>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2742B78E">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任务结束后未全面统计上报</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6A55AB13">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6E2062A3">
            <w:pPr>
              <w:jc w:val="center"/>
              <w:rPr>
                <w:rFonts w:hint="eastAsia" w:ascii="宋体" w:hAnsi="宋体" w:eastAsia="宋体" w:cs="宋体"/>
                <w:i w:val="0"/>
                <w:iCs w:val="0"/>
                <w:color w:val="0000FF"/>
                <w:sz w:val="20"/>
                <w:szCs w:val="20"/>
                <w:highlight w:val="none"/>
                <w:u w:val="none"/>
                <w:lang w:val="en-US" w:eastAsia="zh-CN"/>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0E32DE9">
            <w:pPr>
              <w:jc w:val="center"/>
              <w:rPr>
                <w:rFonts w:hint="eastAsia" w:ascii="宋体" w:hAnsi="宋体" w:eastAsia="宋体" w:cs="宋体"/>
                <w:i w:val="0"/>
                <w:iCs w:val="0"/>
                <w:color w:val="0000FF"/>
                <w:sz w:val="20"/>
                <w:szCs w:val="20"/>
                <w:highlight w:val="none"/>
                <w:u w:val="none"/>
              </w:rPr>
            </w:pPr>
          </w:p>
        </w:tc>
      </w:tr>
      <w:tr w14:paraId="11405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DA625E">
            <w:pPr>
              <w:jc w:val="left"/>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83F6D5">
            <w:pPr>
              <w:jc w:val="left"/>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77C237">
            <w:pPr>
              <w:jc w:val="left"/>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B31496">
            <w:pPr>
              <w:jc w:val="left"/>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5D9BD643">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瞒报、谎报应急信息</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16E1727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ECBBE67">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2E1168C">
            <w:pPr>
              <w:jc w:val="center"/>
              <w:rPr>
                <w:rFonts w:hint="eastAsia" w:ascii="宋体" w:hAnsi="宋体" w:eastAsia="宋体" w:cs="宋体"/>
                <w:i w:val="0"/>
                <w:iCs w:val="0"/>
                <w:color w:val="0000FF"/>
                <w:sz w:val="20"/>
                <w:szCs w:val="20"/>
                <w:highlight w:val="none"/>
                <w:u w:val="none"/>
              </w:rPr>
            </w:pPr>
          </w:p>
        </w:tc>
      </w:tr>
      <w:tr w14:paraId="4C316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14:paraId="4C17ED83">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8</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27196088">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协同配合</w:t>
            </w:r>
          </w:p>
        </w:tc>
        <w:tc>
          <w:tcPr>
            <w:tcW w:w="1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076167C4">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服从统一调度指挥</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5C98D2ED">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10分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29351370">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不服从应急指挥调度</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5DD4631A">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0C29285">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B56FEB9">
            <w:pPr>
              <w:jc w:val="center"/>
              <w:rPr>
                <w:rFonts w:hint="eastAsia" w:ascii="宋体" w:hAnsi="宋体" w:eastAsia="宋体" w:cs="宋体"/>
                <w:i w:val="0"/>
                <w:iCs w:val="0"/>
                <w:color w:val="0000FF"/>
                <w:sz w:val="20"/>
                <w:szCs w:val="20"/>
                <w:highlight w:val="none"/>
                <w:u w:val="none"/>
              </w:rPr>
            </w:pPr>
          </w:p>
        </w:tc>
      </w:tr>
      <w:tr w14:paraId="37813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374C8A">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26B3C6">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86F306">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1AF95D">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26BD9812">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拒绝或未按要求参与跨区域支援</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0E160E13">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E5AF214">
            <w:pPr>
              <w:jc w:val="center"/>
              <w:rPr>
                <w:rFonts w:hint="eastAsia" w:ascii="宋体" w:hAnsi="宋体" w:eastAsia="宋体" w:cs="宋体"/>
                <w:i w:val="0"/>
                <w:iCs w:val="0"/>
                <w:color w:val="0000FF"/>
                <w:sz w:val="20"/>
                <w:szCs w:val="20"/>
                <w:highlight w:val="none"/>
                <w:u w:val="none"/>
                <w:lang w:val="en-US" w:eastAsia="zh-CN"/>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229810D">
            <w:pPr>
              <w:jc w:val="center"/>
              <w:rPr>
                <w:rFonts w:hint="eastAsia" w:ascii="宋体" w:hAnsi="宋体" w:eastAsia="宋体" w:cs="宋体"/>
                <w:i w:val="0"/>
                <w:iCs w:val="0"/>
                <w:color w:val="0000FF"/>
                <w:sz w:val="20"/>
                <w:szCs w:val="20"/>
                <w:highlight w:val="none"/>
                <w:u w:val="none"/>
              </w:rPr>
            </w:pPr>
          </w:p>
        </w:tc>
      </w:tr>
      <w:tr w14:paraId="0D206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7107D1">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E955CA">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3571BD">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7F7653">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168E2A3F">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协同配合不力，影响整体抢险效能</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68C4DF49">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-3分/次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B50EA6D">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D31FF00">
            <w:pPr>
              <w:jc w:val="center"/>
              <w:rPr>
                <w:rFonts w:hint="eastAsia" w:ascii="宋体" w:hAnsi="宋体" w:eastAsia="宋体" w:cs="宋体"/>
                <w:i w:val="0"/>
                <w:iCs w:val="0"/>
                <w:color w:val="0000FF"/>
                <w:sz w:val="20"/>
                <w:szCs w:val="20"/>
                <w:highlight w:val="none"/>
                <w:u w:val="none"/>
              </w:rPr>
            </w:pPr>
          </w:p>
        </w:tc>
      </w:tr>
      <w:tr w14:paraId="724A0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105D90">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CB65B0">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E3100D">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2D2411">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0CF2B78E">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未按要求向业主报送工作情况</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7CE463FC">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13144A32">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A4EFB6">
            <w:pPr>
              <w:jc w:val="center"/>
              <w:rPr>
                <w:rFonts w:hint="eastAsia" w:ascii="宋体" w:hAnsi="宋体" w:eastAsia="宋体" w:cs="宋体"/>
                <w:i w:val="0"/>
                <w:iCs w:val="0"/>
                <w:color w:val="0000FF"/>
                <w:sz w:val="20"/>
                <w:szCs w:val="20"/>
                <w:highlight w:val="none"/>
                <w:u w:val="none"/>
              </w:rPr>
            </w:pPr>
          </w:p>
        </w:tc>
      </w:tr>
      <w:tr w14:paraId="711AC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14:paraId="44171A33">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9</w:t>
            </w:r>
          </w:p>
        </w:tc>
        <w:tc>
          <w:tcPr>
            <w:tcW w:w="1083" w:type="dxa"/>
            <w:tcBorders>
              <w:top w:val="single" w:color="000000" w:sz="4" w:space="0"/>
              <w:left w:val="single" w:color="000000" w:sz="4" w:space="0"/>
              <w:bottom w:val="single" w:color="000000" w:sz="4" w:space="0"/>
              <w:right w:val="single" w:color="000000" w:sz="4" w:space="0"/>
            </w:tcBorders>
            <w:noWrap w:val="0"/>
            <w:vAlign w:val="center"/>
          </w:tcPr>
          <w:p w14:paraId="47A7B25C">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档案管理</w:t>
            </w:r>
          </w:p>
        </w:tc>
        <w:tc>
          <w:tcPr>
            <w:tcW w:w="1317" w:type="dxa"/>
            <w:tcBorders>
              <w:top w:val="single" w:color="000000" w:sz="4" w:space="0"/>
              <w:left w:val="single" w:color="000000" w:sz="4" w:space="0"/>
              <w:bottom w:val="single" w:color="000000" w:sz="4" w:space="0"/>
              <w:right w:val="single" w:color="000000" w:sz="4" w:space="0"/>
            </w:tcBorders>
            <w:noWrap w:val="0"/>
            <w:vAlign w:val="center"/>
          </w:tcPr>
          <w:p w14:paraId="1DA433F2">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应急档案资料完整规范</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5671A3E">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788A6E60">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档案资料缺失或管理混乱</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45BEBCA7">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-2分/次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CD98E3D">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28246C8">
            <w:pPr>
              <w:jc w:val="center"/>
              <w:rPr>
                <w:rFonts w:hint="eastAsia" w:ascii="宋体" w:hAnsi="宋体" w:eastAsia="宋体" w:cs="宋体"/>
                <w:i w:val="0"/>
                <w:iCs w:val="0"/>
                <w:color w:val="0000FF"/>
                <w:sz w:val="20"/>
                <w:szCs w:val="20"/>
                <w:highlight w:val="none"/>
                <w:u w:val="none"/>
              </w:rPr>
            </w:pPr>
          </w:p>
        </w:tc>
      </w:tr>
      <w:tr w14:paraId="1ECE1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14:paraId="30AB74CA">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lang w:val="en-US"/>
              </w:rPr>
            </w:pPr>
            <w:r>
              <w:rPr>
                <w:rFonts w:hint="eastAsia" w:ascii="宋体" w:hAnsi="宋体" w:eastAsia="宋体" w:cs="宋体"/>
                <w:i w:val="0"/>
                <w:iCs w:val="0"/>
                <w:color w:val="0000FF"/>
                <w:kern w:val="0"/>
                <w:sz w:val="20"/>
                <w:szCs w:val="20"/>
                <w:highlight w:val="none"/>
                <w:u w:val="none"/>
                <w:lang w:val="en-US" w:eastAsia="zh-CN" w:bidi="ar"/>
              </w:rPr>
              <w:t>10</w:t>
            </w:r>
          </w:p>
        </w:tc>
        <w:tc>
          <w:tcPr>
            <w:tcW w:w="1083" w:type="dxa"/>
            <w:vMerge w:val="restart"/>
            <w:tcBorders>
              <w:top w:val="single" w:color="000000" w:sz="4" w:space="0"/>
              <w:left w:val="single" w:color="000000" w:sz="4" w:space="0"/>
              <w:bottom w:val="single" w:color="000000" w:sz="4" w:space="0"/>
              <w:right w:val="single" w:color="000000" w:sz="4" w:space="0"/>
            </w:tcBorders>
            <w:noWrap w:val="0"/>
            <w:vAlign w:val="center"/>
          </w:tcPr>
          <w:p w14:paraId="3C50EE7F">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保密管理</w:t>
            </w:r>
          </w:p>
        </w:tc>
        <w:tc>
          <w:tcPr>
            <w:tcW w:w="1317" w:type="dxa"/>
            <w:vMerge w:val="restart"/>
            <w:tcBorders>
              <w:top w:val="single" w:color="000000" w:sz="4" w:space="0"/>
              <w:left w:val="single" w:color="000000" w:sz="4" w:space="0"/>
              <w:bottom w:val="single" w:color="000000" w:sz="4" w:space="0"/>
              <w:right w:val="single" w:color="000000" w:sz="4" w:space="0"/>
            </w:tcBorders>
            <w:noWrap w:val="0"/>
            <w:vAlign w:val="center"/>
          </w:tcPr>
          <w:p w14:paraId="22A1F20E">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严格遵守保密规定</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2973CEF6">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5分</w:t>
            </w: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77F3B538">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擅自传播应急信息、数据</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7C87A6F3">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-5分/次</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86D44AB">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6EB4B65">
            <w:pPr>
              <w:jc w:val="center"/>
              <w:rPr>
                <w:rFonts w:hint="eastAsia" w:ascii="宋体" w:hAnsi="宋体" w:eastAsia="宋体" w:cs="宋体"/>
                <w:i w:val="0"/>
                <w:iCs w:val="0"/>
                <w:color w:val="0000FF"/>
                <w:sz w:val="20"/>
                <w:szCs w:val="20"/>
                <w:highlight w:val="none"/>
                <w:u w:val="none"/>
              </w:rPr>
            </w:pPr>
          </w:p>
        </w:tc>
      </w:tr>
      <w:tr w14:paraId="1DCA6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F3A12D">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5269AB">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9C126A">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5B94FB">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2F421536">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未对员工进行保密约束</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42F77E52">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-3分</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BC5F50D">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71182C4">
            <w:pPr>
              <w:jc w:val="center"/>
              <w:rPr>
                <w:rFonts w:hint="eastAsia" w:ascii="宋体" w:hAnsi="宋体" w:eastAsia="宋体" w:cs="宋体"/>
                <w:i w:val="0"/>
                <w:iCs w:val="0"/>
                <w:color w:val="0000FF"/>
                <w:sz w:val="20"/>
                <w:szCs w:val="20"/>
                <w:highlight w:val="none"/>
                <w:u w:val="none"/>
              </w:rPr>
            </w:pPr>
          </w:p>
        </w:tc>
      </w:tr>
      <w:tr w14:paraId="77E9E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98214C">
            <w:pPr>
              <w:jc w:val="center"/>
              <w:rPr>
                <w:rFonts w:hint="eastAsia" w:ascii="宋体" w:hAnsi="宋体" w:eastAsia="宋体" w:cs="宋体"/>
                <w:i w:val="0"/>
                <w:iCs w:val="0"/>
                <w:color w:val="0000FF"/>
                <w:sz w:val="20"/>
                <w:szCs w:val="20"/>
                <w:highlight w:val="none"/>
                <w:u w:val="none"/>
              </w:rPr>
            </w:pPr>
          </w:p>
        </w:tc>
        <w:tc>
          <w:tcPr>
            <w:tcW w:w="10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B61F7E">
            <w:pPr>
              <w:jc w:val="center"/>
              <w:rPr>
                <w:rFonts w:hint="eastAsia" w:ascii="宋体" w:hAnsi="宋体" w:eastAsia="宋体" w:cs="宋体"/>
                <w:i w:val="0"/>
                <w:iCs w:val="0"/>
                <w:color w:val="0000FF"/>
                <w:sz w:val="20"/>
                <w:szCs w:val="20"/>
                <w:highlight w:val="none"/>
                <w:u w:val="none"/>
              </w:rPr>
            </w:pPr>
          </w:p>
        </w:tc>
        <w:tc>
          <w:tcPr>
            <w:tcW w:w="13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B5E982">
            <w:pPr>
              <w:jc w:val="center"/>
              <w:rPr>
                <w:rFonts w:hint="eastAsia" w:ascii="宋体" w:hAnsi="宋体" w:eastAsia="宋体" w:cs="宋体"/>
                <w:i w:val="0"/>
                <w:iCs w:val="0"/>
                <w:color w:val="0000FF"/>
                <w:sz w:val="20"/>
                <w:szCs w:val="20"/>
                <w:highlight w:val="none"/>
                <w:u w:val="none"/>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C6F235">
            <w:pPr>
              <w:jc w:val="center"/>
              <w:rPr>
                <w:rFonts w:hint="eastAsia" w:ascii="宋体" w:hAnsi="宋体" w:eastAsia="宋体" w:cs="宋体"/>
                <w:i w:val="0"/>
                <w:iCs w:val="0"/>
                <w:color w:val="0000FF"/>
                <w:sz w:val="20"/>
                <w:szCs w:val="20"/>
                <w:highlight w:val="none"/>
                <w:u w:val="none"/>
              </w:rPr>
            </w:pPr>
          </w:p>
        </w:tc>
        <w:tc>
          <w:tcPr>
            <w:tcW w:w="2950" w:type="dxa"/>
            <w:tcBorders>
              <w:top w:val="single" w:color="000000" w:sz="4" w:space="0"/>
              <w:left w:val="single" w:color="000000" w:sz="4" w:space="0"/>
              <w:bottom w:val="single" w:color="000000" w:sz="4" w:space="0"/>
              <w:right w:val="single" w:color="000000" w:sz="4" w:space="0"/>
            </w:tcBorders>
            <w:noWrap w:val="0"/>
            <w:vAlign w:val="center"/>
          </w:tcPr>
          <w:p w14:paraId="7F74B4E1">
            <w:pPr>
              <w:keepNext w:val="0"/>
              <w:keepLines w:val="0"/>
              <w:widowControl/>
              <w:suppressLineNumbers w:val="0"/>
              <w:jc w:val="left"/>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发生泄密事件</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14:paraId="343DB4FB">
            <w:pPr>
              <w:keepNext w:val="0"/>
              <w:keepLines w:val="0"/>
              <w:widowControl/>
              <w:suppressLineNumbers w:val="0"/>
              <w:jc w:val="center"/>
              <w:textAlignment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-5分/次（承担法律责任）</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E35143B">
            <w:pPr>
              <w:jc w:val="center"/>
              <w:rPr>
                <w:rFonts w:hint="eastAsia" w:ascii="宋体" w:hAnsi="宋体" w:eastAsia="宋体" w:cs="宋体"/>
                <w:i w:val="0"/>
                <w:iCs w:val="0"/>
                <w:color w:val="0000FF"/>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731A155">
            <w:pPr>
              <w:jc w:val="center"/>
              <w:rPr>
                <w:rFonts w:hint="eastAsia" w:ascii="宋体" w:hAnsi="宋体" w:eastAsia="宋体" w:cs="宋体"/>
                <w:i w:val="0"/>
                <w:iCs w:val="0"/>
                <w:color w:val="0000FF"/>
                <w:sz w:val="20"/>
                <w:szCs w:val="20"/>
                <w:highlight w:val="none"/>
                <w:u w:val="none"/>
              </w:rPr>
            </w:pPr>
          </w:p>
        </w:tc>
      </w:tr>
      <w:tr w14:paraId="27013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9712" w:type="dxa"/>
            <w:gridSpan w:val="8"/>
            <w:tcBorders>
              <w:top w:val="single" w:color="000000" w:sz="4" w:space="0"/>
              <w:left w:val="single" w:color="000000" w:sz="4" w:space="0"/>
              <w:bottom w:val="single" w:color="000000" w:sz="4" w:space="0"/>
              <w:right w:val="single" w:color="000000" w:sz="4" w:space="0"/>
            </w:tcBorders>
            <w:noWrap w:val="0"/>
            <w:vAlign w:val="center"/>
          </w:tcPr>
          <w:p w14:paraId="1A944F28">
            <w:pPr>
              <w:jc w:val="center"/>
              <w:rPr>
                <w:rFonts w:hint="eastAsia" w:ascii="宋体" w:hAnsi="宋体" w:eastAsia="宋体" w:cs="宋体"/>
                <w:i w:val="0"/>
                <w:iCs w:val="0"/>
                <w:color w:val="0000FF"/>
                <w:sz w:val="20"/>
                <w:szCs w:val="20"/>
                <w:highlight w:val="none"/>
                <w:u w:val="none"/>
              </w:rPr>
            </w:pPr>
            <w:r>
              <w:rPr>
                <w:rFonts w:hint="eastAsia" w:ascii="宋体" w:hAnsi="宋体" w:eastAsia="宋体" w:cs="宋体"/>
                <w:i w:val="0"/>
                <w:iCs w:val="0"/>
                <w:color w:val="0000FF"/>
                <w:kern w:val="0"/>
                <w:sz w:val="20"/>
                <w:szCs w:val="20"/>
                <w:highlight w:val="none"/>
                <w:u w:val="none"/>
                <w:lang w:val="en-US" w:eastAsia="zh-CN" w:bidi="ar"/>
              </w:rPr>
              <w:t xml:space="preserve">                                考核分数：</w:t>
            </w:r>
          </w:p>
        </w:tc>
      </w:tr>
      <w:tr w14:paraId="6F265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trPr>
        <w:tc>
          <w:tcPr>
            <w:tcW w:w="9712" w:type="dxa"/>
            <w:gridSpan w:val="8"/>
            <w:tcBorders>
              <w:top w:val="single" w:color="000000" w:sz="4" w:space="0"/>
              <w:left w:val="single" w:color="000000" w:sz="4" w:space="0"/>
              <w:bottom w:val="single" w:color="000000" w:sz="4" w:space="0"/>
              <w:right w:val="single" w:color="000000" w:sz="4" w:space="0"/>
            </w:tcBorders>
            <w:noWrap w:val="0"/>
            <w:vAlign w:val="center"/>
          </w:tcPr>
          <w:p w14:paraId="15B182BA">
            <w:pPr>
              <w:jc w:val="both"/>
              <w:rPr>
                <w:rFonts w:hint="eastAsia" w:ascii="宋体" w:hAnsi="宋体" w:eastAsia="宋体" w:cs="宋体"/>
                <w:i w:val="0"/>
                <w:iCs w:val="0"/>
                <w:color w:val="0000FF"/>
                <w:kern w:val="0"/>
                <w:sz w:val="20"/>
                <w:szCs w:val="20"/>
                <w:highlight w:val="none"/>
                <w:u w:val="none"/>
                <w:lang w:val="en-US" w:eastAsia="zh-CN" w:bidi="ar"/>
              </w:rPr>
            </w:pPr>
          </w:p>
          <w:p w14:paraId="4E8FF8FA">
            <w:pPr>
              <w:jc w:val="both"/>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考核意见：</w:t>
            </w:r>
          </w:p>
          <w:p w14:paraId="54A08D43">
            <w:pPr>
              <w:jc w:val="both"/>
              <w:rPr>
                <w:rFonts w:hint="eastAsia" w:ascii="宋体" w:hAnsi="宋体" w:eastAsia="宋体" w:cs="宋体"/>
                <w:i w:val="0"/>
                <w:iCs w:val="0"/>
                <w:color w:val="0000FF"/>
                <w:kern w:val="0"/>
                <w:sz w:val="20"/>
                <w:szCs w:val="20"/>
                <w:highlight w:val="none"/>
                <w:u w:val="none"/>
                <w:lang w:val="en-US" w:eastAsia="zh-CN" w:bidi="ar"/>
              </w:rPr>
            </w:pPr>
          </w:p>
          <w:p w14:paraId="68EB888A">
            <w:pPr>
              <w:jc w:val="both"/>
              <w:rPr>
                <w:rFonts w:hint="eastAsia" w:ascii="宋体" w:hAnsi="宋体" w:eastAsia="宋体" w:cs="宋体"/>
                <w:i w:val="0"/>
                <w:iCs w:val="0"/>
                <w:color w:val="0000FF"/>
                <w:kern w:val="0"/>
                <w:sz w:val="20"/>
                <w:szCs w:val="20"/>
                <w:highlight w:val="none"/>
                <w:u w:val="none"/>
                <w:lang w:val="en-US" w:eastAsia="zh-CN" w:bidi="ar"/>
              </w:rPr>
            </w:pPr>
          </w:p>
          <w:p w14:paraId="240198AB">
            <w:pPr>
              <w:keepNext w:val="0"/>
              <w:keepLines w:val="0"/>
              <w:widowControl/>
              <w:suppressLineNumbers w:val="0"/>
              <w:jc w:val="center"/>
              <w:textAlignment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签名：</w:t>
            </w:r>
          </w:p>
          <w:p w14:paraId="67B6EDDF">
            <w:pPr>
              <w:pStyle w:val="2"/>
              <w:rPr>
                <w:rFonts w:hint="eastAsia" w:ascii="宋体" w:hAnsi="宋体" w:eastAsia="宋体" w:cs="宋体"/>
                <w:color w:val="0000FF"/>
                <w:sz w:val="20"/>
                <w:szCs w:val="20"/>
                <w:highlight w:val="none"/>
              </w:rPr>
            </w:pPr>
          </w:p>
          <w:p w14:paraId="5265EF36">
            <w:pPr>
              <w:jc w:val="center"/>
              <w:rPr>
                <w:rFonts w:hint="eastAsia" w:ascii="宋体" w:hAnsi="宋体" w:eastAsia="宋体" w:cs="宋体"/>
                <w:i w:val="0"/>
                <w:iCs w:val="0"/>
                <w:color w:val="0000FF"/>
                <w:kern w:val="0"/>
                <w:sz w:val="20"/>
                <w:szCs w:val="20"/>
                <w:highlight w:val="none"/>
                <w:u w:val="none"/>
                <w:lang w:val="en-US" w:eastAsia="zh-CN" w:bidi="ar"/>
              </w:rPr>
            </w:pPr>
            <w:r>
              <w:rPr>
                <w:rFonts w:hint="eastAsia" w:ascii="宋体" w:hAnsi="宋体" w:eastAsia="宋体" w:cs="宋体"/>
                <w:i w:val="0"/>
                <w:iCs w:val="0"/>
                <w:color w:val="0000FF"/>
                <w:kern w:val="0"/>
                <w:sz w:val="20"/>
                <w:szCs w:val="20"/>
                <w:highlight w:val="none"/>
                <w:u w:val="none"/>
                <w:lang w:val="en-US" w:eastAsia="zh-CN" w:bidi="ar"/>
              </w:rPr>
              <w:t>日期：</w:t>
            </w:r>
          </w:p>
          <w:p w14:paraId="145459DC">
            <w:pPr>
              <w:pStyle w:val="2"/>
              <w:rPr>
                <w:rFonts w:hint="eastAsia" w:ascii="宋体" w:hAnsi="宋体" w:eastAsia="宋体" w:cs="宋体"/>
                <w:color w:val="0000FF"/>
                <w:sz w:val="20"/>
                <w:szCs w:val="20"/>
                <w:highlight w:val="none"/>
              </w:rPr>
            </w:pPr>
          </w:p>
        </w:tc>
      </w:tr>
    </w:tbl>
    <w:p w14:paraId="52AEA1A8">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0000FF"/>
          <w:sz w:val="20"/>
          <w:szCs w:val="20"/>
          <w:highlight w:val="none"/>
          <w:lang w:val="en-US" w:eastAsia="zh-CN"/>
        </w:rPr>
      </w:pPr>
      <w:r>
        <w:rPr>
          <w:rFonts w:hint="eastAsia" w:ascii="宋体" w:hAnsi="宋体" w:cs="宋体"/>
          <w:b/>
          <w:bCs/>
          <w:color w:val="0000FF"/>
          <w:sz w:val="20"/>
          <w:szCs w:val="20"/>
          <w:highlight w:val="none"/>
          <w:lang w:val="en-US" w:eastAsia="zh-CN"/>
        </w:rPr>
        <w:t>4</w:t>
      </w:r>
      <w:r>
        <w:rPr>
          <w:rFonts w:hint="eastAsia" w:ascii="宋体" w:hAnsi="宋体" w:eastAsia="宋体" w:cs="宋体"/>
          <w:b/>
          <w:bCs/>
          <w:color w:val="0000FF"/>
          <w:sz w:val="20"/>
          <w:szCs w:val="20"/>
          <w:highlight w:val="none"/>
          <w:lang w:val="en-US" w:eastAsia="zh-CN"/>
        </w:rPr>
        <w:t>.项目其他需要说明的事项</w:t>
      </w:r>
    </w:p>
    <w:p w14:paraId="1B06D9E7">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default" w:ascii="宋体" w:hAnsi="宋体" w:eastAsia="宋体" w:cs="宋体"/>
          <w:b w:val="0"/>
          <w:bCs w:val="0"/>
          <w:color w:val="FF0000"/>
          <w:sz w:val="20"/>
          <w:szCs w:val="20"/>
          <w:highlight w:val="none"/>
          <w:lang w:val="en-US" w:eastAsia="zh-CN"/>
        </w:rPr>
      </w:pPr>
      <w:r>
        <w:rPr>
          <w:rFonts w:hint="eastAsia" w:ascii="宋体" w:hAnsi="宋体" w:eastAsia="宋体" w:cs="宋体"/>
          <w:b w:val="0"/>
          <w:bCs w:val="0"/>
          <w:color w:val="FF0000"/>
          <w:sz w:val="20"/>
          <w:szCs w:val="20"/>
          <w:highlight w:val="none"/>
          <w:lang w:val="en-US" w:eastAsia="zh-CN"/>
        </w:rPr>
        <w:t>应急保障服务</w:t>
      </w:r>
      <w:r>
        <w:rPr>
          <w:rFonts w:hint="eastAsia" w:ascii="宋体" w:hAnsi="宋体" w:cs="宋体"/>
          <w:b w:val="0"/>
          <w:bCs w:val="0"/>
          <w:color w:val="FF0000"/>
          <w:sz w:val="20"/>
          <w:szCs w:val="20"/>
          <w:highlight w:val="none"/>
          <w:lang w:val="en-US" w:eastAsia="zh-CN"/>
        </w:rPr>
        <w:t>费用包含：人员应急费用、车辆费用、医疗服务队伍、应急药品、</w:t>
      </w:r>
      <w:r>
        <w:rPr>
          <w:rFonts w:hint="eastAsia" w:ascii="宋体" w:hAnsi="宋体" w:eastAsia="宋体" w:cs="宋体"/>
          <w:b w:val="0"/>
          <w:bCs w:val="0"/>
          <w:color w:val="FF0000"/>
          <w:sz w:val="20"/>
          <w:szCs w:val="20"/>
          <w:highlight w:val="none"/>
          <w:lang w:val="en-US" w:eastAsia="zh-CN"/>
        </w:rPr>
        <w:t>应急物资</w:t>
      </w:r>
      <w:r>
        <w:rPr>
          <w:rFonts w:hint="eastAsia" w:ascii="宋体" w:hAnsi="宋体" w:cs="宋体"/>
          <w:b w:val="0"/>
          <w:bCs w:val="0"/>
          <w:color w:val="FF0000"/>
          <w:sz w:val="20"/>
          <w:szCs w:val="20"/>
          <w:highlight w:val="none"/>
          <w:lang w:val="en-US" w:eastAsia="zh-CN"/>
        </w:rPr>
        <w:t>及</w:t>
      </w:r>
      <w:r>
        <w:rPr>
          <w:rFonts w:hint="eastAsia" w:ascii="宋体" w:hAnsi="宋体" w:eastAsia="宋体" w:cs="宋体"/>
          <w:b w:val="0"/>
          <w:bCs w:val="0"/>
          <w:color w:val="FF0000"/>
          <w:sz w:val="20"/>
          <w:szCs w:val="20"/>
          <w:highlight w:val="none"/>
          <w:lang w:val="en-US" w:eastAsia="zh-CN"/>
        </w:rPr>
        <w:t>工器具</w:t>
      </w:r>
      <w:bookmarkStart w:id="853" w:name="_GoBack"/>
      <w:bookmarkEnd w:id="853"/>
      <w:r>
        <w:rPr>
          <w:rFonts w:hint="eastAsia" w:ascii="宋体" w:hAnsi="宋体" w:eastAsia="宋体" w:cs="宋体"/>
          <w:b w:val="0"/>
          <w:bCs w:val="0"/>
          <w:color w:val="FF0000"/>
          <w:sz w:val="20"/>
          <w:szCs w:val="20"/>
          <w:highlight w:val="none"/>
          <w:lang w:val="en-US" w:eastAsia="zh-CN"/>
        </w:rPr>
        <w:t>费用</w:t>
      </w:r>
      <w:r>
        <w:rPr>
          <w:rFonts w:hint="eastAsia" w:ascii="宋体" w:hAnsi="宋体" w:cs="宋体"/>
          <w:b w:val="0"/>
          <w:bCs w:val="0"/>
          <w:color w:val="FF0000"/>
          <w:sz w:val="20"/>
          <w:szCs w:val="20"/>
          <w:highlight w:val="none"/>
          <w:lang w:val="en-US" w:eastAsia="zh-CN"/>
        </w:rPr>
        <w:t>，从甲方电力设施保护费列支。</w:t>
      </w:r>
    </w:p>
    <w:p w14:paraId="78686104">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outlineLvl w:val="0"/>
        <w:rPr>
          <w:rFonts w:hint="eastAsia" w:ascii="宋体" w:hAnsi="宋体" w:eastAsia="宋体" w:cs="宋体"/>
          <w:b/>
          <w:bCs/>
          <w:color w:val="0000FF"/>
          <w:sz w:val="20"/>
          <w:szCs w:val="20"/>
          <w:highlight w:val="none"/>
          <w:lang w:val="en-US" w:eastAsia="zh-CN"/>
        </w:rPr>
      </w:pPr>
      <w:r>
        <w:rPr>
          <w:rFonts w:hint="eastAsia" w:ascii="宋体" w:hAnsi="宋体" w:cs="宋体"/>
          <w:b/>
          <w:bCs/>
          <w:color w:val="0000FF"/>
          <w:sz w:val="20"/>
          <w:szCs w:val="20"/>
          <w:highlight w:val="none"/>
          <w:lang w:val="en-US" w:eastAsia="zh-CN"/>
        </w:rPr>
        <w:t>4</w:t>
      </w:r>
      <w:r>
        <w:rPr>
          <w:rFonts w:hint="eastAsia" w:ascii="宋体" w:hAnsi="宋体" w:eastAsia="宋体" w:cs="宋体"/>
          <w:b/>
          <w:bCs/>
          <w:color w:val="0000FF"/>
          <w:sz w:val="20"/>
          <w:szCs w:val="20"/>
          <w:highlight w:val="none"/>
          <w:lang w:val="en-US" w:eastAsia="zh-CN"/>
        </w:rPr>
        <w:t>.1人员应急费用</w:t>
      </w:r>
    </w:p>
    <w:p w14:paraId="29BC5025">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人员应急费用主要包括应急保障人员差旅费、加班费及补贴，不包括应急保障人员固定薪酬（法定工作时间内本岗位的工作服务费用）。</w:t>
      </w:r>
    </w:p>
    <w:p w14:paraId="7DD9FFD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cs="宋体"/>
          <w:b w:val="0"/>
          <w:bCs w:val="0"/>
          <w:color w:val="0000FF"/>
          <w:sz w:val="20"/>
          <w:szCs w:val="20"/>
          <w:highlight w:val="none"/>
          <w:lang w:val="en-US" w:eastAsia="zh-CN"/>
        </w:rPr>
        <w:t>4</w:t>
      </w:r>
      <w:r>
        <w:rPr>
          <w:rFonts w:hint="eastAsia" w:ascii="宋体" w:hAnsi="宋体" w:eastAsia="宋体" w:cs="宋体"/>
          <w:b w:val="0"/>
          <w:bCs w:val="0"/>
          <w:color w:val="0000FF"/>
          <w:sz w:val="20"/>
          <w:szCs w:val="20"/>
          <w:highlight w:val="none"/>
          <w:lang w:val="en-US" w:eastAsia="zh-CN"/>
        </w:rPr>
        <w:t>.1.1因</w:t>
      </w:r>
      <w:r>
        <w:rPr>
          <w:rFonts w:hint="eastAsia" w:ascii="宋体" w:hAnsi="宋体" w:cs="宋体"/>
          <w:b w:val="0"/>
          <w:bCs w:val="0"/>
          <w:color w:val="0000FF"/>
          <w:sz w:val="20"/>
          <w:szCs w:val="20"/>
          <w:highlight w:val="none"/>
          <w:lang w:val="en-US" w:eastAsia="zh-CN"/>
        </w:rPr>
        <w:t>采购</w:t>
      </w:r>
      <w:r>
        <w:rPr>
          <w:rFonts w:hint="eastAsia" w:ascii="宋体" w:hAnsi="宋体" w:eastAsia="宋体" w:cs="宋体"/>
          <w:b w:val="0"/>
          <w:bCs w:val="0"/>
          <w:color w:val="0000FF"/>
          <w:sz w:val="20"/>
          <w:szCs w:val="20"/>
          <w:highlight w:val="none"/>
          <w:lang w:val="en-US" w:eastAsia="zh-CN"/>
        </w:rPr>
        <w:t>方派工产生相应的应急差旅费（即外勤出差补助及交通住宿等）、应急加班费等费用，按照实际发生费用由</w:t>
      </w:r>
      <w:r>
        <w:rPr>
          <w:rFonts w:hint="eastAsia" w:ascii="宋体" w:hAnsi="宋体" w:cs="宋体"/>
          <w:b w:val="0"/>
          <w:bCs w:val="0"/>
          <w:color w:val="0000FF"/>
          <w:sz w:val="20"/>
          <w:szCs w:val="20"/>
          <w:highlight w:val="none"/>
          <w:lang w:val="en-US" w:eastAsia="zh-CN"/>
        </w:rPr>
        <w:t>采购</w:t>
      </w:r>
      <w:r>
        <w:rPr>
          <w:rFonts w:hint="eastAsia" w:ascii="宋体" w:hAnsi="宋体" w:eastAsia="宋体" w:cs="宋体"/>
          <w:b w:val="0"/>
          <w:bCs w:val="0"/>
          <w:color w:val="0000FF"/>
          <w:sz w:val="20"/>
          <w:szCs w:val="20"/>
          <w:highlight w:val="none"/>
          <w:lang w:val="en-US" w:eastAsia="zh-CN"/>
        </w:rPr>
        <w:t>方在约定物业服务费用外另行支付。</w:t>
      </w:r>
    </w:p>
    <w:p w14:paraId="76EB58F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cs="宋体"/>
          <w:b w:val="0"/>
          <w:bCs w:val="0"/>
          <w:color w:val="0000FF"/>
          <w:sz w:val="20"/>
          <w:szCs w:val="20"/>
          <w:highlight w:val="none"/>
          <w:lang w:val="en-US" w:eastAsia="zh-CN"/>
        </w:rPr>
        <w:t>4</w:t>
      </w:r>
      <w:r>
        <w:rPr>
          <w:rFonts w:hint="eastAsia" w:ascii="宋体" w:hAnsi="宋体" w:eastAsia="宋体" w:cs="宋体"/>
          <w:b w:val="0"/>
          <w:bCs w:val="0"/>
          <w:color w:val="0000FF"/>
          <w:sz w:val="20"/>
          <w:szCs w:val="20"/>
          <w:highlight w:val="none"/>
          <w:lang w:val="en-US" w:eastAsia="zh-CN"/>
        </w:rPr>
        <w:t>.1.2服务商应急保障人员正常工作日（含休息日）时间按8小时工作制计算，工作时间超过4小时的，按1天计算；工作时间不足4小时的，按0.5天计算。8小时工作时间范围外为采购方提供应急保障服务的，由采购方支付应急保障人员加班费用。结算标准如下：</w:t>
      </w:r>
    </w:p>
    <w:p w14:paraId="0E690C5F">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（1）正常工作日加班费=以服务商实际发放的基本工资为基数/21.75*150%*1.06*天数；</w:t>
      </w:r>
    </w:p>
    <w:p w14:paraId="03C51652">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（2）休息日加班费=以服务商实际发放的基本工资为基数/21.75*200%*1.06*天数；</w:t>
      </w:r>
    </w:p>
    <w:p w14:paraId="2A979497">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（3）国家法定节假日加班费=以服务商实际发放的基本工资为基数/21.75*300%*1.06*天数；</w:t>
      </w:r>
    </w:p>
    <w:p w14:paraId="7FB473D9">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（4）应急保障应付服务费＝人员费用金额－当期服务考核扣费。</w:t>
      </w:r>
    </w:p>
    <w:p w14:paraId="6DE39181">
      <w:pPr>
        <w:pStyle w:val="2"/>
        <w:rPr>
          <w:rFonts w:hint="default"/>
          <w:lang w:val="en-US" w:eastAsia="zh-CN"/>
        </w:rPr>
      </w:pPr>
      <w:r>
        <w:rPr>
          <w:rFonts w:hint="eastAsia" w:ascii="宋体" w:hAnsi="宋体" w:eastAsia="宋体" w:cs="宋体"/>
          <w:b w:val="0"/>
          <w:bCs w:val="0"/>
          <w:color w:val="0000FF"/>
          <w:sz w:val="20"/>
          <w:szCs w:val="20"/>
          <w:highlight w:val="none"/>
          <w:lang w:val="en-US" w:eastAsia="zh-CN"/>
        </w:rPr>
        <w:t xml:space="preserve">   4.1.3  应急</w:t>
      </w:r>
      <w:r>
        <w:rPr>
          <w:rFonts w:hint="eastAsia" w:ascii="宋体" w:hAnsi="宋体" w:cs="宋体"/>
          <w:b w:val="0"/>
          <w:bCs w:val="0"/>
          <w:color w:val="0000FF"/>
          <w:sz w:val="20"/>
          <w:szCs w:val="20"/>
          <w:highlight w:val="none"/>
          <w:lang w:val="en-US" w:eastAsia="zh-CN"/>
        </w:rPr>
        <w:t>保障服务</w:t>
      </w:r>
      <w:r>
        <w:rPr>
          <w:rFonts w:hint="eastAsia" w:ascii="宋体" w:hAnsi="宋体" w:eastAsia="宋体" w:cs="宋体"/>
          <w:b w:val="0"/>
          <w:bCs w:val="0"/>
          <w:color w:val="0000FF"/>
          <w:sz w:val="20"/>
          <w:szCs w:val="20"/>
          <w:highlight w:val="none"/>
          <w:lang w:val="en-US" w:eastAsia="zh-CN"/>
        </w:rPr>
        <w:t>人员误餐补贴费用按采购方标准据实结算。</w:t>
      </w:r>
    </w:p>
    <w:p w14:paraId="2D42496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cs="宋体"/>
          <w:b w:val="0"/>
          <w:bCs w:val="0"/>
          <w:color w:val="0000FF"/>
          <w:sz w:val="20"/>
          <w:szCs w:val="20"/>
          <w:highlight w:val="none"/>
          <w:lang w:val="en-US" w:eastAsia="zh-CN"/>
        </w:rPr>
        <w:t>4</w:t>
      </w:r>
      <w:r>
        <w:rPr>
          <w:rFonts w:hint="eastAsia" w:ascii="宋体" w:hAnsi="宋体" w:eastAsia="宋体" w:cs="宋体"/>
          <w:b w:val="0"/>
          <w:bCs w:val="0"/>
          <w:color w:val="0000FF"/>
          <w:sz w:val="20"/>
          <w:szCs w:val="20"/>
          <w:highlight w:val="none"/>
          <w:lang w:val="en-US" w:eastAsia="zh-CN"/>
        </w:rPr>
        <w:t>.1.4 补充原岗位人员费用</w:t>
      </w:r>
    </w:p>
    <w:p w14:paraId="5F83C4DD">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服务商因提供应急保障服务产生的原岗位空缺，需补充原岗位人员而产生的费用，按照原岗位在物业管理服务中对应的岗位单价，根据实际补充人员数量据实结算。如物业管理服务中无对应岗位单价的，按照服务商实际支付的岗位单价及实际补充人员数量结算。</w:t>
      </w:r>
    </w:p>
    <w:p w14:paraId="49D7C756">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rPr>
          <w:rFonts w:hint="eastAsia" w:ascii="宋体" w:hAnsi="宋体" w:eastAsia="宋体" w:cs="宋体"/>
          <w:b/>
          <w:bCs/>
          <w:color w:val="0000FF"/>
          <w:sz w:val="20"/>
          <w:szCs w:val="20"/>
          <w:highlight w:val="none"/>
          <w:lang w:val="en-US" w:eastAsia="zh-CN"/>
        </w:rPr>
      </w:pPr>
      <w:r>
        <w:rPr>
          <w:rFonts w:hint="eastAsia" w:ascii="宋体" w:hAnsi="宋体" w:cs="宋体"/>
          <w:b/>
          <w:bCs/>
          <w:color w:val="0000FF"/>
          <w:sz w:val="20"/>
          <w:szCs w:val="20"/>
          <w:highlight w:val="none"/>
          <w:lang w:val="en-US" w:eastAsia="zh-CN"/>
        </w:rPr>
        <w:t>4</w:t>
      </w:r>
      <w:r>
        <w:rPr>
          <w:rFonts w:hint="eastAsia" w:ascii="宋体" w:hAnsi="宋体" w:eastAsia="宋体" w:cs="宋体"/>
          <w:b/>
          <w:bCs/>
          <w:color w:val="0000FF"/>
          <w:sz w:val="20"/>
          <w:szCs w:val="20"/>
          <w:highlight w:val="none"/>
          <w:lang w:val="en-US" w:eastAsia="zh-CN"/>
        </w:rPr>
        <w:t>.2车辆费用</w:t>
      </w:r>
    </w:p>
    <w:p w14:paraId="16EEB189">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因甲方车辆不足，需服务商提供应急保障车辆的，车辆费用按固定费用加浮动费用进行结算。</w:t>
      </w:r>
    </w:p>
    <w:p w14:paraId="004B6949">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cs="宋体"/>
          <w:b w:val="0"/>
          <w:bCs w:val="0"/>
          <w:color w:val="0000FF"/>
          <w:sz w:val="20"/>
          <w:szCs w:val="20"/>
          <w:highlight w:val="none"/>
          <w:lang w:val="en-US" w:eastAsia="zh-CN"/>
        </w:rPr>
        <w:t>4</w:t>
      </w:r>
      <w:r>
        <w:rPr>
          <w:rFonts w:hint="eastAsia" w:ascii="宋体" w:hAnsi="宋体" w:eastAsia="宋体" w:cs="宋体"/>
          <w:b w:val="0"/>
          <w:bCs w:val="0"/>
          <w:color w:val="0000FF"/>
          <w:sz w:val="20"/>
          <w:szCs w:val="20"/>
          <w:highlight w:val="none"/>
          <w:lang w:val="en-US" w:eastAsia="zh-CN"/>
        </w:rPr>
        <w:t>.2.1固定费用按以下标准执行：（三选一）</w:t>
      </w:r>
    </w:p>
    <w:p w14:paraId="6FFCBBFE">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（1）按租车平台（神州租车、一嗨租车、携程租车等较大型租车平台）同类车型日租单价；</w:t>
      </w:r>
    </w:p>
    <w:p w14:paraId="257C86EF">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（2）按服务商与第三方租车公司租赁同类车型日租单价；</w:t>
      </w:r>
    </w:p>
    <w:p w14:paraId="5D25FE9C">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（3）按服务商报价的日单价。</w:t>
      </w:r>
    </w:p>
    <w:p w14:paraId="3014C2B1">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b w:val="0"/>
          <w:bCs w:val="0"/>
          <w:color w:val="0000FF"/>
          <w:sz w:val="20"/>
          <w:szCs w:val="20"/>
          <w:highlight w:val="none"/>
          <w:lang w:val="en-US" w:eastAsia="zh-CN"/>
        </w:rPr>
      </w:pPr>
      <w:r>
        <w:rPr>
          <w:rFonts w:hint="eastAsia" w:ascii="宋体" w:hAnsi="宋体" w:cs="宋体"/>
          <w:b w:val="0"/>
          <w:bCs w:val="0"/>
          <w:color w:val="0000FF"/>
          <w:sz w:val="20"/>
          <w:szCs w:val="20"/>
          <w:highlight w:val="none"/>
          <w:lang w:val="en-US" w:eastAsia="zh-CN"/>
        </w:rPr>
        <w:t>4</w:t>
      </w:r>
      <w:r>
        <w:rPr>
          <w:rFonts w:hint="eastAsia" w:ascii="宋体" w:hAnsi="宋体" w:eastAsia="宋体" w:cs="宋体"/>
          <w:b w:val="0"/>
          <w:bCs w:val="0"/>
          <w:color w:val="0000FF"/>
          <w:sz w:val="20"/>
          <w:szCs w:val="20"/>
          <w:highlight w:val="none"/>
          <w:lang w:val="en-US" w:eastAsia="zh-CN"/>
        </w:rPr>
        <w:t>.2.2浮动费用包括因应急保障服务产生的车辆油费（或充电费）、过路费、维修费等，根据服务商实际发生费用据实结算。</w:t>
      </w:r>
    </w:p>
    <w:p w14:paraId="5EBBB29F">
      <w:pPr>
        <w:keepNext w:val="0"/>
        <w:keepLines w:val="0"/>
        <w:pageBreakBefore w:val="0"/>
        <w:widowControl w:val="0"/>
        <w:kinsoku/>
        <w:wordWrap/>
        <w:overflowPunct/>
        <w:topLinePunct w:val="0"/>
        <w:autoSpaceDE/>
        <w:autoSpaceDN/>
        <w:bidi w:val="0"/>
        <w:adjustRightInd/>
        <w:snapToGrid/>
        <w:spacing w:line="560" w:lineRule="exact"/>
        <w:ind w:firstLine="402" w:firstLineChars="200"/>
        <w:textAlignment w:val="auto"/>
        <w:rPr>
          <w:rFonts w:hint="eastAsia" w:ascii="宋体" w:hAnsi="宋体" w:eastAsia="宋体" w:cs="宋体"/>
          <w:b/>
          <w:bCs/>
          <w:color w:val="0000FF"/>
          <w:sz w:val="20"/>
          <w:szCs w:val="20"/>
          <w:highlight w:val="none"/>
          <w:lang w:val="en-US" w:eastAsia="zh-CN"/>
        </w:rPr>
      </w:pPr>
      <w:r>
        <w:rPr>
          <w:rFonts w:hint="eastAsia" w:ascii="宋体" w:hAnsi="宋体" w:cs="宋体"/>
          <w:b/>
          <w:bCs/>
          <w:color w:val="0000FF"/>
          <w:sz w:val="20"/>
          <w:szCs w:val="20"/>
          <w:highlight w:val="none"/>
          <w:lang w:val="en-US" w:eastAsia="zh-CN"/>
        </w:rPr>
        <w:t>4</w:t>
      </w:r>
      <w:r>
        <w:rPr>
          <w:rFonts w:hint="eastAsia" w:ascii="宋体" w:hAnsi="宋体" w:eastAsia="宋体" w:cs="宋体"/>
          <w:b/>
          <w:bCs/>
          <w:color w:val="0000FF"/>
          <w:sz w:val="20"/>
          <w:szCs w:val="20"/>
          <w:highlight w:val="none"/>
          <w:lang w:val="en-US" w:eastAsia="zh-CN"/>
        </w:rPr>
        <w:t>.3</w:t>
      </w:r>
      <w:r>
        <w:rPr>
          <w:rFonts w:hint="eastAsia" w:ascii="宋体" w:hAnsi="宋体" w:cs="宋体"/>
          <w:b/>
          <w:bCs/>
          <w:color w:val="0000FF"/>
          <w:sz w:val="20"/>
          <w:szCs w:val="20"/>
          <w:highlight w:val="none"/>
          <w:lang w:val="en-US" w:eastAsia="zh-CN"/>
        </w:rPr>
        <w:t>其他</w:t>
      </w:r>
      <w:r>
        <w:rPr>
          <w:rFonts w:hint="eastAsia" w:ascii="宋体" w:hAnsi="宋体" w:eastAsia="宋体" w:cs="宋体"/>
          <w:b/>
          <w:bCs/>
          <w:color w:val="0000FF"/>
          <w:sz w:val="20"/>
          <w:szCs w:val="20"/>
          <w:highlight w:val="none"/>
          <w:lang w:val="en-US" w:eastAsia="zh-CN"/>
        </w:rPr>
        <w:t>费用</w:t>
      </w:r>
    </w:p>
    <w:p w14:paraId="42198A55">
      <w:pPr>
        <w:keepNext w:val="0"/>
        <w:keepLines w:val="0"/>
        <w:pageBreakBefore w:val="0"/>
        <w:widowControl w:val="0"/>
        <w:kinsoku/>
        <w:wordWrap/>
        <w:overflowPunct/>
        <w:topLinePunct w:val="0"/>
        <w:autoSpaceDE/>
        <w:autoSpaceDN/>
        <w:bidi w:val="0"/>
        <w:adjustRightInd/>
        <w:snapToGrid/>
        <w:spacing w:line="560" w:lineRule="exact"/>
        <w:ind w:firstLine="400" w:firstLineChars="200"/>
        <w:textAlignment w:val="auto"/>
        <w:rPr>
          <w:rFonts w:hint="eastAsia" w:ascii="宋体" w:hAnsi="宋体" w:eastAsia="宋体" w:cs="宋体"/>
          <w:color w:val="0000FF"/>
          <w:sz w:val="20"/>
          <w:szCs w:val="20"/>
          <w:highlight w:val="none"/>
          <w:lang w:val="en-US" w:eastAsia="zh-CN"/>
        </w:rPr>
      </w:pPr>
      <w:r>
        <w:rPr>
          <w:rFonts w:hint="eastAsia" w:ascii="宋体" w:hAnsi="宋体" w:eastAsia="宋体" w:cs="宋体"/>
          <w:b w:val="0"/>
          <w:bCs w:val="0"/>
          <w:color w:val="0000FF"/>
          <w:sz w:val="20"/>
          <w:szCs w:val="20"/>
          <w:highlight w:val="none"/>
          <w:lang w:val="en-US" w:eastAsia="zh-CN"/>
        </w:rPr>
        <w:t>因应急保障需服务商</w:t>
      </w:r>
      <w:r>
        <w:rPr>
          <w:rFonts w:hint="eastAsia" w:ascii="宋体" w:hAnsi="宋体" w:cs="宋体"/>
          <w:b w:val="0"/>
          <w:bCs w:val="0"/>
          <w:color w:val="0000FF"/>
          <w:sz w:val="20"/>
          <w:szCs w:val="20"/>
          <w:highlight w:val="none"/>
          <w:lang w:val="en-US" w:eastAsia="zh-CN"/>
        </w:rPr>
        <w:t>紧急</w:t>
      </w:r>
      <w:r>
        <w:rPr>
          <w:rFonts w:hint="eastAsia" w:ascii="宋体" w:hAnsi="宋体" w:eastAsia="宋体" w:cs="宋体"/>
          <w:b w:val="0"/>
          <w:bCs w:val="0"/>
          <w:color w:val="0000FF"/>
          <w:sz w:val="20"/>
          <w:szCs w:val="20"/>
          <w:highlight w:val="none"/>
          <w:lang w:val="en-US" w:eastAsia="zh-CN"/>
        </w:rPr>
        <w:t>采购的</w:t>
      </w:r>
      <w:r>
        <w:rPr>
          <w:rFonts w:hint="eastAsia" w:ascii="宋体" w:hAnsi="宋体" w:cs="宋体"/>
          <w:b w:val="0"/>
          <w:bCs w:val="0"/>
          <w:color w:val="0000FF"/>
          <w:sz w:val="20"/>
          <w:szCs w:val="20"/>
          <w:highlight w:val="none"/>
          <w:lang w:val="en-US" w:eastAsia="zh-CN"/>
        </w:rPr>
        <w:t>医疗服务队伍、应急药品、</w:t>
      </w:r>
      <w:r>
        <w:rPr>
          <w:rFonts w:hint="eastAsia" w:ascii="宋体" w:hAnsi="宋体" w:eastAsia="宋体" w:cs="宋体"/>
          <w:b w:val="0"/>
          <w:bCs w:val="0"/>
          <w:color w:val="0000FF"/>
          <w:sz w:val="20"/>
          <w:szCs w:val="20"/>
          <w:highlight w:val="none"/>
          <w:lang w:val="en-US" w:eastAsia="zh-CN"/>
        </w:rPr>
        <w:t>物资、工器具等，根据实际发生费用据实结算。</w:t>
      </w:r>
    </w:p>
    <w:p w14:paraId="147AF04F">
      <w:pPr>
        <w:keepNext/>
        <w:keepLines/>
        <w:widowControl w:val="0"/>
        <w:bidi w:val="0"/>
        <w:spacing w:beforeLines="0" w:beforeAutospacing="0" w:afterLines="0" w:afterAutospacing="0" w:line="360" w:lineRule="auto"/>
        <w:ind w:firstLine="0" w:firstLineChars="0"/>
        <w:jc w:val="center"/>
        <w:outlineLvl w:val="1"/>
        <w:rPr>
          <w:rFonts w:hint="eastAsia" w:ascii="宋体" w:hAnsi="宋体" w:eastAsia="宋体" w:cs="宋体"/>
          <w:b/>
          <w:kern w:val="2"/>
          <w:sz w:val="20"/>
          <w:szCs w:val="20"/>
          <w:lang w:val="en-US" w:eastAsia="zh-CN" w:bidi="ar-SA"/>
        </w:rPr>
      </w:pPr>
      <w:r>
        <w:rPr>
          <w:rFonts w:hint="eastAsia" w:ascii="宋体" w:hAnsi="宋体" w:eastAsia="宋体" w:cs="宋体"/>
          <w:b/>
          <w:kern w:val="2"/>
          <w:sz w:val="20"/>
          <w:szCs w:val="20"/>
          <w:lang w:val="en-US" w:eastAsia="zh-CN" w:bidi="ar-SA"/>
        </w:rPr>
        <w:t>（三十</w:t>
      </w:r>
      <w:r>
        <w:rPr>
          <w:rFonts w:hint="eastAsia" w:ascii="宋体" w:hAnsi="宋体" w:cs="宋体"/>
          <w:b/>
          <w:kern w:val="2"/>
          <w:sz w:val="20"/>
          <w:szCs w:val="20"/>
          <w:lang w:val="en-US" w:eastAsia="zh-CN" w:bidi="ar-SA"/>
        </w:rPr>
        <w:t>三</w:t>
      </w:r>
      <w:r>
        <w:rPr>
          <w:rFonts w:hint="eastAsia" w:ascii="宋体" w:hAnsi="宋体" w:eastAsia="宋体" w:cs="宋体"/>
          <w:b/>
          <w:kern w:val="2"/>
          <w:sz w:val="20"/>
          <w:szCs w:val="20"/>
          <w:lang w:val="en-US" w:eastAsia="zh-CN" w:bidi="ar-SA"/>
        </w:rPr>
        <w:t>）档案整理服务项目</w:t>
      </w:r>
    </w:p>
    <w:p w14:paraId="3032FF5F">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kern w:val="2"/>
          <w:sz w:val="20"/>
          <w:szCs w:val="20"/>
          <w:lang w:val="en-US" w:eastAsia="zh-CN" w:bidi="ar-SA"/>
        </w:rPr>
      </w:pPr>
      <w:bookmarkStart w:id="787" w:name="_Toc3627"/>
      <w:r>
        <w:rPr>
          <w:rFonts w:hint="eastAsia" w:ascii="宋体" w:hAnsi="宋体" w:eastAsia="宋体" w:cs="宋体"/>
          <w:b/>
          <w:bCs/>
          <w:kern w:val="2"/>
          <w:sz w:val="20"/>
          <w:szCs w:val="20"/>
          <w:lang w:val="en-US" w:eastAsia="zh-CN" w:bidi="ar-SA"/>
        </w:rPr>
        <w:t>一、项目简介</w:t>
      </w:r>
      <w:bookmarkEnd w:id="787"/>
    </w:p>
    <w:p w14:paraId="4DFD1DE2">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kern w:val="2"/>
          <w:sz w:val="20"/>
          <w:szCs w:val="20"/>
          <w:lang w:val="en-US" w:eastAsia="zh-CN" w:bidi="ar-SA"/>
        </w:rPr>
      </w:pPr>
      <w:bookmarkStart w:id="788" w:name="_Toc8785"/>
      <w:r>
        <w:rPr>
          <w:rFonts w:hint="eastAsia" w:ascii="宋体" w:hAnsi="宋体" w:eastAsia="宋体" w:cs="宋体"/>
          <w:b/>
          <w:bCs/>
          <w:kern w:val="2"/>
          <w:sz w:val="20"/>
          <w:szCs w:val="20"/>
          <w:lang w:val="en-US" w:eastAsia="zh-CN" w:bidi="ar-SA"/>
        </w:rPr>
        <w:t>（一）项目服务内容</w:t>
      </w:r>
      <w:bookmarkEnd w:id="788"/>
    </w:p>
    <w:p w14:paraId="63CE21F7">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cs="宋体"/>
          <w:b w:val="0"/>
          <w:bCs w:val="0"/>
          <w:kern w:val="2"/>
          <w:sz w:val="20"/>
          <w:szCs w:val="20"/>
          <w:lang w:val="en-US" w:eastAsia="zh-CN" w:bidi="ar-SA"/>
        </w:rPr>
        <w:t>对</w:t>
      </w:r>
      <w:r>
        <w:rPr>
          <w:rFonts w:hint="eastAsia" w:ascii="宋体" w:hAnsi="宋体" w:eastAsia="宋体" w:cs="宋体"/>
          <w:b w:val="0"/>
          <w:bCs w:val="0"/>
          <w:kern w:val="2"/>
          <w:sz w:val="20"/>
          <w:szCs w:val="20"/>
          <w:lang w:val="en-US" w:eastAsia="zh-CN" w:bidi="ar-SA"/>
        </w:rPr>
        <w:t>文书、合同、会计、采购、审计、科研、生产、信息化、基建、照片、光盘、实物等门类档案进行编页、编目、组件（卷）、扫描、装订、装盒、消毒、上架等整理工作，制作档案封面、备考表、档案盒脊背，并在南网档案管理应用系统著录档案信息、挂接附件。</w:t>
      </w:r>
    </w:p>
    <w:p w14:paraId="33397512">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配合做好档案库房日常巡检、档案接收、库房倒架、借阅利用登记等档案相关工作。</w:t>
      </w:r>
    </w:p>
    <w:p w14:paraId="06D8CF0D">
      <w:pPr>
        <w:keepNext w:val="0"/>
        <w:keepLines w:val="0"/>
        <w:pageBreakBefore w:val="0"/>
        <w:widowControl w:val="0"/>
        <w:kinsoku/>
        <w:wordWrap/>
        <w:overflowPunct/>
        <w:topLinePunct w:val="0"/>
        <w:autoSpaceDE/>
        <w:autoSpaceDN/>
        <w:bidi w:val="0"/>
        <w:adjustRightInd w:val="0"/>
        <w:snapToGrid w:val="0"/>
        <w:spacing w:line="240" w:lineRule="auto"/>
        <w:ind w:firstLine="402" w:firstLineChars="200"/>
        <w:textAlignment w:val="auto"/>
        <w:rPr>
          <w:rFonts w:hint="default" w:ascii="宋体" w:hAnsi="宋体" w:eastAsia="宋体" w:cs="宋体"/>
          <w:b/>
          <w:bCs/>
          <w:kern w:val="2"/>
          <w:sz w:val="20"/>
          <w:szCs w:val="20"/>
          <w:lang w:val="en-US" w:eastAsia="zh-CN" w:bidi="ar-SA"/>
        </w:rPr>
      </w:pPr>
      <w:bookmarkStart w:id="789" w:name="_Toc26513"/>
      <w:r>
        <w:rPr>
          <w:rFonts w:hint="eastAsia" w:ascii="宋体" w:hAnsi="宋体" w:eastAsia="宋体" w:cs="宋体"/>
          <w:b/>
          <w:bCs/>
          <w:kern w:val="2"/>
          <w:sz w:val="20"/>
          <w:szCs w:val="20"/>
          <w:lang w:val="en-US" w:eastAsia="zh-CN" w:bidi="ar-SA"/>
        </w:rPr>
        <w:t>（二）项目服务人员</w:t>
      </w:r>
      <w:bookmarkEnd w:id="789"/>
    </w:p>
    <w:p w14:paraId="4A9055A6">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服务商应委派符合档案整理工作要求的专业人员，具备大专（含）及以上学历，具有档案整理外包服务工作经验2年及以上，以及从事档案工作的相关专业技术资格（</w:t>
      </w:r>
      <w:r>
        <w:rPr>
          <w:rFonts w:hint="eastAsia" w:ascii="宋体" w:hAnsi="宋体" w:cs="宋体"/>
          <w:b w:val="0"/>
          <w:bCs w:val="0"/>
          <w:kern w:val="2"/>
          <w:sz w:val="20"/>
          <w:szCs w:val="20"/>
          <w:lang w:val="en-US" w:eastAsia="zh-CN" w:bidi="ar-SA"/>
        </w:rPr>
        <w:t>或业务培训证书</w:t>
      </w:r>
      <w:r>
        <w:rPr>
          <w:rFonts w:hint="eastAsia" w:ascii="宋体" w:hAnsi="宋体" w:eastAsia="宋体" w:cs="宋体"/>
          <w:b w:val="0"/>
          <w:bCs w:val="0"/>
          <w:kern w:val="2"/>
          <w:sz w:val="20"/>
          <w:szCs w:val="20"/>
          <w:lang w:val="en-US" w:eastAsia="zh-CN" w:bidi="ar-SA"/>
        </w:rPr>
        <w:t>）证书。</w:t>
      </w:r>
    </w:p>
    <w:p w14:paraId="76CEB7E3">
      <w:pPr>
        <w:keepNext w:val="0"/>
        <w:keepLines w:val="0"/>
        <w:pageBreakBefore w:val="0"/>
        <w:widowControl w:val="0"/>
        <w:kinsoku/>
        <w:wordWrap/>
        <w:overflowPunct/>
        <w:topLinePunct w:val="0"/>
        <w:autoSpaceDE/>
        <w:autoSpaceDN/>
        <w:bidi w:val="0"/>
        <w:adjustRightInd w:val="0"/>
        <w:snapToGrid w:val="0"/>
        <w:spacing w:line="240" w:lineRule="auto"/>
        <w:ind w:firstLine="201" w:firstLineChars="100"/>
        <w:textAlignment w:val="auto"/>
        <w:outlineLvl w:val="1"/>
        <w:rPr>
          <w:rFonts w:ascii="宋体" w:hAnsi="宋体" w:eastAsia="宋体" w:cs="宋体"/>
          <w:b/>
          <w:bCs/>
          <w:sz w:val="28"/>
          <w:szCs w:val="28"/>
        </w:rPr>
      </w:pPr>
      <w:bookmarkStart w:id="790" w:name="_Toc22917"/>
      <w:r>
        <w:rPr>
          <w:rFonts w:hint="eastAsia" w:ascii="宋体" w:hAnsi="宋体" w:eastAsia="宋体" w:cs="宋体"/>
          <w:b/>
          <w:bCs/>
          <w:kern w:val="2"/>
          <w:sz w:val="20"/>
          <w:szCs w:val="20"/>
          <w:lang w:val="en-US" w:eastAsia="zh-CN" w:bidi="ar-SA"/>
        </w:rPr>
        <w:t>二</w:t>
      </w:r>
      <w:r>
        <w:rPr>
          <w:rFonts w:hint="eastAsia" w:ascii="宋体" w:hAnsi="宋体" w:cs="宋体"/>
          <w:b/>
          <w:bCs/>
          <w:kern w:val="2"/>
          <w:sz w:val="20"/>
          <w:szCs w:val="20"/>
          <w:lang w:val="en-US" w:eastAsia="zh-CN" w:bidi="ar-SA"/>
        </w:rPr>
        <w:t>、</w:t>
      </w:r>
      <w:r>
        <w:rPr>
          <w:rFonts w:hint="eastAsia" w:ascii="宋体" w:hAnsi="宋体" w:eastAsia="宋体" w:cs="宋体"/>
          <w:b/>
          <w:bCs/>
          <w:kern w:val="2"/>
          <w:sz w:val="20"/>
          <w:szCs w:val="20"/>
          <w:lang w:val="en-US" w:eastAsia="zh-CN" w:bidi="ar-SA"/>
        </w:rPr>
        <w:t>项目服务标准</w:t>
      </w:r>
      <w:bookmarkEnd w:id="790"/>
    </w:p>
    <w:p w14:paraId="676CB7EE">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服务商在提供档案整理服务时，需按照如下标准执行，要求所用标准必须为最新版本，如果这些标准有矛盾时，应按最高标准的条款执行或按双方商定的标准执行。此外，如果在合同</w:t>
      </w:r>
      <w:r>
        <w:rPr>
          <w:rFonts w:hint="eastAsia" w:ascii="宋体" w:hAnsi="宋体" w:cs="宋体"/>
          <w:b w:val="0"/>
          <w:bCs w:val="0"/>
          <w:kern w:val="2"/>
          <w:sz w:val="20"/>
          <w:szCs w:val="20"/>
          <w:lang w:val="en-US" w:eastAsia="zh-CN" w:bidi="ar-SA"/>
        </w:rPr>
        <w:t>履约</w:t>
      </w:r>
      <w:r>
        <w:rPr>
          <w:rFonts w:hint="eastAsia" w:ascii="宋体" w:hAnsi="宋体" w:eastAsia="宋体" w:cs="宋体"/>
          <w:b w:val="0"/>
          <w:bCs w:val="0"/>
          <w:kern w:val="2"/>
          <w:sz w:val="20"/>
          <w:szCs w:val="20"/>
          <w:lang w:val="en-US" w:eastAsia="zh-CN" w:bidi="ar-SA"/>
        </w:rPr>
        <w:t>期间国家颁布新的标准时，应按最新的条款执行。</w:t>
      </w:r>
    </w:p>
    <w:p w14:paraId="3C3F0E0C">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表2：项目服务标准</w:t>
      </w:r>
    </w:p>
    <w:tbl>
      <w:tblPr>
        <w:tblStyle w:val="16"/>
        <w:tblW w:w="8219"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7520"/>
      </w:tblGrid>
      <w:tr w14:paraId="62837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blHeader/>
        </w:trPr>
        <w:tc>
          <w:tcPr>
            <w:tcW w:w="699" w:type="dxa"/>
            <w:vAlign w:val="top"/>
          </w:tcPr>
          <w:p w14:paraId="4889C34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序号</w:t>
            </w:r>
          </w:p>
        </w:tc>
        <w:tc>
          <w:tcPr>
            <w:tcW w:w="7520" w:type="dxa"/>
            <w:vAlign w:val="top"/>
          </w:tcPr>
          <w:p w14:paraId="3BBB24B3">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cs="宋体"/>
                <w:b w:val="0"/>
                <w:bCs w:val="0"/>
                <w:kern w:val="2"/>
                <w:sz w:val="20"/>
                <w:szCs w:val="20"/>
                <w:lang w:val="en-US" w:eastAsia="zh-CN" w:bidi="ar-SA"/>
              </w:rPr>
              <w:t>执行</w:t>
            </w:r>
            <w:r>
              <w:rPr>
                <w:rFonts w:hint="eastAsia" w:ascii="宋体" w:hAnsi="宋体" w:eastAsia="宋体" w:cs="宋体"/>
                <w:b w:val="0"/>
                <w:bCs w:val="0"/>
                <w:kern w:val="2"/>
                <w:sz w:val="20"/>
                <w:szCs w:val="20"/>
                <w:lang w:val="en-US" w:eastAsia="zh-CN" w:bidi="ar-SA"/>
              </w:rPr>
              <w:t>标准（以最新版本为准）</w:t>
            </w:r>
          </w:p>
        </w:tc>
      </w:tr>
      <w:tr w14:paraId="31FCA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99" w:type="dxa"/>
            <w:vAlign w:val="top"/>
          </w:tcPr>
          <w:p w14:paraId="73138FF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w:t>
            </w:r>
          </w:p>
        </w:tc>
        <w:tc>
          <w:tcPr>
            <w:tcW w:w="7520" w:type="dxa"/>
            <w:vAlign w:val="top"/>
          </w:tcPr>
          <w:p w14:paraId="28D58FF6">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《中国人民共和国档案法》</w:t>
            </w:r>
          </w:p>
        </w:tc>
      </w:tr>
      <w:tr w14:paraId="7214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699" w:type="dxa"/>
            <w:vAlign w:val="top"/>
          </w:tcPr>
          <w:p w14:paraId="463CA19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2</w:t>
            </w:r>
          </w:p>
        </w:tc>
        <w:tc>
          <w:tcPr>
            <w:tcW w:w="7520" w:type="dxa"/>
            <w:vAlign w:val="top"/>
          </w:tcPr>
          <w:p w14:paraId="1F27EFF7">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《中国人民共和国档案实施办法》</w:t>
            </w:r>
          </w:p>
        </w:tc>
      </w:tr>
      <w:tr w14:paraId="2449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0F2F676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3</w:t>
            </w:r>
          </w:p>
        </w:tc>
        <w:tc>
          <w:tcPr>
            <w:tcW w:w="7520" w:type="dxa"/>
            <w:vAlign w:val="top"/>
          </w:tcPr>
          <w:p w14:paraId="4BFD3DC2">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《归档文件整理规则》</w:t>
            </w:r>
          </w:p>
        </w:tc>
      </w:tr>
      <w:tr w14:paraId="4293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5AC6E24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4</w:t>
            </w:r>
          </w:p>
        </w:tc>
        <w:tc>
          <w:tcPr>
            <w:tcW w:w="7520" w:type="dxa"/>
            <w:vAlign w:val="top"/>
          </w:tcPr>
          <w:p w14:paraId="4DD06FD9">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《企业档案工作规范》</w:t>
            </w:r>
          </w:p>
        </w:tc>
      </w:tr>
      <w:tr w14:paraId="2C81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2B54586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5</w:t>
            </w:r>
          </w:p>
        </w:tc>
        <w:tc>
          <w:tcPr>
            <w:tcW w:w="7520" w:type="dxa"/>
            <w:vAlign w:val="top"/>
          </w:tcPr>
          <w:p w14:paraId="400AC52C">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《科学技术研究项目档案管理规范》</w:t>
            </w:r>
          </w:p>
        </w:tc>
      </w:tr>
      <w:tr w14:paraId="150B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18B5A30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6</w:t>
            </w:r>
          </w:p>
        </w:tc>
        <w:tc>
          <w:tcPr>
            <w:tcW w:w="7520" w:type="dxa"/>
            <w:vAlign w:val="top"/>
          </w:tcPr>
          <w:p w14:paraId="0A683199">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《科学技术案卷构成的一般要求》</w:t>
            </w:r>
          </w:p>
        </w:tc>
      </w:tr>
      <w:tr w14:paraId="46762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71A9D15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w:t>
            </w:r>
          </w:p>
        </w:tc>
        <w:tc>
          <w:tcPr>
            <w:tcW w:w="7520" w:type="dxa"/>
            <w:vAlign w:val="top"/>
          </w:tcPr>
          <w:p w14:paraId="0DFF06FA">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《电子文件归档与电子档案管理规范》</w:t>
            </w:r>
          </w:p>
        </w:tc>
      </w:tr>
      <w:tr w14:paraId="520B0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5F1FE01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8</w:t>
            </w:r>
          </w:p>
        </w:tc>
        <w:tc>
          <w:tcPr>
            <w:tcW w:w="7520" w:type="dxa"/>
            <w:vAlign w:val="top"/>
          </w:tcPr>
          <w:p w14:paraId="2C07C8D9">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《会计档案案卷格式》</w:t>
            </w:r>
          </w:p>
        </w:tc>
      </w:tr>
      <w:tr w14:paraId="3A2E4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69EE5E7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9</w:t>
            </w:r>
          </w:p>
        </w:tc>
        <w:tc>
          <w:tcPr>
            <w:tcW w:w="7520" w:type="dxa"/>
            <w:vAlign w:val="top"/>
          </w:tcPr>
          <w:p w14:paraId="619D5E34">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《数码照片归档与管理规范》</w:t>
            </w:r>
          </w:p>
        </w:tc>
      </w:tr>
      <w:tr w14:paraId="6422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228B46D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10</w:t>
            </w:r>
          </w:p>
        </w:tc>
        <w:tc>
          <w:tcPr>
            <w:tcW w:w="7520" w:type="dxa"/>
            <w:vAlign w:val="top"/>
          </w:tcPr>
          <w:p w14:paraId="25E90231">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《档案服务外包工作规范  第4部分：档案整理服务》</w:t>
            </w:r>
          </w:p>
        </w:tc>
      </w:tr>
      <w:tr w14:paraId="6578D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0B78B05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11</w:t>
            </w:r>
          </w:p>
        </w:tc>
        <w:tc>
          <w:tcPr>
            <w:tcW w:w="7520" w:type="dxa"/>
            <w:vAlign w:val="top"/>
          </w:tcPr>
          <w:p w14:paraId="57759B77">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《纸质归档文件装订规范》</w:t>
            </w:r>
          </w:p>
        </w:tc>
      </w:tr>
      <w:tr w14:paraId="1BE58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62BA3AE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12</w:t>
            </w:r>
          </w:p>
        </w:tc>
        <w:tc>
          <w:tcPr>
            <w:tcW w:w="7520" w:type="dxa"/>
            <w:vAlign w:val="top"/>
          </w:tcPr>
          <w:p w14:paraId="1C60904E">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《中国南方电网有限责任公司档案管理办法》</w:t>
            </w:r>
          </w:p>
        </w:tc>
      </w:tr>
      <w:tr w14:paraId="6FA03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99" w:type="dxa"/>
            <w:vAlign w:val="top"/>
          </w:tcPr>
          <w:p w14:paraId="0142BEB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13</w:t>
            </w:r>
          </w:p>
        </w:tc>
        <w:tc>
          <w:tcPr>
            <w:tcW w:w="7520" w:type="dxa"/>
            <w:vAlign w:val="top"/>
          </w:tcPr>
          <w:p w14:paraId="31AB32DA">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《广西电网有限责任公司档案管理办法》</w:t>
            </w:r>
          </w:p>
        </w:tc>
      </w:tr>
    </w:tbl>
    <w:p w14:paraId="1C8866BA">
      <w:pPr>
        <w:keepNext w:val="0"/>
        <w:keepLines w:val="0"/>
        <w:pageBreakBefore w:val="0"/>
        <w:widowControl w:val="0"/>
        <w:kinsoku/>
        <w:wordWrap/>
        <w:overflowPunct/>
        <w:topLinePunct w:val="0"/>
        <w:autoSpaceDE/>
        <w:autoSpaceDN/>
        <w:bidi w:val="0"/>
        <w:adjustRightInd w:val="0"/>
        <w:snapToGrid w:val="0"/>
        <w:spacing w:line="240" w:lineRule="auto"/>
        <w:ind w:firstLine="402" w:firstLineChars="200"/>
        <w:textAlignment w:val="auto"/>
        <w:rPr>
          <w:rFonts w:hint="eastAsia" w:ascii="宋体" w:hAnsi="宋体" w:eastAsia="宋体" w:cs="宋体"/>
          <w:b/>
          <w:bCs/>
          <w:kern w:val="2"/>
          <w:sz w:val="20"/>
          <w:szCs w:val="20"/>
          <w:lang w:val="en-US" w:eastAsia="zh-CN" w:bidi="ar-SA"/>
        </w:rPr>
      </w:pPr>
      <w:bookmarkStart w:id="791" w:name="_Toc30213"/>
      <w:r>
        <w:rPr>
          <w:rFonts w:hint="eastAsia" w:ascii="宋体" w:hAnsi="宋体" w:eastAsia="宋体" w:cs="宋体"/>
          <w:b/>
          <w:bCs/>
          <w:kern w:val="2"/>
          <w:sz w:val="20"/>
          <w:szCs w:val="20"/>
          <w:lang w:val="en-US" w:eastAsia="zh-CN" w:bidi="ar-SA"/>
        </w:rPr>
        <w:t>（二）项目服务要求</w:t>
      </w:r>
      <w:bookmarkEnd w:id="791"/>
    </w:p>
    <w:p w14:paraId="5BCBB293">
      <w:pPr>
        <w:keepNext w:val="0"/>
        <w:keepLines w:val="0"/>
        <w:pageBreakBefore w:val="0"/>
        <w:widowControl w:val="0"/>
        <w:kinsoku/>
        <w:wordWrap/>
        <w:overflowPunct/>
        <w:topLinePunct w:val="0"/>
        <w:autoSpaceDE/>
        <w:autoSpaceDN/>
        <w:bidi w:val="0"/>
        <w:adjustRightInd w:val="0"/>
        <w:snapToGrid w:val="0"/>
        <w:spacing w:line="240" w:lineRule="auto"/>
        <w:ind w:firstLine="402" w:firstLineChars="200"/>
        <w:textAlignment w:val="auto"/>
        <w:rPr>
          <w:rFonts w:hint="eastAsia" w:ascii="宋体" w:hAnsi="宋体" w:eastAsia="宋体" w:cs="宋体"/>
          <w:b/>
          <w:bCs/>
          <w:kern w:val="2"/>
          <w:sz w:val="20"/>
          <w:szCs w:val="20"/>
          <w:lang w:val="en-US" w:eastAsia="zh-CN" w:bidi="ar-SA"/>
        </w:rPr>
      </w:pPr>
      <w:r>
        <w:rPr>
          <w:rFonts w:hint="eastAsia" w:ascii="宋体" w:hAnsi="宋体" w:eastAsia="宋体" w:cs="宋体"/>
          <w:b/>
          <w:bCs/>
          <w:kern w:val="2"/>
          <w:sz w:val="20"/>
          <w:szCs w:val="20"/>
          <w:lang w:val="en-US" w:eastAsia="zh-CN" w:bidi="ar-SA"/>
        </w:rPr>
        <w:t>1.人员工作要求</w:t>
      </w:r>
    </w:p>
    <w:p w14:paraId="281FBA4E">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1）合同实施前，服务商需对采购方档案整理的具体状况进行全面摸查，根据摸查情况指派专人进行对接。</w:t>
      </w:r>
    </w:p>
    <w:p w14:paraId="65D0E102">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default"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2)服务商指派专业人员到采购方指定地点开展工作，专业人员需准确理解采购方的要求，按照采购方的技术规范要求（详见附件1）提供相应服务，并在采购方规定时间内完成工作。</w:t>
      </w:r>
    </w:p>
    <w:p w14:paraId="1890C4C0">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3)服务商委派的服务人员按照采购方工作时间安排，遵守采购方各项管理制度，严格按照国家标准、行业标准、企业标准、技术规范等要求开展工作。</w:t>
      </w:r>
    </w:p>
    <w:p w14:paraId="7AD7F4CF">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default"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4)服务商委派的服务人员需严格遵守国家、南方电网公司及广西电网公司保密制度，遵守电科院办公场所管理的有关规定。服务人员不得擅自翻阅、复制、传播所接触的资料或数据。服务商应与采购方签署保密协议书，并负责约束有关员工的保密工作。如服务商泄露采购方的资料或数据，服务商应全额赔偿采购方的损失。</w:t>
      </w:r>
    </w:p>
    <w:p w14:paraId="054F624E">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5)合同履约期间服务商不得随意更换服务人员，如需更换应向电科院提出书面申请并获得电科院书面同意后方可变更，变更后的人员需重新审核、登记。</w:t>
      </w:r>
      <w:r>
        <w:rPr>
          <w:rFonts w:hint="eastAsia" w:ascii="宋体" w:hAnsi="宋体" w:cs="宋体"/>
          <w:b w:val="0"/>
          <w:bCs w:val="0"/>
          <w:kern w:val="2"/>
          <w:sz w:val="20"/>
          <w:szCs w:val="20"/>
          <w:lang w:val="en-US" w:eastAsia="zh-CN" w:bidi="ar-SA"/>
        </w:rPr>
        <w:t>采购方</w:t>
      </w:r>
      <w:r>
        <w:rPr>
          <w:rFonts w:hint="eastAsia" w:ascii="宋体" w:hAnsi="宋体" w:eastAsia="宋体" w:cs="宋体"/>
          <w:b w:val="0"/>
          <w:bCs w:val="0"/>
          <w:kern w:val="2"/>
          <w:sz w:val="20"/>
          <w:szCs w:val="20"/>
          <w:lang w:val="en-US" w:eastAsia="zh-CN" w:bidi="ar-SA"/>
        </w:rPr>
        <w:t>若认为服务商派驻的服务人员不满足要求，服务商应配合按照要求更换服务人员。</w:t>
      </w:r>
    </w:p>
    <w:p w14:paraId="67ADEC0F">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default"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6）档案整理服务内容及过程应按采购方要求做好记录表单备查，服务商人员在服务期间食宿自理。</w:t>
      </w:r>
    </w:p>
    <w:p w14:paraId="33EE160D">
      <w:pPr>
        <w:keepNext w:val="0"/>
        <w:keepLines w:val="0"/>
        <w:pageBreakBefore w:val="0"/>
        <w:widowControl w:val="0"/>
        <w:kinsoku/>
        <w:wordWrap/>
        <w:overflowPunct/>
        <w:topLinePunct w:val="0"/>
        <w:autoSpaceDE/>
        <w:autoSpaceDN/>
        <w:bidi w:val="0"/>
        <w:adjustRightInd w:val="0"/>
        <w:snapToGrid w:val="0"/>
        <w:spacing w:line="240" w:lineRule="auto"/>
        <w:ind w:firstLine="402" w:firstLineChars="200"/>
        <w:textAlignment w:val="auto"/>
        <w:rPr>
          <w:rFonts w:hint="eastAsia" w:ascii="宋体" w:hAnsi="宋体" w:eastAsia="宋体" w:cs="宋体"/>
          <w:b/>
          <w:bCs/>
          <w:kern w:val="2"/>
          <w:sz w:val="20"/>
          <w:szCs w:val="20"/>
          <w:lang w:val="en-US" w:eastAsia="zh-CN" w:bidi="ar-SA"/>
        </w:rPr>
      </w:pPr>
      <w:r>
        <w:rPr>
          <w:rFonts w:hint="eastAsia" w:ascii="宋体" w:hAnsi="宋体" w:eastAsia="宋体" w:cs="宋体"/>
          <w:b/>
          <w:bCs/>
          <w:kern w:val="2"/>
          <w:sz w:val="20"/>
          <w:szCs w:val="20"/>
          <w:lang w:val="en-US" w:eastAsia="zh-CN" w:bidi="ar-SA"/>
        </w:rPr>
        <w:t>2.设备管理要求</w:t>
      </w:r>
    </w:p>
    <w:p w14:paraId="771B81CE">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用于档案整理的设备和存储介质严禁与其他用途设备和存储介质交叉使用；设备和存储介质移出场所前，应进行保密技术处理。无法确保数据可靠清除的设备和存储介质（如扫描仪自带硬盘、移动硬盘、U盘等）严禁外送维修。档案整理工作结束后，应将扫描仪自带硬盘、移动存储介质移交电科院保管或销毁，严禁擅自带走。</w:t>
      </w:r>
    </w:p>
    <w:p w14:paraId="3C7321E6">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2）与项目无关的人员未经用户许可不得进入整理服务现场。任何进出整理现场的服务人员一律不得携带手机、MP3、U盘、移动硬盘、以及具备拍摄功能的数码产品等个人物品，个人物品存放在整理场所外的指定位置。</w:t>
      </w:r>
    </w:p>
    <w:p w14:paraId="61BB013B">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3）采购方在档案整理现场关键位置安装监控摄像头，在工作时间内进行无死角、24小时实时监控并全程数字录像存档。</w:t>
      </w:r>
    </w:p>
    <w:p w14:paraId="52C5678C">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4）服务人员应做好档案整理场所的日常防火、防盗、保密工作。</w:t>
      </w:r>
      <w:r>
        <w:rPr>
          <w:rFonts w:hint="eastAsia" w:ascii="宋体" w:hAnsi="宋体" w:eastAsia="宋体" w:cs="宋体"/>
          <w:b w:val="0"/>
          <w:bCs w:val="0"/>
          <w:kern w:val="2"/>
          <w:sz w:val="20"/>
          <w:szCs w:val="20"/>
          <w:lang w:val="zh-CN" w:eastAsia="zh-CN" w:bidi="ar-SA"/>
        </w:rPr>
        <w:t>安全使用扫描仪、打印机、切割机、装订机、档案消毒柜、空调等电器设备</w:t>
      </w:r>
      <w:r>
        <w:rPr>
          <w:rFonts w:hint="eastAsia" w:ascii="宋体" w:hAnsi="宋体" w:eastAsia="宋体" w:cs="宋体"/>
          <w:b w:val="0"/>
          <w:bCs w:val="0"/>
          <w:kern w:val="2"/>
          <w:sz w:val="20"/>
          <w:szCs w:val="20"/>
          <w:lang w:val="en-US" w:eastAsia="zh-CN" w:bidi="ar-SA"/>
        </w:rPr>
        <w:t>。</w:t>
      </w:r>
    </w:p>
    <w:p w14:paraId="737391A0">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3.档案整理验收要求</w:t>
      </w:r>
    </w:p>
    <w:p w14:paraId="5BA2A902">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default"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采购方对整理服务质量主要从分类的准确性、文件和案卷排列的合理性、著录的规范性、条目数据与档案实体对应关系的一致性、档号编制的准确性等方面进行抽查，抽查比例不应少于各类档案总量的20%。整理服务质量准确率要求达95%及以上，其中条目数据与档案实体对应关系的一致性、档号准确率要求达100%。</w:t>
      </w:r>
    </w:p>
    <w:p w14:paraId="35247A50">
      <w:pPr>
        <w:keepNext w:val="0"/>
        <w:keepLines w:val="0"/>
        <w:pageBreakBefore w:val="0"/>
        <w:widowControl w:val="0"/>
        <w:kinsoku/>
        <w:wordWrap/>
        <w:overflowPunct/>
        <w:topLinePunct w:val="0"/>
        <w:autoSpaceDE/>
        <w:autoSpaceDN/>
        <w:bidi w:val="0"/>
        <w:adjustRightInd w:val="0"/>
        <w:snapToGrid w:val="0"/>
        <w:spacing w:line="240" w:lineRule="auto"/>
        <w:ind w:firstLine="402" w:firstLineChars="200"/>
        <w:textAlignment w:val="auto"/>
        <w:rPr>
          <w:rFonts w:hint="eastAsia" w:ascii="宋体" w:hAnsi="宋体" w:eastAsia="宋体" w:cs="宋体"/>
          <w:b/>
          <w:bCs/>
          <w:kern w:val="2"/>
          <w:sz w:val="20"/>
          <w:szCs w:val="20"/>
          <w:lang w:val="en-US" w:eastAsia="zh-CN" w:bidi="ar-SA"/>
        </w:rPr>
      </w:pPr>
      <w:bookmarkStart w:id="792" w:name="_Toc28641"/>
      <w:r>
        <w:rPr>
          <w:rFonts w:hint="eastAsia" w:ascii="宋体" w:hAnsi="宋体" w:cs="宋体"/>
          <w:b/>
          <w:bCs/>
          <w:kern w:val="2"/>
          <w:sz w:val="20"/>
          <w:szCs w:val="20"/>
          <w:lang w:val="en-US" w:eastAsia="zh-CN" w:bidi="ar-SA"/>
        </w:rPr>
        <w:t>3、</w:t>
      </w:r>
      <w:r>
        <w:rPr>
          <w:rFonts w:hint="eastAsia" w:ascii="宋体" w:hAnsi="宋体" w:eastAsia="宋体" w:cs="宋体"/>
          <w:b/>
          <w:bCs/>
          <w:kern w:val="2"/>
          <w:sz w:val="20"/>
          <w:szCs w:val="20"/>
          <w:lang w:val="en-US" w:eastAsia="zh-CN" w:bidi="ar-SA"/>
        </w:rPr>
        <w:t>服务履约考核</w:t>
      </w:r>
      <w:bookmarkEnd w:id="792"/>
    </w:p>
    <w:p w14:paraId="5AB0E6EF">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793" w:name="_Toc11194"/>
      <w:r>
        <w:rPr>
          <w:rFonts w:hint="eastAsia" w:ascii="宋体" w:hAnsi="宋体" w:eastAsia="宋体" w:cs="宋体"/>
          <w:b w:val="0"/>
          <w:bCs w:val="0"/>
          <w:kern w:val="2"/>
          <w:sz w:val="20"/>
          <w:szCs w:val="20"/>
          <w:lang w:val="en-US" w:eastAsia="zh-CN" w:bidi="ar-SA"/>
        </w:rPr>
        <w:t>采购方定期对服务商工作进行考核，考核结果作为对服务商履约考核的评价。评价结果的应用按相关的服务商管理办法执行。</w:t>
      </w:r>
    </w:p>
    <w:p w14:paraId="5E2ED556">
      <w:pPr>
        <w:keepNext w:val="0"/>
        <w:keepLines w:val="0"/>
        <w:pageBreakBefore w:val="0"/>
        <w:widowControl w:val="0"/>
        <w:kinsoku/>
        <w:wordWrap/>
        <w:overflowPunct/>
        <w:topLinePunct w:val="0"/>
        <w:autoSpaceDE/>
        <w:autoSpaceDN/>
        <w:bidi w:val="0"/>
        <w:adjustRightInd w:val="0"/>
        <w:snapToGrid w:val="0"/>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表3：服务履约考核标准</w:t>
      </w:r>
      <w:bookmarkEnd w:id="793"/>
    </w:p>
    <w:tbl>
      <w:tblPr>
        <w:tblStyle w:val="15"/>
        <w:tblpPr w:leftFromText="180" w:rightFromText="180" w:vertAnchor="text" w:tblpX="100" w:tblpY="1"/>
        <w:tblOverlap w:val="never"/>
        <w:tblW w:w="511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5"/>
        <w:gridCol w:w="900"/>
        <w:gridCol w:w="1740"/>
        <w:gridCol w:w="5369"/>
      </w:tblGrid>
      <w:tr w14:paraId="57637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blHeader/>
        </w:trPr>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7DEA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序号</w:t>
            </w:r>
          </w:p>
        </w:tc>
        <w:tc>
          <w:tcPr>
            <w:tcW w:w="5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A261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维度</w:t>
            </w:r>
          </w:p>
        </w:tc>
        <w:tc>
          <w:tcPr>
            <w:tcW w:w="9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0147D">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评价内容</w:t>
            </w:r>
          </w:p>
        </w:tc>
        <w:tc>
          <w:tcPr>
            <w:tcW w:w="3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440BD">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评分标准</w:t>
            </w:r>
          </w:p>
        </w:tc>
      </w:tr>
      <w:tr w14:paraId="733EF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404" w:type="pct"/>
            <w:tcBorders>
              <w:top w:val="single" w:color="000000" w:sz="4" w:space="0"/>
              <w:left w:val="single" w:color="000000" w:sz="4" w:space="0"/>
              <w:bottom w:val="nil"/>
              <w:right w:val="single" w:color="000000" w:sz="4" w:space="0"/>
            </w:tcBorders>
            <w:shd w:val="clear" w:color="auto" w:fill="auto"/>
            <w:vAlign w:val="center"/>
          </w:tcPr>
          <w:p w14:paraId="3871F8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64A84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服务</w:t>
            </w:r>
          </w:p>
          <w:p w14:paraId="699E6F7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评价</w:t>
            </w:r>
          </w:p>
        </w:tc>
        <w:tc>
          <w:tcPr>
            <w:tcW w:w="9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6C6E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质量评价评价</w:t>
            </w:r>
          </w:p>
        </w:tc>
        <w:tc>
          <w:tcPr>
            <w:tcW w:w="3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9698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所提供的服务质量不符合采购方要求，档案整理有重大错漏，或对有误档案未及时整改的，每次扣5分。</w:t>
            </w:r>
          </w:p>
        </w:tc>
      </w:tr>
      <w:tr w14:paraId="41290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404" w:type="pct"/>
            <w:tcBorders>
              <w:top w:val="single" w:color="000000" w:sz="4" w:space="0"/>
              <w:left w:val="single" w:color="000000" w:sz="4" w:space="0"/>
              <w:bottom w:val="nil"/>
              <w:right w:val="single" w:color="000000" w:sz="4" w:space="0"/>
            </w:tcBorders>
            <w:shd w:val="clear" w:color="auto" w:fill="auto"/>
            <w:vAlign w:val="center"/>
          </w:tcPr>
          <w:p w14:paraId="7A09422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2</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2890D">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p>
        </w:tc>
        <w:tc>
          <w:tcPr>
            <w:tcW w:w="9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11C6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响应速度评价</w:t>
            </w:r>
          </w:p>
        </w:tc>
        <w:tc>
          <w:tcPr>
            <w:tcW w:w="3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43FB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服务响应速度慢，影响采购方的预期计划，或未按时完成采购方工作安排的，每次扣5分。</w:t>
            </w:r>
          </w:p>
        </w:tc>
      </w:tr>
      <w:tr w14:paraId="2C3B6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404" w:type="pct"/>
            <w:tcBorders>
              <w:top w:val="single" w:color="000000" w:sz="4" w:space="0"/>
              <w:left w:val="single" w:color="000000" w:sz="4" w:space="0"/>
              <w:bottom w:val="nil"/>
              <w:right w:val="single" w:color="000000" w:sz="4" w:space="0"/>
            </w:tcBorders>
            <w:shd w:val="clear" w:color="auto" w:fill="auto"/>
            <w:vAlign w:val="center"/>
          </w:tcPr>
          <w:p w14:paraId="6ED763D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3</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0BC02">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p>
        </w:tc>
        <w:tc>
          <w:tcPr>
            <w:tcW w:w="9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E7BD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服务准时性评价</w:t>
            </w:r>
          </w:p>
        </w:tc>
        <w:tc>
          <w:tcPr>
            <w:tcW w:w="3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B12E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未与采购方沟通、无故缺勤、迟到早退的，或未按规定时间提供服务的，每次扣5分。</w:t>
            </w:r>
          </w:p>
        </w:tc>
      </w:tr>
      <w:tr w14:paraId="0E7E0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404" w:type="pct"/>
            <w:tcBorders>
              <w:top w:val="single" w:color="000000" w:sz="4" w:space="0"/>
              <w:left w:val="single" w:color="000000" w:sz="4" w:space="0"/>
              <w:bottom w:val="nil"/>
              <w:right w:val="single" w:color="000000" w:sz="4" w:space="0"/>
            </w:tcBorders>
            <w:shd w:val="clear" w:color="auto" w:fill="auto"/>
            <w:vAlign w:val="center"/>
          </w:tcPr>
          <w:p w14:paraId="34B76E3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4</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F9F77">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p>
        </w:tc>
        <w:tc>
          <w:tcPr>
            <w:tcW w:w="9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36B2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服务态度评价</w:t>
            </w:r>
          </w:p>
        </w:tc>
        <w:tc>
          <w:tcPr>
            <w:tcW w:w="3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BBCA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服务态度差，采购方向服务商要求换人或投诉，每次扣5分。</w:t>
            </w:r>
          </w:p>
        </w:tc>
      </w:tr>
      <w:tr w14:paraId="228EA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trPr>
        <w:tc>
          <w:tcPr>
            <w:tcW w:w="404" w:type="pct"/>
            <w:tcBorders>
              <w:top w:val="single" w:color="000000" w:sz="4" w:space="0"/>
              <w:left w:val="single" w:color="000000" w:sz="4" w:space="0"/>
              <w:bottom w:val="nil"/>
              <w:right w:val="single" w:color="000000" w:sz="4" w:space="0"/>
            </w:tcBorders>
            <w:shd w:val="clear" w:color="auto" w:fill="auto"/>
            <w:vAlign w:val="center"/>
          </w:tcPr>
          <w:p w14:paraId="4A822EB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5</w:t>
            </w:r>
          </w:p>
        </w:tc>
        <w:tc>
          <w:tcPr>
            <w:tcW w:w="5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5E07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人员</w:t>
            </w:r>
          </w:p>
          <w:p w14:paraId="7B36C2A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管理</w:t>
            </w:r>
          </w:p>
        </w:tc>
        <w:tc>
          <w:tcPr>
            <w:tcW w:w="9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AE3B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持证上岗评价</w:t>
            </w:r>
          </w:p>
        </w:tc>
        <w:tc>
          <w:tcPr>
            <w:tcW w:w="3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58FA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相关法规要求的服务人员必须持证上岗，包括国家法规要求、行业要求、特种岗位要求、从业资格证等。如发现服务人员存在没有持证上岗的情况，每次扣5分。</w:t>
            </w:r>
          </w:p>
        </w:tc>
      </w:tr>
      <w:tr w14:paraId="16A74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2" w:hRule="atLeast"/>
        </w:trPr>
        <w:tc>
          <w:tcPr>
            <w:tcW w:w="404" w:type="pct"/>
            <w:tcBorders>
              <w:top w:val="single" w:color="000000" w:sz="4" w:space="0"/>
              <w:left w:val="single" w:color="000000" w:sz="4" w:space="0"/>
              <w:bottom w:val="nil"/>
              <w:right w:val="single" w:color="000000" w:sz="4" w:space="0"/>
            </w:tcBorders>
            <w:shd w:val="clear" w:color="auto" w:fill="auto"/>
            <w:vAlign w:val="center"/>
          </w:tcPr>
          <w:p w14:paraId="22FC67E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6</w:t>
            </w:r>
          </w:p>
        </w:tc>
        <w:tc>
          <w:tcPr>
            <w:tcW w:w="5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8B89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安全</w:t>
            </w:r>
          </w:p>
          <w:p w14:paraId="4DA301C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管理</w:t>
            </w:r>
          </w:p>
        </w:tc>
        <w:tc>
          <w:tcPr>
            <w:tcW w:w="9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0986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安全管理评价</w:t>
            </w:r>
          </w:p>
        </w:tc>
        <w:tc>
          <w:tcPr>
            <w:tcW w:w="3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0AAD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服务商必须严格执行采购方的安全规定。每出现一次安全事故，扣5分；每出现一次重大安全事故，每次扣10分。</w:t>
            </w:r>
          </w:p>
        </w:tc>
      </w:tr>
      <w:tr w14:paraId="3BE2A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7" w:hRule="atLeast"/>
        </w:trPr>
        <w:tc>
          <w:tcPr>
            <w:tcW w:w="404" w:type="pct"/>
            <w:tcBorders>
              <w:top w:val="single" w:color="000000" w:sz="4" w:space="0"/>
              <w:left w:val="single" w:color="000000" w:sz="4" w:space="0"/>
              <w:bottom w:val="nil"/>
              <w:right w:val="single" w:color="000000" w:sz="4" w:space="0"/>
            </w:tcBorders>
            <w:shd w:val="clear" w:color="auto" w:fill="auto"/>
            <w:vAlign w:val="center"/>
          </w:tcPr>
          <w:p w14:paraId="30505FB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w:t>
            </w:r>
          </w:p>
        </w:tc>
        <w:tc>
          <w:tcPr>
            <w:tcW w:w="5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B19F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保密</w:t>
            </w:r>
          </w:p>
          <w:p w14:paraId="00FEE18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管理</w:t>
            </w:r>
          </w:p>
        </w:tc>
        <w:tc>
          <w:tcPr>
            <w:tcW w:w="9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5797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保密管理评价</w:t>
            </w:r>
          </w:p>
        </w:tc>
        <w:tc>
          <w:tcPr>
            <w:tcW w:w="3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FD99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服务人员未做好保密工作，造成了信息泄露，每次扣5分；信息泄露给采购方带来重大影响的，每次扣10分。</w:t>
            </w:r>
          </w:p>
        </w:tc>
      </w:tr>
      <w:tr w14:paraId="3985E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EA0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0000FF"/>
                <w:kern w:val="2"/>
                <w:sz w:val="20"/>
                <w:szCs w:val="20"/>
                <w:highlight w:val="none"/>
                <w:lang w:val="en-US" w:eastAsia="zh-CN" w:bidi="ar-SA"/>
              </w:rPr>
            </w:pPr>
            <w:r>
              <w:rPr>
                <w:rFonts w:hint="eastAsia" w:ascii="宋体" w:hAnsi="宋体" w:eastAsia="宋体" w:cs="宋体"/>
                <w:b w:val="0"/>
                <w:bCs w:val="0"/>
                <w:color w:val="0000FF"/>
                <w:kern w:val="2"/>
                <w:sz w:val="20"/>
                <w:szCs w:val="20"/>
                <w:highlight w:val="none"/>
                <w:lang w:val="en-US" w:eastAsia="zh-CN" w:bidi="ar-SA"/>
              </w:rPr>
              <w:t>每扣1分折合人民币100元，从结算中扣除。</w:t>
            </w:r>
          </w:p>
          <w:p w14:paraId="7E59E56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kern w:val="2"/>
                <w:sz w:val="20"/>
                <w:szCs w:val="20"/>
                <w:lang w:val="en-US" w:eastAsia="zh-CN" w:bidi="ar-SA"/>
              </w:rPr>
            </w:pPr>
          </w:p>
        </w:tc>
      </w:tr>
    </w:tbl>
    <w:p w14:paraId="7F068CFA">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p>
    <w:p w14:paraId="6F9C2FE9">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br w:type="page"/>
      </w:r>
    </w:p>
    <w:p w14:paraId="39440FE1">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kern w:val="2"/>
          <w:sz w:val="20"/>
          <w:szCs w:val="20"/>
          <w:lang w:val="en-US" w:eastAsia="zh-CN" w:bidi="ar-SA"/>
        </w:rPr>
      </w:pPr>
      <w:bookmarkStart w:id="794" w:name="_Toc5095"/>
      <w:r>
        <w:rPr>
          <w:rFonts w:hint="eastAsia" w:ascii="宋体" w:hAnsi="宋体" w:eastAsia="宋体" w:cs="宋体"/>
          <w:b/>
          <w:bCs/>
          <w:kern w:val="2"/>
          <w:sz w:val="20"/>
          <w:szCs w:val="20"/>
          <w:lang w:val="en-US" w:eastAsia="zh-CN" w:bidi="ar-SA"/>
        </w:rPr>
        <w:t>附件1  档案整理业务规范要求</w:t>
      </w:r>
      <w:bookmarkEnd w:id="794"/>
    </w:p>
    <w:p w14:paraId="51EE27BB">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kern w:val="2"/>
          <w:sz w:val="20"/>
          <w:szCs w:val="20"/>
          <w:lang w:val="en-US" w:eastAsia="zh-CN" w:bidi="ar-SA"/>
        </w:rPr>
      </w:pPr>
      <w:bookmarkStart w:id="795" w:name="_Toc13298"/>
      <w:r>
        <w:rPr>
          <w:rFonts w:hint="eastAsia" w:ascii="宋体" w:hAnsi="宋体" w:eastAsia="宋体" w:cs="宋体"/>
          <w:b/>
          <w:bCs/>
          <w:kern w:val="2"/>
          <w:sz w:val="20"/>
          <w:szCs w:val="20"/>
          <w:lang w:val="en-US" w:eastAsia="zh-CN" w:bidi="ar-SA"/>
        </w:rPr>
        <w:t>一、总体要求</w:t>
      </w:r>
      <w:bookmarkEnd w:id="795"/>
    </w:p>
    <w:p w14:paraId="62485C64">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文书、合同档案按照《归档文件整理规则》（DA/T22）进行分类、组卷、整理；全宗卷按照《全宗卷规范》（DA/T12）分类、组卷、整理；特殊载体档案包括：照片、光盘、电子文件、荣誉实物等，按照《数码照片归档与管理规范》（DA/T15）、《电子文件归档光盘技术要求和应用规范》（DA/T38）、《数码照片归档与管理规范》（DA/T50）分类、组卷、整理、会计档案按照《会计档案案卷格式》（DA/T39）进行分类组卷、整理。项目档案按照《建设项目档案管理规范》(DA/T28)、《科学技术案卷构成的一般要求》（GB/T11822）、《科学技术研究项目档案管理规范》（DA/T 2）等进行分类组卷、整理。</w:t>
      </w:r>
    </w:p>
    <w:p w14:paraId="0FECAF6E">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各门类档案整理具体要求还需遵循《中国南方电网有限责任公司档案管理办法》、《广西电网有限责任公司档案管理办法》中相关的业务指导书的要求。</w:t>
      </w:r>
    </w:p>
    <w:p w14:paraId="1825383F">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二、纸质档案整理技术要求</w:t>
      </w:r>
    </w:p>
    <w:p w14:paraId="1496CB4A">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1.组合：按制度要求及档案实际，对归档文件进行组件或组卷，并进行有序排列。</w:t>
      </w:r>
    </w:p>
    <w:p w14:paraId="338F2CFE">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2.鉴定、分类：依据各门类档案要求，对归档文件进行保管价值鉴定，科学分类，判定保管期限。</w:t>
      </w:r>
    </w:p>
    <w:p w14:paraId="51B86460">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3.编页：对整理完毕的档案按照要求编写页码。</w:t>
      </w:r>
    </w:p>
    <w:p w14:paraId="261B6335">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4.编号：并依据分类、保管年限和排列顺序等信息加盖档号章、编写档号，档号遵循唯一性、合理性、稳定性原则。</w:t>
      </w:r>
    </w:p>
    <w:p w14:paraId="3A96E74C">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5.编目：以案卷形式归档的档案还应形成档案目录。</w:t>
      </w:r>
    </w:p>
    <w:p w14:paraId="052B59E9">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6.系统著录：对已整理完毕的各门类档案，在南网档案管理应用系统著录档案信息。</w:t>
      </w:r>
    </w:p>
    <w:p w14:paraId="18B7022F">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7.档案扫描及挂接附件：</w:t>
      </w:r>
    </w:p>
    <w:p w14:paraId="42F62B61">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7.1采用扫描仪等数码设备对纸质档案进行数字化加工，基本环节包括档案整理、档案扫描、图像处理、图像存储、目录建库、数据挂接、数据验收、数据备份、成果管理等。</w:t>
      </w:r>
    </w:p>
    <w:p w14:paraId="6AF6C0FA">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7.2必须确保档案原件和数字化档案信息的安全。纸质档案数字化的各个环节均应进行详细的登记，并及时整理、汇总，装订成册，在数字化工作完成的同时建立起完整、规范的记录。</w:t>
      </w:r>
    </w:p>
    <w:p w14:paraId="3BD6AB23">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7.3页面修整。破损严重、无法直接进行扫描的档案，应先进行技术修复，折皱不平影响扫描质量的原件应先进行相应处理(压平或熨平等)后再进行扫描。</w:t>
      </w:r>
    </w:p>
    <w:p w14:paraId="7ABA0347">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7.4档案扫描登记，认真填写纸质档案数字化转换过程交接登记表单，登记扫描的页数，核对每份文件的实际扫描页数与档案整理时填写的文件页数是否一致，不一致时应注明具体原因和处理方法。</w:t>
      </w:r>
    </w:p>
    <w:p w14:paraId="3C29B839">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7.5档案扫描应根据幅面的大小(A4,A3等)选择相应规格的扫描仪或专业扫描仪进行。大幅面档案可采用大幅面数码平台，也可以采用小幅面扫描后的图像拼接方式处理。扫描分辨率应不小于300dpi，原则上以扫描后的图像清晰、完整、不影响图像的利用效果为准。</w:t>
      </w:r>
    </w:p>
    <w:p w14:paraId="64485D13">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7.6装订：扫描工作完成后，拆除过装订物的档案应按档案保管的要求重新装订。恢复装订时，应注意保持档案的排列顺序不变，做到安全、准确、无遗漏。</w:t>
      </w:r>
    </w:p>
    <w:p w14:paraId="4E923A1B">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7.7图像处理：像偏斜度、清晰度、失真度等进行检查。发现不符合图像质量要求时，应重新进行图像的处理。</w:t>
      </w:r>
    </w:p>
    <w:p w14:paraId="088E2F04">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7.8数据验收：以抽检的方式检查已完成数字化转换的所有数据，包括目录数据库、图像文件及数据挂接的总体质量。目录数据库与图像文件挂接错误，或目录数据库、图像文件之一出现不完整、不清晰、有错误等质量问题时，要及时整改。</w:t>
      </w:r>
    </w:p>
    <w:p w14:paraId="53ADCE86">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7.9挂接：档案数字化转换过程中形成的目录数据库与图像数据库，通过质检环节确认为“合格”后，挂接至南网档案系统。</w:t>
      </w:r>
    </w:p>
    <w:p w14:paraId="427E7BA1">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7.10数据备份：为保证数据安全，配合专职档案人员开展数据备份，备份载体的选择应多样化。</w:t>
      </w:r>
    </w:p>
    <w:p w14:paraId="5E49BEAC">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8.装订：档案装订应牢固、安全、便捷，不损页、不倒页、不压字，装订后平整，有利于文件保护和管理，装订方式应符合《纸质归档文件装订规范》要求。</w:t>
      </w:r>
    </w:p>
    <w:p w14:paraId="70878610">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9.装盒：将归档文件按顺序装入档案盒，按照档案实际情况制作、制作卷内目录、案卷封面、备考表，粘贴档案盒脊背。</w:t>
      </w:r>
    </w:p>
    <w:p w14:paraId="3918E297">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10.消毒：根据档案管理要求，对已整理完毕的档案开展消毒工作。</w:t>
      </w:r>
    </w:p>
    <w:p w14:paraId="12F4FB13">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11.排架：配合专职档案人员将消毒后的档案入库上架。</w:t>
      </w:r>
    </w:p>
    <w:p w14:paraId="1EC7ACD7">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p>
    <w:p w14:paraId="5A9F67A0">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p>
    <w:p w14:paraId="346C12F6">
      <w:pPr>
        <w:pStyle w:val="18"/>
        <w:rPr>
          <w:rFonts w:hint="eastAsia" w:ascii="宋体" w:hAnsi="宋体" w:eastAsia="宋体" w:cs="宋体"/>
          <w:b w:val="0"/>
          <w:bCs w:val="0"/>
          <w:kern w:val="2"/>
          <w:sz w:val="20"/>
          <w:szCs w:val="20"/>
          <w:lang w:val="en-US" w:eastAsia="zh-CN" w:bidi="ar-SA"/>
        </w:rPr>
      </w:pPr>
    </w:p>
    <w:p w14:paraId="64429565">
      <w:pPr>
        <w:rPr>
          <w:rFonts w:hint="eastAsia" w:ascii="宋体" w:hAnsi="宋体" w:eastAsia="宋体" w:cs="宋体"/>
          <w:b w:val="0"/>
          <w:bCs w:val="0"/>
          <w:kern w:val="2"/>
          <w:sz w:val="20"/>
          <w:szCs w:val="20"/>
          <w:lang w:val="en-US" w:eastAsia="zh-CN" w:bidi="ar-SA"/>
        </w:rPr>
      </w:pPr>
    </w:p>
    <w:p w14:paraId="4D312418">
      <w:pPr>
        <w:pStyle w:val="18"/>
        <w:rPr>
          <w:rFonts w:hint="eastAsia" w:ascii="宋体" w:hAnsi="宋体" w:eastAsia="宋体" w:cs="宋体"/>
          <w:b w:val="0"/>
          <w:bCs w:val="0"/>
          <w:kern w:val="2"/>
          <w:sz w:val="20"/>
          <w:szCs w:val="20"/>
          <w:lang w:val="en-US" w:eastAsia="zh-CN" w:bidi="ar-SA"/>
        </w:rPr>
      </w:pPr>
    </w:p>
    <w:p w14:paraId="0EE1202B">
      <w:pPr>
        <w:rPr>
          <w:rFonts w:hint="eastAsia" w:ascii="宋体" w:hAnsi="宋体" w:eastAsia="宋体" w:cs="宋体"/>
          <w:b w:val="0"/>
          <w:bCs w:val="0"/>
          <w:kern w:val="2"/>
          <w:sz w:val="20"/>
          <w:szCs w:val="20"/>
          <w:lang w:val="en-US" w:eastAsia="zh-CN" w:bidi="ar-SA"/>
        </w:rPr>
      </w:pPr>
    </w:p>
    <w:p w14:paraId="38C75E3C">
      <w:pPr>
        <w:pStyle w:val="18"/>
        <w:rPr>
          <w:rFonts w:hint="eastAsia" w:ascii="宋体" w:hAnsi="宋体" w:eastAsia="宋体" w:cs="宋体"/>
          <w:b w:val="0"/>
          <w:bCs w:val="0"/>
          <w:kern w:val="2"/>
          <w:sz w:val="20"/>
          <w:szCs w:val="20"/>
          <w:lang w:val="en-US" w:eastAsia="zh-CN" w:bidi="ar-SA"/>
        </w:rPr>
      </w:pPr>
    </w:p>
    <w:p w14:paraId="07141B4A">
      <w:pPr>
        <w:rPr>
          <w:rFonts w:hint="eastAsia" w:ascii="宋体" w:hAnsi="宋体" w:eastAsia="宋体" w:cs="宋体"/>
          <w:b w:val="0"/>
          <w:bCs w:val="0"/>
          <w:kern w:val="2"/>
          <w:sz w:val="20"/>
          <w:szCs w:val="20"/>
          <w:lang w:val="en-US" w:eastAsia="zh-CN" w:bidi="ar-SA"/>
        </w:rPr>
      </w:pPr>
    </w:p>
    <w:p w14:paraId="23304211">
      <w:pPr>
        <w:pStyle w:val="18"/>
        <w:rPr>
          <w:rFonts w:hint="eastAsia" w:ascii="宋体" w:hAnsi="宋体" w:eastAsia="宋体" w:cs="宋体"/>
          <w:b w:val="0"/>
          <w:bCs w:val="0"/>
          <w:kern w:val="2"/>
          <w:sz w:val="20"/>
          <w:szCs w:val="20"/>
          <w:lang w:val="en-US" w:eastAsia="zh-CN" w:bidi="ar-SA"/>
        </w:rPr>
      </w:pPr>
    </w:p>
    <w:p w14:paraId="725090F4">
      <w:pPr>
        <w:rPr>
          <w:rFonts w:hint="eastAsia" w:ascii="宋体" w:hAnsi="宋体" w:eastAsia="宋体" w:cs="宋体"/>
          <w:b w:val="0"/>
          <w:bCs w:val="0"/>
          <w:kern w:val="2"/>
          <w:sz w:val="20"/>
          <w:szCs w:val="20"/>
          <w:lang w:val="en-US" w:eastAsia="zh-CN" w:bidi="ar-SA"/>
        </w:rPr>
      </w:pPr>
    </w:p>
    <w:p w14:paraId="7BA09928">
      <w:pPr>
        <w:pStyle w:val="18"/>
        <w:rPr>
          <w:rFonts w:hint="eastAsia" w:ascii="宋体" w:hAnsi="宋体" w:eastAsia="宋体" w:cs="宋体"/>
          <w:b w:val="0"/>
          <w:bCs w:val="0"/>
          <w:kern w:val="2"/>
          <w:sz w:val="20"/>
          <w:szCs w:val="20"/>
          <w:lang w:val="en-US" w:eastAsia="zh-CN" w:bidi="ar-SA"/>
        </w:rPr>
      </w:pPr>
    </w:p>
    <w:p w14:paraId="3A47273F">
      <w:pPr>
        <w:rPr>
          <w:rFonts w:hint="eastAsia" w:ascii="宋体" w:hAnsi="宋体" w:eastAsia="宋体" w:cs="宋体"/>
          <w:b w:val="0"/>
          <w:bCs w:val="0"/>
          <w:kern w:val="2"/>
          <w:sz w:val="20"/>
          <w:szCs w:val="20"/>
          <w:lang w:val="en-US" w:eastAsia="zh-CN" w:bidi="ar-SA"/>
        </w:rPr>
      </w:pPr>
    </w:p>
    <w:p w14:paraId="4F08A7A1">
      <w:pPr>
        <w:pStyle w:val="18"/>
        <w:rPr>
          <w:rFonts w:hint="eastAsia" w:ascii="宋体" w:hAnsi="宋体" w:eastAsia="宋体" w:cs="宋体"/>
          <w:b w:val="0"/>
          <w:bCs w:val="0"/>
          <w:kern w:val="2"/>
          <w:sz w:val="20"/>
          <w:szCs w:val="20"/>
          <w:lang w:val="en-US" w:eastAsia="zh-CN" w:bidi="ar-SA"/>
        </w:rPr>
      </w:pPr>
    </w:p>
    <w:p w14:paraId="40DB7463">
      <w:pPr>
        <w:rPr>
          <w:rFonts w:hint="eastAsia" w:ascii="宋体" w:hAnsi="宋体" w:eastAsia="宋体" w:cs="宋体"/>
          <w:b w:val="0"/>
          <w:bCs w:val="0"/>
          <w:kern w:val="2"/>
          <w:sz w:val="20"/>
          <w:szCs w:val="20"/>
          <w:lang w:val="en-US" w:eastAsia="zh-CN" w:bidi="ar-SA"/>
        </w:rPr>
      </w:pPr>
    </w:p>
    <w:p w14:paraId="6C820DF2">
      <w:pPr>
        <w:pStyle w:val="18"/>
        <w:rPr>
          <w:rFonts w:hint="eastAsia" w:ascii="宋体" w:hAnsi="宋体" w:eastAsia="宋体" w:cs="宋体"/>
          <w:b w:val="0"/>
          <w:bCs w:val="0"/>
          <w:kern w:val="2"/>
          <w:sz w:val="20"/>
          <w:szCs w:val="20"/>
          <w:lang w:val="en-US" w:eastAsia="zh-CN" w:bidi="ar-SA"/>
        </w:rPr>
      </w:pPr>
    </w:p>
    <w:p w14:paraId="04E99B2E">
      <w:pPr>
        <w:rPr>
          <w:rFonts w:hint="eastAsia" w:ascii="宋体" w:hAnsi="宋体" w:eastAsia="宋体" w:cs="宋体"/>
          <w:b w:val="0"/>
          <w:bCs w:val="0"/>
          <w:kern w:val="2"/>
          <w:sz w:val="20"/>
          <w:szCs w:val="20"/>
          <w:lang w:val="en-US" w:eastAsia="zh-CN" w:bidi="ar-SA"/>
        </w:rPr>
      </w:pPr>
    </w:p>
    <w:p w14:paraId="5086138E">
      <w:pPr>
        <w:pStyle w:val="18"/>
        <w:rPr>
          <w:rFonts w:hint="eastAsia" w:ascii="宋体" w:hAnsi="宋体" w:eastAsia="宋体" w:cs="宋体"/>
          <w:b w:val="0"/>
          <w:bCs w:val="0"/>
          <w:kern w:val="2"/>
          <w:sz w:val="20"/>
          <w:szCs w:val="20"/>
          <w:lang w:val="en-US" w:eastAsia="zh-CN" w:bidi="ar-SA"/>
        </w:rPr>
      </w:pPr>
    </w:p>
    <w:p w14:paraId="62BB01F3">
      <w:pPr>
        <w:rPr>
          <w:rFonts w:hint="eastAsia" w:ascii="宋体" w:hAnsi="宋体" w:eastAsia="宋体" w:cs="宋体"/>
          <w:b w:val="0"/>
          <w:bCs w:val="0"/>
          <w:kern w:val="2"/>
          <w:sz w:val="20"/>
          <w:szCs w:val="20"/>
          <w:lang w:val="en-US" w:eastAsia="zh-CN" w:bidi="ar-SA"/>
        </w:rPr>
      </w:pPr>
    </w:p>
    <w:p w14:paraId="0AD133BF">
      <w:pPr>
        <w:pStyle w:val="18"/>
        <w:rPr>
          <w:rFonts w:hint="eastAsia" w:ascii="宋体" w:hAnsi="宋体" w:eastAsia="宋体" w:cs="宋体"/>
          <w:b w:val="0"/>
          <w:bCs w:val="0"/>
          <w:kern w:val="2"/>
          <w:sz w:val="20"/>
          <w:szCs w:val="20"/>
          <w:lang w:val="en-US" w:eastAsia="zh-CN" w:bidi="ar-SA"/>
        </w:rPr>
      </w:pPr>
    </w:p>
    <w:p w14:paraId="6C5B37D0">
      <w:pPr>
        <w:rPr>
          <w:rFonts w:hint="eastAsia" w:ascii="宋体" w:hAnsi="宋体" w:eastAsia="宋体" w:cs="宋体"/>
          <w:b w:val="0"/>
          <w:bCs w:val="0"/>
          <w:kern w:val="2"/>
          <w:sz w:val="20"/>
          <w:szCs w:val="20"/>
          <w:lang w:val="en-US" w:eastAsia="zh-CN" w:bidi="ar-SA"/>
        </w:rPr>
      </w:pPr>
    </w:p>
    <w:p w14:paraId="24CA49FF">
      <w:pPr>
        <w:keepNext/>
        <w:keepLines/>
        <w:widowControl w:val="0"/>
        <w:bidi w:val="0"/>
        <w:spacing w:beforeLines="0" w:beforeAutospacing="0" w:afterLines="0" w:afterAutospacing="0" w:line="360" w:lineRule="auto"/>
        <w:ind w:firstLine="0" w:firstLineChars="0"/>
        <w:jc w:val="center"/>
        <w:outlineLvl w:val="1"/>
        <w:rPr>
          <w:rFonts w:hint="eastAsia" w:ascii="宋体" w:hAnsi="宋体" w:eastAsia="宋体" w:cs="宋体"/>
          <w:b/>
          <w:kern w:val="2"/>
          <w:sz w:val="20"/>
          <w:szCs w:val="20"/>
          <w:lang w:val="en-US" w:eastAsia="zh-CN" w:bidi="ar-SA"/>
        </w:rPr>
      </w:pPr>
      <w:r>
        <w:rPr>
          <w:rFonts w:hint="eastAsia" w:ascii="宋体" w:hAnsi="宋体" w:cs="宋体"/>
          <w:b/>
          <w:kern w:val="2"/>
          <w:sz w:val="20"/>
          <w:szCs w:val="20"/>
          <w:lang w:val="en-US" w:eastAsia="zh-CN" w:bidi="ar-SA"/>
        </w:rPr>
        <w:t>（三十四）</w:t>
      </w:r>
      <w:r>
        <w:rPr>
          <w:rFonts w:hint="eastAsia" w:ascii="宋体" w:hAnsi="宋体" w:eastAsia="宋体" w:cs="宋体"/>
          <w:b/>
          <w:kern w:val="2"/>
          <w:sz w:val="20"/>
          <w:szCs w:val="20"/>
          <w:lang w:val="en-US" w:eastAsia="zh-CN" w:bidi="ar-SA"/>
        </w:rPr>
        <w:t>会议视讯、音响系统运行维护项目</w:t>
      </w:r>
    </w:p>
    <w:p w14:paraId="75665882">
      <w:pPr>
        <w:pStyle w:val="18"/>
        <w:rPr>
          <w:rFonts w:hint="default"/>
          <w:lang w:val="en-US" w:eastAsia="zh-CN"/>
        </w:rPr>
      </w:pPr>
    </w:p>
    <w:p w14:paraId="080B1C48">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796" w:name="_Toc285"/>
      <w:r>
        <w:rPr>
          <w:rFonts w:hint="eastAsia" w:ascii="宋体" w:hAnsi="宋体" w:eastAsia="宋体" w:cs="宋体"/>
          <w:b w:val="0"/>
          <w:bCs w:val="0"/>
          <w:kern w:val="2"/>
          <w:sz w:val="20"/>
          <w:szCs w:val="20"/>
          <w:lang w:val="en-US" w:eastAsia="zh-CN" w:bidi="ar-SA"/>
        </w:rPr>
        <w:t>一、项目简介</w:t>
      </w:r>
      <w:bookmarkEnd w:id="796"/>
    </w:p>
    <w:p w14:paraId="06D4C2D7">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797" w:name="_Toc31946"/>
      <w:r>
        <w:rPr>
          <w:rFonts w:hint="eastAsia" w:ascii="宋体" w:hAnsi="宋体" w:eastAsia="宋体" w:cs="宋体"/>
          <w:b w:val="0"/>
          <w:bCs w:val="0"/>
          <w:kern w:val="2"/>
          <w:sz w:val="20"/>
          <w:szCs w:val="20"/>
          <w:lang w:val="en-US" w:eastAsia="zh-CN" w:bidi="ar-SA"/>
        </w:rPr>
        <w:t>（一）项目服务内容</w:t>
      </w:r>
      <w:bookmarkEnd w:id="797"/>
    </w:p>
    <w:p w14:paraId="08E77340">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为各单位提供视讯会议系统及音响设备整体运行效果，满足单位视讯会议、视频广播会议等会务工作开展的需求，为视频会议组织、会务保障提供安全、稳定、高效的技术支撑，确保视频会议有序、顺畅进行，现委托服务商对本局视讯会议系统、音响设备及相关配套设施提供专业维护、技术保障、会务统筹支持等服务。</w:t>
      </w:r>
    </w:p>
    <w:p w14:paraId="174E4EC4">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798" w:name="_Toc15342"/>
      <w:r>
        <w:rPr>
          <w:rFonts w:hint="eastAsia" w:ascii="宋体" w:hAnsi="宋体" w:eastAsia="宋体" w:cs="宋体"/>
          <w:b w:val="0"/>
          <w:bCs w:val="0"/>
          <w:kern w:val="2"/>
          <w:sz w:val="20"/>
          <w:szCs w:val="20"/>
          <w:lang w:val="en-US" w:eastAsia="zh-CN" w:bidi="ar-SA"/>
        </w:rPr>
        <w:t>二、项目服务要求</w:t>
      </w:r>
      <w:bookmarkEnd w:id="798"/>
    </w:p>
    <w:p w14:paraId="5D701A44">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Hans" w:bidi="ar-SA"/>
        </w:rPr>
      </w:pPr>
      <w:bookmarkStart w:id="799" w:name="_Toc9775"/>
      <w:r>
        <w:rPr>
          <w:rFonts w:hint="eastAsia" w:ascii="宋体" w:hAnsi="宋体" w:eastAsia="宋体" w:cs="宋体"/>
          <w:b w:val="0"/>
          <w:bCs w:val="0"/>
          <w:kern w:val="2"/>
          <w:sz w:val="20"/>
          <w:szCs w:val="20"/>
          <w:lang w:val="en-US" w:eastAsia="zh-CN" w:bidi="ar-SA"/>
        </w:rPr>
        <w:t>（一）项目服务受理</w:t>
      </w:r>
      <w:bookmarkEnd w:id="799"/>
    </w:p>
    <w:p w14:paraId="7BDBC61B">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800" w:name="_Toc13089"/>
      <w:r>
        <w:rPr>
          <w:rFonts w:hint="eastAsia" w:ascii="宋体" w:hAnsi="宋体" w:eastAsia="宋体" w:cs="宋体"/>
          <w:b w:val="0"/>
          <w:bCs w:val="0"/>
          <w:kern w:val="2"/>
          <w:sz w:val="20"/>
          <w:szCs w:val="20"/>
          <w:lang w:val="en-US" w:eastAsia="zh-Hans" w:bidi="ar-SA"/>
        </w:rPr>
        <w:t>驻点</w:t>
      </w:r>
      <w:r>
        <w:rPr>
          <w:rFonts w:hint="eastAsia" w:ascii="宋体" w:hAnsi="宋体" w:eastAsia="宋体" w:cs="宋体"/>
          <w:b w:val="0"/>
          <w:bCs w:val="0"/>
          <w:kern w:val="2"/>
          <w:sz w:val="20"/>
          <w:szCs w:val="20"/>
          <w:lang w:val="en-US" w:eastAsia="zh-CN" w:bidi="ar-SA"/>
        </w:rPr>
        <w:t>维护人员提供24小时电话支持服务；</w:t>
      </w:r>
      <w:r>
        <w:rPr>
          <w:rFonts w:hint="eastAsia" w:ascii="宋体" w:hAnsi="宋体" w:eastAsia="宋体" w:cs="宋体"/>
          <w:b w:val="0"/>
          <w:bCs w:val="0"/>
          <w:kern w:val="2"/>
          <w:sz w:val="20"/>
          <w:szCs w:val="20"/>
          <w:lang w:val="en-US" w:eastAsia="zh-Hans" w:bidi="ar-SA"/>
        </w:rPr>
        <w:t>“</w:t>
      </w:r>
      <w:r>
        <w:rPr>
          <w:rFonts w:hint="eastAsia" w:ascii="宋体" w:hAnsi="宋体" w:eastAsia="宋体" w:cs="宋体"/>
          <w:b w:val="0"/>
          <w:bCs w:val="0"/>
          <w:kern w:val="2"/>
          <w:sz w:val="20"/>
          <w:szCs w:val="20"/>
          <w:lang w:val="en-US" w:eastAsia="zh-CN" w:bidi="ar-SA"/>
        </w:rPr>
        <w:t>5×8</w:t>
      </w:r>
      <w:r>
        <w:rPr>
          <w:rFonts w:hint="eastAsia" w:ascii="宋体" w:hAnsi="宋体" w:eastAsia="宋体" w:cs="宋体"/>
          <w:b w:val="0"/>
          <w:bCs w:val="0"/>
          <w:kern w:val="2"/>
          <w:sz w:val="20"/>
          <w:szCs w:val="20"/>
          <w:lang w:val="en-US" w:eastAsia="zh-Hans" w:bidi="ar-SA"/>
        </w:rPr>
        <w:t>”</w:t>
      </w:r>
      <w:r>
        <w:rPr>
          <w:rFonts w:hint="eastAsia" w:ascii="宋体" w:hAnsi="宋体" w:eastAsia="宋体" w:cs="宋体"/>
          <w:b w:val="0"/>
          <w:bCs w:val="0"/>
          <w:kern w:val="2"/>
          <w:sz w:val="20"/>
          <w:szCs w:val="20"/>
          <w:lang w:val="en-US" w:eastAsia="zh-CN" w:bidi="ar-SA"/>
        </w:rPr>
        <w:t>(</w:t>
      </w:r>
      <w:r>
        <w:rPr>
          <w:rFonts w:hint="eastAsia" w:ascii="宋体" w:hAnsi="宋体" w:eastAsia="宋体" w:cs="宋体"/>
          <w:b w:val="0"/>
          <w:bCs w:val="0"/>
          <w:kern w:val="2"/>
          <w:sz w:val="20"/>
          <w:szCs w:val="20"/>
          <w:lang w:val="en-US" w:eastAsia="zh-Hans" w:bidi="ar-SA"/>
        </w:rPr>
        <w:t>即每周5天每天</w:t>
      </w:r>
      <w:r>
        <w:rPr>
          <w:rFonts w:hint="eastAsia" w:ascii="宋体" w:hAnsi="宋体" w:eastAsia="宋体" w:cs="宋体"/>
          <w:b w:val="0"/>
          <w:bCs w:val="0"/>
          <w:kern w:val="2"/>
          <w:sz w:val="20"/>
          <w:szCs w:val="20"/>
          <w:lang w:val="en-US" w:eastAsia="zh-CN" w:bidi="ar-SA"/>
        </w:rPr>
        <w:t>8</w:t>
      </w:r>
      <w:r>
        <w:rPr>
          <w:rFonts w:hint="eastAsia" w:ascii="宋体" w:hAnsi="宋体" w:eastAsia="宋体" w:cs="宋体"/>
          <w:b w:val="0"/>
          <w:bCs w:val="0"/>
          <w:kern w:val="2"/>
          <w:sz w:val="20"/>
          <w:szCs w:val="20"/>
          <w:lang w:val="en-US" w:eastAsia="zh-Hans" w:bidi="ar-SA"/>
        </w:rPr>
        <w:t>小时</w:t>
      </w:r>
      <w:r>
        <w:rPr>
          <w:rFonts w:hint="eastAsia" w:ascii="宋体" w:hAnsi="宋体" w:eastAsia="宋体" w:cs="宋体"/>
          <w:b w:val="0"/>
          <w:bCs w:val="0"/>
          <w:kern w:val="2"/>
          <w:sz w:val="20"/>
          <w:szCs w:val="20"/>
          <w:lang w:val="en-US" w:eastAsia="zh-CN" w:bidi="ar-SA"/>
        </w:rPr>
        <w:t>)</w:t>
      </w:r>
      <w:r>
        <w:rPr>
          <w:rFonts w:hint="eastAsia" w:ascii="宋体" w:hAnsi="宋体" w:eastAsia="宋体" w:cs="宋体"/>
          <w:b w:val="0"/>
          <w:bCs w:val="0"/>
          <w:kern w:val="2"/>
          <w:sz w:val="20"/>
          <w:szCs w:val="20"/>
          <w:lang w:val="en-US" w:eastAsia="zh-Hans" w:bidi="ar-SA"/>
        </w:rPr>
        <w:t>工作时间提供</w:t>
      </w:r>
      <w:r>
        <w:rPr>
          <w:rFonts w:hint="eastAsia" w:ascii="宋体" w:hAnsi="宋体" w:eastAsia="宋体" w:cs="宋体"/>
          <w:b w:val="0"/>
          <w:bCs w:val="0"/>
          <w:kern w:val="2"/>
          <w:sz w:val="20"/>
          <w:szCs w:val="20"/>
          <w:lang w:val="en-US" w:eastAsia="zh-CN" w:bidi="ar-SA"/>
        </w:rPr>
        <w:t>现场驻点服务，</w:t>
      </w:r>
      <w:r>
        <w:rPr>
          <w:rFonts w:hint="eastAsia" w:ascii="宋体" w:hAnsi="宋体" w:eastAsia="宋体" w:cs="宋体"/>
          <w:b w:val="0"/>
          <w:bCs w:val="0"/>
          <w:kern w:val="2"/>
          <w:sz w:val="20"/>
          <w:szCs w:val="20"/>
          <w:lang w:val="en-US" w:eastAsia="zh-Hans" w:bidi="ar-SA"/>
        </w:rPr>
        <w:t>随时响应受理甲方视讯会议系统及音响调试、保障服务请求</w:t>
      </w:r>
      <w:r>
        <w:rPr>
          <w:rFonts w:hint="eastAsia" w:ascii="宋体" w:hAnsi="宋体" w:eastAsia="宋体" w:cs="宋体"/>
          <w:b w:val="0"/>
          <w:bCs w:val="0"/>
          <w:kern w:val="2"/>
          <w:sz w:val="20"/>
          <w:szCs w:val="20"/>
          <w:lang w:val="en-US" w:eastAsia="zh-CN" w:bidi="ar-SA"/>
        </w:rPr>
        <w:t>。如因临时会议、应急保供电等工作安排，需根据甲方工作需要，提供其他时间的现场服务。</w:t>
      </w:r>
      <w:bookmarkEnd w:id="800"/>
    </w:p>
    <w:p w14:paraId="306214A1">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Hans" w:bidi="ar-SA"/>
        </w:rPr>
      </w:pPr>
      <w:bookmarkStart w:id="801" w:name="_Toc20212"/>
      <w:r>
        <w:rPr>
          <w:rFonts w:hint="eastAsia" w:ascii="宋体" w:hAnsi="宋体" w:eastAsia="宋体" w:cs="宋体"/>
          <w:b w:val="0"/>
          <w:bCs w:val="0"/>
          <w:kern w:val="2"/>
          <w:sz w:val="20"/>
          <w:szCs w:val="20"/>
          <w:lang w:val="en-US" w:eastAsia="zh-CN" w:bidi="ar-SA"/>
        </w:rPr>
        <w:t>（二）</w:t>
      </w:r>
      <w:r>
        <w:rPr>
          <w:rFonts w:hint="eastAsia" w:ascii="宋体" w:hAnsi="宋体" w:eastAsia="宋体" w:cs="宋体"/>
          <w:b w:val="0"/>
          <w:bCs w:val="0"/>
          <w:kern w:val="2"/>
          <w:sz w:val="20"/>
          <w:szCs w:val="20"/>
          <w:lang w:val="en-US" w:eastAsia="zh-Hans" w:bidi="ar-SA"/>
        </w:rPr>
        <w:t>视讯会议系统及音响整体效果调试检测</w:t>
      </w:r>
      <w:bookmarkEnd w:id="801"/>
    </w:p>
    <w:p w14:paraId="19AE954F">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Hans" w:bidi="ar-SA"/>
        </w:rPr>
      </w:pPr>
      <w:bookmarkStart w:id="802" w:name="_Toc13362"/>
      <w:r>
        <w:rPr>
          <w:rFonts w:hint="eastAsia" w:ascii="宋体" w:hAnsi="宋体" w:eastAsia="宋体" w:cs="宋体"/>
          <w:b w:val="0"/>
          <w:bCs w:val="0"/>
          <w:kern w:val="2"/>
          <w:sz w:val="20"/>
          <w:szCs w:val="20"/>
          <w:lang w:val="en-US" w:eastAsia="zh-Hans" w:bidi="ar-SA"/>
        </w:rPr>
        <w:t>1.会议召开前，甲方</w:t>
      </w:r>
      <w:r>
        <w:rPr>
          <w:rFonts w:hint="eastAsia" w:ascii="宋体" w:hAnsi="宋体" w:eastAsia="宋体" w:cs="宋体"/>
          <w:b w:val="0"/>
          <w:bCs w:val="0"/>
          <w:kern w:val="2"/>
          <w:sz w:val="20"/>
          <w:szCs w:val="20"/>
          <w:lang w:val="en-US" w:eastAsia="zh-CN" w:bidi="ar-SA"/>
        </w:rPr>
        <w:t>一般</w:t>
      </w:r>
      <w:r>
        <w:rPr>
          <w:rFonts w:hint="eastAsia" w:ascii="宋体" w:hAnsi="宋体" w:eastAsia="宋体" w:cs="宋体"/>
          <w:b w:val="0"/>
          <w:bCs w:val="0"/>
          <w:kern w:val="2"/>
          <w:sz w:val="20"/>
          <w:szCs w:val="20"/>
          <w:lang w:val="en-US" w:eastAsia="zh-Hans" w:bidi="ar-SA"/>
        </w:rPr>
        <w:t>提前</w:t>
      </w:r>
      <w:r>
        <w:rPr>
          <w:rFonts w:hint="eastAsia" w:ascii="宋体" w:hAnsi="宋体" w:eastAsia="宋体" w:cs="宋体"/>
          <w:b w:val="0"/>
          <w:bCs w:val="0"/>
          <w:kern w:val="2"/>
          <w:sz w:val="20"/>
          <w:szCs w:val="20"/>
          <w:lang w:val="en-US" w:eastAsia="zh-CN" w:bidi="ar-SA"/>
        </w:rPr>
        <w:t>3小时</w:t>
      </w:r>
      <w:r>
        <w:rPr>
          <w:rFonts w:hint="eastAsia" w:ascii="宋体" w:hAnsi="宋体" w:eastAsia="宋体" w:cs="宋体"/>
          <w:b w:val="0"/>
          <w:bCs w:val="0"/>
          <w:kern w:val="2"/>
          <w:sz w:val="20"/>
          <w:szCs w:val="20"/>
          <w:lang w:val="en-US" w:eastAsia="zh-Hans" w:bidi="ar-SA"/>
        </w:rPr>
        <w:t>通知乙方，乙方技术人员在会</w:t>
      </w:r>
      <w:r>
        <w:rPr>
          <w:rFonts w:hint="eastAsia" w:ascii="宋体" w:hAnsi="宋体" w:eastAsia="宋体" w:cs="宋体"/>
          <w:b w:val="0"/>
          <w:bCs w:val="0"/>
          <w:kern w:val="2"/>
          <w:sz w:val="20"/>
          <w:szCs w:val="20"/>
          <w:lang w:val="en-US" w:eastAsia="zh-CN" w:bidi="ar-SA"/>
        </w:rPr>
        <w:t>前</w:t>
      </w:r>
      <w:r>
        <w:rPr>
          <w:rFonts w:hint="eastAsia" w:ascii="宋体" w:hAnsi="宋体" w:eastAsia="宋体" w:cs="宋体"/>
          <w:b w:val="0"/>
          <w:bCs w:val="0"/>
          <w:kern w:val="2"/>
          <w:sz w:val="20"/>
          <w:szCs w:val="20"/>
          <w:lang w:val="en-US" w:eastAsia="zh-Hans" w:bidi="ar-SA"/>
        </w:rPr>
        <w:t>半小时调试好视讯系统及音响所有设备，确保设备正常工作。</w:t>
      </w:r>
      <w:r>
        <w:rPr>
          <w:rFonts w:hint="eastAsia" w:ascii="宋体" w:hAnsi="宋体" w:eastAsia="宋体" w:cs="宋体"/>
          <w:b w:val="0"/>
          <w:bCs w:val="0"/>
          <w:kern w:val="2"/>
          <w:sz w:val="20"/>
          <w:szCs w:val="20"/>
          <w:lang w:val="en-US" w:eastAsia="zh-CN" w:bidi="ar-SA"/>
        </w:rPr>
        <w:t>遇特别紧急情况，需第一时间响应。</w:t>
      </w:r>
      <w:bookmarkEnd w:id="802"/>
    </w:p>
    <w:p w14:paraId="2143B5B8">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Hans" w:bidi="ar-SA"/>
        </w:rPr>
      </w:pPr>
      <w:bookmarkStart w:id="803" w:name="_Toc6212"/>
      <w:r>
        <w:rPr>
          <w:rFonts w:hint="eastAsia" w:ascii="宋体" w:hAnsi="宋体" w:eastAsia="宋体" w:cs="宋体"/>
          <w:b w:val="0"/>
          <w:bCs w:val="0"/>
          <w:kern w:val="2"/>
          <w:sz w:val="20"/>
          <w:szCs w:val="20"/>
          <w:lang w:val="en-US" w:eastAsia="zh-Hans" w:bidi="ar-SA"/>
        </w:rPr>
        <w:t>2.每季度进行设备整体调试检测及维护，并根据检测结果做好记录并形成书面报告提交甲方。</w:t>
      </w:r>
      <w:bookmarkEnd w:id="803"/>
    </w:p>
    <w:p w14:paraId="1A5BFFE6">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Hans" w:bidi="ar-SA"/>
        </w:rPr>
      </w:pPr>
      <w:bookmarkStart w:id="804" w:name="_Toc14043"/>
      <w:r>
        <w:rPr>
          <w:rFonts w:hint="eastAsia" w:ascii="宋体" w:hAnsi="宋体" w:eastAsia="宋体" w:cs="宋体"/>
          <w:b w:val="0"/>
          <w:bCs w:val="0"/>
          <w:kern w:val="2"/>
          <w:sz w:val="20"/>
          <w:szCs w:val="20"/>
          <w:lang w:val="en-US" w:eastAsia="zh-Hans" w:bidi="ar-SA"/>
        </w:rPr>
        <w:t>3.调试保障召开的会议进行书面记录，每季度形成书面报告，如实反映会议室音响、视讯系统的使用情况，并由甲乙双方签字确认。</w:t>
      </w:r>
      <w:bookmarkEnd w:id="804"/>
    </w:p>
    <w:p w14:paraId="47E759A2">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805" w:name="_Toc10271"/>
      <w:r>
        <w:rPr>
          <w:rFonts w:hint="eastAsia" w:ascii="宋体" w:hAnsi="宋体" w:eastAsia="宋体" w:cs="宋体"/>
          <w:b w:val="0"/>
          <w:bCs w:val="0"/>
          <w:kern w:val="2"/>
          <w:sz w:val="20"/>
          <w:szCs w:val="20"/>
          <w:lang w:val="en-US" w:eastAsia="zh-CN" w:bidi="ar-SA"/>
        </w:rPr>
        <w:t>4.系统出现故障，应立即处理，如设备出现故障，应及时组织研究提出可行性维修方案（包括联系有资质能力的维修单位），3个工作日内以书面形式报至甲方主管部门，并协助开展全过程故障维修、验收工作（修理费用、设备费用由甲方负担）。其中，传输线材、支架、摄像头电源等单个配件单价在100元及以下的耗材由乙方负责免费更换。</w:t>
      </w:r>
      <w:bookmarkEnd w:id="805"/>
    </w:p>
    <w:p w14:paraId="67AF398B">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Hans" w:bidi="ar-SA"/>
        </w:rPr>
      </w:pPr>
      <w:bookmarkStart w:id="806" w:name="_Toc9446"/>
      <w:r>
        <w:rPr>
          <w:rFonts w:hint="eastAsia" w:ascii="宋体" w:hAnsi="宋体" w:eastAsia="宋体" w:cs="宋体"/>
          <w:b w:val="0"/>
          <w:bCs w:val="0"/>
          <w:kern w:val="2"/>
          <w:sz w:val="20"/>
          <w:szCs w:val="20"/>
          <w:lang w:val="en-US" w:eastAsia="zh-CN" w:bidi="ar-SA"/>
        </w:rPr>
        <w:t>（三）</w:t>
      </w:r>
      <w:r>
        <w:rPr>
          <w:rFonts w:hint="eastAsia" w:ascii="宋体" w:hAnsi="宋体" w:eastAsia="宋体" w:cs="宋体"/>
          <w:b w:val="0"/>
          <w:bCs w:val="0"/>
          <w:kern w:val="2"/>
          <w:sz w:val="20"/>
          <w:szCs w:val="20"/>
          <w:lang w:val="en-US" w:eastAsia="zh-Hans" w:bidi="ar-SA"/>
        </w:rPr>
        <w:t>会议保障</w:t>
      </w:r>
      <w:bookmarkEnd w:id="806"/>
    </w:p>
    <w:p w14:paraId="059650F0">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Hans" w:bidi="ar-SA"/>
        </w:rPr>
      </w:pPr>
      <w:bookmarkStart w:id="807" w:name="_Toc21965"/>
      <w:r>
        <w:rPr>
          <w:rFonts w:hint="eastAsia" w:ascii="宋体" w:hAnsi="宋体" w:eastAsia="宋体" w:cs="宋体"/>
          <w:b w:val="0"/>
          <w:bCs w:val="0"/>
          <w:kern w:val="2"/>
          <w:sz w:val="20"/>
          <w:szCs w:val="20"/>
          <w:lang w:val="en-US" w:eastAsia="zh-Hans" w:bidi="ar-SA"/>
        </w:rPr>
        <w:t>1.会议保障：重大会议乙方在甲方要求下安排技术人员在会议过程全程在场保障并提供设备技术支持。</w:t>
      </w:r>
      <w:bookmarkStart w:id="808" w:name="_Toc18797"/>
      <w:r>
        <w:rPr>
          <w:rFonts w:hint="eastAsia" w:ascii="宋体" w:hAnsi="宋体" w:eastAsia="宋体" w:cs="宋体"/>
          <w:b w:val="0"/>
          <w:bCs w:val="0"/>
          <w:kern w:val="2"/>
          <w:sz w:val="20"/>
          <w:szCs w:val="20"/>
          <w:lang w:val="en-US" w:eastAsia="zh-CN" w:bidi="ar-SA"/>
        </w:rPr>
        <w:t>严格服从特殊时期，如台风、两会等保供电等的应急值班制度要求，按时到岗、在岗开展视频会议系统保障工作。应急值班期间，协助甲方填报相关汇报。</w:t>
      </w:r>
      <w:bookmarkEnd w:id="807"/>
    </w:p>
    <w:p w14:paraId="4CFCBE68">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809" w:name="_Toc17044"/>
      <w:r>
        <w:rPr>
          <w:rFonts w:hint="eastAsia" w:ascii="宋体" w:hAnsi="宋体" w:eastAsia="宋体" w:cs="宋体"/>
          <w:b w:val="0"/>
          <w:bCs w:val="0"/>
          <w:kern w:val="2"/>
          <w:sz w:val="20"/>
          <w:szCs w:val="20"/>
          <w:lang w:val="en-US" w:eastAsia="zh-CN" w:bidi="ar-SA"/>
        </w:rPr>
        <w:t>2.项目组织和职责</w:t>
      </w:r>
      <w:bookmarkEnd w:id="808"/>
      <w:bookmarkEnd w:id="809"/>
      <w:bookmarkStart w:id="810" w:name="_Toc418428542"/>
      <w:bookmarkStart w:id="811" w:name="_Toc7881"/>
    </w:p>
    <w:p w14:paraId="64EBF0F6">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812" w:name="_Toc24120"/>
      <w:r>
        <w:rPr>
          <w:rFonts w:hint="eastAsia" w:ascii="宋体" w:hAnsi="宋体" w:eastAsia="宋体" w:cs="宋体"/>
          <w:b w:val="0"/>
          <w:bCs w:val="0"/>
          <w:kern w:val="2"/>
          <w:sz w:val="20"/>
          <w:szCs w:val="20"/>
          <w:lang w:val="en-US" w:eastAsia="zh-CN" w:bidi="ar-SA"/>
        </w:rPr>
        <w:t>2.1 主要人员及职责</w:t>
      </w:r>
      <w:bookmarkEnd w:id="810"/>
      <w:bookmarkEnd w:id="811"/>
      <w:bookmarkEnd w:id="812"/>
    </w:p>
    <w:p w14:paraId="244A37F7">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813" w:name="_Toc1043"/>
      <w:r>
        <w:rPr>
          <w:rFonts w:hint="eastAsia" w:ascii="宋体" w:hAnsi="宋体" w:eastAsia="宋体" w:cs="宋体"/>
          <w:b w:val="0"/>
          <w:bCs w:val="0"/>
          <w:kern w:val="2"/>
          <w:sz w:val="20"/>
          <w:szCs w:val="20"/>
          <w:lang w:val="en-US" w:eastAsia="zh-CN" w:bidi="ar-SA"/>
        </w:rPr>
        <w:t>项目</w:t>
      </w:r>
      <w:r>
        <w:rPr>
          <w:rFonts w:hint="eastAsia" w:ascii="宋体" w:hAnsi="宋体" w:cs="宋体"/>
          <w:b w:val="0"/>
          <w:bCs w:val="0"/>
          <w:kern w:val="2"/>
          <w:sz w:val="20"/>
          <w:szCs w:val="20"/>
          <w:lang w:val="en-US" w:eastAsia="zh-CN" w:bidi="ar-SA"/>
        </w:rPr>
        <w:t>的</w:t>
      </w:r>
      <w:r>
        <w:rPr>
          <w:rFonts w:hint="eastAsia" w:ascii="宋体" w:hAnsi="宋体" w:eastAsia="宋体" w:cs="宋体"/>
          <w:b w:val="0"/>
          <w:bCs w:val="0"/>
          <w:kern w:val="2"/>
          <w:sz w:val="20"/>
          <w:szCs w:val="20"/>
          <w:lang w:val="en-US" w:eastAsia="zh-CN" w:bidi="ar-SA"/>
        </w:rPr>
        <w:t>维护人员要求工作日现场驻点。</w:t>
      </w:r>
      <w:r>
        <w:rPr>
          <w:rFonts w:hint="eastAsia" w:ascii="宋体" w:hAnsi="宋体" w:cs="宋体"/>
          <w:b w:val="0"/>
          <w:bCs w:val="0"/>
          <w:color w:val="0000FF"/>
          <w:kern w:val="2"/>
          <w:sz w:val="20"/>
          <w:szCs w:val="20"/>
          <w:lang w:val="en-US" w:eastAsia="zh-CN" w:bidi="ar-SA"/>
        </w:rPr>
        <w:t>维护人员数量在合同签订按照采购方要求提供满足项目运行的人员数量，</w:t>
      </w:r>
      <w:r>
        <w:rPr>
          <w:rFonts w:hint="eastAsia" w:ascii="宋体" w:hAnsi="宋体" w:eastAsia="宋体" w:cs="宋体"/>
          <w:b w:val="0"/>
          <w:bCs w:val="0"/>
          <w:kern w:val="2"/>
          <w:sz w:val="20"/>
          <w:szCs w:val="20"/>
          <w:lang w:val="en-US" w:eastAsia="zh-CN" w:bidi="ar-SA"/>
        </w:rPr>
        <w:t>项目人员均应具有相应视听广播会议设施维护调试的基本技能。</w:t>
      </w:r>
      <w:bookmarkEnd w:id="813"/>
    </w:p>
    <w:p w14:paraId="78DAB633">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814" w:name="_Toc3100"/>
      <w:r>
        <w:rPr>
          <w:rFonts w:hint="eastAsia" w:ascii="宋体" w:hAnsi="宋体" w:eastAsia="宋体" w:cs="宋体"/>
          <w:b w:val="0"/>
          <w:bCs w:val="0"/>
          <w:kern w:val="2"/>
          <w:sz w:val="20"/>
          <w:szCs w:val="20"/>
          <w:lang w:val="en-US" w:eastAsia="zh-CN" w:bidi="ar-SA"/>
        </w:rPr>
        <w:t>项目管理人员主要职责：统筹协调组织维护调试工作，为视听广播会议设备提供技术保障。负责项目的总体运转管理，组织审定项目维护方案，根据需求及时做好人员和资源等调配。组织联系有资质的维修单位，编制可行性故障维修方案。根据甲方实际需要，随时参与到重要时段的调试和值守工作。</w:t>
      </w:r>
      <w:bookmarkEnd w:id="814"/>
    </w:p>
    <w:p w14:paraId="1E9267CB">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815" w:name="_Toc7018"/>
      <w:r>
        <w:rPr>
          <w:rFonts w:hint="eastAsia" w:ascii="宋体" w:hAnsi="宋体" w:eastAsia="宋体" w:cs="宋体"/>
          <w:b w:val="0"/>
          <w:bCs w:val="0"/>
          <w:kern w:val="2"/>
          <w:sz w:val="20"/>
          <w:szCs w:val="20"/>
          <w:lang w:val="en-US" w:eastAsia="zh-CN" w:bidi="ar-SA"/>
        </w:rPr>
        <w:t>项目维护人员主要职责：对项目安全和质量负责，确保项目正常实施，负责会前调试、会议保障，音响视讯设备等日常维护工作，按照统一要求定期开展设施巡检、调试，以及与公司相关视频联调，包括会议、重大保供电时期的会场值守。负责维护范围内会议室的安全管理及设备保管，保障设备正常运转。</w:t>
      </w:r>
      <w:bookmarkEnd w:id="815"/>
    </w:p>
    <w:p w14:paraId="655DD28D">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bookmarkStart w:id="816" w:name="_Toc31409"/>
      <w:r>
        <w:rPr>
          <w:rFonts w:hint="eastAsia" w:ascii="宋体" w:hAnsi="宋体" w:eastAsia="宋体" w:cs="宋体"/>
          <w:b w:val="0"/>
          <w:bCs w:val="0"/>
          <w:kern w:val="2"/>
          <w:sz w:val="20"/>
          <w:szCs w:val="20"/>
          <w:lang w:val="en-US" w:eastAsia="zh-CN" w:bidi="ar-SA"/>
        </w:rPr>
        <w:t>（四）信息保密的要求</w:t>
      </w:r>
      <w:bookmarkEnd w:id="816"/>
    </w:p>
    <w:p w14:paraId="1C17A241">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1、乙方所委派的技术支持服务人员须与甲方签署保密协议，并严格执行。</w:t>
      </w:r>
    </w:p>
    <w:p w14:paraId="050CEF0A">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2、乙方必须定期对所委派的技术支持服务人员进行安全、保密教育，并约束其按相关信息保密要求执行。</w:t>
      </w:r>
    </w:p>
    <w:p w14:paraId="3731BF61">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3 、乙方所委派的技术支持服务人员未经许可，不得擅自翻阅、抄录、拷贝、传播所接触到的维护资料、数据。</w:t>
      </w:r>
    </w:p>
    <w:p w14:paraId="43749005">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4 、乙方所委派的技术支持服务人员因工作需要使用的U盘或移动硬盘等移动存储设备必须经项目单位相关管理部门网络安全扫描，统一编号、集中存放，非工作需要不得擅自携带外出。</w:t>
      </w:r>
    </w:p>
    <w:p w14:paraId="1C82D32B">
      <w:pPr>
        <w:keepNext w:val="0"/>
        <w:keepLines w:val="0"/>
        <w:pageBreakBefore w:val="0"/>
        <w:widowControl w:val="0"/>
        <w:numPr>
          <w:ilvl w:val="0"/>
          <w:numId w:val="5"/>
        </w:numPr>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考核标准及要求</w:t>
      </w:r>
    </w:p>
    <w:p w14:paraId="4746082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 xml:space="preserve"> 甲方每季度按照以下考核表进行一次考核，如有考核问题从该季度结算款中直接扣除。</w:t>
      </w:r>
    </w:p>
    <w:p w14:paraId="14BD2113">
      <w:pPr>
        <w:keepNext w:val="0"/>
        <w:keepLines w:val="0"/>
        <w:pageBreakBefore w:val="0"/>
        <w:widowControl w:val="0"/>
        <w:kinsoku/>
        <w:wordWrap/>
        <w:overflowPunct/>
        <w:topLinePunct w:val="0"/>
        <w:autoSpaceDE/>
        <w:autoSpaceDN/>
        <w:bidi w:val="0"/>
        <w:adjustRightInd/>
        <w:snapToGrid/>
        <w:spacing w:line="240" w:lineRule="auto"/>
        <w:ind w:firstLine="400" w:firstLineChars="200"/>
        <w:textAlignment w:val="auto"/>
        <w:rPr>
          <w:rFonts w:hint="eastAsia" w:ascii="宋体" w:hAnsi="宋体" w:eastAsia="宋体" w:cs="宋体"/>
          <w:b w:val="0"/>
          <w:bCs w:val="0"/>
          <w:kern w:val="2"/>
          <w:sz w:val="20"/>
          <w:szCs w:val="20"/>
          <w:lang w:val="en-US" w:eastAsia="zh-CN" w:bidi="ar-SA"/>
        </w:rPr>
      </w:pPr>
    </w:p>
    <w:tbl>
      <w:tblPr>
        <w:tblStyle w:val="15"/>
        <w:tblW w:w="9483" w:type="dxa"/>
        <w:tblInd w:w="-2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5240"/>
        <w:gridCol w:w="2237"/>
        <w:gridCol w:w="1323"/>
      </w:tblGrid>
      <w:tr w14:paraId="2372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blHeader/>
        </w:trPr>
        <w:tc>
          <w:tcPr>
            <w:tcW w:w="683" w:type="dxa"/>
            <w:vAlign w:val="center"/>
          </w:tcPr>
          <w:p w14:paraId="10A1506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宋体" w:hAnsi="宋体" w:eastAsia="宋体" w:cs="宋体"/>
                <w:b w:val="0"/>
                <w:bCs w:val="0"/>
                <w:kern w:val="2"/>
                <w:sz w:val="20"/>
                <w:szCs w:val="20"/>
                <w:lang w:val="en-US" w:eastAsia="zh-CN" w:bidi="ar-SA"/>
              </w:rPr>
            </w:pPr>
            <w:bookmarkStart w:id="817" w:name="_Toc27384"/>
            <w:r>
              <w:rPr>
                <w:rFonts w:hint="eastAsia" w:ascii="宋体" w:hAnsi="宋体" w:eastAsia="宋体" w:cs="宋体"/>
                <w:b w:val="0"/>
                <w:bCs w:val="0"/>
                <w:kern w:val="2"/>
                <w:sz w:val="20"/>
                <w:szCs w:val="20"/>
                <w:lang w:val="en-US" w:eastAsia="zh-CN" w:bidi="ar-SA"/>
              </w:rPr>
              <w:t>序号</w:t>
            </w:r>
            <w:bookmarkEnd w:id="817"/>
          </w:p>
        </w:tc>
        <w:tc>
          <w:tcPr>
            <w:tcW w:w="5240" w:type="dxa"/>
            <w:vAlign w:val="center"/>
          </w:tcPr>
          <w:p w14:paraId="13A511CD">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center"/>
              <w:textAlignment w:val="auto"/>
              <w:rPr>
                <w:rFonts w:hint="eastAsia" w:ascii="宋体" w:hAnsi="宋体" w:eastAsia="宋体" w:cs="宋体"/>
                <w:b w:val="0"/>
                <w:bCs w:val="0"/>
                <w:kern w:val="2"/>
                <w:sz w:val="20"/>
                <w:szCs w:val="20"/>
                <w:lang w:val="en-US" w:eastAsia="zh-CN" w:bidi="ar-SA"/>
              </w:rPr>
            </w:pPr>
            <w:bookmarkStart w:id="818" w:name="_Toc3776"/>
            <w:r>
              <w:rPr>
                <w:rFonts w:hint="eastAsia" w:ascii="宋体" w:hAnsi="宋体" w:eastAsia="宋体" w:cs="宋体"/>
                <w:b w:val="0"/>
                <w:bCs w:val="0"/>
                <w:kern w:val="2"/>
                <w:sz w:val="20"/>
                <w:szCs w:val="20"/>
                <w:lang w:val="en-US" w:eastAsia="zh-CN" w:bidi="ar-SA"/>
              </w:rPr>
              <w:t>乙方责任及考核内容</w:t>
            </w:r>
            <w:bookmarkEnd w:id="818"/>
          </w:p>
        </w:tc>
        <w:tc>
          <w:tcPr>
            <w:tcW w:w="2237" w:type="dxa"/>
            <w:vAlign w:val="center"/>
          </w:tcPr>
          <w:p w14:paraId="675F87B9">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宋体" w:hAnsi="宋体" w:eastAsia="宋体" w:cs="宋体"/>
                <w:b w:val="0"/>
                <w:bCs w:val="0"/>
                <w:kern w:val="2"/>
                <w:sz w:val="20"/>
                <w:szCs w:val="20"/>
                <w:lang w:val="en-US" w:eastAsia="zh-CN" w:bidi="ar-SA"/>
              </w:rPr>
            </w:pPr>
            <w:bookmarkStart w:id="819" w:name="_Toc10427"/>
            <w:r>
              <w:rPr>
                <w:rFonts w:hint="eastAsia" w:ascii="宋体" w:hAnsi="宋体" w:eastAsia="宋体" w:cs="宋体"/>
                <w:b w:val="0"/>
                <w:bCs w:val="0"/>
                <w:kern w:val="2"/>
                <w:sz w:val="20"/>
                <w:szCs w:val="20"/>
                <w:lang w:val="en-US" w:eastAsia="zh-CN" w:bidi="ar-SA"/>
              </w:rPr>
              <w:t>考核标准</w:t>
            </w:r>
            <w:bookmarkEnd w:id="819"/>
          </w:p>
        </w:tc>
        <w:tc>
          <w:tcPr>
            <w:tcW w:w="1323" w:type="dxa"/>
            <w:vAlign w:val="center"/>
          </w:tcPr>
          <w:p w14:paraId="374CE3B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宋体" w:hAnsi="宋体" w:eastAsia="宋体" w:cs="宋体"/>
                <w:b w:val="0"/>
                <w:bCs w:val="0"/>
                <w:kern w:val="2"/>
                <w:sz w:val="20"/>
                <w:szCs w:val="20"/>
                <w:lang w:val="en-US" w:eastAsia="zh-CN" w:bidi="ar-SA"/>
              </w:rPr>
            </w:pPr>
            <w:bookmarkStart w:id="820" w:name="_Toc24899"/>
            <w:r>
              <w:rPr>
                <w:rFonts w:hint="eastAsia" w:ascii="宋体" w:hAnsi="宋体" w:eastAsia="宋体" w:cs="宋体"/>
                <w:b w:val="0"/>
                <w:bCs w:val="0"/>
                <w:kern w:val="2"/>
                <w:sz w:val="20"/>
                <w:szCs w:val="20"/>
                <w:lang w:val="en-US" w:eastAsia="zh-CN" w:bidi="ar-SA"/>
              </w:rPr>
              <w:t>考核</w:t>
            </w:r>
            <w:bookmarkEnd w:id="820"/>
            <w:bookmarkStart w:id="821" w:name="_Toc8437"/>
            <w:r>
              <w:rPr>
                <w:rFonts w:hint="eastAsia" w:ascii="宋体" w:hAnsi="宋体" w:eastAsia="宋体" w:cs="宋体"/>
                <w:b w:val="0"/>
                <w:bCs w:val="0"/>
                <w:kern w:val="2"/>
                <w:sz w:val="20"/>
                <w:szCs w:val="20"/>
                <w:lang w:val="en-US" w:eastAsia="zh-CN" w:bidi="ar-SA"/>
              </w:rPr>
              <w:t>情况</w:t>
            </w:r>
            <w:bookmarkEnd w:id="821"/>
          </w:p>
        </w:tc>
      </w:tr>
      <w:tr w14:paraId="1436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3" w:type="dxa"/>
            <w:vAlign w:val="center"/>
          </w:tcPr>
          <w:p w14:paraId="178C3ECC">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bookmarkStart w:id="822" w:name="_Toc28658"/>
          </w:p>
          <w:p w14:paraId="25D80F97">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1</w:t>
            </w:r>
            <w:bookmarkEnd w:id="822"/>
          </w:p>
        </w:tc>
        <w:tc>
          <w:tcPr>
            <w:tcW w:w="5240" w:type="dxa"/>
            <w:vAlign w:val="center"/>
          </w:tcPr>
          <w:p w14:paraId="1259B284">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乙方依据甲方委托的工作内容，接受甲方维护指令和考核。</w:t>
            </w:r>
          </w:p>
        </w:tc>
        <w:tc>
          <w:tcPr>
            <w:tcW w:w="2237" w:type="dxa"/>
            <w:vAlign w:val="center"/>
          </w:tcPr>
          <w:p w14:paraId="0024738D">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bookmarkStart w:id="823" w:name="_Toc15090"/>
            <w:r>
              <w:rPr>
                <w:rFonts w:hint="eastAsia" w:ascii="宋体" w:hAnsi="宋体" w:eastAsia="宋体" w:cs="宋体"/>
                <w:b w:val="0"/>
                <w:bCs w:val="0"/>
                <w:kern w:val="2"/>
                <w:sz w:val="20"/>
                <w:szCs w:val="20"/>
                <w:lang w:val="en-US" w:eastAsia="zh-CN" w:bidi="ar-SA"/>
              </w:rPr>
              <w:t>每违反一次扣300元</w:t>
            </w:r>
            <w:bookmarkEnd w:id="823"/>
          </w:p>
        </w:tc>
        <w:tc>
          <w:tcPr>
            <w:tcW w:w="1323" w:type="dxa"/>
            <w:vAlign w:val="center"/>
          </w:tcPr>
          <w:p w14:paraId="443B0360">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46FB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4" w:hRule="atLeast"/>
        </w:trPr>
        <w:tc>
          <w:tcPr>
            <w:tcW w:w="683" w:type="dxa"/>
            <w:vAlign w:val="center"/>
          </w:tcPr>
          <w:p w14:paraId="51CF1068">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bookmarkStart w:id="824" w:name="_Toc19322"/>
            <w:r>
              <w:rPr>
                <w:rFonts w:hint="eastAsia" w:ascii="宋体" w:hAnsi="宋体" w:eastAsia="宋体" w:cs="宋体"/>
                <w:b w:val="0"/>
                <w:bCs w:val="0"/>
                <w:kern w:val="2"/>
                <w:sz w:val="20"/>
                <w:szCs w:val="20"/>
                <w:lang w:val="en-US" w:eastAsia="zh-CN" w:bidi="ar-SA"/>
              </w:rPr>
              <w:t>2</w:t>
            </w:r>
            <w:bookmarkEnd w:id="824"/>
          </w:p>
        </w:tc>
        <w:tc>
          <w:tcPr>
            <w:tcW w:w="5240" w:type="dxa"/>
            <w:vAlign w:val="center"/>
          </w:tcPr>
          <w:p w14:paraId="68CFA165">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乙方严格执行国家、南方电网公司、广西电网公司颁发的规程、制度、规范和标准，开展视频会议系统、音响系统维护工作。在本合同发布后，对于国家、南方电网公司、广西电网公司颁发新的规程、制度、标准、规范，甲方有权要求乙方一并严格执行，若新规程、制度、标准、规范的要求与本合同要求不一致，以新规程、制度、规范和标准为准。并严格遵守《电业安全工作规程》的有关规定。因违章造成的安全责任事故，由乙方承担。</w:t>
            </w:r>
          </w:p>
        </w:tc>
        <w:tc>
          <w:tcPr>
            <w:tcW w:w="2237" w:type="dxa"/>
            <w:vAlign w:val="center"/>
          </w:tcPr>
          <w:p w14:paraId="638625B1">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每违反一次扣500元</w:t>
            </w:r>
          </w:p>
        </w:tc>
        <w:tc>
          <w:tcPr>
            <w:tcW w:w="1323" w:type="dxa"/>
            <w:vAlign w:val="center"/>
          </w:tcPr>
          <w:p w14:paraId="12368EB6">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09F5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7" w:hRule="atLeast"/>
        </w:trPr>
        <w:tc>
          <w:tcPr>
            <w:tcW w:w="683" w:type="dxa"/>
            <w:vAlign w:val="center"/>
          </w:tcPr>
          <w:p w14:paraId="462E6C93">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bookmarkStart w:id="825" w:name="_Toc14584"/>
            <w:r>
              <w:rPr>
                <w:rFonts w:hint="eastAsia" w:ascii="宋体" w:hAnsi="宋体" w:eastAsia="宋体" w:cs="宋体"/>
                <w:b w:val="0"/>
                <w:bCs w:val="0"/>
                <w:kern w:val="2"/>
                <w:sz w:val="20"/>
                <w:szCs w:val="20"/>
                <w:lang w:val="en-US" w:eastAsia="zh-CN" w:bidi="ar-SA"/>
              </w:rPr>
              <w:t>3</w:t>
            </w:r>
            <w:bookmarkEnd w:id="825"/>
          </w:p>
        </w:tc>
        <w:tc>
          <w:tcPr>
            <w:tcW w:w="5240" w:type="dxa"/>
            <w:vAlign w:val="center"/>
          </w:tcPr>
          <w:p w14:paraId="0A48B71A">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bookmarkStart w:id="826" w:name="_Toc30768"/>
            <w:r>
              <w:rPr>
                <w:rFonts w:hint="eastAsia" w:ascii="宋体" w:hAnsi="宋体" w:eastAsia="宋体" w:cs="宋体"/>
                <w:b w:val="0"/>
                <w:bCs w:val="0"/>
                <w:kern w:val="2"/>
                <w:sz w:val="20"/>
                <w:szCs w:val="20"/>
                <w:lang w:val="en-US" w:eastAsia="zh-CN" w:bidi="ar-SA"/>
              </w:rPr>
              <w:t>乙方提供24小时电话支持服务，每周5天每天8小时工作时间内随时响应受理甲方会议音响调试、值守服务请求。如因临时会议、保供电等工作安排，需根据甲方工作需要，无条件提供其他时间的现场驻点服务。</w:t>
            </w:r>
            <w:bookmarkEnd w:id="826"/>
          </w:p>
        </w:tc>
        <w:tc>
          <w:tcPr>
            <w:tcW w:w="2237" w:type="dxa"/>
            <w:vAlign w:val="center"/>
          </w:tcPr>
          <w:p w14:paraId="3681DFC8">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bookmarkStart w:id="827" w:name="_Toc13473"/>
            <w:r>
              <w:rPr>
                <w:rFonts w:hint="eastAsia" w:ascii="宋体" w:hAnsi="宋体" w:eastAsia="宋体" w:cs="宋体"/>
                <w:b w:val="0"/>
                <w:bCs w:val="0"/>
                <w:kern w:val="2"/>
                <w:sz w:val="20"/>
                <w:szCs w:val="20"/>
                <w:lang w:val="en-US" w:eastAsia="zh-CN" w:bidi="ar-SA"/>
              </w:rPr>
              <w:t>每违反一次扣300元</w:t>
            </w:r>
            <w:bookmarkEnd w:id="827"/>
          </w:p>
        </w:tc>
        <w:tc>
          <w:tcPr>
            <w:tcW w:w="1323" w:type="dxa"/>
            <w:vAlign w:val="center"/>
          </w:tcPr>
          <w:p w14:paraId="05EC0ED3">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13C6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0" w:hRule="atLeast"/>
        </w:trPr>
        <w:tc>
          <w:tcPr>
            <w:tcW w:w="683" w:type="dxa"/>
            <w:vAlign w:val="center"/>
          </w:tcPr>
          <w:p w14:paraId="5FE0420B">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bookmarkStart w:id="828" w:name="_Toc7539"/>
            <w:r>
              <w:rPr>
                <w:rFonts w:hint="eastAsia" w:ascii="宋体" w:hAnsi="宋体" w:eastAsia="宋体" w:cs="宋体"/>
                <w:b w:val="0"/>
                <w:bCs w:val="0"/>
                <w:kern w:val="2"/>
                <w:sz w:val="20"/>
                <w:szCs w:val="20"/>
                <w:lang w:val="en-US" w:eastAsia="zh-CN" w:bidi="ar-SA"/>
              </w:rPr>
              <w:t>4</w:t>
            </w:r>
            <w:bookmarkEnd w:id="828"/>
          </w:p>
        </w:tc>
        <w:tc>
          <w:tcPr>
            <w:tcW w:w="5240" w:type="dxa"/>
            <w:vAlign w:val="center"/>
          </w:tcPr>
          <w:p w14:paraId="4241AA4B">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bookmarkStart w:id="829" w:name="_Toc9017"/>
            <w:r>
              <w:rPr>
                <w:rFonts w:hint="eastAsia" w:ascii="宋体" w:hAnsi="宋体" w:eastAsia="宋体" w:cs="宋体"/>
                <w:b w:val="0"/>
                <w:bCs w:val="0"/>
                <w:kern w:val="2"/>
                <w:sz w:val="20"/>
                <w:szCs w:val="20"/>
                <w:lang w:val="en-US" w:eastAsia="zh-CN" w:bidi="ar-SA"/>
              </w:rPr>
              <w:t>乙方人员在会议召开至少半小时前，调试好音响系统所有设备，确保设备正常工作。</w:t>
            </w:r>
            <w:bookmarkEnd w:id="829"/>
          </w:p>
        </w:tc>
        <w:tc>
          <w:tcPr>
            <w:tcW w:w="2237" w:type="dxa"/>
            <w:vAlign w:val="center"/>
          </w:tcPr>
          <w:p w14:paraId="0B6517E3">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bookmarkStart w:id="830" w:name="_Toc16679"/>
            <w:r>
              <w:rPr>
                <w:rFonts w:hint="eastAsia" w:ascii="宋体" w:hAnsi="宋体" w:eastAsia="宋体" w:cs="宋体"/>
                <w:b w:val="0"/>
                <w:bCs w:val="0"/>
                <w:kern w:val="2"/>
                <w:sz w:val="20"/>
                <w:szCs w:val="20"/>
                <w:lang w:val="en-US" w:eastAsia="zh-CN" w:bidi="ar-SA"/>
              </w:rPr>
              <w:t>每违反一次扣300元</w:t>
            </w:r>
            <w:bookmarkEnd w:id="830"/>
          </w:p>
        </w:tc>
        <w:tc>
          <w:tcPr>
            <w:tcW w:w="1323" w:type="dxa"/>
            <w:vAlign w:val="center"/>
          </w:tcPr>
          <w:p w14:paraId="297466A4">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6B29B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3" w:hRule="atLeast"/>
        </w:trPr>
        <w:tc>
          <w:tcPr>
            <w:tcW w:w="683" w:type="dxa"/>
            <w:vAlign w:val="center"/>
          </w:tcPr>
          <w:p w14:paraId="4295421C">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bookmarkStart w:id="831" w:name="_Toc18897"/>
            <w:r>
              <w:rPr>
                <w:rFonts w:hint="eastAsia" w:ascii="宋体" w:hAnsi="宋体" w:eastAsia="宋体" w:cs="宋体"/>
                <w:b w:val="0"/>
                <w:bCs w:val="0"/>
                <w:kern w:val="2"/>
                <w:sz w:val="20"/>
                <w:szCs w:val="20"/>
                <w:lang w:val="en-US" w:eastAsia="zh-CN" w:bidi="ar-SA"/>
              </w:rPr>
              <w:t>5</w:t>
            </w:r>
            <w:bookmarkEnd w:id="831"/>
          </w:p>
        </w:tc>
        <w:tc>
          <w:tcPr>
            <w:tcW w:w="5240" w:type="dxa"/>
            <w:vAlign w:val="center"/>
          </w:tcPr>
          <w:p w14:paraId="23A4757B">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zh-CN" w:eastAsia="zh-CN" w:bidi="ar-SA"/>
              </w:rPr>
            </w:pPr>
            <w:bookmarkStart w:id="832" w:name="_Toc30693"/>
            <w:r>
              <w:rPr>
                <w:rFonts w:hint="eastAsia" w:ascii="宋体" w:hAnsi="宋体" w:eastAsia="宋体" w:cs="宋体"/>
                <w:b w:val="0"/>
                <w:bCs w:val="0"/>
                <w:kern w:val="2"/>
                <w:sz w:val="20"/>
                <w:szCs w:val="20"/>
                <w:lang w:val="en-US" w:eastAsia="zh-CN" w:bidi="ar-SA"/>
              </w:rPr>
              <w:t>视频会议及重要会议、保供电等全程值守提供设备技术支持。</w:t>
            </w:r>
            <w:bookmarkEnd w:id="832"/>
          </w:p>
        </w:tc>
        <w:tc>
          <w:tcPr>
            <w:tcW w:w="2237" w:type="dxa"/>
            <w:vAlign w:val="center"/>
          </w:tcPr>
          <w:p w14:paraId="05A0C07F">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每违反一次扣300元</w:t>
            </w:r>
          </w:p>
        </w:tc>
        <w:tc>
          <w:tcPr>
            <w:tcW w:w="1323" w:type="dxa"/>
            <w:vAlign w:val="center"/>
          </w:tcPr>
          <w:p w14:paraId="54F84C8E">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3A6E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2" w:hRule="atLeast"/>
        </w:trPr>
        <w:tc>
          <w:tcPr>
            <w:tcW w:w="683" w:type="dxa"/>
            <w:vAlign w:val="center"/>
          </w:tcPr>
          <w:p w14:paraId="3CF3C44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33" w:name="_Toc30678"/>
            <w:r>
              <w:rPr>
                <w:rFonts w:hint="eastAsia" w:ascii="宋体" w:hAnsi="宋体" w:eastAsia="宋体" w:cs="宋体"/>
                <w:b w:val="0"/>
                <w:bCs w:val="0"/>
                <w:kern w:val="2"/>
                <w:sz w:val="20"/>
                <w:szCs w:val="20"/>
                <w:lang w:val="en-US" w:eastAsia="zh-CN" w:bidi="ar-SA"/>
              </w:rPr>
              <w:t>6</w:t>
            </w:r>
            <w:bookmarkEnd w:id="833"/>
          </w:p>
        </w:tc>
        <w:tc>
          <w:tcPr>
            <w:tcW w:w="5240" w:type="dxa"/>
            <w:vAlign w:val="center"/>
          </w:tcPr>
          <w:p w14:paraId="525C582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zh-CN" w:eastAsia="zh-CN" w:bidi="ar-SA"/>
              </w:rPr>
            </w:pPr>
            <w:bookmarkStart w:id="834" w:name="_Toc18838"/>
            <w:r>
              <w:rPr>
                <w:rFonts w:hint="eastAsia" w:ascii="宋体" w:hAnsi="宋体" w:eastAsia="宋体" w:cs="宋体"/>
                <w:b w:val="0"/>
                <w:bCs w:val="0"/>
                <w:kern w:val="2"/>
                <w:sz w:val="20"/>
                <w:szCs w:val="20"/>
                <w:lang w:val="zh-CN" w:eastAsia="zh-CN" w:bidi="ar-SA"/>
              </w:rPr>
              <w:t>故障处理</w:t>
            </w:r>
            <w:bookmarkEnd w:id="834"/>
          </w:p>
          <w:p w14:paraId="232FE4DC">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zh-CN" w:eastAsia="zh-CN" w:bidi="ar-SA"/>
              </w:rPr>
            </w:pPr>
            <w:bookmarkStart w:id="835" w:name="_Toc11102"/>
            <w:r>
              <w:rPr>
                <w:rFonts w:hint="eastAsia" w:ascii="宋体" w:hAnsi="宋体" w:eastAsia="宋体" w:cs="宋体"/>
                <w:b w:val="0"/>
                <w:bCs w:val="0"/>
                <w:kern w:val="2"/>
                <w:sz w:val="20"/>
                <w:szCs w:val="20"/>
                <w:lang w:val="en-US" w:eastAsia="zh-CN" w:bidi="ar-SA"/>
              </w:rPr>
              <w:t>乙</w:t>
            </w:r>
            <w:r>
              <w:rPr>
                <w:rFonts w:hint="eastAsia" w:ascii="宋体" w:hAnsi="宋体" w:eastAsia="宋体" w:cs="宋体"/>
                <w:b w:val="0"/>
                <w:bCs w:val="0"/>
                <w:kern w:val="2"/>
                <w:sz w:val="20"/>
                <w:szCs w:val="20"/>
                <w:lang w:val="zh-CN" w:eastAsia="zh-CN" w:bidi="ar-SA"/>
              </w:rPr>
              <w:t>方在日常维护检修工作中发现设备缺陷要及时处理，重大设备缺陷要及时通知甲方，做好</w:t>
            </w:r>
            <w:r>
              <w:rPr>
                <w:rFonts w:hint="eastAsia" w:ascii="宋体" w:hAnsi="宋体" w:eastAsia="宋体" w:cs="宋体"/>
                <w:b w:val="0"/>
                <w:bCs w:val="0"/>
                <w:kern w:val="2"/>
                <w:sz w:val="20"/>
                <w:szCs w:val="20"/>
                <w:lang w:val="en-US" w:eastAsia="zh-CN" w:bidi="ar-SA"/>
              </w:rPr>
              <w:t>会议室音响、视讯系统</w:t>
            </w:r>
            <w:r>
              <w:rPr>
                <w:rFonts w:hint="eastAsia" w:ascii="宋体" w:hAnsi="宋体" w:eastAsia="宋体" w:cs="宋体"/>
                <w:b w:val="0"/>
                <w:bCs w:val="0"/>
                <w:kern w:val="2"/>
                <w:sz w:val="20"/>
                <w:szCs w:val="20"/>
                <w:lang w:val="zh-CN" w:eastAsia="zh-CN" w:bidi="ar-SA"/>
              </w:rPr>
              <w:t>系统的运维工作。</w:t>
            </w:r>
            <w:bookmarkEnd w:id="835"/>
          </w:p>
          <w:p w14:paraId="1B520821">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zh-CN" w:eastAsia="zh-CN" w:bidi="ar-SA"/>
              </w:rPr>
            </w:pPr>
            <w:bookmarkStart w:id="836" w:name="_Toc31137"/>
            <w:r>
              <w:rPr>
                <w:rFonts w:hint="eastAsia" w:ascii="宋体" w:hAnsi="宋体" w:eastAsia="宋体" w:cs="宋体"/>
                <w:b w:val="0"/>
                <w:bCs w:val="0"/>
                <w:kern w:val="2"/>
                <w:sz w:val="20"/>
                <w:szCs w:val="20"/>
                <w:lang w:val="en-US" w:eastAsia="zh-CN" w:bidi="ar-SA"/>
              </w:rPr>
              <w:t>系统出现故障，应立即处理，如设备出现故障，应及时组织研究提出可行性维修方案至甲方（修理及更换费用由甲方负担，传输线材、支架、摄像头电源等单个价格在100元及以下的配件由乙方负责免费更换。），不出现人为（不可抗拒的因素除外）操作导致的设备故障</w:t>
            </w:r>
            <w:r>
              <w:rPr>
                <w:rFonts w:hint="eastAsia" w:ascii="宋体" w:hAnsi="宋体" w:eastAsia="宋体" w:cs="宋体"/>
                <w:b w:val="0"/>
                <w:bCs w:val="0"/>
                <w:kern w:val="2"/>
                <w:sz w:val="20"/>
                <w:szCs w:val="20"/>
                <w:lang w:val="zh-CN" w:eastAsia="zh-CN" w:bidi="ar-SA"/>
              </w:rPr>
              <w:t>。</w:t>
            </w:r>
            <w:bookmarkEnd w:id="836"/>
          </w:p>
        </w:tc>
        <w:tc>
          <w:tcPr>
            <w:tcW w:w="2237" w:type="dxa"/>
            <w:vAlign w:val="center"/>
          </w:tcPr>
          <w:p w14:paraId="1A1C5E4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37" w:name="_Toc2545"/>
            <w:r>
              <w:rPr>
                <w:rFonts w:hint="eastAsia" w:ascii="宋体" w:hAnsi="宋体" w:eastAsia="宋体" w:cs="宋体"/>
                <w:b w:val="0"/>
                <w:bCs w:val="0"/>
                <w:kern w:val="2"/>
                <w:sz w:val="20"/>
                <w:szCs w:val="20"/>
                <w:lang w:val="en-US" w:eastAsia="zh-CN" w:bidi="ar-SA"/>
              </w:rPr>
              <w:t>每违反一次扣300元</w:t>
            </w:r>
            <w:bookmarkEnd w:id="837"/>
          </w:p>
        </w:tc>
        <w:tc>
          <w:tcPr>
            <w:tcW w:w="1323" w:type="dxa"/>
            <w:vAlign w:val="center"/>
          </w:tcPr>
          <w:p w14:paraId="35EAD8B1">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3E73E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4" w:hRule="atLeast"/>
        </w:trPr>
        <w:tc>
          <w:tcPr>
            <w:tcW w:w="683" w:type="dxa"/>
            <w:vAlign w:val="center"/>
          </w:tcPr>
          <w:p w14:paraId="18AC113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38" w:name="_Toc9702"/>
            <w:r>
              <w:rPr>
                <w:rFonts w:hint="eastAsia" w:ascii="宋体" w:hAnsi="宋体" w:eastAsia="宋体" w:cs="宋体"/>
                <w:b w:val="0"/>
                <w:bCs w:val="0"/>
                <w:kern w:val="2"/>
                <w:sz w:val="20"/>
                <w:szCs w:val="20"/>
                <w:lang w:val="en-US" w:eastAsia="zh-CN" w:bidi="ar-SA"/>
              </w:rPr>
              <w:t>7</w:t>
            </w:r>
            <w:bookmarkEnd w:id="838"/>
          </w:p>
        </w:tc>
        <w:tc>
          <w:tcPr>
            <w:tcW w:w="5240" w:type="dxa"/>
            <w:vAlign w:val="center"/>
          </w:tcPr>
          <w:p w14:paraId="72F7E05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39" w:name="_Toc28879"/>
            <w:r>
              <w:rPr>
                <w:rFonts w:hint="eastAsia" w:ascii="宋体" w:hAnsi="宋体" w:eastAsia="宋体" w:cs="宋体"/>
                <w:b w:val="0"/>
                <w:bCs w:val="0"/>
                <w:kern w:val="2"/>
                <w:sz w:val="20"/>
                <w:szCs w:val="20"/>
                <w:lang w:val="en-US" w:eastAsia="zh-CN" w:bidi="ar-SA"/>
              </w:rPr>
              <w:t>乙方对甲方委托乙方服务的会议室音响、视讯系统提供24小时应急处理服务和故障维修服务。</w:t>
            </w:r>
            <w:bookmarkEnd w:id="839"/>
          </w:p>
        </w:tc>
        <w:tc>
          <w:tcPr>
            <w:tcW w:w="2237" w:type="dxa"/>
            <w:vAlign w:val="center"/>
          </w:tcPr>
          <w:p w14:paraId="1CC542E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40" w:name="_Toc25450"/>
            <w:r>
              <w:rPr>
                <w:rFonts w:hint="eastAsia" w:ascii="宋体" w:hAnsi="宋体" w:eastAsia="宋体" w:cs="宋体"/>
                <w:b w:val="0"/>
                <w:bCs w:val="0"/>
                <w:kern w:val="2"/>
                <w:sz w:val="20"/>
                <w:szCs w:val="20"/>
                <w:lang w:val="en-US" w:eastAsia="zh-CN" w:bidi="ar-SA"/>
              </w:rPr>
              <w:t>每违反一次扣300元</w:t>
            </w:r>
            <w:bookmarkEnd w:id="840"/>
          </w:p>
        </w:tc>
        <w:tc>
          <w:tcPr>
            <w:tcW w:w="1323" w:type="dxa"/>
            <w:vAlign w:val="center"/>
          </w:tcPr>
          <w:p w14:paraId="47293238">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7686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7" w:hRule="atLeast"/>
        </w:trPr>
        <w:tc>
          <w:tcPr>
            <w:tcW w:w="683" w:type="dxa"/>
            <w:vAlign w:val="center"/>
          </w:tcPr>
          <w:p w14:paraId="456369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41" w:name="_Toc17027"/>
            <w:r>
              <w:rPr>
                <w:rFonts w:hint="eastAsia" w:ascii="宋体" w:hAnsi="宋体" w:eastAsia="宋体" w:cs="宋体"/>
                <w:b w:val="0"/>
                <w:bCs w:val="0"/>
                <w:kern w:val="2"/>
                <w:sz w:val="20"/>
                <w:szCs w:val="20"/>
                <w:lang w:val="en-US" w:eastAsia="zh-CN" w:bidi="ar-SA"/>
              </w:rPr>
              <w:t>8</w:t>
            </w:r>
            <w:bookmarkEnd w:id="841"/>
          </w:p>
        </w:tc>
        <w:tc>
          <w:tcPr>
            <w:tcW w:w="5240" w:type="dxa"/>
            <w:vAlign w:val="center"/>
          </w:tcPr>
          <w:p w14:paraId="321B857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42" w:name="_Toc11690"/>
            <w:r>
              <w:rPr>
                <w:rFonts w:hint="eastAsia" w:ascii="宋体" w:hAnsi="宋体" w:eastAsia="宋体" w:cs="宋体"/>
                <w:b w:val="0"/>
                <w:bCs w:val="0"/>
                <w:kern w:val="2"/>
                <w:sz w:val="20"/>
                <w:szCs w:val="20"/>
                <w:lang w:val="en-US" w:eastAsia="zh-CN" w:bidi="ar-SA"/>
              </w:rPr>
              <w:t>乙方需按照甲方要求，在发生应急处理和故障维修请求后1小时内到达现场，对会议室音响视讯系统进行维护。</w:t>
            </w:r>
            <w:bookmarkEnd w:id="842"/>
          </w:p>
        </w:tc>
        <w:tc>
          <w:tcPr>
            <w:tcW w:w="2237" w:type="dxa"/>
            <w:vAlign w:val="center"/>
          </w:tcPr>
          <w:p w14:paraId="3D35AF5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43" w:name="_Toc2891"/>
            <w:r>
              <w:rPr>
                <w:rFonts w:hint="eastAsia" w:ascii="宋体" w:hAnsi="宋体" w:eastAsia="宋体" w:cs="宋体"/>
                <w:b w:val="0"/>
                <w:bCs w:val="0"/>
                <w:kern w:val="2"/>
                <w:sz w:val="20"/>
                <w:szCs w:val="20"/>
                <w:lang w:val="en-US" w:eastAsia="zh-CN" w:bidi="ar-SA"/>
              </w:rPr>
              <w:t>每违反一次扣300元</w:t>
            </w:r>
            <w:bookmarkEnd w:id="843"/>
          </w:p>
        </w:tc>
        <w:tc>
          <w:tcPr>
            <w:tcW w:w="1323" w:type="dxa"/>
            <w:vAlign w:val="center"/>
          </w:tcPr>
          <w:p w14:paraId="2C44F0E8">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02B1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2" w:hRule="atLeast"/>
        </w:trPr>
        <w:tc>
          <w:tcPr>
            <w:tcW w:w="683" w:type="dxa"/>
            <w:vAlign w:val="center"/>
          </w:tcPr>
          <w:p w14:paraId="20ACB89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44" w:name="_Toc11223"/>
            <w:r>
              <w:rPr>
                <w:rFonts w:hint="eastAsia" w:ascii="宋体" w:hAnsi="宋体" w:eastAsia="宋体" w:cs="宋体"/>
                <w:b w:val="0"/>
                <w:bCs w:val="0"/>
                <w:kern w:val="2"/>
                <w:sz w:val="20"/>
                <w:szCs w:val="20"/>
                <w:lang w:val="en-US" w:eastAsia="zh-CN" w:bidi="ar-SA"/>
              </w:rPr>
              <w:t>9</w:t>
            </w:r>
            <w:bookmarkEnd w:id="844"/>
          </w:p>
        </w:tc>
        <w:tc>
          <w:tcPr>
            <w:tcW w:w="5240" w:type="dxa"/>
            <w:vAlign w:val="center"/>
          </w:tcPr>
          <w:p w14:paraId="675006C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zh-CN" w:eastAsia="zh-CN" w:bidi="ar-SA"/>
              </w:rPr>
            </w:pPr>
            <w:bookmarkStart w:id="845" w:name="_Toc6616"/>
            <w:r>
              <w:rPr>
                <w:rFonts w:hint="eastAsia" w:ascii="宋体" w:hAnsi="宋体" w:eastAsia="宋体" w:cs="宋体"/>
                <w:b w:val="0"/>
                <w:bCs w:val="0"/>
                <w:kern w:val="2"/>
                <w:sz w:val="20"/>
                <w:szCs w:val="20"/>
                <w:lang w:val="en-US" w:eastAsia="zh-CN" w:bidi="ar-SA"/>
              </w:rPr>
              <w:t>会后设备检查工作，离开时关闭设备，关闭门窗。</w:t>
            </w:r>
            <w:bookmarkEnd w:id="845"/>
          </w:p>
        </w:tc>
        <w:tc>
          <w:tcPr>
            <w:tcW w:w="2237" w:type="dxa"/>
            <w:vAlign w:val="center"/>
          </w:tcPr>
          <w:p w14:paraId="3E4006F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46" w:name="_Toc11542"/>
            <w:r>
              <w:rPr>
                <w:rFonts w:hint="eastAsia" w:ascii="宋体" w:hAnsi="宋体" w:eastAsia="宋体" w:cs="宋体"/>
                <w:b w:val="0"/>
                <w:bCs w:val="0"/>
                <w:kern w:val="2"/>
                <w:sz w:val="20"/>
                <w:szCs w:val="20"/>
                <w:lang w:val="en-US" w:eastAsia="zh-CN" w:bidi="ar-SA"/>
              </w:rPr>
              <w:t>每违反一次扣300元</w:t>
            </w:r>
            <w:bookmarkEnd w:id="846"/>
          </w:p>
        </w:tc>
        <w:tc>
          <w:tcPr>
            <w:tcW w:w="1323" w:type="dxa"/>
            <w:vAlign w:val="center"/>
          </w:tcPr>
          <w:p w14:paraId="2C66DE03">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7BBE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0" w:hRule="atLeast"/>
        </w:trPr>
        <w:tc>
          <w:tcPr>
            <w:tcW w:w="683" w:type="dxa"/>
            <w:vAlign w:val="center"/>
          </w:tcPr>
          <w:p w14:paraId="693ECF2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kern w:val="2"/>
                <w:sz w:val="20"/>
                <w:szCs w:val="20"/>
                <w:lang w:val="en-US" w:eastAsia="zh-CN" w:bidi="ar-SA"/>
              </w:rPr>
            </w:pPr>
            <w:r>
              <w:rPr>
                <w:rFonts w:hint="eastAsia" w:ascii="宋体" w:hAnsi="宋体" w:cs="宋体"/>
                <w:b w:val="0"/>
                <w:bCs w:val="0"/>
                <w:kern w:val="2"/>
                <w:sz w:val="20"/>
                <w:szCs w:val="20"/>
                <w:lang w:val="en-US" w:eastAsia="zh-CN" w:bidi="ar-SA"/>
              </w:rPr>
              <w:t>10</w:t>
            </w:r>
          </w:p>
        </w:tc>
        <w:tc>
          <w:tcPr>
            <w:tcW w:w="5240" w:type="dxa"/>
            <w:vAlign w:val="center"/>
          </w:tcPr>
          <w:p w14:paraId="0AAE174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47" w:name="_Toc31691"/>
            <w:r>
              <w:rPr>
                <w:rFonts w:hint="eastAsia" w:ascii="宋体" w:hAnsi="宋体" w:eastAsia="宋体" w:cs="宋体"/>
                <w:b w:val="0"/>
                <w:bCs w:val="0"/>
                <w:kern w:val="2"/>
                <w:sz w:val="20"/>
                <w:szCs w:val="20"/>
                <w:lang w:val="en-US" w:eastAsia="zh-CN" w:bidi="ar-SA"/>
              </w:rPr>
              <w:t>每周定时配合开展视频会议系统调试，确保设备运行状态正常</w:t>
            </w:r>
            <w:r>
              <w:rPr>
                <w:rFonts w:hint="eastAsia" w:ascii="宋体" w:hAnsi="宋体" w:eastAsia="宋体" w:cs="宋体"/>
                <w:b w:val="0"/>
                <w:bCs w:val="0"/>
                <w:kern w:val="2"/>
                <w:sz w:val="20"/>
                <w:szCs w:val="20"/>
                <w:lang w:val="zh-CN" w:eastAsia="zh-CN" w:bidi="ar-SA"/>
              </w:rPr>
              <w:t>。每次会议完成后，根据需要协助填报会议报告工单等。</w:t>
            </w:r>
            <w:bookmarkEnd w:id="847"/>
          </w:p>
        </w:tc>
        <w:tc>
          <w:tcPr>
            <w:tcW w:w="2237" w:type="dxa"/>
            <w:vAlign w:val="center"/>
          </w:tcPr>
          <w:p w14:paraId="59D18D5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48" w:name="_Toc15514"/>
            <w:r>
              <w:rPr>
                <w:rFonts w:hint="eastAsia" w:ascii="宋体" w:hAnsi="宋体" w:eastAsia="宋体" w:cs="宋体"/>
                <w:b w:val="0"/>
                <w:bCs w:val="0"/>
                <w:kern w:val="2"/>
                <w:sz w:val="20"/>
                <w:szCs w:val="20"/>
                <w:lang w:val="en-US" w:eastAsia="zh-CN" w:bidi="ar-SA"/>
              </w:rPr>
              <w:t>每违反一次扣300元</w:t>
            </w:r>
            <w:bookmarkEnd w:id="848"/>
          </w:p>
        </w:tc>
        <w:tc>
          <w:tcPr>
            <w:tcW w:w="1323" w:type="dxa"/>
            <w:vAlign w:val="center"/>
          </w:tcPr>
          <w:p w14:paraId="05694632">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22B11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3" w:hRule="atLeast"/>
        </w:trPr>
        <w:tc>
          <w:tcPr>
            <w:tcW w:w="683" w:type="dxa"/>
            <w:vAlign w:val="center"/>
          </w:tcPr>
          <w:p w14:paraId="1C74766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kern w:val="2"/>
                <w:sz w:val="20"/>
                <w:szCs w:val="20"/>
                <w:lang w:val="en-US" w:eastAsia="zh-CN" w:bidi="ar-SA"/>
              </w:rPr>
            </w:pPr>
            <w:r>
              <w:rPr>
                <w:rFonts w:hint="eastAsia" w:ascii="宋体" w:hAnsi="宋体" w:cs="宋体"/>
                <w:b w:val="0"/>
                <w:bCs w:val="0"/>
                <w:kern w:val="2"/>
                <w:sz w:val="20"/>
                <w:szCs w:val="20"/>
                <w:lang w:val="en-US" w:eastAsia="zh-CN" w:bidi="ar-SA"/>
              </w:rPr>
              <w:t>11</w:t>
            </w:r>
          </w:p>
        </w:tc>
        <w:tc>
          <w:tcPr>
            <w:tcW w:w="5240" w:type="dxa"/>
            <w:vAlign w:val="center"/>
          </w:tcPr>
          <w:p w14:paraId="6573A2D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49" w:name="_Toc9162"/>
            <w:r>
              <w:rPr>
                <w:rFonts w:hint="eastAsia" w:ascii="宋体" w:hAnsi="宋体" w:eastAsia="宋体" w:cs="宋体"/>
                <w:b w:val="0"/>
                <w:bCs w:val="0"/>
                <w:kern w:val="2"/>
                <w:sz w:val="20"/>
                <w:szCs w:val="20"/>
                <w:lang w:val="en-US" w:eastAsia="zh-CN" w:bidi="ar-SA"/>
              </w:rPr>
              <w:t>对会议内容、会议资料安全负责，严禁外泄或擅自复制、删除客户资料。</w:t>
            </w:r>
            <w:bookmarkEnd w:id="849"/>
          </w:p>
        </w:tc>
        <w:tc>
          <w:tcPr>
            <w:tcW w:w="2237" w:type="dxa"/>
            <w:vAlign w:val="center"/>
          </w:tcPr>
          <w:p w14:paraId="4DF2BBF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50" w:name="_Toc10208"/>
            <w:r>
              <w:rPr>
                <w:rFonts w:hint="eastAsia" w:ascii="宋体" w:hAnsi="宋体" w:eastAsia="宋体" w:cs="宋体"/>
                <w:b w:val="0"/>
                <w:bCs w:val="0"/>
                <w:kern w:val="2"/>
                <w:sz w:val="20"/>
                <w:szCs w:val="20"/>
                <w:lang w:val="en-US" w:eastAsia="zh-CN" w:bidi="ar-SA"/>
              </w:rPr>
              <w:t>每违反一次扣1000元</w:t>
            </w:r>
            <w:bookmarkEnd w:id="850"/>
          </w:p>
        </w:tc>
        <w:tc>
          <w:tcPr>
            <w:tcW w:w="1323" w:type="dxa"/>
            <w:vAlign w:val="center"/>
          </w:tcPr>
          <w:p w14:paraId="002F1F45">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r w14:paraId="1FD50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3" w:hRule="atLeast"/>
        </w:trPr>
        <w:tc>
          <w:tcPr>
            <w:tcW w:w="683" w:type="dxa"/>
            <w:vAlign w:val="center"/>
          </w:tcPr>
          <w:p w14:paraId="3F6AFE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kern w:val="2"/>
                <w:sz w:val="20"/>
                <w:szCs w:val="20"/>
                <w:lang w:val="en-US" w:eastAsia="zh-CN" w:bidi="ar-SA"/>
              </w:rPr>
            </w:pPr>
            <w:r>
              <w:rPr>
                <w:rFonts w:hint="eastAsia" w:ascii="宋体" w:hAnsi="宋体" w:cs="宋体"/>
                <w:b w:val="0"/>
                <w:bCs w:val="0"/>
                <w:kern w:val="2"/>
                <w:sz w:val="20"/>
                <w:szCs w:val="20"/>
                <w:lang w:val="en-US" w:eastAsia="zh-CN" w:bidi="ar-SA"/>
              </w:rPr>
              <w:t>12</w:t>
            </w:r>
          </w:p>
        </w:tc>
        <w:tc>
          <w:tcPr>
            <w:tcW w:w="5240" w:type="dxa"/>
            <w:vAlign w:val="center"/>
          </w:tcPr>
          <w:p w14:paraId="719B55B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51" w:name="_Toc12372"/>
            <w:r>
              <w:rPr>
                <w:rFonts w:hint="eastAsia" w:ascii="宋体" w:hAnsi="宋体" w:eastAsia="宋体" w:cs="宋体"/>
                <w:b w:val="0"/>
                <w:bCs w:val="0"/>
                <w:kern w:val="2"/>
                <w:sz w:val="20"/>
                <w:szCs w:val="20"/>
                <w:lang w:val="zh-CN" w:eastAsia="zh-CN" w:bidi="ar-SA"/>
              </w:rPr>
              <w:t>乙方在甲方监督和协助下完成交办事项，因乙方单方面责任（行为或工作未到位）造成甲方会议视讯、音响系统运维工作被批评或考核的事件。</w:t>
            </w:r>
            <w:bookmarkEnd w:id="851"/>
          </w:p>
        </w:tc>
        <w:tc>
          <w:tcPr>
            <w:tcW w:w="2237" w:type="dxa"/>
            <w:vAlign w:val="center"/>
          </w:tcPr>
          <w:p w14:paraId="54E225D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kern w:val="2"/>
                <w:sz w:val="20"/>
                <w:szCs w:val="20"/>
                <w:lang w:val="en-US" w:eastAsia="zh-CN" w:bidi="ar-SA"/>
              </w:rPr>
            </w:pPr>
            <w:bookmarkStart w:id="852" w:name="_Toc29649"/>
            <w:r>
              <w:rPr>
                <w:rFonts w:hint="eastAsia" w:ascii="宋体" w:hAnsi="宋体" w:eastAsia="宋体" w:cs="宋体"/>
                <w:b w:val="0"/>
                <w:bCs w:val="0"/>
                <w:kern w:val="2"/>
                <w:sz w:val="20"/>
                <w:szCs w:val="20"/>
                <w:lang w:val="en-US" w:eastAsia="zh-CN" w:bidi="ar-SA"/>
              </w:rPr>
              <w:t>每出现一次扣1000元</w:t>
            </w:r>
            <w:bookmarkEnd w:id="852"/>
          </w:p>
        </w:tc>
        <w:tc>
          <w:tcPr>
            <w:tcW w:w="1323" w:type="dxa"/>
            <w:vAlign w:val="center"/>
          </w:tcPr>
          <w:p w14:paraId="510B8BD6">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宋体" w:hAnsi="宋体" w:eastAsia="宋体" w:cs="宋体"/>
                <w:b w:val="0"/>
                <w:bCs w:val="0"/>
                <w:kern w:val="2"/>
                <w:sz w:val="20"/>
                <w:szCs w:val="20"/>
                <w:lang w:val="en-US" w:eastAsia="zh-CN" w:bidi="ar-SA"/>
              </w:rPr>
            </w:pPr>
          </w:p>
        </w:tc>
      </w:tr>
    </w:tbl>
    <w:tbl>
      <w:tblPr>
        <w:tblStyle w:val="15"/>
        <w:tblpPr w:leftFromText="180" w:rightFromText="180" w:vertAnchor="text" w:horzAnchor="page" w:tblpX="1550" w:tblpY="7"/>
        <w:tblOverlap w:val="never"/>
        <w:tblW w:w="94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459"/>
      </w:tblGrid>
      <w:tr w14:paraId="2EDFF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trPr>
        <w:tc>
          <w:tcPr>
            <w:tcW w:w="9459" w:type="dxa"/>
            <w:tcBorders>
              <w:top w:val="single" w:color="000000" w:sz="4" w:space="0"/>
              <w:left w:val="single" w:color="000000" w:sz="4" w:space="0"/>
              <w:bottom w:val="single" w:color="000000" w:sz="4" w:space="0"/>
              <w:right w:val="single" w:color="000000" w:sz="4" w:space="0"/>
            </w:tcBorders>
            <w:noWrap w:val="0"/>
            <w:vAlign w:val="center"/>
          </w:tcPr>
          <w:p w14:paraId="6566A6C8">
            <w:pPr>
              <w:jc w:val="both"/>
              <w:rPr>
                <w:rFonts w:hint="eastAsia" w:ascii="宋体" w:hAnsi="宋体" w:eastAsia="宋体" w:cs="宋体"/>
                <w:i w:val="0"/>
                <w:iCs w:val="0"/>
                <w:color w:val="0000FF"/>
                <w:kern w:val="0"/>
                <w:sz w:val="20"/>
                <w:szCs w:val="20"/>
                <w:highlight w:val="none"/>
                <w:u w:val="none"/>
                <w:lang w:val="en-US" w:eastAsia="zh-CN" w:bidi="ar"/>
              </w:rPr>
            </w:pPr>
          </w:p>
          <w:p w14:paraId="7C7C8874">
            <w:pPr>
              <w:jc w:val="both"/>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考核意见：</w:t>
            </w:r>
          </w:p>
          <w:p w14:paraId="5579AC8E">
            <w:pPr>
              <w:jc w:val="both"/>
              <w:rPr>
                <w:rFonts w:hint="eastAsia" w:ascii="宋体" w:hAnsi="宋体" w:eastAsia="宋体" w:cs="宋体"/>
                <w:i w:val="0"/>
                <w:iCs w:val="0"/>
                <w:color w:val="auto"/>
                <w:kern w:val="0"/>
                <w:sz w:val="20"/>
                <w:szCs w:val="20"/>
                <w:highlight w:val="none"/>
                <w:u w:val="none"/>
                <w:lang w:val="en-US" w:eastAsia="zh-CN" w:bidi="ar"/>
              </w:rPr>
            </w:pPr>
          </w:p>
          <w:p w14:paraId="37AF3E5B">
            <w:pPr>
              <w:jc w:val="both"/>
              <w:rPr>
                <w:rFonts w:hint="eastAsia" w:ascii="宋体" w:hAnsi="宋体" w:eastAsia="宋体" w:cs="宋体"/>
                <w:i w:val="0"/>
                <w:iCs w:val="0"/>
                <w:color w:val="auto"/>
                <w:kern w:val="0"/>
                <w:sz w:val="20"/>
                <w:szCs w:val="20"/>
                <w:highlight w:val="none"/>
                <w:u w:val="none"/>
                <w:lang w:val="en-US" w:eastAsia="zh-CN" w:bidi="ar"/>
              </w:rPr>
            </w:pPr>
          </w:p>
          <w:p w14:paraId="2652603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签名：</w:t>
            </w:r>
          </w:p>
          <w:p w14:paraId="3636B281">
            <w:pPr>
              <w:pStyle w:val="2"/>
              <w:rPr>
                <w:rFonts w:hint="eastAsia" w:ascii="宋体" w:hAnsi="宋体" w:eastAsia="宋体" w:cs="宋体"/>
                <w:color w:val="auto"/>
                <w:sz w:val="20"/>
                <w:szCs w:val="20"/>
                <w:highlight w:val="none"/>
              </w:rPr>
            </w:pPr>
          </w:p>
          <w:p w14:paraId="63873C5E">
            <w:pPr>
              <w:jc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日期：</w:t>
            </w:r>
          </w:p>
          <w:p w14:paraId="30F3455C">
            <w:pPr>
              <w:pStyle w:val="2"/>
              <w:rPr>
                <w:rFonts w:hint="eastAsia" w:ascii="宋体" w:hAnsi="宋体" w:eastAsia="宋体" w:cs="宋体"/>
                <w:color w:val="0000FF"/>
                <w:sz w:val="20"/>
                <w:szCs w:val="20"/>
                <w:highlight w:val="none"/>
              </w:rPr>
            </w:pPr>
          </w:p>
        </w:tc>
      </w:tr>
    </w:tbl>
    <w:p w14:paraId="3BE6AAE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b w:val="0"/>
          <w:bCs w:val="0"/>
          <w:kern w:val="2"/>
          <w:sz w:val="20"/>
          <w:szCs w:val="20"/>
          <w:lang w:val="en-US" w:eastAsia="zh-CN" w:bidi="ar-SA"/>
        </w:rPr>
      </w:pPr>
      <w:r>
        <w:rPr>
          <w:rFonts w:hint="eastAsia" w:ascii="宋体" w:hAnsi="宋体" w:eastAsia="宋体" w:cs="宋体"/>
          <w:b w:val="0"/>
          <w:bCs w:val="0"/>
          <w:kern w:val="2"/>
          <w:sz w:val="20"/>
          <w:szCs w:val="20"/>
          <w:lang w:val="en-US" w:eastAsia="zh-CN" w:bidi="ar-SA"/>
        </w:rPr>
        <w:t xml:space="preserve">                        </w:t>
      </w:r>
    </w:p>
    <w:p w14:paraId="2B01A5EE">
      <w:pPr>
        <w:pStyle w:val="3"/>
      </w:pPr>
    </w:p>
    <w:sectPr>
      <w:footerReference r:id="rId5" w:type="default"/>
      <w:pgSz w:w="11906" w:h="16838"/>
      <w:pgMar w:top="1440" w:right="1803" w:bottom="1440" w:left="1803" w:header="851" w:footer="992" w:gutter="0"/>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21">
    <w:altName w:val="宋体"/>
    <w:panose1 w:val="00000000000000000000"/>
    <w:charset w:val="86"/>
    <w:family w:val="roman"/>
    <w:pitch w:val="default"/>
    <w:sig w:usb0="00000000" w:usb1="00000000" w:usb2="00000000"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10" w:usb3="00000000" w:csb0="00040001" w:csb1="00000000"/>
  </w:font>
  <w:font w:name="华光书宋一_CNKI">
    <w:altName w:val="宋体"/>
    <w:panose1 w:val="02000500000000000000"/>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微软简标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F8285">
    <w:pPr>
      <w:pStyle w:val="10"/>
      <w:tabs>
        <w:tab w:val="center" w:pos="4140"/>
        <w:tab w:val="right" w:pos="8300"/>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9C095">
    <w:pPr>
      <w:pStyle w:val="10"/>
      <w:tabs>
        <w:tab w:val="right" w:pos="8300"/>
        <w:tab w:val="clear" w:pos="8306"/>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683B4">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FE683B4">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16DF4">
    <w:pPr>
      <w:pStyle w:val="1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5F3269">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57</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65F3269">
                    <w:pPr>
                      <w:pStyle w:val="10"/>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57</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98552"/>
    <w:multiLevelType w:val="singleLevel"/>
    <w:tmpl w:val="8DD98552"/>
    <w:lvl w:ilvl="0" w:tentative="0">
      <w:start w:val="1"/>
      <w:numFmt w:val="decimal"/>
      <w:lvlText w:val="%1."/>
      <w:lvlJc w:val="left"/>
      <w:pPr>
        <w:tabs>
          <w:tab w:val="left" w:pos="312"/>
        </w:tabs>
      </w:pPr>
    </w:lvl>
  </w:abstractNum>
  <w:abstractNum w:abstractNumId="1">
    <w:nsid w:val="C7D01CAC"/>
    <w:multiLevelType w:val="singleLevel"/>
    <w:tmpl w:val="C7D01CAC"/>
    <w:lvl w:ilvl="0" w:tentative="0">
      <w:start w:val="8"/>
      <w:numFmt w:val="decimal"/>
      <w:suff w:val="nothing"/>
      <w:lvlText w:val="（%1）"/>
      <w:lvlJc w:val="left"/>
    </w:lvl>
  </w:abstractNum>
  <w:abstractNum w:abstractNumId="2">
    <w:nsid w:val="0000000C"/>
    <w:multiLevelType w:val="singleLevel"/>
    <w:tmpl w:val="0000000C"/>
    <w:lvl w:ilvl="0" w:tentative="0">
      <w:start w:val="1"/>
      <w:numFmt w:val="decimal"/>
      <w:pStyle w:val="28"/>
      <w:lvlText w:val="%1"/>
      <w:lvlJc w:val="left"/>
      <w:pPr>
        <w:tabs>
          <w:tab w:val="left" w:pos="907"/>
        </w:tabs>
        <w:ind w:left="907" w:hanging="397"/>
      </w:pPr>
      <w:rPr>
        <w:rFonts w:hint="default" w:ascii="Arial Narrow" w:hAnsi="Arial Narrow"/>
        <w:vanish w:val="0"/>
        <w:color w:val="auto"/>
        <w:sz w:val="21"/>
        <w:vertAlign w:val="baseline"/>
      </w:rPr>
    </w:lvl>
  </w:abstractNum>
  <w:abstractNum w:abstractNumId="3">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pStyle w:val="5"/>
      <w:isLgl/>
      <w:suff w:val="space"/>
      <w:lvlText w:val="%1.%2"/>
      <w:lvlJc w:val="left"/>
      <w:pPr>
        <w:ind w:left="0" w:firstLine="0"/>
      </w:pPr>
      <w:rPr>
        <w:rFonts w:hint="eastAsia"/>
      </w:rPr>
    </w:lvl>
    <w:lvl w:ilvl="2" w:tentative="0">
      <w:start w:val="1"/>
      <w:numFmt w:val="decimal"/>
      <w:pStyle w:val="31"/>
      <w:isLgl/>
      <w:suff w:val="space"/>
      <w:lvlText w:val="%1.%2.%3"/>
      <w:lvlJc w:val="left"/>
      <w:pPr>
        <w:ind w:left="0" w:firstLine="0"/>
      </w:pPr>
      <w:rPr>
        <w:rFonts w:hint="eastAsia"/>
        <w:b w:val="0"/>
        <w:i w:val="0"/>
      </w:rPr>
    </w:lvl>
    <w:lvl w:ilvl="3" w:tentative="0">
      <w:start w:val="1"/>
      <w:numFmt w:val="decimal"/>
      <w:pStyle w:val="32"/>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4">
    <w:nsid w:val="7B3FECB1"/>
    <w:multiLevelType w:val="singleLevel"/>
    <w:tmpl w:val="7B3FECB1"/>
    <w:lvl w:ilvl="0" w:tentative="0">
      <w:start w:val="5"/>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iMjUzNzA4YzlmMDkzMGExNzc3NDU0MGNmMTdiZTQifQ=="/>
  </w:docVars>
  <w:rsids>
    <w:rsidRoot w:val="00172A27"/>
    <w:rsid w:val="00025214"/>
    <w:rsid w:val="00155351"/>
    <w:rsid w:val="00390AB2"/>
    <w:rsid w:val="00615EA1"/>
    <w:rsid w:val="0076266E"/>
    <w:rsid w:val="008F012A"/>
    <w:rsid w:val="00930024"/>
    <w:rsid w:val="00B21688"/>
    <w:rsid w:val="00CF7643"/>
    <w:rsid w:val="00D42B17"/>
    <w:rsid w:val="011F1C05"/>
    <w:rsid w:val="01263A1A"/>
    <w:rsid w:val="01303660"/>
    <w:rsid w:val="01325A8F"/>
    <w:rsid w:val="013E4675"/>
    <w:rsid w:val="018F4C90"/>
    <w:rsid w:val="01993A34"/>
    <w:rsid w:val="019F36EF"/>
    <w:rsid w:val="01A06E9D"/>
    <w:rsid w:val="01AC7189"/>
    <w:rsid w:val="01BB6240"/>
    <w:rsid w:val="01DE090A"/>
    <w:rsid w:val="01FD668D"/>
    <w:rsid w:val="02094A42"/>
    <w:rsid w:val="020E472A"/>
    <w:rsid w:val="023823D3"/>
    <w:rsid w:val="023B4EB1"/>
    <w:rsid w:val="025D08EA"/>
    <w:rsid w:val="029F6120"/>
    <w:rsid w:val="02B02D03"/>
    <w:rsid w:val="02BF24FE"/>
    <w:rsid w:val="02D037B2"/>
    <w:rsid w:val="02E66188"/>
    <w:rsid w:val="02F70D3E"/>
    <w:rsid w:val="03402312"/>
    <w:rsid w:val="034124E0"/>
    <w:rsid w:val="034B74AE"/>
    <w:rsid w:val="0397524E"/>
    <w:rsid w:val="03A60B53"/>
    <w:rsid w:val="03AF6CDC"/>
    <w:rsid w:val="03B01D39"/>
    <w:rsid w:val="03C648DD"/>
    <w:rsid w:val="040A7C62"/>
    <w:rsid w:val="04221E56"/>
    <w:rsid w:val="046C5503"/>
    <w:rsid w:val="04A942BA"/>
    <w:rsid w:val="04BD7CDE"/>
    <w:rsid w:val="04C944A8"/>
    <w:rsid w:val="04E8768A"/>
    <w:rsid w:val="04F01EE9"/>
    <w:rsid w:val="04FC1705"/>
    <w:rsid w:val="04FC2E11"/>
    <w:rsid w:val="04FC7091"/>
    <w:rsid w:val="05017C52"/>
    <w:rsid w:val="053C4AE6"/>
    <w:rsid w:val="057A69D0"/>
    <w:rsid w:val="059017B4"/>
    <w:rsid w:val="05997E8B"/>
    <w:rsid w:val="05B12DD5"/>
    <w:rsid w:val="05D01A47"/>
    <w:rsid w:val="05DB47BA"/>
    <w:rsid w:val="05DD7DB2"/>
    <w:rsid w:val="06415963"/>
    <w:rsid w:val="06435933"/>
    <w:rsid w:val="06675DAA"/>
    <w:rsid w:val="06AF6600"/>
    <w:rsid w:val="06B16B87"/>
    <w:rsid w:val="06C45B3D"/>
    <w:rsid w:val="06D34E69"/>
    <w:rsid w:val="06FC4B75"/>
    <w:rsid w:val="071F0864"/>
    <w:rsid w:val="07855174"/>
    <w:rsid w:val="07A116A8"/>
    <w:rsid w:val="08112054"/>
    <w:rsid w:val="08203220"/>
    <w:rsid w:val="082C3238"/>
    <w:rsid w:val="082D18F6"/>
    <w:rsid w:val="08410B14"/>
    <w:rsid w:val="084A0BF5"/>
    <w:rsid w:val="088E6D14"/>
    <w:rsid w:val="08A62B79"/>
    <w:rsid w:val="08B80D89"/>
    <w:rsid w:val="08CE42EF"/>
    <w:rsid w:val="08FB7491"/>
    <w:rsid w:val="09015152"/>
    <w:rsid w:val="090624E6"/>
    <w:rsid w:val="093E76C7"/>
    <w:rsid w:val="0944287A"/>
    <w:rsid w:val="094C4949"/>
    <w:rsid w:val="095073FA"/>
    <w:rsid w:val="09567380"/>
    <w:rsid w:val="09652EA6"/>
    <w:rsid w:val="09B845C6"/>
    <w:rsid w:val="09EB54A5"/>
    <w:rsid w:val="0A00584D"/>
    <w:rsid w:val="0A242047"/>
    <w:rsid w:val="0A416420"/>
    <w:rsid w:val="0A634F0B"/>
    <w:rsid w:val="0A8530D4"/>
    <w:rsid w:val="0A9339A7"/>
    <w:rsid w:val="0AA54ECA"/>
    <w:rsid w:val="0AC66D87"/>
    <w:rsid w:val="0AE306FD"/>
    <w:rsid w:val="0AEF7671"/>
    <w:rsid w:val="0B12482A"/>
    <w:rsid w:val="0B161444"/>
    <w:rsid w:val="0B242C29"/>
    <w:rsid w:val="0B354BF6"/>
    <w:rsid w:val="0B57681E"/>
    <w:rsid w:val="0BA267A1"/>
    <w:rsid w:val="0BAE3D2E"/>
    <w:rsid w:val="0BE3336D"/>
    <w:rsid w:val="0BEB55F6"/>
    <w:rsid w:val="0C1B5D97"/>
    <w:rsid w:val="0C4B42BD"/>
    <w:rsid w:val="0C4D3F46"/>
    <w:rsid w:val="0C4E1079"/>
    <w:rsid w:val="0C970E9C"/>
    <w:rsid w:val="0CA37841"/>
    <w:rsid w:val="0CBA30C7"/>
    <w:rsid w:val="0CE9794A"/>
    <w:rsid w:val="0D0522AA"/>
    <w:rsid w:val="0D1566AB"/>
    <w:rsid w:val="0D1A5D55"/>
    <w:rsid w:val="0D352B8F"/>
    <w:rsid w:val="0D3A59DE"/>
    <w:rsid w:val="0D602CDA"/>
    <w:rsid w:val="0D87071B"/>
    <w:rsid w:val="0DA61B2A"/>
    <w:rsid w:val="0DD56120"/>
    <w:rsid w:val="0DE87C01"/>
    <w:rsid w:val="0E0132C0"/>
    <w:rsid w:val="0E5C3E1A"/>
    <w:rsid w:val="0E795916"/>
    <w:rsid w:val="0E7C3108"/>
    <w:rsid w:val="0E8F0E6F"/>
    <w:rsid w:val="0E9B6022"/>
    <w:rsid w:val="0EA02123"/>
    <w:rsid w:val="0EAC6431"/>
    <w:rsid w:val="0EEA7F67"/>
    <w:rsid w:val="0F2311F5"/>
    <w:rsid w:val="0F543B86"/>
    <w:rsid w:val="0F652F95"/>
    <w:rsid w:val="0F947BB8"/>
    <w:rsid w:val="0F953DB9"/>
    <w:rsid w:val="0FB07945"/>
    <w:rsid w:val="0FBE4BD3"/>
    <w:rsid w:val="0FFC54DA"/>
    <w:rsid w:val="10264A11"/>
    <w:rsid w:val="102A14DB"/>
    <w:rsid w:val="102E7A31"/>
    <w:rsid w:val="103435D2"/>
    <w:rsid w:val="10726B98"/>
    <w:rsid w:val="1089611D"/>
    <w:rsid w:val="109B5371"/>
    <w:rsid w:val="10A26010"/>
    <w:rsid w:val="10AA019A"/>
    <w:rsid w:val="11047F89"/>
    <w:rsid w:val="11227E08"/>
    <w:rsid w:val="11856D3D"/>
    <w:rsid w:val="119815E1"/>
    <w:rsid w:val="11BC4597"/>
    <w:rsid w:val="11C23A31"/>
    <w:rsid w:val="11CD3261"/>
    <w:rsid w:val="11CF21B3"/>
    <w:rsid w:val="121C1903"/>
    <w:rsid w:val="12661A3D"/>
    <w:rsid w:val="12686647"/>
    <w:rsid w:val="12771554"/>
    <w:rsid w:val="12850115"/>
    <w:rsid w:val="12B50C53"/>
    <w:rsid w:val="12EF1A32"/>
    <w:rsid w:val="13870682"/>
    <w:rsid w:val="139018D7"/>
    <w:rsid w:val="13A8699E"/>
    <w:rsid w:val="13C32BA0"/>
    <w:rsid w:val="13C6203B"/>
    <w:rsid w:val="14156F35"/>
    <w:rsid w:val="14320EFA"/>
    <w:rsid w:val="14372828"/>
    <w:rsid w:val="145E6E6F"/>
    <w:rsid w:val="14686A4F"/>
    <w:rsid w:val="146D17D9"/>
    <w:rsid w:val="14706BA3"/>
    <w:rsid w:val="14875CF9"/>
    <w:rsid w:val="14A95C11"/>
    <w:rsid w:val="14B5763B"/>
    <w:rsid w:val="14BB6070"/>
    <w:rsid w:val="14D507B4"/>
    <w:rsid w:val="150443FD"/>
    <w:rsid w:val="153876C0"/>
    <w:rsid w:val="1559132E"/>
    <w:rsid w:val="15A23F0C"/>
    <w:rsid w:val="15DA1018"/>
    <w:rsid w:val="15FC6940"/>
    <w:rsid w:val="16294BEB"/>
    <w:rsid w:val="164F7FEB"/>
    <w:rsid w:val="167A4E62"/>
    <w:rsid w:val="16907088"/>
    <w:rsid w:val="16D4097E"/>
    <w:rsid w:val="16F8526A"/>
    <w:rsid w:val="17130E68"/>
    <w:rsid w:val="17242C68"/>
    <w:rsid w:val="17305017"/>
    <w:rsid w:val="173774C0"/>
    <w:rsid w:val="174E1039"/>
    <w:rsid w:val="1798153C"/>
    <w:rsid w:val="17BB57FB"/>
    <w:rsid w:val="17C6365D"/>
    <w:rsid w:val="18121619"/>
    <w:rsid w:val="1823197A"/>
    <w:rsid w:val="18260C4C"/>
    <w:rsid w:val="18617691"/>
    <w:rsid w:val="186B56B7"/>
    <w:rsid w:val="18736E1B"/>
    <w:rsid w:val="187E183C"/>
    <w:rsid w:val="1889564E"/>
    <w:rsid w:val="188E6525"/>
    <w:rsid w:val="18AE1A47"/>
    <w:rsid w:val="18BA4890"/>
    <w:rsid w:val="18BE3993"/>
    <w:rsid w:val="18D126AF"/>
    <w:rsid w:val="18F36A45"/>
    <w:rsid w:val="18FE3088"/>
    <w:rsid w:val="191B713B"/>
    <w:rsid w:val="19AB7C0A"/>
    <w:rsid w:val="19CF1CA2"/>
    <w:rsid w:val="19E72796"/>
    <w:rsid w:val="19FD0ADF"/>
    <w:rsid w:val="1A3263F5"/>
    <w:rsid w:val="1A447F08"/>
    <w:rsid w:val="1A495ECC"/>
    <w:rsid w:val="1A530AF8"/>
    <w:rsid w:val="1A845156"/>
    <w:rsid w:val="1AA06621"/>
    <w:rsid w:val="1AA50C28"/>
    <w:rsid w:val="1AAC5537"/>
    <w:rsid w:val="1AE327AC"/>
    <w:rsid w:val="1AE92FE6"/>
    <w:rsid w:val="1AE94FB9"/>
    <w:rsid w:val="1AEC1F4A"/>
    <w:rsid w:val="1AF05E32"/>
    <w:rsid w:val="1B4726B5"/>
    <w:rsid w:val="1B7A1870"/>
    <w:rsid w:val="1B8A1802"/>
    <w:rsid w:val="1BA62125"/>
    <w:rsid w:val="1BCA30B9"/>
    <w:rsid w:val="1BDE0896"/>
    <w:rsid w:val="1BE0460E"/>
    <w:rsid w:val="1BE7712D"/>
    <w:rsid w:val="1BFB70E9"/>
    <w:rsid w:val="1C251CA0"/>
    <w:rsid w:val="1C353E7A"/>
    <w:rsid w:val="1C3F34D3"/>
    <w:rsid w:val="1C430C6D"/>
    <w:rsid w:val="1C4B5CFF"/>
    <w:rsid w:val="1C8A66C6"/>
    <w:rsid w:val="1CB12C12"/>
    <w:rsid w:val="1CB6395F"/>
    <w:rsid w:val="1CB6705A"/>
    <w:rsid w:val="1CFC4F67"/>
    <w:rsid w:val="1CFC5005"/>
    <w:rsid w:val="1CFE4ECB"/>
    <w:rsid w:val="1D0D567D"/>
    <w:rsid w:val="1D100F23"/>
    <w:rsid w:val="1D513780"/>
    <w:rsid w:val="1DA272B9"/>
    <w:rsid w:val="1DCE5252"/>
    <w:rsid w:val="1E316BA0"/>
    <w:rsid w:val="1E647DFC"/>
    <w:rsid w:val="1EB629B4"/>
    <w:rsid w:val="1EB63404"/>
    <w:rsid w:val="1EDE2CFC"/>
    <w:rsid w:val="1EF82B2B"/>
    <w:rsid w:val="1F164D67"/>
    <w:rsid w:val="1F521BDD"/>
    <w:rsid w:val="1F536B5F"/>
    <w:rsid w:val="1F941EE5"/>
    <w:rsid w:val="1FB14381"/>
    <w:rsid w:val="1FD01A12"/>
    <w:rsid w:val="1FD11636"/>
    <w:rsid w:val="1FD12B7D"/>
    <w:rsid w:val="1FE45830"/>
    <w:rsid w:val="1FFC05C0"/>
    <w:rsid w:val="1FFD787F"/>
    <w:rsid w:val="200740B8"/>
    <w:rsid w:val="200D570B"/>
    <w:rsid w:val="20291A8C"/>
    <w:rsid w:val="20493D29"/>
    <w:rsid w:val="204B441F"/>
    <w:rsid w:val="20717F2A"/>
    <w:rsid w:val="20796991"/>
    <w:rsid w:val="207F3A57"/>
    <w:rsid w:val="208B00C5"/>
    <w:rsid w:val="20915ED7"/>
    <w:rsid w:val="209854B7"/>
    <w:rsid w:val="20A90779"/>
    <w:rsid w:val="20D0313B"/>
    <w:rsid w:val="20F61AA1"/>
    <w:rsid w:val="21182154"/>
    <w:rsid w:val="211D4A19"/>
    <w:rsid w:val="213B02EA"/>
    <w:rsid w:val="21567FD2"/>
    <w:rsid w:val="217D5CAA"/>
    <w:rsid w:val="21D26B76"/>
    <w:rsid w:val="21FC1B40"/>
    <w:rsid w:val="223062D1"/>
    <w:rsid w:val="22380AEC"/>
    <w:rsid w:val="22A80D15"/>
    <w:rsid w:val="22E25BDE"/>
    <w:rsid w:val="230279FC"/>
    <w:rsid w:val="23353266"/>
    <w:rsid w:val="236749D3"/>
    <w:rsid w:val="238241FC"/>
    <w:rsid w:val="23844181"/>
    <w:rsid w:val="23932034"/>
    <w:rsid w:val="23A01561"/>
    <w:rsid w:val="23A0364F"/>
    <w:rsid w:val="23A72CF4"/>
    <w:rsid w:val="23A91789"/>
    <w:rsid w:val="23AA2A1E"/>
    <w:rsid w:val="23C27ADE"/>
    <w:rsid w:val="23C6233B"/>
    <w:rsid w:val="23C75A80"/>
    <w:rsid w:val="23D4641B"/>
    <w:rsid w:val="23EC009E"/>
    <w:rsid w:val="24027B20"/>
    <w:rsid w:val="24105B97"/>
    <w:rsid w:val="242335CA"/>
    <w:rsid w:val="245711E5"/>
    <w:rsid w:val="246F5905"/>
    <w:rsid w:val="2556149D"/>
    <w:rsid w:val="2577173C"/>
    <w:rsid w:val="259B1CDA"/>
    <w:rsid w:val="25A50EA2"/>
    <w:rsid w:val="25CB52A5"/>
    <w:rsid w:val="25E95D23"/>
    <w:rsid w:val="25EF6450"/>
    <w:rsid w:val="26033ABA"/>
    <w:rsid w:val="26233A75"/>
    <w:rsid w:val="262B2929"/>
    <w:rsid w:val="263F0188"/>
    <w:rsid w:val="265123B2"/>
    <w:rsid w:val="267C13D7"/>
    <w:rsid w:val="267E3F32"/>
    <w:rsid w:val="26C329A6"/>
    <w:rsid w:val="26C56A3F"/>
    <w:rsid w:val="26C63D8B"/>
    <w:rsid w:val="26DF557B"/>
    <w:rsid w:val="26E27CF6"/>
    <w:rsid w:val="26F13751"/>
    <w:rsid w:val="26FA0C62"/>
    <w:rsid w:val="272950BB"/>
    <w:rsid w:val="27301C03"/>
    <w:rsid w:val="27634A25"/>
    <w:rsid w:val="27806CA5"/>
    <w:rsid w:val="278E5A5D"/>
    <w:rsid w:val="27E234BC"/>
    <w:rsid w:val="28072F22"/>
    <w:rsid w:val="280B798A"/>
    <w:rsid w:val="281E2746"/>
    <w:rsid w:val="28404B63"/>
    <w:rsid w:val="28425CF1"/>
    <w:rsid w:val="287A36F4"/>
    <w:rsid w:val="287E10BC"/>
    <w:rsid w:val="28CB21A2"/>
    <w:rsid w:val="28D56F0D"/>
    <w:rsid w:val="28E93581"/>
    <w:rsid w:val="28E93EF4"/>
    <w:rsid w:val="28F93A43"/>
    <w:rsid w:val="290F1950"/>
    <w:rsid w:val="291640F4"/>
    <w:rsid w:val="292604FF"/>
    <w:rsid w:val="293668BC"/>
    <w:rsid w:val="294E1B76"/>
    <w:rsid w:val="298C2EB2"/>
    <w:rsid w:val="299877CE"/>
    <w:rsid w:val="29A30B6B"/>
    <w:rsid w:val="29E6402D"/>
    <w:rsid w:val="2A0C2A72"/>
    <w:rsid w:val="2A2878AC"/>
    <w:rsid w:val="2A2C5FAD"/>
    <w:rsid w:val="2A54247C"/>
    <w:rsid w:val="2A80231D"/>
    <w:rsid w:val="2A8D3BB3"/>
    <w:rsid w:val="2A9113E2"/>
    <w:rsid w:val="2AAF1230"/>
    <w:rsid w:val="2ABA2A94"/>
    <w:rsid w:val="2AC372A3"/>
    <w:rsid w:val="2B031454"/>
    <w:rsid w:val="2B255B99"/>
    <w:rsid w:val="2B3109E2"/>
    <w:rsid w:val="2B6761B2"/>
    <w:rsid w:val="2B807273"/>
    <w:rsid w:val="2BA649CC"/>
    <w:rsid w:val="2BAE20F4"/>
    <w:rsid w:val="2BCE4B99"/>
    <w:rsid w:val="2BD01C5B"/>
    <w:rsid w:val="2BD433DE"/>
    <w:rsid w:val="2C1A78CF"/>
    <w:rsid w:val="2C2E2107"/>
    <w:rsid w:val="2C744479"/>
    <w:rsid w:val="2C802328"/>
    <w:rsid w:val="2D12214D"/>
    <w:rsid w:val="2D450DF0"/>
    <w:rsid w:val="2D686211"/>
    <w:rsid w:val="2DA24696"/>
    <w:rsid w:val="2DB30367"/>
    <w:rsid w:val="2E022CEA"/>
    <w:rsid w:val="2E18597A"/>
    <w:rsid w:val="2E4151E6"/>
    <w:rsid w:val="2E67417A"/>
    <w:rsid w:val="2E935510"/>
    <w:rsid w:val="2EA00952"/>
    <w:rsid w:val="2EC1450A"/>
    <w:rsid w:val="2F2A3794"/>
    <w:rsid w:val="2F2A3F66"/>
    <w:rsid w:val="2F511491"/>
    <w:rsid w:val="2F8C6AB8"/>
    <w:rsid w:val="2F8D1F5F"/>
    <w:rsid w:val="2F8F7A65"/>
    <w:rsid w:val="2F9A5D35"/>
    <w:rsid w:val="2FC5794B"/>
    <w:rsid w:val="301915AE"/>
    <w:rsid w:val="303F6C03"/>
    <w:rsid w:val="30412494"/>
    <w:rsid w:val="306F21ED"/>
    <w:rsid w:val="30750D07"/>
    <w:rsid w:val="30963ECB"/>
    <w:rsid w:val="30A9726C"/>
    <w:rsid w:val="30B869C4"/>
    <w:rsid w:val="30C86099"/>
    <w:rsid w:val="30E6401D"/>
    <w:rsid w:val="310156CD"/>
    <w:rsid w:val="310B6796"/>
    <w:rsid w:val="31192DAF"/>
    <w:rsid w:val="31194327"/>
    <w:rsid w:val="3138414C"/>
    <w:rsid w:val="31450A74"/>
    <w:rsid w:val="314B2DEF"/>
    <w:rsid w:val="315B4892"/>
    <w:rsid w:val="316057DE"/>
    <w:rsid w:val="3170652F"/>
    <w:rsid w:val="317B3D60"/>
    <w:rsid w:val="317D4C6F"/>
    <w:rsid w:val="31A5127B"/>
    <w:rsid w:val="31E3413D"/>
    <w:rsid w:val="31F15BE2"/>
    <w:rsid w:val="32053F8B"/>
    <w:rsid w:val="322317CE"/>
    <w:rsid w:val="326225B7"/>
    <w:rsid w:val="329B4993"/>
    <w:rsid w:val="32E137F2"/>
    <w:rsid w:val="32E427DE"/>
    <w:rsid w:val="32F64990"/>
    <w:rsid w:val="3304078A"/>
    <w:rsid w:val="333E1EEE"/>
    <w:rsid w:val="33955525"/>
    <w:rsid w:val="33AA1331"/>
    <w:rsid w:val="33D966AA"/>
    <w:rsid w:val="33F32164"/>
    <w:rsid w:val="343F1918"/>
    <w:rsid w:val="347D70DA"/>
    <w:rsid w:val="34E97C37"/>
    <w:rsid w:val="34F8008B"/>
    <w:rsid w:val="350B4052"/>
    <w:rsid w:val="35105D83"/>
    <w:rsid w:val="354611CE"/>
    <w:rsid w:val="356B13C7"/>
    <w:rsid w:val="35883B39"/>
    <w:rsid w:val="35B756CB"/>
    <w:rsid w:val="35CB1A33"/>
    <w:rsid w:val="35DF3497"/>
    <w:rsid w:val="360B77DA"/>
    <w:rsid w:val="363650FE"/>
    <w:rsid w:val="36561143"/>
    <w:rsid w:val="36A81764"/>
    <w:rsid w:val="36BA5F23"/>
    <w:rsid w:val="36D9180C"/>
    <w:rsid w:val="36E7464B"/>
    <w:rsid w:val="36F80606"/>
    <w:rsid w:val="37374CCA"/>
    <w:rsid w:val="37715BC9"/>
    <w:rsid w:val="377B7649"/>
    <w:rsid w:val="379522F8"/>
    <w:rsid w:val="37C97DD1"/>
    <w:rsid w:val="37CE664E"/>
    <w:rsid w:val="37E52DFE"/>
    <w:rsid w:val="37E82428"/>
    <w:rsid w:val="38190834"/>
    <w:rsid w:val="38270378"/>
    <w:rsid w:val="38402264"/>
    <w:rsid w:val="384C4C47"/>
    <w:rsid w:val="38545D10"/>
    <w:rsid w:val="386341A5"/>
    <w:rsid w:val="388D165C"/>
    <w:rsid w:val="38A01CED"/>
    <w:rsid w:val="38B94EAE"/>
    <w:rsid w:val="38D35317"/>
    <w:rsid w:val="38D42F9F"/>
    <w:rsid w:val="38F74258"/>
    <w:rsid w:val="39101C74"/>
    <w:rsid w:val="393318D5"/>
    <w:rsid w:val="394051F6"/>
    <w:rsid w:val="39592B25"/>
    <w:rsid w:val="39643D30"/>
    <w:rsid w:val="39AE7925"/>
    <w:rsid w:val="39B76EE3"/>
    <w:rsid w:val="3A103EB8"/>
    <w:rsid w:val="3A2C4AD6"/>
    <w:rsid w:val="3A365DBD"/>
    <w:rsid w:val="3A5E4C24"/>
    <w:rsid w:val="3A722C93"/>
    <w:rsid w:val="3A887EF3"/>
    <w:rsid w:val="3A8F0110"/>
    <w:rsid w:val="3A8F74D3"/>
    <w:rsid w:val="3A940645"/>
    <w:rsid w:val="3A9B6980"/>
    <w:rsid w:val="3AB42A96"/>
    <w:rsid w:val="3AC57C69"/>
    <w:rsid w:val="3AE43C31"/>
    <w:rsid w:val="3AF85078"/>
    <w:rsid w:val="3B0A7F92"/>
    <w:rsid w:val="3B12639A"/>
    <w:rsid w:val="3B2B0DA0"/>
    <w:rsid w:val="3B373A10"/>
    <w:rsid w:val="3B47390A"/>
    <w:rsid w:val="3B4A42BE"/>
    <w:rsid w:val="3B931C22"/>
    <w:rsid w:val="3B9C2BF8"/>
    <w:rsid w:val="3BD70DA2"/>
    <w:rsid w:val="3BF14319"/>
    <w:rsid w:val="3C044DAB"/>
    <w:rsid w:val="3C124E7F"/>
    <w:rsid w:val="3C196319"/>
    <w:rsid w:val="3C1B0A1F"/>
    <w:rsid w:val="3C464052"/>
    <w:rsid w:val="3C854631"/>
    <w:rsid w:val="3CC52E6D"/>
    <w:rsid w:val="3CCF1E09"/>
    <w:rsid w:val="3CFA3271"/>
    <w:rsid w:val="3D04188D"/>
    <w:rsid w:val="3D1837B0"/>
    <w:rsid w:val="3D263D34"/>
    <w:rsid w:val="3D532A3A"/>
    <w:rsid w:val="3D567E34"/>
    <w:rsid w:val="3D600441"/>
    <w:rsid w:val="3D691A3B"/>
    <w:rsid w:val="3D9C3574"/>
    <w:rsid w:val="3D9D1F07"/>
    <w:rsid w:val="3DA6544C"/>
    <w:rsid w:val="3DBA4867"/>
    <w:rsid w:val="3DC96858"/>
    <w:rsid w:val="3DD652D4"/>
    <w:rsid w:val="3DDC2A2F"/>
    <w:rsid w:val="3DF37D79"/>
    <w:rsid w:val="3E154649"/>
    <w:rsid w:val="3E182C35"/>
    <w:rsid w:val="3E3633AE"/>
    <w:rsid w:val="3E380521"/>
    <w:rsid w:val="3E3B5343"/>
    <w:rsid w:val="3E4914B0"/>
    <w:rsid w:val="3E612E24"/>
    <w:rsid w:val="3E7E3AE6"/>
    <w:rsid w:val="3E817133"/>
    <w:rsid w:val="3EC924E2"/>
    <w:rsid w:val="3ED71449"/>
    <w:rsid w:val="3F1E6B1B"/>
    <w:rsid w:val="3F4614AF"/>
    <w:rsid w:val="3F5156FB"/>
    <w:rsid w:val="3F6727CC"/>
    <w:rsid w:val="3FA05304"/>
    <w:rsid w:val="3FB15B37"/>
    <w:rsid w:val="3FC54479"/>
    <w:rsid w:val="3FFF0632"/>
    <w:rsid w:val="4013200C"/>
    <w:rsid w:val="401C6303"/>
    <w:rsid w:val="401F50E7"/>
    <w:rsid w:val="4040744B"/>
    <w:rsid w:val="40412196"/>
    <w:rsid w:val="40827A9E"/>
    <w:rsid w:val="408D5322"/>
    <w:rsid w:val="4092096E"/>
    <w:rsid w:val="40A45FB3"/>
    <w:rsid w:val="40C15F0C"/>
    <w:rsid w:val="40D3481B"/>
    <w:rsid w:val="40E00D47"/>
    <w:rsid w:val="40E568EE"/>
    <w:rsid w:val="410A27F8"/>
    <w:rsid w:val="4136511B"/>
    <w:rsid w:val="413F0A8C"/>
    <w:rsid w:val="414A3013"/>
    <w:rsid w:val="416E2317"/>
    <w:rsid w:val="419B19F6"/>
    <w:rsid w:val="41A06302"/>
    <w:rsid w:val="41AC4E19"/>
    <w:rsid w:val="41CE2ADD"/>
    <w:rsid w:val="41E5577E"/>
    <w:rsid w:val="41E55C2A"/>
    <w:rsid w:val="42462B6D"/>
    <w:rsid w:val="426E3F4C"/>
    <w:rsid w:val="427E2307"/>
    <w:rsid w:val="42A31D6D"/>
    <w:rsid w:val="42B74FFE"/>
    <w:rsid w:val="42E94F55"/>
    <w:rsid w:val="43385A99"/>
    <w:rsid w:val="435326DA"/>
    <w:rsid w:val="435757D3"/>
    <w:rsid w:val="43790CED"/>
    <w:rsid w:val="43F4770B"/>
    <w:rsid w:val="441B4EAA"/>
    <w:rsid w:val="443E787A"/>
    <w:rsid w:val="44580936"/>
    <w:rsid w:val="446612A5"/>
    <w:rsid w:val="44B96C3A"/>
    <w:rsid w:val="44D2414B"/>
    <w:rsid w:val="450866A3"/>
    <w:rsid w:val="45154A79"/>
    <w:rsid w:val="4522182E"/>
    <w:rsid w:val="4546334F"/>
    <w:rsid w:val="454C511A"/>
    <w:rsid w:val="456E4D53"/>
    <w:rsid w:val="459259A7"/>
    <w:rsid w:val="45CD2666"/>
    <w:rsid w:val="45E858D0"/>
    <w:rsid w:val="4610514E"/>
    <w:rsid w:val="461B4BD3"/>
    <w:rsid w:val="46317690"/>
    <w:rsid w:val="46903E1A"/>
    <w:rsid w:val="469E4B6D"/>
    <w:rsid w:val="46E45B4B"/>
    <w:rsid w:val="46F00173"/>
    <w:rsid w:val="46F11DC2"/>
    <w:rsid w:val="476B03F1"/>
    <w:rsid w:val="47A00A75"/>
    <w:rsid w:val="47AA76FA"/>
    <w:rsid w:val="47B03F61"/>
    <w:rsid w:val="47B75E52"/>
    <w:rsid w:val="47D227AD"/>
    <w:rsid w:val="47EA7AF7"/>
    <w:rsid w:val="47F82DE2"/>
    <w:rsid w:val="47F941DE"/>
    <w:rsid w:val="48250344"/>
    <w:rsid w:val="482D3E87"/>
    <w:rsid w:val="483242A4"/>
    <w:rsid w:val="484F3DFE"/>
    <w:rsid w:val="48594C7C"/>
    <w:rsid w:val="486C7386"/>
    <w:rsid w:val="489A151D"/>
    <w:rsid w:val="48D73AF0"/>
    <w:rsid w:val="48EC60D8"/>
    <w:rsid w:val="48F8650A"/>
    <w:rsid w:val="491619BC"/>
    <w:rsid w:val="49920446"/>
    <w:rsid w:val="499C764A"/>
    <w:rsid w:val="49DB6694"/>
    <w:rsid w:val="49E232BA"/>
    <w:rsid w:val="4A0A26D2"/>
    <w:rsid w:val="4A1E1CDA"/>
    <w:rsid w:val="4A214B87"/>
    <w:rsid w:val="4A61783A"/>
    <w:rsid w:val="4A6C2C77"/>
    <w:rsid w:val="4A9621B8"/>
    <w:rsid w:val="4AC53BF5"/>
    <w:rsid w:val="4ADD62DF"/>
    <w:rsid w:val="4B19672F"/>
    <w:rsid w:val="4B4F1117"/>
    <w:rsid w:val="4B6B1DE8"/>
    <w:rsid w:val="4B9A23C9"/>
    <w:rsid w:val="4B9E1324"/>
    <w:rsid w:val="4BA31545"/>
    <w:rsid w:val="4BB81C1E"/>
    <w:rsid w:val="4BF278C2"/>
    <w:rsid w:val="4C133148"/>
    <w:rsid w:val="4C1E4634"/>
    <w:rsid w:val="4C451A17"/>
    <w:rsid w:val="4C5C2F8D"/>
    <w:rsid w:val="4C7210B1"/>
    <w:rsid w:val="4C83573B"/>
    <w:rsid w:val="4C935908"/>
    <w:rsid w:val="4CA76BCF"/>
    <w:rsid w:val="4D08272A"/>
    <w:rsid w:val="4D091784"/>
    <w:rsid w:val="4D19786E"/>
    <w:rsid w:val="4D453DE7"/>
    <w:rsid w:val="4D600F4D"/>
    <w:rsid w:val="4D9329DF"/>
    <w:rsid w:val="4D9D3A8E"/>
    <w:rsid w:val="4DD3318A"/>
    <w:rsid w:val="4DF2300B"/>
    <w:rsid w:val="4E077E82"/>
    <w:rsid w:val="4E141F7A"/>
    <w:rsid w:val="4E93496F"/>
    <w:rsid w:val="4EB817B1"/>
    <w:rsid w:val="4EBA06E2"/>
    <w:rsid w:val="4EC87F92"/>
    <w:rsid w:val="4ECE6832"/>
    <w:rsid w:val="4EDD29E4"/>
    <w:rsid w:val="4EF4363C"/>
    <w:rsid w:val="4EF63835"/>
    <w:rsid w:val="4F0A000E"/>
    <w:rsid w:val="4F2A2ECF"/>
    <w:rsid w:val="4F42290E"/>
    <w:rsid w:val="4F4419D6"/>
    <w:rsid w:val="4F986E5C"/>
    <w:rsid w:val="4F9D6C2D"/>
    <w:rsid w:val="4FAD422B"/>
    <w:rsid w:val="4FC82CB6"/>
    <w:rsid w:val="4FE90FDC"/>
    <w:rsid w:val="4FEE214E"/>
    <w:rsid w:val="4FFD46AF"/>
    <w:rsid w:val="500868A2"/>
    <w:rsid w:val="50106568"/>
    <w:rsid w:val="5012090C"/>
    <w:rsid w:val="502C3E30"/>
    <w:rsid w:val="50406E4E"/>
    <w:rsid w:val="505521CD"/>
    <w:rsid w:val="50FD0457"/>
    <w:rsid w:val="5104220A"/>
    <w:rsid w:val="51142088"/>
    <w:rsid w:val="51143E36"/>
    <w:rsid w:val="51497F84"/>
    <w:rsid w:val="51730346"/>
    <w:rsid w:val="5181740A"/>
    <w:rsid w:val="5182563C"/>
    <w:rsid w:val="51B353FD"/>
    <w:rsid w:val="51E11F6A"/>
    <w:rsid w:val="526D7CA2"/>
    <w:rsid w:val="52FD1026"/>
    <w:rsid w:val="531A30CB"/>
    <w:rsid w:val="53320977"/>
    <w:rsid w:val="53521507"/>
    <w:rsid w:val="53641660"/>
    <w:rsid w:val="53705353"/>
    <w:rsid w:val="537218B9"/>
    <w:rsid w:val="537A3716"/>
    <w:rsid w:val="537F5992"/>
    <w:rsid w:val="53857342"/>
    <w:rsid w:val="53955516"/>
    <w:rsid w:val="539E5296"/>
    <w:rsid w:val="53AB3768"/>
    <w:rsid w:val="53B84F4D"/>
    <w:rsid w:val="53CE29C2"/>
    <w:rsid w:val="53D20F21"/>
    <w:rsid w:val="53D5495F"/>
    <w:rsid w:val="53F57F4F"/>
    <w:rsid w:val="541637E5"/>
    <w:rsid w:val="542D61C7"/>
    <w:rsid w:val="543A21CE"/>
    <w:rsid w:val="54414F42"/>
    <w:rsid w:val="54640CA8"/>
    <w:rsid w:val="546C6168"/>
    <w:rsid w:val="54824084"/>
    <w:rsid w:val="5491336F"/>
    <w:rsid w:val="54F9581D"/>
    <w:rsid w:val="550D751A"/>
    <w:rsid w:val="55356699"/>
    <w:rsid w:val="55572115"/>
    <w:rsid w:val="55593D5F"/>
    <w:rsid w:val="555A14EC"/>
    <w:rsid w:val="55853555"/>
    <w:rsid w:val="55B63EB7"/>
    <w:rsid w:val="55B72CB0"/>
    <w:rsid w:val="55F14CDC"/>
    <w:rsid w:val="560B1C3F"/>
    <w:rsid w:val="56C3668B"/>
    <w:rsid w:val="56E409DC"/>
    <w:rsid w:val="57190C49"/>
    <w:rsid w:val="57342B3C"/>
    <w:rsid w:val="573F772B"/>
    <w:rsid w:val="57E24C8E"/>
    <w:rsid w:val="57F16A4D"/>
    <w:rsid w:val="57F926D8"/>
    <w:rsid w:val="58373798"/>
    <w:rsid w:val="586B0FBF"/>
    <w:rsid w:val="58777BE5"/>
    <w:rsid w:val="58816255"/>
    <w:rsid w:val="58825882"/>
    <w:rsid w:val="588A7549"/>
    <w:rsid w:val="5898534D"/>
    <w:rsid w:val="58B235A1"/>
    <w:rsid w:val="58B24661"/>
    <w:rsid w:val="58C4621D"/>
    <w:rsid w:val="58F23521"/>
    <w:rsid w:val="590B76F3"/>
    <w:rsid w:val="59254E33"/>
    <w:rsid w:val="59270AE0"/>
    <w:rsid w:val="5955323E"/>
    <w:rsid w:val="596B7FED"/>
    <w:rsid w:val="597C69D0"/>
    <w:rsid w:val="599B44A6"/>
    <w:rsid w:val="59A1677E"/>
    <w:rsid w:val="59AB117A"/>
    <w:rsid w:val="59BB7545"/>
    <w:rsid w:val="59CB2450"/>
    <w:rsid w:val="59D75B17"/>
    <w:rsid w:val="59E97254"/>
    <w:rsid w:val="59EA4C93"/>
    <w:rsid w:val="59FA62BF"/>
    <w:rsid w:val="5A236E98"/>
    <w:rsid w:val="5AA61FA3"/>
    <w:rsid w:val="5ABD44B2"/>
    <w:rsid w:val="5AC370FA"/>
    <w:rsid w:val="5AC756AC"/>
    <w:rsid w:val="5AD411CB"/>
    <w:rsid w:val="5B08699E"/>
    <w:rsid w:val="5C090A3C"/>
    <w:rsid w:val="5C7062FB"/>
    <w:rsid w:val="5C7C543F"/>
    <w:rsid w:val="5C880C28"/>
    <w:rsid w:val="5CA45750"/>
    <w:rsid w:val="5CA45898"/>
    <w:rsid w:val="5CB113E4"/>
    <w:rsid w:val="5CBA7F88"/>
    <w:rsid w:val="5CC0164A"/>
    <w:rsid w:val="5CDD02AB"/>
    <w:rsid w:val="5CE172C2"/>
    <w:rsid w:val="5CEB1EEF"/>
    <w:rsid w:val="5D121B72"/>
    <w:rsid w:val="5D34336C"/>
    <w:rsid w:val="5DAB78D0"/>
    <w:rsid w:val="5DB17DEC"/>
    <w:rsid w:val="5DE837A1"/>
    <w:rsid w:val="5DF24E86"/>
    <w:rsid w:val="5DF44E7C"/>
    <w:rsid w:val="5E03683A"/>
    <w:rsid w:val="5E2034F9"/>
    <w:rsid w:val="5E816409"/>
    <w:rsid w:val="5E860EE9"/>
    <w:rsid w:val="5EC204EE"/>
    <w:rsid w:val="5ED1557C"/>
    <w:rsid w:val="5EEE32F8"/>
    <w:rsid w:val="5EFD5F0A"/>
    <w:rsid w:val="5F013C4C"/>
    <w:rsid w:val="5F1E342B"/>
    <w:rsid w:val="5F34799E"/>
    <w:rsid w:val="5F555D46"/>
    <w:rsid w:val="5F7536AB"/>
    <w:rsid w:val="5F8374C3"/>
    <w:rsid w:val="5F8A5CB5"/>
    <w:rsid w:val="5FA840C8"/>
    <w:rsid w:val="5FBA204D"/>
    <w:rsid w:val="5FE7068B"/>
    <w:rsid w:val="5FF1206A"/>
    <w:rsid w:val="5FF83899"/>
    <w:rsid w:val="60C91D59"/>
    <w:rsid w:val="60D31618"/>
    <w:rsid w:val="6107266B"/>
    <w:rsid w:val="6118527D"/>
    <w:rsid w:val="612A7890"/>
    <w:rsid w:val="61BD76AC"/>
    <w:rsid w:val="61D65E93"/>
    <w:rsid w:val="62474FDC"/>
    <w:rsid w:val="624C1682"/>
    <w:rsid w:val="62546789"/>
    <w:rsid w:val="625D5114"/>
    <w:rsid w:val="625D5F03"/>
    <w:rsid w:val="627E2816"/>
    <w:rsid w:val="628E23EB"/>
    <w:rsid w:val="6295357E"/>
    <w:rsid w:val="62A42AA2"/>
    <w:rsid w:val="62ED2130"/>
    <w:rsid w:val="62F4302E"/>
    <w:rsid w:val="62FB09B2"/>
    <w:rsid w:val="62FD5819"/>
    <w:rsid w:val="62FE4F5A"/>
    <w:rsid w:val="631218D8"/>
    <w:rsid w:val="636F3357"/>
    <w:rsid w:val="638745CF"/>
    <w:rsid w:val="63A23524"/>
    <w:rsid w:val="63C23C15"/>
    <w:rsid w:val="63CB5D5E"/>
    <w:rsid w:val="63D00091"/>
    <w:rsid w:val="643423CE"/>
    <w:rsid w:val="644C0EEF"/>
    <w:rsid w:val="64632CB3"/>
    <w:rsid w:val="6465006C"/>
    <w:rsid w:val="64756286"/>
    <w:rsid w:val="64C87572"/>
    <w:rsid w:val="64E70D8B"/>
    <w:rsid w:val="65080527"/>
    <w:rsid w:val="653002D4"/>
    <w:rsid w:val="654C0849"/>
    <w:rsid w:val="65505B10"/>
    <w:rsid w:val="65660CAD"/>
    <w:rsid w:val="65822D8E"/>
    <w:rsid w:val="65853B31"/>
    <w:rsid w:val="65883E59"/>
    <w:rsid w:val="65A706BA"/>
    <w:rsid w:val="65C05E40"/>
    <w:rsid w:val="65D24C57"/>
    <w:rsid w:val="65E971E8"/>
    <w:rsid w:val="65F04A1A"/>
    <w:rsid w:val="65F90149"/>
    <w:rsid w:val="66157FDD"/>
    <w:rsid w:val="66251733"/>
    <w:rsid w:val="666017E7"/>
    <w:rsid w:val="666024F3"/>
    <w:rsid w:val="66826DDA"/>
    <w:rsid w:val="669C425A"/>
    <w:rsid w:val="66BC48FC"/>
    <w:rsid w:val="66CD08B8"/>
    <w:rsid w:val="66D3777A"/>
    <w:rsid w:val="671309C0"/>
    <w:rsid w:val="6729534A"/>
    <w:rsid w:val="6732696D"/>
    <w:rsid w:val="674C7A2E"/>
    <w:rsid w:val="675D6D24"/>
    <w:rsid w:val="67857B63"/>
    <w:rsid w:val="67AD3D48"/>
    <w:rsid w:val="67C461F8"/>
    <w:rsid w:val="67CD422D"/>
    <w:rsid w:val="67D3367C"/>
    <w:rsid w:val="67D92D66"/>
    <w:rsid w:val="67F51E74"/>
    <w:rsid w:val="68152516"/>
    <w:rsid w:val="68324C72"/>
    <w:rsid w:val="685D6BD7"/>
    <w:rsid w:val="686E60A2"/>
    <w:rsid w:val="687C00FB"/>
    <w:rsid w:val="68833924"/>
    <w:rsid w:val="68AB501B"/>
    <w:rsid w:val="68CB7079"/>
    <w:rsid w:val="68D71870"/>
    <w:rsid w:val="68E51EE8"/>
    <w:rsid w:val="6909764D"/>
    <w:rsid w:val="695D4175"/>
    <w:rsid w:val="696A2CC9"/>
    <w:rsid w:val="69946E9F"/>
    <w:rsid w:val="69B66F61"/>
    <w:rsid w:val="69C540B7"/>
    <w:rsid w:val="69CA03D6"/>
    <w:rsid w:val="69E46644"/>
    <w:rsid w:val="6A02291B"/>
    <w:rsid w:val="6A3118AF"/>
    <w:rsid w:val="6A3838CD"/>
    <w:rsid w:val="6A425119"/>
    <w:rsid w:val="6A5F3F1C"/>
    <w:rsid w:val="6A67161B"/>
    <w:rsid w:val="6A6A1EA4"/>
    <w:rsid w:val="6A8B2659"/>
    <w:rsid w:val="6AB9187F"/>
    <w:rsid w:val="6ADE7537"/>
    <w:rsid w:val="6AF733C1"/>
    <w:rsid w:val="6B120F8F"/>
    <w:rsid w:val="6B19383C"/>
    <w:rsid w:val="6B1F1484"/>
    <w:rsid w:val="6B211F92"/>
    <w:rsid w:val="6B6E1D99"/>
    <w:rsid w:val="6B9415A2"/>
    <w:rsid w:val="6B9F6CC6"/>
    <w:rsid w:val="6BC94FB8"/>
    <w:rsid w:val="6BE22E32"/>
    <w:rsid w:val="6C300D08"/>
    <w:rsid w:val="6C622EDE"/>
    <w:rsid w:val="6C6D6BE2"/>
    <w:rsid w:val="6C7E6A30"/>
    <w:rsid w:val="6C9A2A2B"/>
    <w:rsid w:val="6CAE17B0"/>
    <w:rsid w:val="6CB73B9C"/>
    <w:rsid w:val="6CC14ABF"/>
    <w:rsid w:val="6CDA0576"/>
    <w:rsid w:val="6CF070AE"/>
    <w:rsid w:val="6D172699"/>
    <w:rsid w:val="6D292130"/>
    <w:rsid w:val="6D34343E"/>
    <w:rsid w:val="6D594C53"/>
    <w:rsid w:val="6D790225"/>
    <w:rsid w:val="6DDB5FB0"/>
    <w:rsid w:val="6DE50BDD"/>
    <w:rsid w:val="6DEA7950"/>
    <w:rsid w:val="6DFD5F26"/>
    <w:rsid w:val="6E342F1E"/>
    <w:rsid w:val="6E560E71"/>
    <w:rsid w:val="6E6B10E2"/>
    <w:rsid w:val="6E833581"/>
    <w:rsid w:val="6E986A32"/>
    <w:rsid w:val="6EBF06AA"/>
    <w:rsid w:val="6EE40E94"/>
    <w:rsid w:val="6EEA2903"/>
    <w:rsid w:val="6EEA42FA"/>
    <w:rsid w:val="6F0319B8"/>
    <w:rsid w:val="6F1729D5"/>
    <w:rsid w:val="6F376285"/>
    <w:rsid w:val="6F452389"/>
    <w:rsid w:val="6F846C59"/>
    <w:rsid w:val="6FB1372A"/>
    <w:rsid w:val="6FB979BE"/>
    <w:rsid w:val="6FCA36D5"/>
    <w:rsid w:val="6FCD1928"/>
    <w:rsid w:val="701E4D08"/>
    <w:rsid w:val="7020414E"/>
    <w:rsid w:val="70253400"/>
    <w:rsid w:val="704D2F2C"/>
    <w:rsid w:val="70800712"/>
    <w:rsid w:val="7099163F"/>
    <w:rsid w:val="70C955B3"/>
    <w:rsid w:val="70F94EA6"/>
    <w:rsid w:val="712F5C9A"/>
    <w:rsid w:val="717565A4"/>
    <w:rsid w:val="717E6E4C"/>
    <w:rsid w:val="71A768D5"/>
    <w:rsid w:val="71A77EB5"/>
    <w:rsid w:val="71D96986"/>
    <w:rsid w:val="71E427BB"/>
    <w:rsid w:val="720E0702"/>
    <w:rsid w:val="72676DED"/>
    <w:rsid w:val="7274596E"/>
    <w:rsid w:val="72796877"/>
    <w:rsid w:val="728C0BC6"/>
    <w:rsid w:val="72C67927"/>
    <w:rsid w:val="72DC7FF7"/>
    <w:rsid w:val="73002A08"/>
    <w:rsid w:val="73041B05"/>
    <w:rsid w:val="73162BBE"/>
    <w:rsid w:val="731C29AB"/>
    <w:rsid w:val="73294799"/>
    <w:rsid w:val="732F388D"/>
    <w:rsid w:val="73396601"/>
    <w:rsid w:val="733B267B"/>
    <w:rsid w:val="733C4DFB"/>
    <w:rsid w:val="73893DB8"/>
    <w:rsid w:val="738B03A3"/>
    <w:rsid w:val="73AB2B7D"/>
    <w:rsid w:val="73AB463A"/>
    <w:rsid w:val="73B47087"/>
    <w:rsid w:val="74102C74"/>
    <w:rsid w:val="74FC654C"/>
    <w:rsid w:val="74FD680C"/>
    <w:rsid w:val="751D0C5C"/>
    <w:rsid w:val="75483F2B"/>
    <w:rsid w:val="75526B58"/>
    <w:rsid w:val="75592D4A"/>
    <w:rsid w:val="75827D04"/>
    <w:rsid w:val="75A37569"/>
    <w:rsid w:val="75D43A11"/>
    <w:rsid w:val="75D67FBC"/>
    <w:rsid w:val="75F27C35"/>
    <w:rsid w:val="763E1393"/>
    <w:rsid w:val="763E2968"/>
    <w:rsid w:val="7643089E"/>
    <w:rsid w:val="76440E61"/>
    <w:rsid w:val="76586A02"/>
    <w:rsid w:val="765B603D"/>
    <w:rsid w:val="7662726E"/>
    <w:rsid w:val="768F193F"/>
    <w:rsid w:val="769211D6"/>
    <w:rsid w:val="76960CC6"/>
    <w:rsid w:val="76C031B8"/>
    <w:rsid w:val="76C206E2"/>
    <w:rsid w:val="76D35A04"/>
    <w:rsid w:val="77001F7C"/>
    <w:rsid w:val="770B3462"/>
    <w:rsid w:val="77197ED4"/>
    <w:rsid w:val="773E6DA1"/>
    <w:rsid w:val="777136E9"/>
    <w:rsid w:val="779C0C5A"/>
    <w:rsid w:val="779F6E2E"/>
    <w:rsid w:val="77AA4702"/>
    <w:rsid w:val="780249C4"/>
    <w:rsid w:val="780E5EA9"/>
    <w:rsid w:val="78112CFA"/>
    <w:rsid w:val="7812390A"/>
    <w:rsid w:val="781D001D"/>
    <w:rsid w:val="78364E14"/>
    <w:rsid w:val="78533050"/>
    <w:rsid w:val="785B250B"/>
    <w:rsid w:val="786D0D17"/>
    <w:rsid w:val="789A0F37"/>
    <w:rsid w:val="78BC73BF"/>
    <w:rsid w:val="78FE5754"/>
    <w:rsid w:val="790939D1"/>
    <w:rsid w:val="79386064"/>
    <w:rsid w:val="79536B23"/>
    <w:rsid w:val="79650E78"/>
    <w:rsid w:val="79676A51"/>
    <w:rsid w:val="79853F6B"/>
    <w:rsid w:val="798A3CD0"/>
    <w:rsid w:val="79984D55"/>
    <w:rsid w:val="79B0209F"/>
    <w:rsid w:val="79D20E69"/>
    <w:rsid w:val="7A0635C0"/>
    <w:rsid w:val="7A0D1DBF"/>
    <w:rsid w:val="7A394769"/>
    <w:rsid w:val="7A3C3932"/>
    <w:rsid w:val="7A444CBC"/>
    <w:rsid w:val="7A7402C5"/>
    <w:rsid w:val="7AD4331B"/>
    <w:rsid w:val="7B0E619B"/>
    <w:rsid w:val="7B220D7A"/>
    <w:rsid w:val="7B3274AA"/>
    <w:rsid w:val="7B7A0BB6"/>
    <w:rsid w:val="7BE26FC5"/>
    <w:rsid w:val="7C743857"/>
    <w:rsid w:val="7C7A0633"/>
    <w:rsid w:val="7C98397E"/>
    <w:rsid w:val="7CD44657"/>
    <w:rsid w:val="7CEF73EC"/>
    <w:rsid w:val="7D070393"/>
    <w:rsid w:val="7D275C39"/>
    <w:rsid w:val="7D344ED1"/>
    <w:rsid w:val="7D5914E5"/>
    <w:rsid w:val="7D7556E5"/>
    <w:rsid w:val="7D7B4F61"/>
    <w:rsid w:val="7DC212AC"/>
    <w:rsid w:val="7DC720AD"/>
    <w:rsid w:val="7DD64AED"/>
    <w:rsid w:val="7DE15329"/>
    <w:rsid w:val="7DFE0245"/>
    <w:rsid w:val="7DFE3D91"/>
    <w:rsid w:val="7E211CDF"/>
    <w:rsid w:val="7E2766A8"/>
    <w:rsid w:val="7E496A07"/>
    <w:rsid w:val="7E5A4CCF"/>
    <w:rsid w:val="7E5B69D8"/>
    <w:rsid w:val="7E6C2EFE"/>
    <w:rsid w:val="7E726CB9"/>
    <w:rsid w:val="7E8140EF"/>
    <w:rsid w:val="7EC001A5"/>
    <w:rsid w:val="7ECE6805"/>
    <w:rsid w:val="7EEB2242"/>
    <w:rsid w:val="7EEC6C8C"/>
    <w:rsid w:val="7EFB6C40"/>
    <w:rsid w:val="7F2757D0"/>
    <w:rsid w:val="7F2826D7"/>
    <w:rsid w:val="7F3A5211"/>
    <w:rsid w:val="7F5F4B33"/>
    <w:rsid w:val="7F672D1B"/>
    <w:rsid w:val="7FB329E9"/>
    <w:rsid w:val="7FC67423"/>
    <w:rsid w:val="7FF442AE"/>
    <w:rsid w:val="BFF4B9D6"/>
    <w:rsid w:val="BFFF6176"/>
    <w:rsid w:val="F7FF8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宋体" w:asciiTheme="minorAscii" w:hAnsiTheme="minorAscii" w:cstheme="minorBidi"/>
      <w:kern w:val="2"/>
      <w:sz w:val="20"/>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rFonts w:eastAsia="宋体" w:asciiTheme="minorAscii" w:hAnsiTheme="minorAscii"/>
      <w:b/>
      <w:kern w:val="44"/>
      <w:sz w:val="20"/>
    </w:rPr>
  </w:style>
  <w:style w:type="paragraph" w:styleId="5">
    <w:name w:val="heading 2"/>
    <w:basedOn w:val="1"/>
    <w:next w:val="1"/>
    <w:qFormat/>
    <w:uiPriority w:val="0"/>
    <w:pPr>
      <w:keepNext/>
      <w:keepLines/>
      <w:numPr>
        <w:ilvl w:val="1"/>
        <w:numId w:val="1"/>
      </w:numPr>
      <w:outlineLvl w:val="1"/>
    </w:pPr>
    <w:rPr>
      <w:rFonts w:eastAsia="宋体" w:asciiTheme="minorAscii" w:hAnsiTheme="minorAscii"/>
      <w:b/>
      <w:bCs/>
      <w:sz w:val="20"/>
      <w:szCs w:val="32"/>
    </w:rPr>
  </w:style>
  <w:style w:type="paragraph" w:styleId="6">
    <w:name w:val="heading 3"/>
    <w:basedOn w:val="1"/>
    <w:next w:val="1"/>
    <w:link w:val="34"/>
    <w:unhideWhenUsed/>
    <w:qFormat/>
    <w:uiPriority w:val="0"/>
    <w:pPr>
      <w:keepNext/>
      <w:keepLines/>
      <w:spacing w:before="260" w:beforeLines="0" w:beforeAutospacing="0" w:after="260" w:afterLines="0" w:afterAutospacing="0" w:line="413" w:lineRule="auto"/>
      <w:outlineLvl w:val="2"/>
    </w:pPr>
    <w:rPr>
      <w:rFonts w:ascii="Calibri" w:hAnsi="Calibri" w:eastAsia="宋体" w:cs="Times New Roman"/>
      <w:b/>
      <w:sz w:val="20"/>
      <w:szCs w:val="2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widowControl w:val="0"/>
      <w:spacing w:after="120"/>
      <w:jc w:val="both"/>
    </w:pPr>
    <w:rPr>
      <w:rFonts w:ascii="Arial" w:hAnsi="Arial" w:eastAsia="宋体"/>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qFormat/>
    <w:uiPriority w:val="0"/>
    <w:pPr>
      <w:ind w:firstLine="420"/>
    </w:pPr>
  </w:style>
  <w:style w:type="paragraph" w:styleId="8">
    <w:name w:val="annotation text"/>
    <w:basedOn w:val="1"/>
    <w:qFormat/>
    <w:uiPriority w:val="0"/>
    <w:pPr>
      <w:jc w:val="left"/>
    </w:pPr>
  </w:style>
  <w:style w:type="paragraph" w:styleId="9">
    <w:name w:val="toc 3"/>
    <w:basedOn w:val="1"/>
    <w:next w:val="1"/>
    <w:qFormat/>
    <w:uiPriority w:val="0"/>
    <w:pPr>
      <w:ind w:left="840" w:leftChars="4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Normal (Web)"/>
    <w:basedOn w:val="1"/>
    <w:qFormat/>
    <w:uiPriority w:val="0"/>
    <w:pPr>
      <w:widowControl/>
      <w:spacing w:before="225" w:after="225"/>
      <w:jc w:val="left"/>
    </w:pPr>
    <w:rPr>
      <w:rFonts w:ascii="宋体" w:hAnsi="宋体"/>
      <w:color w:val="111111"/>
      <w:kern w:val="0"/>
      <w:sz w:val="18"/>
      <w:szCs w:val="20"/>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目录 21"/>
    <w:basedOn w:val="1"/>
    <w:next w:val="1"/>
    <w:qFormat/>
    <w:uiPriority w:val="0"/>
    <w:pPr>
      <w:spacing w:before="100" w:beforeAutospacing="1" w:after="100" w:afterAutospacing="1"/>
      <w:ind w:left="420" w:leftChars="200"/>
    </w:pPr>
    <w:rPr>
      <w:rFonts w:eastAsia="宋体" w:asciiTheme="minorAscii" w:hAnsiTheme="minorAscii"/>
      <w:sz w:val="20"/>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 w:type="paragraph" w:customStyle="1" w:styleId="21">
    <w:name w:val="Default"/>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character" w:customStyle="1" w:styleId="22">
    <w:name w:val="font21"/>
    <w:basedOn w:val="17"/>
    <w:qFormat/>
    <w:uiPriority w:val="0"/>
    <w:rPr>
      <w:rFonts w:hint="eastAsia" w:ascii="宋体" w:hAnsi="宋体" w:eastAsia="宋体" w:cs="宋体"/>
      <w:color w:val="000000"/>
      <w:sz w:val="20"/>
      <w:szCs w:val="20"/>
      <w:u w:val="none"/>
    </w:rPr>
  </w:style>
  <w:style w:type="character" w:customStyle="1" w:styleId="23">
    <w:name w:val="font11"/>
    <w:basedOn w:val="17"/>
    <w:qFormat/>
    <w:uiPriority w:val="0"/>
    <w:rPr>
      <w:rFonts w:ascii="Arial" w:hAnsi="Arial" w:cs="Arial"/>
      <w:color w:val="000000"/>
      <w:sz w:val="20"/>
      <w:szCs w:val="20"/>
      <w:u w:val="none"/>
    </w:rPr>
  </w:style>
  <w:style w:type="character" w:customStyle="1" w:styleId="24">
    <w:name w:val="font01"/>
    <w:basedOn w:val="17"/>
    <w:qFormat/>
    <w:uiPriority w:val="0"/>
    <w:rPr>
      <w:rFonts w:hint="default" w:ascii="Times New Roman" w:hAnsi="Times New Roman" w:cs="Times New Roman"/>
      <w:color w:val="000000"/>
      <w:sz w:val="20"/>
      <w:szCs w:val="20"/>
      <w:u w:val="none"/>
    </w:rPr>
  </w:style>
  <w:style w:type="character" w:customStyle="1" w:styleId="25">
    <w:name w:val="font61"/>
    <w:basedOn w:val="17"/>
    <w:qFormat/>
    <w:uiPriority w:val="0"/>
    <w:rPr>
      <w:rFonts w:hint="eastAsia" w:ascii="宋体" w:hAnsi="宋体" w:eastAsia="宋体" w:cs="宋体"/>
      <w:color w:val="000000"/>
      <w:sz w:val="24"/>
      <w:szCs w:val="24"/>
      <w:u w:val="none"/>
    </w:rPr>
  </w:style>
  <w:style w:type="paragraph" w:styleId="26">
    <w:name w:val="List Paragraph"/>
    <w:basedOn w:val="1"/>
    <w:qFormat/>
    <w:uiPriority w:val="1"/>
    <w:pPr>
      <w:spacing w:before="1"/>
      <w:ind w:left="112"/>
    </w:pPr>
    <w:rPr>
      <w:rFonts w:ascii="宋体" w:hAnsi="宋体" w:eastAsia="宋体" w:cs="宋体"/>
      <w:lang w:val="en-US" w:eastAsia="zh-CN" w:bidi="ar-SA"/>
    </w:rPr>
  </w:style>
  <w:style w:type="paragraph" w:customStyle="1" w:styleId="27">
    <w:name w:val=" Char Char Char"/>
    <w:basedOn w:val="1"/>
    <w:qFormat/>
    <w:uiPriority w:val="0"/>
    <w:pPr>
      <w:widowControl/>
      <w:spacing w:after="160" w:line="240" w:lineRule="exact"/>
      <w:jc w:val="left"/>
    </w:pPr>
    <w:rPr>
      <w:rFonts w:ascii="Tahoma" w:hAnsi="Tahoma" w:eastAsia="仿宋_GB2321"/>
      <w:sz w:val="28"/>
      <w:szCs w:val="28"/>
    </w:rPr>
  </w:style>
  <w:style w:type="paragraph" w:customStyle="1" w:styleId="28">
    <w:name w:val="注："/>
    <w:next w:val="29"/>
    <w:qFormat/>
    <w:uiPriority w:val="0"/>
    <w:pPr>
      <w:widowControl w:val="0"/>
      <w:numPr>
        <w:ilvl w:val="0"/>
        <w:numId w:val="2"/>
      </w:numPr>
      <w:autoSpaceDE w:val="0"/>
      <w:autoSpaceDN w:val="0"/>
      <w:jc w:val="both"/>
    </w:pPr>
    <w:rPr>
      <w:rFonts w:ascii="宋体" w:hAnsi="Calibri" w:eastAsia="宋体" w:cs="Times New Roman"/>
      <w:sz w:val="18"/>
      <w:szCs w:val="18"/>
      <w:lang w:val="en-US" w:eastAsia="zh-CN" w:bidi="ar-SA"/>
    </w:rPr>
  </w:style>
  <w:style w:type="paragraph" w:customStyle="1" w:styleId="29">
    <w:name w:val="段"/>
    <w:qFormat/>
    <w:uiPriority w:val="0"/>
    <w:pPr>
      <w:tabs>
        <w:tab w:val="center" w:pos="4201"/>
        <w:tab w:val="right" w:leader="dot" w:pos="9298"/>
      </w:tabs>
      <w:autoSpaceDE w:val="0"/>
      <w:autoSpaceDN w:val="0"/>
      <w:ind w:firstLine="420" w:firstLineChars="200"/>
      <w:jc w:val="both"/>
    </w:pPr>
    <w:rPr>
      <w:rFonts w:ascii="宋体" w:hAnsi="Calibri" w:eastAsia="Times New Roman" w:cs="Times New Roman"/>
      <w:sz w:val="21"/>
      <w:lang w:val="en-US" w:eastAsia="zh-CN" w:bidi="ar-SA"/>
    </w:rPr>
  </w:style>
  <w:style w:type="character" w:customStyle="1" w:styleId="30">
    <w:name w:val="title1"/>
    <w:qFormat/>
    <w:uiPriority w:val="99"/>
    <w:rPr>
      <w:b/>
      <w:color w:val="CC6600"/>
      <w:sz w:val="24"/>
    </w:rPr>
  </w:style>
  <w:style w:type="paragraph" w:customStyle="1" w:styleId="31">
    <w:name w:val="样式1"/>
    <w:basedOn w:val="1"/>
    <w:qFormat/>
    <w:uiPriority w:val="0"/>
    <w:pPr>
      <w:numPr>
        <w:ilvl w:val="2"/>
        <w:numId w:val="1"/>
      </w:numPr>
    </w:pPr>
  </w:style>
  <w:style w:type="paragraph" w:customStyle="1" w:styleId="32">
    <w:name w:val="样式2"/>
    <w:basedOn w:val="1"/>
    <w:qFormat/>
    <w:uiPriority w:val="0"/>
    <w:pPr>
      <w:numPr>
        <w:ilvl w:val="3"/>
        <w:numId w:val="1"/>
      </w:numPr>
    </w:pPr>
  </w:style>
  <w:style w:type="paragraph" w:customStyle="1" w:styleId="33">
    <w:name w:val="WPSOffice手动目录 3"/>
    <w:qFormat/>
    <w:uiPriority w:val="0"/>
    <w:pPr>
      <w:ind w:leftChars="400"/>
    </w:pPr>
    <w:rPr>
      <w:rFonts w:ascii="Times New Roman" w:hAnsi="Times New Roman" w:eastAsia="宋体" w:cs="Times New Roman"/>
      <w:sz w:val="20"/>
      <w:szCs w:val="20"/>
    </w:rPr>
  </w:style>
  <w:style w:type="character" w:customStyle="1" w:styleId="34">
    <w:name w:val="标题 3 Char"/>
    <w:link w:val="6"/>
    <w:qFormat/>
    <w:uiPriority w:val="0"/>
    <w:rPr>
      <w:rFonts w:ascii="Calibri" w:hAnsi="Calibri" w:eastAsia="宋体" w:cs="Times New Roman"/>
      <w:b/>
      <w:sz w:val="20"/>
      <w:szCs w:val="22"/>
    </w:rPr>
  </w:style>
  <w:style w:type="character" w:customStyle="1" w:styleId="35">
    <w:name w:val="font31"/>
    <w:basedOn w:val="17"/>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195</Pages>
  <Words>7645</Words>
  <Characters>8480</Characters>
  <Lines>0</Lines>
  <Paragraphs>0</Paragraphs>
  <TotalTime>10</TotalTime>
  <ScaleCrop>false</ScaleCrop>
  <LinksUpToDate>false</LinksUpToDate>
  <CharactersWithSpaces>8662</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2023-03-15T22:58:00Z</dcterms:created>
  <dc:creator>x1342</dc:creator>
  <cp:lastModifiedBy>XCAD~weichunguo</cp:lastModifiedBy>
  <dcterms:modified xsi:type="dcterms:W3CDTF">2026-08-26T11:47:22Z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C58AA00512A30547CA618E6AB99B20FC_43</vt:lpwstr>
  </property>
  <property fmtid="{D5CDD505-2E9C-101B-9397-08002B2CF9AE}" pid="4" name="KSOTemplateDocerSaveRecord">
    <vt:lpwstr>eyJoZGlkIjoiMTNmMjk1ZDc1MGY2ZWRkNTI4ZWM2ODRkOTMzZmQ2OGUiLCJ1c2VySWQiOiIzNDg5NjI2ODgifQ==</vt:lpwstr>
  </property>
</Properties>
</file>