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44DDC8">
      <w:pPr>
        <w:keepNext w:val="0"/>
        <w:keepLines w:val="0"/>
        <w:pageBreakBefore w:val="0"/>
        <w:widowControl w:val="0"/>
        <w:kinsoku/>
        <w:wordWrap/>
        <w:overflowPunct/>
        <w:topLinePunct w:val="0"/>
        <w:autoSpaceDE/>
        <w:autoSpaceDN/>
        <w:bidi w:val="0"/>
        <w:adjustRightInd w:val="0"/>
        <w:snapToGrid w:val="0"/>
        <w:spacing w:before="120" w:line="360" w:lineRule="auto"/>
        <w:jc w:val="both"/>
        <w:textAlignment w:val="auto"/>
        <w:outlineLvl w:val="0"/>
        <w:rPr>
          <w:b/>
          <w:i/>
          <w:color w:val="000000"/>
          <w:kern w:val="0"/>
          <w:sz w:val="24"/>
          <w:szCs w:val="24"/>
          <w:lang w:val="en-US" w:eastAsia="zh-CN"/>
        </w:rPr>
      </w:pPr>
      <w:r>
        <w:rPr>
          <w:rFonts w:hint="eastAsia"/>
          <w:b/>
          <w:color w:val="000000"/>
          <w:kern w:val="0"/>
          <w:sz w:val="24"/>
          <w:szCs w:val="24"/>
          <w:lang w:val="en-US" w:eastAsia="zh-CN"/>
        </w:rPr>
        <w:t>附</w:t>
      </w:r>
      <w:bookmarkStart w:id="0" w:name="_Toc349031726"/>
      <w:r>
        <w:rPr>
          <w:rFonts w:hint="eastAsia"/>
          <w:b/>
          <w:color w:val="000000"/>
          <w:kern w:val="0"/>
          <w:sz w:val="24"/>
          <w:szCs w:val="24"/>
          <w:lang w:val="en-US" w:eastAsia="zh-CN"/>
        </w:rPr>
        <w:t>件3：综合评审办法</w:t>
      </w:r>
      <w:bookmarkEnd w:id="0"/>
    </w:p>
    <w:p w14:paraId="573E18A2">
      <w:pPr>
        <w:pStyle w:val="5"/>
        <w:adjustRightInd w:val="0"/>
        <w:snapToGrid w:val="0"/>
        <w:spacing w:before="156"/>
        <w:ind w:firstLine="480"/>
        <w:jc w:val="center"/>
        <w:rPr>
          <w:rFonts w:hint="eastAsia"/>
          <w:b/>
          <w:bCs/>
          <w:color w:val="000000"/>
          <w:sz w:val="24"/>
          <w:szCs w:val="24"/>
          <w:lang w:val="en-US" w:eastAsia="zh-CN"/>
        </w:rPr>
      </w:pPr>
      <w:r>
        <w:rPr>
          <w:rFonts w:hint="eastAsia"/>
          <w:b/>
          <w:bCs/>
          <w:sz w:val="24"/>
          <w:szCs w:val="24"/>
        </w:rPr>
        <w:t>2026-2027年新致力公司车辆租赁服务采购项目</w:t>
      </w:r>
      <w:r>
        <w:rPr>
          <w:rFonts w:hint="eastAsia"/>
          <w:b/>
          <w:bCs/>
          <w:color w:val="000000"/>
          <w:sz w:val="24"/>
          <w:szCs w:val="24"/>
          <w:lang w:val="en-US" w:eastAsia="zh-CN"/>
        </w:rPr>
        <w:t>综合评审办法</w:t>
      </w:r>
    </w:p>
    <w:p w14:paraId="516F108C">
      <w:pPr>
        <w:pStyle w:val="5"/>
        <w:adjustRightInd w:val="0"/>
        <w:snapToGrid w:val="0"/>
        <w:spacing w:before="156"/>
        <w:ind w:firstLine="480"/>
        <w:jc w:val="both"/>
        <w:rPr>
          <w:rFonts w:hint="eastAsia"/>
          <w:color w:val="000000"/>
          <w:lang w:val="en-US" w:eastAsia="zh-CN"/>
        </w:rPr>
      </w:pPr>
    </w:p>
    <w:p w14:paraId="08D916A5">
      <w:pPr>
        <w:pStyle w:val="5"/>
        <w:adjustRightInd w:val="0"/>
        <w:snapToGrid w:val="0"/>
        <w:ind w:firstLine="0" w:firstLineChars="0"/>
        <w:jc w:val="both"/>
        <w:rPr>
          <w:rFonts w:hint="eastAsia" w:ascii="宋体" w:hAnsi="宋体" w:cs="宋体" w:eastAsiaTheme="minorEastAsia"/>
          <w:color w:val="auto"/>
          <w:kern w:val="2"/>
          <w:sz w:val="22"/>
          <w:szCs w:val="22"/>
          <w:highlight w:val="none"/>
          <w:lang w:val="en-US" w:eastAsia="zh-CN" w:bidi="ar-SA"/>
        </w:rPr>
      </w:pPr>
      <w:r>
        <w:rPr>
          <w:rFonts w:hint="eastAsia" w:ascii="宋体" w:hAnsi="宋体" w:cs="宋体" w:eastAsiaTheme="minorEastAsia"/>
          <w:color w:val="auto"/>
          <w:kern w:val="2"/>
          <w:sz w:val="22"/>
          <w:szCs w:val="22"/>
          <w:highlight w:val="none"/>
          <w:lang w:val="en-US" w:eastAsia="zh-CN" w:bidi="ar-SA"/>
        </w:rPr>
        <w:t>招标工作小组按照本办法的评审要素，对供应商提交的证明文件进行商务、技术评审，详见商务、技术评审要素。综合得分=商务分*0.4+技术分*0.4+价格分*0.2。</w:t>
      </w:r>
    </w:p>
    <w:tbl>
      <w:tblPr>
        <w:tblStyle w:val="6"/>
        <w:tblpPr w:leftFromText="180" w:rightFromText="180" w:vertAnchor="text" w:horzAnchor="page" w:tblpX="1817" w:tblpY="1091"/>
        <w:tblOverlap w:val="never"/>
        <w:tblW w:w="47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27"/>
        <w:gridCol w:w="1612"/>
        <w:gridCol w:w="4808"/>
        <w:gridCol w:w="773"/>
      </w:tblGrid>
      <w:tr w14:paraId="77363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trPr>
        <w:tc>
          <w:tcPr>
            <w:tcW w:w="5000" w:type="pct"/>
            <w:gridSpan w:val="4"/>
            <w:shd w:val="clear" w:color="auto" w:fill="FFFFFF"/>
            <w:noWrap w:val="0"/>
            <w:vAlign w:val="center"/>
          </w:tcPr>
          <w:p w14:paraId="7BFA7B09">
            <w:pPr>
              <w:pStyle w:val="5"/>
              <w:ind w:firstLine="0" w:firstLineChars="0"/>
              <w:jc w:val="both"/>
              <w:rPr>
                <w:rFonts w:hint="eastAsia" w:ascii="宋体" w:hAnsi="宋体" w:cs="宋体"/>
                <w:b/>
                <w:bCs/>
                <w:color w:val="auto"/>
                <w:szCs w:val="21"/>
                <w:highlight w:val="none"/>
              </w:rPr>
            </w:pPr>
            <w:r>
              <w:rPr>
                <w:rFonts w:hint="eastAsia" w:ascii="宋体" w:hAnsi="宋体" w:cs="宋体"/>
                <w:b/>
                <w:bCs/>
                <w:color w:val="auto"/>
                <w:szCs w:val="21"/>
                <w:highlight w:val="none"/>
              </w:rPr>
              <w:t>（一）、商务评审（100）分</w:t>
            </w:r>
          </w:p>
        </w:tc>
      </w:tr>
      <w:tr w14:paraId="4A85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trPr>
        <w:tc>
          <w:tcPr>
            <w:tcW w:w="401" w:type="pct"/>
            <w:shd w:val="clear" w:color="auto" w:fill="FFFFFF"/>
            <w:noWrap w:val="0"/>
            <w:vAlign w:val="center"/>
          </w:tcPr>
          <w:p w14:paraId="19386494">
            <w:pPr>
              <w:spacing w:line="360" w:lineRule="auto"/>
              <w:jc w:val="center"/>
              <w:rPr>
                <w:rFonts w:ascii="宋体" w:hAnsi="宋体" w:cs="宋体"/>
                <w:color w:val="auto"/>
                <w:szCs w:val="21"/>
                <w:highlight w:val="none"/>
              </w:rPr>
            </w:pPr>
            <w:r>
              <w:rPr>
                <w:rFonts w:hint="eastAsia" w:ascii="宋体" w:hAnsi="宋体" w:cs="宋体"/>
                <w:b/>
                <w:bCs/>
                <w:color w:val="auto"/>
                <w:szCs w:val="21"/>
                <w:highlight w:val="none"/>
              </w:rPr>
              <w:t>序号</w:t>
            </w:r>
          </w:p>
        </w:tc>
        <w:tc>
          <w:tcPr>
            <w:tcW w:w="1031" w:type="pct"/>
            <w:shd w:val="clear" w:color="auto" w:fill="FFFFFF"/>
            <w:noWrap w:val="0"/>
            <w:vAlign w:val="center"/>
          </w:tcPr>
          <w:p w14:paraId="2816494A">
            <w:pPr>
              <w:spacing w:line="360" w:lineRule="auto"/>
              <w:jc w:val="center"/>
              <w:rPr>
                <w:rFonts w:ascii="宋体" w:hAnsi="宋体" w:cs="宋体"/>
                <w:color w:val="auto"/>
                <w:szCs w:val="21"/>
                <w:highlight w:val="none"/>
              </w:rPr>
            </w:pPr>
            <w:r>
              <w:rPr>
                <w:rFonts w:hint="eastAsia" w:ascii="宋体" w:hAnsi="宋体" w:cs="宋体"/>
                <w:b/>
                <w:bCs/>
                <w:color w:val="auto"/>
                <w:szCs w:val="21"/>
                <w:highlight w:val="none"/>
              </w:rPr>
              <w:t>评分要素</w:t>
            </w:r>
          </w:p>
        </w:tc>
        <w:tc>
          <w:tcPr>
            <w:tcW w:w="3074" w:type="pct"/>
            <w:shd w:val="clear" w:color="auto" w:fill="FFFFFF"/>
            <w:noWrap w:val="0"/>
            <w:vAlign w:val="center"/>
          </w:tcPr>
          <w:p w14:paraId="136D75B5">
            <w:pPr>
              <w:spacing w:line="360" w:lineRule="auto"/>
              <w:jc w:val="center"/>
              <w:rPr>
                <w:rFonts w:ascii="宋体" w:hAnsi="宋体" w:cs="宋体"/>
                <w:color w:val="auto"/>
                <w:szCs w:val="21"/>
                <w:highlight w:val="none"/>
              </w:rPr>
            </w:pPr>
            <w:r>
              <w:rPr>
                <w:rFonts w:hint="eastAsia" w:ascii="宋体" w:hAnsi="宋体" w:cs="宋体"/>
                <w:b/>
                <w:bCs/>
                <w:color w:val="auto"/>
                <w:szCs w:val="21"/>
                <w:highlight w:val="none"/>
              </w:rPr>
              <w:t>商务详细评审分项要素</w:t>
            </w:r>
          </w:p>
        </w:tc>
        <w:tc>
          <w:tcPr>
            <w:tcW w:w="492" w:type="pct"/>
            <w:shd w:val="clear" w:color="auto" w:fill="FFFFFF"/>
            <w:noWrap w:val="0"/>
            <w:vAlign w:val="center"/>
          </w:tcPr>
          <w:p w14:paraId="5088167A">
            <w:pPr>
              <w:spacing w:line="360" w:lineRule="auto"/>
              <w:jc w:val="center"/>
              <w:rPr>
                <w:rFonts w:ascii="宋体" w:hAnsi="宋体" w:cs="宋体"/>
                <w:color w:val="auto"/>
                <w:szCs w:val="21"/>
                <w:highlight w:val="none"/>
              </w:rPr>
            </w:pPr>
            <w:r>
              <w:rPr>
                <w:rFonts w:hint="eastAsia" w:ascii="宋体" w:hAnsi="宋体" w:cs="宋体"/>
                <w:b/>
                <w:bCs/>
                <w:color w:val="auto"/>
                <w:szCs w:val="21"/>
                <w:highlight w:val="none"/>
              </w:rPr>
              <w:t>分值</w:t>
            </w:r>
          </w:p>
        </w:tc>
      </w:tr>
      <w:tr w14:paraId="285A7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08" w:hRule="atLeast"/>
        </w:trPr>
        <w:tc>
          <w:tcPr>
            <w:tcW w:w="401" w:type="pct"/>
            <w:shd w:val="clear" w:color="auto" w:fill="FFFFFF"/>
            <w:noWrap w:val="0"/>
            <w:vAlign w:val="center"/>
          </w:tcPr>
          <w:p w14:paraId="27A00F92">
            <w:pPr>
              <w:widowControl/>
              <w:jc w:val="center"/>
              <w:textAlignment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w:t>
            </w:r>
          </w:p>
        </w:tc>
        <w:tc>
          <w:tcPr>
            <w:tcW w:w="1031" w:type="pct"/>
            <w:shd w:val="clear" w:color="auto" w:fill="FFFFFF"/>
            <w:noWrap w:val="0"/>
            <w:vAlign w:val="center"/>
          </w:tcPr>
          <w:p w14:paraId="1FA16C74">
            <w:pPr>
              <w:shd w:val="clear" w:color="auto" w:fill="auto"/>
              <w:jc w:val="center"/>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sz w:val="22"/>
                <w:szCs w:val="22"/>
                <w:highlight w:val="none"/>
                <w:lang w:val="en-US" w:eastAsia="zh-CN"/>
              </w:rPr>
              <w:t>项目负责人</w:t>
            </w:r>
          </w:p>
        </w:tc>
        <w:tc>
          <w:tcPr>
            <w:tcW w:w="3074" w:type="pct"/>
            <w:shd w:val="clear" w:color="auto" w:fill="FFFFFF"/>
            <w:noWrap w:val="0"/>
            <w:vAlign w:val="center"/>
          </w:tcPr>
          <w:p w14:paraId="46696BBD">
            <w:pPr>
              <w:shd w:val="clear" w:color="auto" w:fill="auto"/>
              <w:jc w:val="left"/>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sz w:val="22"/>
                <w:szCs w:val="22"/>
                <w:highlight w:val="none"/>
                <w:lang w:val="en-US" w:eastAsia="zh-CN"/>
              </w:rPr>
              <w:t>具备3年及以上工作经验得30分，2年得20分，1年得10分，不足1年不得分。（需提供投标单位投标截止前三个月任意一个月的社保证明材料及工作证明材料）。</w:t>
            </w:r>
          </w:p>
        </w:tc>
        <w:tc>
          <w:tcPr>
            <w:tcW w:w="492" w:type="pct"/>
            <w:shd w:val="clear" w:color="auto" w:fill="FFFFFF"/>
            <w:noWrap w:val="0"/>
            <w:vAlign w:val="center"/>
          </w:tcPr>
          <w:p w14:paraId="363000F9">
            <w:pPr>
              <w:tabs>
                <w:tab w:val="right" w:pos="8789"/>
              </w:tabs>
              <w:spacing w:line="240" w:lineRule="auto"/>
              <w:ind w:firstLine="0" w:firstLineChars="0"/>
              <w:jc w:val="center"/>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0-30分</w:t>
            </w:r>
          </w:p>
        </w:tc>
      </w:tr>
      <w:tr w14:paraId="3FC45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2" w:hRule="atLeast"/>
        </w:trPr>
        <w:tc>
          <w:tcPr>
            <w:tcW w:w="401" w:type="pct"/>
            <w:shd w:val="clear" w:color="auto" w:fill="FFFFFF"/>
            <w:noWrap w:val="0"/>
            <w:vAlign w:val="center"/>
          </w:tcPr>
          <w:p w14:paraId="0B309262">
            <w:pPr>
              <w:widowControl/>
              <w:jc w:val="center"/>
              <w:textAlignment w:val="center"/>
              <w:rPr>
                <w:rFonts w:hint="eastAsia" w:ascii="宋体" w:hAnsi="宋体" w:eastAsia="宋体" w:cs="宋体"/>
                <w:color w:val="auto"/>
                <w:kern w:val="0"/>
                <w:sz w:val="22"/>
                <w:szCs w:val="22"/>
                <w:highlight w:val="none"/>
                <w:lang w:eastAsia="zh-CN" w:bidi="ar"/>
              </w:rPr>
            </w:pPr>
            <w:r>
              <w:rPr>
                <w:rFonts w:hint="eastAsia" w:ascii="宋体" w:hAnsi="宋体" w:eastAsia="宋体" w:cs="宋体"/>
                <w:color w:val="auto"/>
                <w:sz w:val="22"/>
                <w:szCs w:val="22"/>
                <w:highlight w:val="none"/>
                <w:lang w:val="en-US" w:eastAsia="zh-CN"/>
              </w:rPr>
              <w:t>2</w:t>
            </w:r>
          </w:p>
        </w:tc>
        <w:tc>
          <w:tcPr>
            <w:tcW w:w="1031" w:type="pct"/>
            <w:shd w:val="clear" w:color="auto" w:fill="FFFFFF"/>
            <w:noWrap w:val="0"/>
            <w:vAlign w:val="center"/>
          </w:tcPr>
          <w:p w14:paraId="667D0AE3">
            <w:pPr>
              <w:shd w:val="clear" w:color="auto" w:fill="auto"/>
              <w:adjustRightInd w:val="0"/>
              <w:snapToGrid w:val="0"/>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诚信经营</w:t>
            </w:r>
          </w:p>
        </w:tc>
        <w:tc>
          <w:tcPr>
            <w:tcW w:w="3074" w:type="pct"/>
            <w:shd w:val="clear" w:color="auto" w:fill="FFFFFF"/>
            <w:noWrap w:val="0"/>
            <w:vAlign w:val="center"/>
          </w:tcPr>
          <w:p w14:paraId="5FD0BCBC">
            <w:pPr>
              <w:pStyle w:val="3"/>
              <w:shd w:val="clear" w:color="auto" w:fill="auto"/>
              <w:jc w:val="left"/>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近三年均获得税务机关“A级纳税人”评价得15分；</w:t>
            </w:r>
          </w:p>
          <w:p w14:paraId="40819454">
            <w:pPr>
              <w:pStyle w:val="3"/>
              <w:shd w:val="clear" w:color="auto" w:fill="auto"/>
              <w:jc w:val="left"/>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近三年内有两年获得过税务机关“A级纳税人”评价得10分；</w:t>
            </w:r>
          </w:p>
          <w:p w14:paraId="0A66A73C">
            <w:pPr>
              <w:pStyle w:val="3"/>
              <w:shd w:val="clear" w:color="auto" w:fill="auto"/>
              <w:jc w:val="left"/>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近三年内有1年获得过税务机关“A级纳税人”评价得5分；</w:t>
            </w:r>
          </w:p>
          <w:p w14:paraId="28731570">
            <w:pPr>
              <w:pStyle w:val="3"/>
              <w:shd w:val="clear" w:color="auto" w:fill="auto"/>
              <w:jc w:val="left"/>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注：提供税务机关出具的近三年纳税等级证明材料。税务机关每年4月确定上一年度纳税评价结果（w ww.chinatax.gov.cn），若在投标前仍未公布上一年的评价结果，则将前一年度结果作为最近一年度的查询结果，以此类推。未按要求提供佐证材料相关年度不得分。</w:t>
            </w:r>
          </w:p>
        </w:tc>
        <w:tc>
          <w:tcPr>
            <w:tcW w:w="492" w:type="pct"/>
            <w:shd w:val="clear" w:color="auto" w:fill="FFFFFF"/>
            <w:noWrap w:val="0"/>
            <w:vAlign w:val="center"/>
          </w:tcPr>
          <w:p w14:paraId="7572F19A">
            <w:pPr>
              <w:tabs>
                <w:tab w:val="right" w:pos="8789"/>
              </w:tabs>
              <w:spacing w:line="240" w:lineRule="auto"/>
              <w:ind w:firstLine="0" w:firstLineChars="0"/>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rPr>
              <w:t>0-</w:t>
            </w:r>
            <w:r>
              <w:rPr>
                <w:rFonts w:hint="eastAsia" w:ascii="宋体" w:hAnsi="宋体" w:eastAsia="宋体" w:cs="宋体"/>
                <w:color w:val="auto"/>
                <w:sz w:val="22"/>
                <w:szCs w:val="22"/>
                <w:highlight w:val="none"/>
                <w:lang w:val="en-US" w:eastAsia="zh-CN"/>
              </w:rPr>
              <w:t>15</w:t>
            </w:r>
            <w:r>
              <w:rPr>
                <w:rFonts w:hint="eastAsia" w:ascii="宋体" w:hAnsi="宋体" w:eastAsia="宋体" w:cs="宋体"/>
                <w:color w:val="auto"/>
                <w:sz w:val="22"/>
                <w:szCs w:val="22"/>
                <w:highlight w:val="none"/>
              </w:rPr>
              <w:t>分</w:t>
            </w:r>
          </w:p>
        </w:tc>
      </w:tr>
      <w:tr w14:paraId="27623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1" w:hRule="atLeast"/>
        </w:trPr>
        <w:tc>
          <w:tcPr>
            <w:tcW w:w="401" w:type="pct"/>
            <w:shd w:val="clear" w:color="auto" w:fill="FFFFFF"/>
            <w:noWrap w:val="0"/>
            <w:vAlign w:val="center"/>
          </w:tcPr>
          <w:p w14:paraId="292D1A31">
            <w:pPr>
              <w:widowControl/>
              <w:jc w:val="center"/>
              <w:textAlignment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kern w:val="0"/>
                <w:sz w:val="22"/>
                <w:szCs w:val="22"/>
                <w:highlight w:val="none"/>
                <w:lang w:val="en-US" w:eastAsia="zh-CN" w:bidi="ar"/>
              </w:rPr>
              <w:t>3</w:t>
            </w:r>
          </w:p>
        </w:tc>
        <w:tc>
          <w:tcPr>
            <w:tcW w:w="1031" w:type="pct"/>
            <w:shd w:val="clear" w:color="auto" w:fill="FFFFFF"/>
            <w:noWrap w:val="0"/>
            <w:vAlign w:val="center"/>
          </w:tcPr>
          <w:p w14:paraId="2B058A40">
            <w:pPr>
              <w:shd w:val="clear" w:color="auto" w:fill="auto"/>
              <w:adjustRightInd w:val="0"/>
              <w:snapToGrid w:val="0"/>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管理体系认证</w:t>
            </w:r>
          </w:p>
        </w:tc>
        <w:tc>
          <w:tcPr>
            <w:tcW w:w="3074" w:type="pct"/>
            <w:shd w:val="clear" w:color="auto" w:fill="FFFFFF"/>
            <w:noWrap w:val="0"/>
            <w:vAlign w:val="center"/>
          </w:tcPr>
          <w:p w14:paraId="3B51D5D0">
            <w:pPr>
              <w:pStyle w:val="3"/>
              <w:shd w:val="clear" w:color="auto" w:fill="auto"/>
              <w:jc w:val="left"/>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具备质量管理体系、职业健康体系、环境管理体系认证证书。每一项得10分，满分30分。不提供证明材料不得分。</w:t>
            </w:r>
          </w:p>
          <w:p w14:paraId="0FC1071B">
            <w:pPr>
              <w:pStyle w:val="3"/>
              <w:shd w:val="clear" w:color="auto" w:fill="auto"/>
              <w:jc w:val="left"/>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注：1、提供相关证书复印件（复印件加盖投标人公章）；2、质量管理体系、职业健康体系、环境管理体系认证需提供中国国家认证认可监督管理委员会认证信息查询系统“http://cx.cnca.cn/”的网站查询结果打印页，证书状态应处于“有效”状态，否则不得分（打印页加盖投标人公章）。</w:t>
            </w:r>
          </w:p>
        </w:tc>
        <w:tc>
          <w:tcPr>
            <w:tcW w:w="492" w:type="pct"/>
            <w:shd w:val="clear" w:color="auto" w:fill="FFFFFF"/>
            <w:noWrap w:val="0"/>
            <w:vAlign w:val="center"/>
          </w:tcPr>
          <w:p w14:paraId="7700A33A">
            <w:pPr>
              <w:snapToGrid w:val="0"/>
              <w:jc w:val="center"/>
              <w:rPr>
                <w:rFonts w:hint="eastAsia" w:ascii="宋体" w:hAnsi="宋体" w:eastAsia="宋体" w:cs="宋体"/>
                <w:strike/>
                <w:color w:val="auto"/>
                <w:kern w:val="2"/>
                <w:sz w:val="22"/>
                <w:szCs w:val="22"/>
                <w:highlight w:val="none"/>
                <w:lang w:val="en-US" w:eastAsia="zh-CN" w:bidi="ar-SA"/>
              </w:rPr>
            </w:pPr>
            <w:r>
              <w:rPr>
                <w:rFonts w:hint="eastAsia" w:ascii="宋体" w:hAnsi="宋体" w:eastAsia="宋体" w:cs="宋体"/>
                <w:color w:val="auto"/>
                <w:kern w:val="0"/>
                <w:sz w:val="22"/>
                <w:szCs w:val="22"/>
                <w:highlight w:val="none"/>
              </w:rPr>
              <w:t>0</w:t>
            </w: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30</w:t>
            </w:r>
            <w:r>
              <w:rPr>
                <w:rFonts w:hint="eastAsia" w:ascii="宋体" w:hAnsi="宋体" w:eastAsia="宋体" w:cs="宋体"/>
                <w:color w:val="auto"/>
                <w:kern w:val="0"/>
                <w:sz w:val="22"/>
                <w:szCs w:val="22"/>
                <w:highlight w:val="none"/>
              </w:rPr>
              <w:t>分</w:t>
            </w:r>
          </w:p>
        </w:tc>
      </w:tr>
      <w:tr w14:paraId="03D73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2" w:hRule="atLeast"/>
        </w:trPr>
        <w:tc>
          <w:tcPr>
            <w:tcW w:w="401" w:type="pct"/>
            <w:shd w:val="clear" w:color="auto" w:fill="FFFFFF"/>
            <w:noWrap w:val="0"/>
            <w:vAlign w:val="center"/>
          </w:tcPr>
          <w:p w14:paraId="58E5B166">
            <w:pPr>
              <w:widowControl/>
              <w:jc w:val="center"/>
              <w:textAlignment w:val="center"/>
              <w:rPr>
                <w:rFonts w:hint="eastAsia" w:ascii="宋体" w:hAnsi="宋体" w:eastAsia="宋体" w:cs="宋体"/>
                <w:color w:val="auto"/>
                <w:kern w:val="0"/>
                <w:sz w:val="22"/>
                <w:szCs w:val="22"/>
                <w:highlight w:val="none"/>
                <w:lang w:val="en-US" w:eastAsia="zh-CN" w:bidi="ar"/>
              </w:rPr>
            </w:pPr>
            <w:r>
              <w:rPr>
                <w:rFonts w:hint="eastAsia" w:ascii="宋体" w:hAnsi="宋体" w:eastAsia="宋体" w:cs="宋体"/>
                <w:color w:val="auto"/>
                <w:kern w:val="0"/>
                <w:sz w:val="22"/>
                <w:szCs w:val="22"/>
                <w:highlight w:val="none"/>
                <w:lang w:val="en-US" w:eastAsia="zh-CN" w:bidi="ar"/>
              </w:rPr>
              <w:t>4</w:t>
            </w:r>
          </w:p>
        </w:tc>
        <w:tc>
          <w:tcPr>
            <w:tcW w:w="1031" w:type="pct"/>
            <w:shd w:val="clear" w:color="auto" w:fill="FFFFFF"/>
            <w:noWrap w:val="0"/>
            <w:vAlign w:val="center"/>
          </w:tcPr>
          <w:p w14:paraId="521B6E95">
            <w:pPr>
              <w:shd w:val="clear" w:color="auto" w:fill="auto"/>
              <w:adjustRightInd w:val="0"/>
              <w:snapToGrid w:val="0"/>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业绩</w:t>
            </w:r>
          </w:p>
        </w:tc>
        <w:tc>
          <w:tcPr>
            <w:tcW w:w="3074" w:type="pct"/>
            <w:shd w:val="clear" w:color="auto" w:fill="FFFFFF"/>
            <w:noWrap w:val="0"/>
            <w:vAlign w:val="center"/>
          </w:tcPr>
          <w:p w14:paraId="7EAF12A5">
            <w:pPr>
              <w:pStyle w:val="3"/>
              <w:shd w:val="clear" w:color="auto" w:fill="auto"/>
              <w:jc w:val="left"/>
              <w:rPr>
                <w:rFonts w:hint="eastAsia" w:ascii="宋体" w:hAnsi="宋体" w:eastAsia="宋体" w:cs="宋体"/>
                <w:color w:val="auto"/>
                <w:kern w:val="2"/>
                <w:sz w:val="22"/>
                <w:szCs w:val="22"/>
                <w:highlight w:val="none"/>
                <w:lang w:val="en-US" w:eastAsia="zh-CN" w:bidi="ar"/>
              </w:rPr>
            </w:pPr>
            <w:r>
              <w:rPr>
                <w:rFonts w:hint="eastAsia" w:ascii="宋体" w:hAnsi="宋体" w:eastAsia="宋体" w:cs="宋体"/>
                <w:color w:val="auto"/>
                <w:kern w:val="2"/>
                <w:sz w:val="22"/>
                <w:szCs w:val="22"/>
                <w:highlight w:val="none"/>
                <w:lang w:val="en-US" w:eastAsia="zh-CN" w:bidi="ar"/>
              </w:rPr>
              <w:t>近三年（投标截止日期前36个月）所完成相关业绩，每完成一个得5分，最多提供5项，满分25分。</w:t>
            </w:r>
            <w:r>
              <w:rPr>
                <w:rFonts w:hint="eastAsia" w:ascii="宋体" w:hAnsi="宋体" w:eastAsia="宋体" w:cs="宋体"/>
                <w:color w:val="auto"/>
                <w:kern w:val="2"/>
                <w:sz w:val="22"/>
                <w:szCs w:val="22"/>
                <w:highlight w:val="none"/>
                <w:lang w:val="en-US" w:eastAsia="zh-CN" w:bidi="ar"/>
              </w:rPr>
              <w:br w:type="textWrapping"/>
            </w:r>
            <w:r>
              <w:rPr>
                <w:rFonts w:hint="eastAsia" w:ascii="宋体" w:hAnsi="宋体" w:eastAsia="宋体" w:cs="宋体"/>
                <w:color w:val="auto"/>
                <w:kern w:val="2"/>
                <w:sz w:val="22"/>
                <w:szCs w:val="22"/>
                <w:highlight w:val="none"/>
                <w:lang w:val="en-US" w:eastAsia="zh-CN" w:bidi="ar"/>
              </w:rPr>
              <w:t>注：业绩证明需提供相关业绩合同关键页及发票扫描件。不提供不得分。（备注：关键页包括封面、标的内容、合同金额所在页和签字盖章页）</w:t>
            </w:r>
          </w:p>
        </w:tc>
        <w:tc>
          <w:tcPr>
            <w:tcW w:w="492" w:type="pct"/>
            <w:shd w:val="clear" w:color="auto" w:fill="FFFFFF"/>
            <w:noWrap w:val="0"/>
            <w:vAlign w:val="center"/>
          </w:tcPr>
          <w:p w14:paraId="3EA4E8BF">
            <w:pPr>
              <w:tabs>
                <w:tab w:val="right" w:pos="8789"/>
              </w:tabs>
              <w:spacing w:line="240" w:lineRule="auto"/>
              <w:ind w:firstLine="0" w:firstLineChars="0"/>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rPr>
              <w:t>0-</w:t>
            </w:r>
            <w:r>
              <w:rPr>
                <w:rFonts w:hint="eastAsia" w:ascii="宋体" w:hAnsi="宋体" w:eastAsia="宋体" w:cs="宋体"/>
                <w:color w:val="auto"/>
                <w:sz w:val="22"/>
                <w:szCs w:val="22"/>
                <w:highlight w:val="none"/>
                <w:lang w:val="en-US" w:eastAsia="zh-CN"/>
              </w:rPr>
              <w:t>25</w:t>
            </w:r>
            <w:r>
              <w:rPr>
                <w:rFonts w:hint="eastAsia" w:ascii="宋体" w:hAnsi="宋体" w:eastAsia="宋体" w:cs="宋体"/>
                <w:color w:val="auto"/>
                <w:sz w:val="22"/>
                <w:szCs w:val="22"/>
                <w:highlight w:val="none"/>
              </w:rPr>
              <w:t>分</w:t>
            </w:r>
          </w:p>
        </w:tc>
      </w:tr>
      <w:tr w14:paraId="46220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0" w:hRule="atLeast"/>
        </w:trPr>
        <w:tc>
          <w:tcPr>
            <w:tcW w:w="5000" w:type="pct"/>
            <w:gridSpan w:val="4"/>
            <w:shd w:val="clear" w:color="auto" w:fill="FFFFFF"/>
            <w:noWrap w:val="0"/>
            <w:vAlign w:val="center"/>
          </w:tcPr>
          <w:p w14:paraId="7E8286A2">
            <w:pPr>
              <w:jc w:val="left"/>
              <w:rPr>
                <w:rFonts w:ascii="宋体" w:hAnsi="宋体" w:cs="宋体"/>
                <w:color w:val="auto"/>
                <w:szCs w:val="21"/>
                <w:highlight w:val="none"/>
              </w:rPr>
            </w:pPr>
            <w:r>
              <w:rPr>
                <w:rFonts w:hint="eastAsia" w:ascii="宋体" w:hAnsi="宋体" w:cs="宋体"/>
                <w:b/>
                <w:bCs/>
                <w:color w:val="auto"/>
                <w:szCs w:val="21"/>
                <w:highlight w:val="none"/>
              </w:rPr>
              <w:t>（二）、技术评审</w:t>
            </w:r>
            <w:bookmarkStart w:id="1" w:name="_GoBack"/>
            <w:bookmarkEnd w:id="1"/>
            <w:r>
              <w:rPr>
                <w:rFonts w:hint="eastAsia" w:ascii="宋体" w:hAnsi="宋体" w:cs="宋体"/>
                <w:b/>
                <w:bCs/>
                <w:color w:val="auto"/>
                <w:szCs w:val="21"/>
                <w:highlight w:val="none"/>
              </w:rPr>
              <w:t>（100）分</w:t>
            </w:r>
          </w:p>
        </w:tc>
      </w:tr>
      <w:tr w14:paraId="3DD7F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0" w:hRule="atLeast"/>
        </w:trPr>
        <w:tc>
          <w:tcPr>
            <w:tcW w:w="401" w:type="pct"/>
            <w:shd w:val="clear" w:color="auto" w:fill="FFFFFF"/>
            <w:noWrap w:val="0"/>
            <w:vAlign w:val="center"/>
          </w:tcPr>
          <w:p w14:paraId="04CFFD3B">
            <w:pPr>
              <w:spacing w:line="360" w:lineRule="auto"/>
              <w:jc w:val="center"/>
              <w:rPr>
                <w:rFonts w:ascii="宋体" w:hAnsi="宋体" w:cs="宋体"/>
                <w:color w:val="auto"/>
                <w:szCs w:val="21"/>
                <w:highlight w:val="none"/>
              </w:rPr>
            </w:pPr>
            <w:r>
              <w:rPr>
                <w:rFonts w:hint="eastAsia" w:ascii="宋体" w:hAnsi="宋体" w:cs="宋体"/>
                <w:b/>
                <w:bCs/>
                <w:color w:val="auto"/>
                <w:szCs w:val="21"/>
                <w:highlight w:val="none"/>
              </w:rPr>
              <w:t>序号</w:t>
            </w:r>
          </w:p>
        </w:tc>
        <w:tc>
          <w:tcPr>
            <w:tcW w:w="1031" w:type="pct"/>
            <w:shd w:val="clear" w:color="auto" w:fill="FFFFFF"/>
            <w:noWrap w:val="0"/>
            <w:vAlign w:val="center"/>
          </w:tcPr>
          <w:p w14:paraId="162BB113">
            <w:pPr>
              <w:spacing w:line="360" w:lineRule="auto"/>
              <w:jc w:val="center"/>
              <w:rPr>
                <w:rFonts w:ascii="宋体" w:hAnsi="宋体" w:cs="宋体"/>
                <w:color w:val="auto"/>
                <w:szCs w:val="21"/>
                <w:highlight w:val="none"/>
              </w:rPr>
            </w:pPr>
            <w:r>
              <w:rPr>
                <w:rFonts w:hint="eastAsia" w:ascii="宋体" w:hAnsi="宋体" w:cs="宋体"/>
                <w:b/>
                <w:bCs/>
                <w:color w:val="auto"/>
                <w:szCs w:val="21"/>
                <w:highlight w:val="none"/>
              </w:rPr>
              <w:t>评分要素</w:t>
            </w:r>
          </w:p>
        </w:tc>
        <w:tc>
          <w:tcPr>
            <w:tcW w:w="3074" w:type="pct"/>
            <w:shd w:val="clear" w:color="auto" w:fill="FFFFFF"/>
            <w:noWrap w:val="0"/>
            <w:vAlign w:val="center"/>
          </w:tcPr>
          <w:p w14:paraId="1283DE51">
            <w:pPr>
              <w:spacing w:line="360" w:lineRule="auto"/>
              <w:jc w:val="center"/>
              <w:rPr>
                <w:rFonts w:ascii="宋体" w:hAnsi="宋体" w:cs="宋体"/>
                <w:color w:val="auto"/>
                <w:szCs w:val="21"/>
                <w:highlight w:val="none"/>
              </w:rPr>
            </w:pPr>
            <w:r>
              <w:rPr>
                <w:rFonts w:hint="eastAsia" w:ascii="宋体" w:hAnsi="宋体" w:cs="宋体"/>
                <w:b/>
                <w:bCs/>
                <w:color w:val="auto"/>
                <w:szCs w:val="21"/>
                <w:highlight w:val="none"/>
              </w:rPr>
              <w:t>技术详细评审分项要素</w:t>
            </w:r>
          </w:p>
        </w:tc>
        <w:tc>
          <w:tcPr>
            <w:tcW w:w="492" w:type="pct"/>
            <w:shd w:val="clear" w:color="auto" w:fill="FFFFFF"/>
            <w:noWrap w:val="0"/>
            <w:vAlign w:val="center"/>
          </w:tcPr>
          <w:p w14:paraId="48E3BDD1">
            <w:pPr>
              <w:spacing w:line="360" w:lineRule="auto"/>
              <w:jc w:val="center"/>
              <w:rPr>
                <w:rFonts w:ascii="宋体" w:hAnsi="宋体" w:cs="宋体"/>
                <w:color w:val="auto"/>
                <w:szCs w:val="21"/>
                <w:highlight w:val="none"/>
              </w:rPr>
            </w:pPr>
            <w:r>
              <w:rPr>
                <w:rFonts w:hint="eastAsia" w:ascii="宋体" w:hAnsi="宋体" w:cs="宋体"/>
                <w:b/>
                <w:bCs/>
                <w:color w:val="auto"/>
                <w:szCs w:val="21"/>
                <w:highlight w:val="none"/>
              </w:rPr>
              <w:t>分值</w:t>
            </w:r>
          </w:p>
        </w:tc>
      </w:tr>
      <w:tr w14:paraId="6708A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0" w:hRule="atLeast"/>
        </w:trPr>
        <w:tc>
          <w:tcPr>
            <w:tcW w:w="401" w:type="pct"/>
            <w:shd w:val="clear" w:color="auto" w:fill="FFFFFF"/>
            <w:noWrap w:val="0"/>
            <w:vAlign w:val="center"/>
          </w:tcPr>
          <w:p w14:paraId="2D4ABF78">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1031" w:type="pct"/>
            <w:shd w:val="clear" w:color="auto" w:fill="FFFFFF"/>
            <w:noWrap w:val="0"/>
            <w:vAlign w:val="center"/>
          </w:tcPr>
          <w:p w14:paraId="6B23BAD4">
            <w:pPr>
              <w:shd w:val="clear" w:color="auto" w:fill="auto"/>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标书响应情况</w:t>
            </w:r>
          </w:p>
        </w:tc>
        <w:tc>
          <w:tcPr>
            <w:tcW w:w="3074" w:type="pct"/>
            <w:shd w:val="clear" w:color="auto" w:fill="FFFFFF"/>
            <w:noWrap w:val="0"/>
            <w:vAlign w:val="center"/>
          </w:tcPr>
          <w:p w14:paraId="1571074B">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横向对比各投标单位的投标文件。</w:t>
            </w:r>
          </w:p>
          <w:p w14:paraId="28A88447">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1.投标技术响应度较高，能满足或优于招标要求，得15-20分；</w:t>
            </w:r>
          </w:p>
          <w:p w14:paraId="62C15192">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2.投标技术响应度良好，存在少数差异条款或未作响应的情况，总体上满足招标要求，得4-7分；</w:t>
            </w:r>
          </w:p>
          <w:p w14:paraId="7CE97FFE">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3.投标技术响应度一般，基本能满足招标技术要求，得1-3分。</w:t>
            </w:r>
          </w:p>
          <w:p w14:paraId="086A51E6">
            <w:pPr>
              <w:shd w:val="clear" w:color="auto" w:fill="auto"/>
              <w:jc w:val="left"/>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未提供不得分。</w:t>
            </w:r>
          </w:p>
        </w:tc>
        <w:tc>
          <w:tcPr>
            <w:tcW w:w="492" w:type="pct"/>
            <w:shd w:val="clear" w:color="auto" w:fill="FFFFFF"/>
            <w:noWrap w:val="0"/>
            <w:vAlign w:val="center"/>
          </w:tcPr>
          <w:p w14:paraId="40FFF7AA">
            <w:pPr>
              <w:shd w:val="clear" w:color="auto" w:fill="auto"/>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10分</w:t>
            </w:r>
          </w:p>
        </w:tc>
      </w:tr>
      <w:tr w14:paraId="5A9AC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0" w:hRule="atLeast"/>
        </w:trPr>
        <w:tc>
          <w:tcPr>
            <w:tcW w:w="401" w:type="pct"/>
            <w:shd w:val="clear" w:color="auto" w:fill="FFFFFF"/>
            <w:noWrap w:val="0"/>
            <w:vAlign w:val="center"/>
          </w:tcPr>
          <w:p w14:paraId="0B799CF7">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1031" w:type="pct"/>
            <w:shd w:val="clear" w:color="auto" w:fill="FFFFFF"/>
            <w:noWrap w:val="0"/>
            <w:vAlign w:val="center"/>
          </w:tcPr>
          <w:p w14:paraId="3C2CE0F0">
            <w:pPr>
              <w:shd w:val="clear" w:color="auto" w:fill="auto"/>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服务方案</w:t>
            </w:r>
          </w:p>
        </w:tc>
        <w:tc>
          <w:tcPr>
            <w:tcW w:w="3074" w:type="pct"/>
            <w:shd w:val="clear" w:color="auto" w:fill="FFFFFF"/>
            <w:noWrap w:val="0"/>
            <w:vAlign w:val="top"/>
          </w:tcPr>
          <w:p w14:paraId="7BD3F7AB">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横向对比各投标单位的服务方案。</w:t>
            </w:r>
          </w:p>
          <w:p w14:paraId="5959FD8F">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1.服务方案表述完整、逻辑清晰、完全覆盖本项目业务需求，投标材料编制质量高，得 23-30 分；</w:t>
            </w:r>
          </w:p>
          <w:p w14:paraId="66C35873">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2.服务方案表述较好、逻辑较好、满足本项目业务需求，投标材料编制质量良好，得16-22分；</w:t>
            </w:r>
          </w:p>
          <w:p w14:paraId="234E5771">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3.服务方案表述、逻辑一般、对于本项目业务需求的支撑、投标材料质量等方面一般，得8-15 分；</w:t>
            </w:r>
          </w:p>
          <w:p w14:paraId="50424E76">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4.服务方案较差，仅基本满足项目需求，得1-7 分。</w:t>
            </w:r>
          </w:p>
          <w:p w14:paraId="094A8294">
            <w:pPr>
              <w:shd w:val="clear" w:color="auto" w:fill="auto"/>
              <w:jc w:val="left"/>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5.未提供不得分。</w:t>
            </w:r>
          </w:p>
        </w:tc>
        <w:tc>
          <w:tcPr>
            <w:tcW w:w="492" w:type="pct"/>
            <w:shd w:val="clear" w:color="auto" w:fill="FFFFFF"/>
            <w:noWrap w:val="0"/>
            <w:vAlign w:val="center"/>
          </w:tcPr>
          <w:p w14:paraId="7ADA012A">
            <w:pPr>
              <w:shd w:val="clear" w:color="auto" w:fill="auto"/>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30分</w:t>
            </w:r>
          </w:p>
        </w:tc>
      </w:tr>
      <w:tr w14:paraId="3B892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0" w:hRule="atLeast"/>
        </w:trPr>
        <w:tc>
          <w:tcPr>
            <w:tcW w:w="401" w:type="pct"/>
            <w:shd w:val="clear" w:color="auto" w:fill="FFFFFF"/>
            <w:noWrap w:val="0"/>
            <w:vAlign w:val="center"/>
          </w:tcPr>
          <w:p w14:paraId="6F224BF4">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tc>
        <w:tc>
          <w:tcPr>
            <w:tcW w:w="1031" w:type="pct"/>
            <w:shd w:val="clear" w:color="auto" w:fill="FFFFFF"/>
            <w:noWrap w:val="0"/>
            <w:vAlign w:val="center"/>
          </w:tcPr>
          <w:p w14:paraId="6E486F9C">
            <w:pPr>
              <w:shd w:val="clear" w:color="auto" w:fill="auto"/>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服务承诺</w:t>
            </w:r>
          </w:p>
        </w:tc>
        <w:tc>
          <w:tcPr>
            <w:tcW w:w="3074" w:type="pct"/>
            <w:shd w:val="clear" w:color="auto" w:fill="FFFFFF"/>
            <w:noWrap w:val="0"/>
            <w:vAlign w:val="center"/>
          </w:tcPr>
          <w:p w14:paraId="6752BCA8">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横向对比各投标单位的服务承诺。</w:t>
            </w:r>
          </w:p>
          <w:p w14:paraId="366FBBB8">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1.对后续服务等方面的承诺以及服务的响应措施等，科学性、合理性、针对性，承诺好的，得14-20分；</w:t>
            </w:r>
          </w:p>
          <w:p w14:paraId="77C55C89">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2.对后续服务等方面的承诺以及服务的响应措施等，科学性、合理性、针对性，承诺一般的，得7-13分；</w:t>
            </w:r>
          </w:p>
          <w:p w14:paraId="4FB13F95">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3.对后续服务等方面的承诺以及服务的响应措施等，科学性、合理性、针对性，承诺较差的，得1-6分。</w:t>
            </w:r>
          </w:p>
          <w:p w14:paraId="3A8E294F">
            <w:pPr>
              <w:shd w:val="clear" w:color="auto" w:fill="auto"/>
              <w:jc w:val="left"/>
              <w:rPr>
                <w:rFonts w:hint="eastAsia" w:ascii="宋体" w:hAnsi="宋体" w:eastAsia="宋体" w:cs="宋体"/>
                <w:color w:val="auto"/>
                <w:kern w:val="28"/>
                <w:sz w:val="22"/>
                <w:szCs w:val="22"/>
                <w:highlight w:val="none"/>
                <w:lang w:val="en-US" w:eastAsia="zh-CN" w:bidi="ar-SA"/>
              </w:rPr>
            </w:pPr>
            <w:r>
              <w:rPr>
                <w:rFonts w:hint="eastAsia" w:ascii="宋体" w:hAnsi="宋体" w:eastAsia="宋体" w:cs="宋体"/>
                <w:color w:val="auto"/>
                <w:sz w:val="22"/>
                <w:szCs w:val="22"/>
                <w:highlight w:val="none"/>
                <w:lang w:val="en-US" w:eastAsia="zh-CN"/>
              </w:rPr>
              <w:t>4.未提供不得分。</w:t>
            </w:r>
          </w:p>
        </w:tc>
        <w:tc>
          <w:tcPr>
            <w:tcW w:w="492" w:type="pct"/>
            <w:shd w:val="clear" w:color="auto" w:fill="FFFFFF"/>
            <w:noWrap w:val="0"/>
            <w:vAlign w:val="center"/>
          </w:tcPr>
          <w:p w14:paraId="2C713EB1">
            <w:pPr>
              <w:shd w:val="clear" w:color="auto" w:fill="auto"/>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20分</w:t>
            </w:r>
          </w:p>
        </w:tc>
      </w:tr>
      <w:tr w14:paraId="33F6C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0" w:hRule="atLeast"/>
        </w:trPr>
        <w:tc>
          <w:tcPr>
            <w:tcW w:w="401" w:type="pct"/>
            <w:shd w:val="clear" w:color="auto" w:fill="FFFFFF"/>
            <w:noWrap w:val="0"/>
            <w:vAlign w:val="center"/>
          </w:tcPr>
          <w:p w14:paraId="26167ED3">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w:t>
            </w:r>
          </w:p>
        </w:tc>
        <w:tc>
          <w:tcPr>
            <w:tcW w:w="1031" w:type="pct"/>
            <w:shd w:val="clear" w:color="auto" w:fill="FFFFFF"/>
            <w:noWrap w:val="0"/>
            <w:vAlign w:val="center"/>
          </w:tcPr>
          <w:p w14:paraId="76D3F96A">
            <w:pPr>
              <w:shd w:val="clear" w:color="auto" w:fill="auto"/>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应急响应处理方案</w:t>
            </w:r>
          </w:p>
        </w:tc>
        <w:tc>
          <w:tcPr>
            <w:tcW w:w="3074" w:type="pct"/>
            <w:shd w:val="clear" w:color="auto" w:fill="FFFFFF"/>
            <w:noWrap w:val="0"/>
            <w:vAlign w:val="center"/>
          </w:tcPr>
          <w:p w14:paraId="5B7E6433">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横向对比各投标单位的应急响应处理方案。</w:t>
            </w:r>
          </w:p>
          <w:p w14:paraId="504995E4">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1.对出租的车辆应急响应处理方案合理性和完善程度好的，得 13-20 分；</w:t>
            </w:r>
          </w:p>
          <w:p w14:paraId="29634FAC">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2.对出租的车辆应急响应处理方案合理性和完善程度一般的，得 7-12分；</w:t>
            </w:r>
          </w:p>
          <w:p w14:paraId="52ECC75C">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3.对出租的车辆应急响应处理方案合理性和完善程度较差的，得 1-6 分；</w:t>
            </w:r>
          </w:p>
          <w:p w14:paraId="659ADDC1">
            <w:pPr>
              <w:shd w:val="clear" w:color="auto" w:fill="auto"/>
              <w:jc w:val="left"/>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4.未提供不得分。</w:t>
            </w:r>
          </w:p>
        </w:tc>
        <w:tc>
          <w:tcPr>
            <w:tcW w:w="492" w:type="pct"/>
            <w:shd w:val="clear" w:color="auto" w:fill="FFFFFF"/>
            <w:noWrap w:val="0"/>
            <w:vAlign w:val="center"/>
          </w:tcPr>
          <w:p w14:paraId="686FC466">
            <w:pPr>
              <w:shd w:val="clear" w:color="auto" w:fill="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20分</w:t>
            </w:r>
          </w:p>
        </w:tc>
      </w:tr>
      <w:tr w14:paraId="5C92A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0" w:hRule="atLeast"/>
        </w:trPr>
        <w:tc>
          <w:tcPr>
            <w:tcW w:w="401" w:type="pct"/>
            <w:shd w:val="clear" w:color="auto" w:fill="FFFFFF"/>
            <w:noWrap w:val="0"/>
            <w:vAlign w:val="center"/>
          </w:tcPr>
          <w:p w14:paraId="46873518">
            <w:pPr>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w:t>
            </w:r>
          </w:p>
        </w:tc>
        <w:tc>
          <w:tcPr>
            <w:tcW w:w="1031" w:type="pct"/>
            <w:shd w:val="clear" w:color="auto" w:fill="FFFFFF"/>
            <w:noWrap w:val="0"/>
            <w:vAlign w:val="center"/>
          </w:tcPr>
          <w:p w14:paraId="6EBD23EA">
            <w:pPr>
              <w:shd w:val="clear" w:color="auto" w:fill="auto"/>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管理制度</w:t>
            </w:r>
          </w:p>
        </w:tc>
        <w:tc>
          <w:tcPr>
            <w:tcW w:w="3074" w:type="pct"/>
            <w:shd w:val="clear" w:color="auto" w:fill="FFFFFF"/>
            <w:noWrap w:val="0"/>
            <w:vAlign w:val="center"/>
          </w:tcPr>
          <w:p w14:paraId="0BE62315">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横向对比各投标单位的企业制定安全管理、服务质量管理、车辆维护管理、租赁管理制度、作业流程等管理制度及本项目租赁管理工作计划。</w:t>
            </w:r>
          </w:p>
          <w:p w14:paraId="29F0E55B">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1.科学性、合理性，先进性、针对性好的，得13-20分；</w:t>
            </w:r>
          </w:p>
          <w:p w14:paraId="18C60FB1">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2.科学性、合理性，先进性、针对性一般的，得7-12分；</w:t>
            </w:r>
          </w:p>
          <w:p w14:paraId="539D931D">
            <w:pPr>
              <w:shd w:val="clear" w:color="auto" w:fill="auto"/>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3.科学性、合理性，先进性、针对性较差的，得1-6分。</w:t>
            </w:r>
          </w:p>
          <w:p w14:paraId="4337848D">
            <w:pPr>
              <w:shd w:val="clear" w:color="auto" w:fill="auto"/>
              <w:jc w:val="left"/>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4.未提供不得分。</w:t>
            </w:r>
          </w:p>
        </w:tc>
        <w:tc>
          <w:tcPr>
            <w:tcW w:w="492" w:type="pct"/>
            <w:shd w:val="clear" w:color="auto" w:fill="FFFFFF"/>
            <w:noWrap w:val="0"/>
            <w:vAlign w:val="center"/>
          </w:tcPr>
          <w:p w14:paraId="63EA81B2">
            <w:pPr>
              <w:shd w:val="clear" w:color="auto" w:fill="auto"/>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20分</w:t>
            </w:r>
          </w:p>
        </w:tc>
      </w:tr>
    </w:tbl>
    <w:tbl>
      <w:tblPr>
        <w:tblStyle w:val="7"/>
        <w:tblW w:w="7817"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7"/>
        <w:gridCol w:w="2332"/>
        <w:gridCol w:w="3218"/>
      </w:tblGrid>
      <w:tr w14:paraId="0E10E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7" w:type="dxa"/>
            <w:vAlign w:val="center"/>
          </w:tcPr>
          <w:p w14:paraId="35F2243B">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商务/技术分计算方法</w:t>
            </w:r>
          </w:p>
        </w:tc>
        <w:tc>
          <w:tcPr>
            <w:tcW w:w="5550" w:type="dxa"/>
            <w:gridSpan w:val="2"/>
            <w:vAlign w:val="center"/>
          </w:tcPr>
          <w:p w14:paraId="6773B197">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取</w:t>
            </w:r>
            <w:r>
              <w:rPr>
                <w:rFonts w:hint="eastAsia" w:ascii="宋体" w:hAnsi="宋体" w:eastAsia="宋体" w:cs="宋体"/>
                <w:color w:val="000000"/>
                <w:sz w:val="22"/>
                <w:szCs w:val="22"/>
                <w:lang w:val="en-US" w:eastAsia="zh-CN"/>
              </w:rPr>
              <w:t>招标工作小组</w:t>
            </w:r>
            <w:r>
              <w:rPr>
                <w:rFonts w:hint="eastAsia" w:ascii="宋体" w:hAnsi="宋体" w:eastAsia="宋体" w:cs="宋体"/>
                <w:b w:val="0"/>
                <w:bCs w:val="0"/>
                <w:sz w:val="22"/>
                <w:szCs w:val="22"/>
                <w:highlight w:val="none"/>
                <w:vertAlign w:val="baseline"/>
                <w:lang w:val="en-US" w:eastAsia="zh-CN"/>
              </w:rPr>
              <w:t>打分的平均分作为该供应商的商务/技术得分。</w:t>
            </w:r>
          </w:p>
        </w:tc>
      </w:tr>
      <w:tr w14:paraId="3A9B8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17" w:type="dxa"/>
            <w:gridSpan w:val="3"/>
            <w:vAlign w:val="center"/>
          </w:tcPr>
          <w:p w14:paraId="4D5E1A56">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（三）价格评审（100）分</w:t>
            </w:r>
          </w:p>
        </w:tc>
      </w:tr>
      <w:tr w14:paraId="3AAFE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7" w:type="dxa"/>
            <w:vAlign w:val="center"/>
          </w:tcPr>
          <w:p w14:paraId="261B9311">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价格分计算方法名称</w:t>
            </w:r>
          </w:p>
        </w:tc>
        <w:tc>
          <w:tcPr>
            <w:tcW w:w="5550" w:type="dxa"/>
            <w:gridSpan w:val="2"/>
            <w:vAlign w:val="center"/>
          </w:tcPr>
          <w:p w14:paraId="23D3B0A6">
            <w:pPr>
              <w:keepNext w:val="0"/>
              <w:keepLines w:val="0"/>
              <w:widowControl/>
              <w:suppressLineNumbers w:val="0"/>
              <w:jc w:val="left"/>
              <w:rPr>
                <w:rFonts w:hint="eastAsia" w:ascii="宋体" w:hAnsi="宋体" w:eastAsia="宋体" w:cs="宋体"/>
                <w:b w:val="0"/>
                <w:bCs w:val="0"/>
                <w:sz w:val="22"/>
                <w:szCs w:val="22"/>
                <w:highlight w:val="none"/>
                <w:vertAlign w:val="baseline"/>
                <w:lang w:val="en-US" w:eastAsia="zh-CN"/>
              </w:rPr>
            </w:pPr>
            <w:r>
              <w:rPr>
                <w:rFonts w:hint="eastAsia" w:ascii="宋体" w:hAnsi="宋体" w:eastAsia="宋体" w:cs="宋体"/>
                <w:color w:val="000000"/>
                <w:kern w:val="0"/>
                <w:sz w:val="22"/>
                <w:szCs w:val="22"/>
                <w:highlight w:val="none"/>
                <w:lang w:val="en-US" w:eastAsia="zh-CN" w:bidi="ar"/>
              </w:rPr>
              <w:t>合理均价基准差径靶心法</w:t>
            </w:r>
          </w:p>
        </w:tc>
      </w:tr>
      <w:tr w14:paraId="68CE8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7" w:type="dxa"/>
            <w:vAlign w:val="center"/>
          </w:tcPr>
          <w:p w14:paraId="5856157B">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评标基准价计算方法</w:t>
            </w:r>
          </w:p>
        </w:tc>
        <w:tc>
          <w:tcPr>
            <w:tcW w:w="5550" w:type="dxa"/>
            <w:gridSpan w:val="2"/>
            <w:vAlign w:val="center"/>
          </w:tcPr>
          <w:p w14:paraId="777094F0">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2"/>
                <w:szCs w:val="22"/>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1、进入价格分计算的投标人取技术商务加权总分排名前BP%的投标人，按比例HP%、LP%分别去掉最高、最低价格后（当排名前BP%的投标人个数少于等于L个时，根据设定的是否去掉最高最低的值判断是否去掉GH 个最高和GL个最低价格后计算平均价），计算平均价作为Y平均。</w:t>
            </w:r>
          </w:p>
          <w:p w14:paraId="756ED2C7">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2"/>
                <w:szCs w:val="22"/>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2、计算评标基准价，Y 基准＝Y 平均×（1-X），X 为下浮率，Y 基准按四舍五入法保留两位小数</w:t>
            </w:r>
          </w:p>
        </w:tc>
      </w:tr>
      <w:tr w14:paraId="31096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7" w:type="dxa"/>
            <w:vAlign w:val="center"/>
          </w:tcPr>
          <w:p w14:paraId="26CB302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价格分计算公式</w:t>
            </w:r>
          </w:p>
        </w:tc>
        <w:tc>
          <w:tcPr>
            <w:tcW w:w="5550" w:type="dxa"/>
            <w:gridSpan w:val="2"/>
            <w:vAlign w:val="center"/>
          </w:tcPr>
          <w:p w14:paraId="579AED38">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2"/>
                <w:szCs w:val="22"/>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1、Yi为某投标人的投标价格；Qi为计算得分，按四舍五入法保留两位小数。</w:t>
            </w:r>
          </w:p>
          <w:p w14:paraId="6EDE7207">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2"/>
                <w:szCs w:val="22"/>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2、当Yi＞Y 基准，Qi＝报价满分－（Yi－Y基准）/Y 基准×报价满分×RH。</w:t>
            </w:r>
          </w:p>
          <w:p w14:paraId="6881174A">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2"/>
                <w:szCs w:val="22"/>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3、当Yi=Y 基准，Qi=报价满分。</w:t>
            </w:r>
          </w:p>
          <w:p w14:paraId="20BF7D1E">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2"/>
                <w:szCs w:val="22"/>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4、当Yi＜Y 基准，Qi＝报价满分－（Y 基准－Yi）/Y 基准×报价满分×RL。</w:t>
            </w:r>
          </w:p>
          <w:p w14:paraId="3E9775D3">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2"/>
                <w:szCs w:val="22"/>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5、当Qi＜0，按Qi=0 分计。</w:t>
            </w:r>
          </w:p>
        </w:tc>
      </w:tr>
      <w:tr w14:paraId="7A964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7" w:type="dxa"/>
            <w:vAlign w:val="center"/>
          </w:tcPr>
          <w:p w14:paraId="1A25525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进入价格评分厂家数量</w:t>
            </w:r>
          </w:p>
        </w:tc>
        <w:tc>
          <w:tcPr>
            <w:tcW w:w="5550" w:type="dxa"/>
            <w:gridSpan w:val="2"/>
            <w:vAlign w:val="center"/>
          </w:tcPr>
          <w:p w14:paraId="0B92DA1F">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宋体" w:hAnsi="宋体" w:eastAsia="宋体" w:cs="宋体"/>
                <w:b w:val="0"/>
                <w:bCs w:val="0"/>
                <w:sz w:val="22"/>
                <w:szCs w:val="22"/>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本次评标不设置技术商务末位淘汰。进入技术商务评分范围的投标人全部进入价格评分。</w:t>
            </w:r>
          </w:p>
        </w:tc>
      </w:tr>
      <w:tr w14:paraId="41569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7" w:type="dxa"/>
            <w:vAlign w:val="center"/>
          </w:tcPr>
          <w:p w14:paraId="3706489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下浮率</w:t>
            </w:r>
          </w:p>
        </w:tc>
        <w:tc>
          <w:tcPr>
            <w:tcW w:w="5550" w:type="dxa"/>
            <w:gridSpan w:val="2"/>
            <w:vAlign w:val="center"/>
          </w:tcPr>
          <w:p w14:paraId="0697C18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color w:val="auto"/>
                <w:sz w:val="21"/>
                <w:szCs w:val="21"/>
                <w:highlight w:val="none"/>
                <w:vertAlign w:val="baseline"/>
                <w:lang w:val="en-US" w:eastAsia="zh-CN"/>
              </w:rPr>
              <w:t>0%</w:t>
            </w:r>
          </w:p>
        </w:tc>
      </w:tr>
      <w:tr w14:paraId="4BD7A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7" w:type="dxa"/>
            <w:vMerge w:val="restart"/>
            <w:vAlign w:val="center"/>
          </w:tcPr>
          <w:p w14:paraId="7ED5D56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参数设置</w:t>
            </w:r>
          </w:p>
        </w:tc>
        <w:tc>
          <w:tcPr>
            <w:tcW w:w="2332" w:type="dxa"/>
            <w:vAlign w:val="center"/>
          </w:tcPr>
          <w:p w14:paraId="26C71370">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RL</w:t>
            </w:r>
          </w:p>
        </w:tc>
        <w:tc>
          <w:tcPr>
            <w:tcW w:w="3218" w:type="dxa"/>
            <w:vAlign w:val="center"/>
          </w:tcPr>
          <w:p w14:paraId="6A01EB3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2"/>
                <w:szCs w:val="22"/>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0.3</w:t>
            </w:r>
          </w:p>
        </w:tc>
      </w:tr>
      <w:tr w14:paraId="341ED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7" w:type="dxa"/>
            <w:vMerge w:val="continue"/>
            <w:vAlign w:val="center"/>
          </w:tcPr>
          <w:p w14:paraId="201B4FA4">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p>
        </w:tc>
        <w:tc>
          <w:tcPr>
            <w:tcW w:w="2332" w:type="dxa"/>
            <w:vAlign w:val="center"/>
          </w:tcPr>
          <w:p w14:paraId="3910CBBF">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RH</w:t>
            </w:r>
          </w:p>
        </w:tc>
        <w:tc>
          <w:tcPr>
            <w:tcW w:w="3218" w:type="dxa"/>
            <w:vAlign w:val="center"/>
          </w:tcPr>
          <w:p w14:paraId="05C3324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2"/>
                <w:szCs w:val="22"/>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0.7</w:t>
            </w:r>
          </w:p>
        </w:tc>
      </w:tr>
      <w:tr w14:paraId="148A6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7" w:type="dxa"/>
            <w:vMerge w:val="continue"/>
            <w:vAlign w:val="center"/>
          </w:tcPr>
          <w:p w14:paraId="53F975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p>
        </w:tc>
        <w:tc>
          <w:tcPr>
            <w:tcW w:w="2332" w:type="dxa"/>
            <w:vAlign w:val="center"/>
          </w:tcPr>
          <w:p w14:paraId="265BE0D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BP</w:t>
            </w:r>
          </w:p>
        </w:tc>
        <w:tc>
          <w:tcPr>
            <w:tcW w:w="3218" w:type="dxa"/>
            <w:vAlign w:val="center"/>
          </w:tcPr>
          <w:p w14:paraId="62041669">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2"/>
                <w:szCs w:val="22"/>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80</w:t>
            </w:r>
          </w:p>
        </w:tc>
      </w:tr>
      <w:tr w14:paraId="0066F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7" w:type="dxa"/>
            <w:vMerge w:val="continue"/>
            <w:vAlign w:val="center"/>
          </w:tcPr>
          <w:p w14:paraId="7773A2E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p>
        </w:tc>
        <w:tc>
          <w:tcPr>
            <w:tcW w:w="2332" w:type="dxa"/>
            <w:vAlign w:val="center"/>
          </w:tcPr>
          <w:p w14:paraId="1B526AA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HP</w:t>
            </w:r>
          </w:p>
        </w:tc>
        <w:tc>
          <w:tcPr>
            <w:tcW w:w="3218" w:type="dxa"/>
            <w:vAlign w:val="center"/>
          </w:tcPr>
          <w:p w14:paraId="794B773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2"/>
                <w:szCs w:val="22"/>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10</w:t>
            </w:r>
          </w:p>
        </w:tc>
      </w:tr>
      <w:tr w14:paraId="794D7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7" w:type="dxa"/>
            <w:vMerge w:val="continue"/>
            <w:vAlign w:val="center"/>
          </w:tcPr>
          <w:p w14:paraId="1E0B626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p>
        </w:tc>
        <w:tc>
          <w:tcPr>
            <w:tcW w:w="2332" w:type="dxa"/>
            <w:vAlign w:val="center"/>
          </w:tcPr>
          <w:p w14:paraId="7E555C1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LP</w:t>
            </w:r>
          </w:p>
        </w:tc>
        <w:tc>
          <w:tcPr>
            <w:tcW w:w="3218" w:type="dxa"/>
            <w:vAlign w:val="center"/>
          </w:tcPr>
          <w:p w14:paraId="42659BC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2"/>
                <w:szCs w:val="22"/>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10</w:t>
            </w:r>
          </w:p>
        </w:tc>
      </w:tr>
      <w:tr w14:paraId="39B5F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7" w:type="dxa"/>
            <w:vMerge w:val="continue"/>
            <w:vAlign w:val="center"/>
          </w:tcPr>
          <w:p w14:paraId="10D6E52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p>
        </w:tc>
        <w:tc>
          <w:tcPr>
            <w:tcW w:w="2332" w:type="dxa"/>
            <w:vAlign w:val="center"/>
          </w:tcPr>
          <w:p w14:paraId="5F823B9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L</w:t>
            </w:r>
          </w:p>
        </w:tc>
        <w:tc>
          <w:tcPr>
            <w:tcW w:w="3218" w:type="dxa"/>
            <w:vAlign w:val="center"/>
          </w:tcPr>
          <w:p w14:paraId="3B83FE6D">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2"/>
                <w:szCs w:val="22"/>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6</w:t>
            </w:r>
          </w:p>
        </w:tc>
      </w:tr>
      <w:tr w14:paraId="5FD49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7" w:type="dxa"/>
            <w:vMerge w:val="continue"/>
            <w:vAlign w:val="center"/>
          </w:tcPr>
          <w:p w14:paraId="16E6DDA0">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p>
        </w:tc>
        <w:tc>
          <w:tcPr>
            <w:tcW w:w="2332" w:type="dxa"/>
            <w:vAlign w:val="center"/>
          </w:tcPr>
          <w:p w14:paraId="6217286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若排名前BP%的供应商数量小于等于 L值，是否去掉最高最低</w:t>
            </w:r>
          </w:p>
        </w:tc>
        <w:tc>
          <w:tcPr>
            <w:tcW w:w="3218" w:type="dxa"/>
            <w:vAlign w:val="center"/>
          </w:tcPr>
          <w:p w14:paraId="096380C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val="0"/>
                <w:sz w:val="22"/>
                <w:szCs w:val="22"/>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否</w:t>
            </w:r>
          </w:p>
        </w:tc>
      </w:tr>
      <w:tr w14:paraId="77E1D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7" w:type="dxa"/>
            <w:vMerge w:val="continue"/>
            <w:vAlign w:val="center"/>
          </w:tcPr>
          <w:p w14:paraId="7FEDAB66">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p>
        </w:tc>
        <w:tc>
          <w:tcPr>
            <w:tcW w:w="2332" w:type="dxa"/>
            <w:vAlign w:val="center"/>
          </w:tcPr>
          <w:p w14:paraId="38AB354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GH</w:t>
            </w:r>
          </w:p>
        </w:tc>
        <w:tc>
          <w:tcPr>
            <w:tcW w:w="3218" w:type="dxa"/>
            <w:vAlign w:val="center"/>
          </w:tcPr>
          <w:p w14:paraId="03027052">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2"/>
                <w:szCs w:val="22"/>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0</w:t>
            </w:r>
          </w:p>
        </w:tc>
      </w:tr>
      <w:tr w14:paraId="23976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7" w:type="dxa"/>
            <w:vMerge w:val="continue"/>
            <w:vAlign w:val="center"/>
          </w:tcPr>
          <w:p w14:paraId="06C0E737">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1"/>
                <w:szCs w:val="21"/>
                <w:highlight w:val="none"/>
                <w:vertAlign w:val="baseline"/>
                <w:lang w:val="en-US" w:eastAsia="zh-CN"/>
              </w:rPr>
            </w:pPr>
          </w:p>
        </w:tc>
        <w:tc>
          <w:tcPr>
            <w:tcW w:w="2332" w:type="dxa"/>
            <w:vAlign w:val="center"/>
          </w:tcPr>
          <w:p w14:paraId="588B1B39">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GL</w:t>
            </w:r>
          </w:p>
        </w:tc>
        <w:tc>
          <w:tcPr>
            <w:tcW w:w="3218" w:type="dxa"/>
            <w:vAlign w:val="center"/>
          </w:tcPr>
          <w:p w14:paraId="5D4B1053">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center"/>
              <w:textAlignment w:val="auto"/>
              <w:rPr>
                <w:rFonts w:hint="default" w:ascii="宋体" w:hAnsi="宋体" w:eastAsia="宋体" w:cs="宋体"/>
                <w:b w:val="0"/>
                <w:bCs w:val="0"/>
                <w:sz w:val="22"/>
                <w:szCs w:val="22"/>
                <w:highlight w:val="none"/>
                <w:vertAlign w:val="baseline"/>
                <w:lang w:val="en-US" w:eastAsia="zh-CN"/>
              </w:rPr>
            </w:pPr>
            <w:r>
              <w:rPr>
                <w:rFonts w:hint="eastAsia" w:ascii="宋体" w:hAnsi="宋体" w:eastAsia="宋体" w:cs="宋体"/>
                <w:b w:val="0"/>
                <w:bCs w:val="0"/>
                <w:sz w:val="22"/>
                <w:szCs w:val="22"/>
                <w:highlight w:val="none"/>
                <w:vertAlign w:val="baseline"/>
                <w:lang w:val="en-US" w:eastAsia="zh-CN"/>
              </w:rPr>
              <w:t>0</w:t>
            </w:r>
          </w:p>
        </w:tc>
      </w:tr>
      <w:tr w14:paraId="38B1E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7" w:type="dxa"/>
            <w:vAlign w:val="center"/>
          </w:tcPr>
          <w:p w14:paraId="1FE19B4E">
            <w:pPr>
              <w:keepNext w:val="0"/>
              <w:keepLines w:val="0"/>
              <w:widowControl/>
              <w:suppressLineNumbers w:val="0"/>
              <w:jc w:val="center"/>
              <w:rPr>
                <w:rFonts w:hint="eastAsia" w:ascii="宋体" w:hAnsi="宋体" w:eastAsia="宋体" w:cs="宋体"/>
                <w:b/>
                <w:bCs/>
                <w:sz w:val="21"/>
                <w:szCs w:val="21"/>
                <w:highlight w:val="none"/>
                <w:vertAlign w:val="baseline"/>
                <w:lang w:val="en-US" w:eastAsia="zh-CN"/>
              </w:rPr>
            </w:pPr>
            <w:r>
              <w:rPr>
                <w:rFonts w:hint="eastAsia" w:ascii="宋体" w:hAnsi="宋体" w:eastAsia="宋体" w:cs="宋体"/>
                <w:b/>
                <w:bCs/>
                <w:sz w:val="21"/>
                <w:szCs w:val="21"/>
                <w:highlight w:val="none"/>
                <w:vertAlign w:val="baseline"/>
                <w:lang w:val="en-US" w:eastAsia="zh-CN"/>
              </w:rPr>
              <w:t>参数设置说明</w:t>
            </w:r>
          </w:p>
        </w:tc>
        <w:tc>
          <w:tcPr>
            <w:tcW w:w="5550" w:type="dxa"/>
            <w:gridSpan w:val="2"/>
            <w:vAlign w:val="center"/>
          </w:tcPr>
          <w:p w14:paraId="5658BEA6">
            <w:pPr>
              <w:keepNext w:val="0"/>
              <w:keepLines w:val="0"/>
              <w:widowControl/>
              <w:suppressLineNumbers w:val="0"/>
              <w:jc w:val="left"/>
              <w:rPr>
                <w:sz w:val="22"/>
                <w:szCs w:val="22"/>
              </w:rPr>
            </w:pPr>
            <w:r>
              <w:rPr>
                <w:rFonts w:ascii="Calibri" w:hAnsi="Calibri" w:eastAsia="宋体" w:cs="Calibri"/>
                <w:color w:val="000000"/>
                <w:kern w:val="0"/>
                <w:sz w:val="22"/>
                <w:szCs w:val="22"/>
                <w:lang w:val="en-US" w:eastAsia="zh-CN" w:bidi="ar"/>
              </w:rPr>
              <w:t>1</w:t>
            </w:r>
            <w:r>
              <w:rPr>
                <w:rFonts w:hint="eastAsia" w:ascii="宋体" w:hAnsi="宋体" w:eastAsia="宋体" w:cs="宋体"/>
                <w:color w:val="000000"/>
                <w:kern w:val="0"/>
                <w:sz w:val="22"/>
                <w:szCs w:val="22"/>
                <w:lang w:val="en-US" w:eastAsia="zh-CN" w:bidi="ar"/>
              </w:rPr>
              <w:t>、</w:t>
            </w:r>
            <w:r>
              <w:rPr>
                <w:rFonts w:hint="default" w:ascii="Calibri" w:hAnsi="Calibri" w:eastAsia="宋体" w:cs="Calibri"/>
                <w:color w:val="000000"/>
                <w:kern w:val="0"/>
                <w:sz w:val="22"/>
                <w:szCs w:val="22"/>
                <w:lang w:val="en-US" w:eastAsia="zh-CN" w:bidi="ar"/>
              </w:rPr>
              <w:t>BP%</w:t>
            </w:r>
            <w:r>
              <w:rPr>
                <w:rFonts w:hint="eastAsia" w:ascii="宋体" w:hAnsi="宋体" w:eastAsia="宋体" w:cs="宋体"/>
                <w:color w:val="000000"/>
                <w:kern w:val="0"/>
                <w:sz w:val="22"/>
                <w:szCs w:val="22"/>
                <w:lang w:val="en-US" w:eastAsia="zh-CN" w:bidi="ar"/>
              </w:rPr>
              <w:t>为技术商务分排名靠前的比例，</w:t>
            </w:r>
            <w:r>
              <w:rPr>
                <w:rFonts w:hint="default" w:ascii="Calibri" w:hAnsi="Calibri" w:eastAsia="宋体" w:cs="Calibri"/>
                <w:color w:val="000000"/>
                <w:kern w:val="0"/>
                <w:sz w:val="22"/>
                <w:szCs w:val="22"/>
                <w:lang w:val="en-US" w:eastAsia="zh-CN" w:bidi="ar"/>
              </w:rPr>
              <w:t>BP%</w:t>
            </w:r>
            <w:r>
              <w:rPr>
                <w:rFonts w:hint="eastAsia" w:ascii="宋体" w:hAnsi="宋体" w:eastAsia="宋体" w:cs="宋体"/>
                <w:color w:val="000000"/>
                <w:kern w:val="0"/>
                <w:sz w:val="22"/>
                <w:szCs w:val="22"/>
                <w:lang w:val="en-US" w:eastAsia="zh-CN" w:bidi="ar"/>
              </w:rPr>
              <w:t>缺省值为</w:t>
            </w:r>
            <w:r>
              <w:rPr>
                <w:rFonts w:hint="default" w:ascii="Calibri" w:hAnsi="Calibri" w:eastAsia="宋体" w:cs="Calibri"/>
                <w:color w:val="000000"/>
                <w:kern w:val="0"/>
                <w:sz w:val="22"/>
                <w:szCs w:val="22"/>
                <w:lang w:val="en-US" w:eastAsia="zh-CN" w:bidi="ar"/>
              </w:rPr>
              <w:t>80%</w:t>
            </w:r>
            <w:r>
              <w:rPr>
                <w:rFonts w:hint="eastAsia" w:ascii="宋体" w:hAnsi="宋体" w:eastAsia="宋体" w:cs="宋体"/>
                <w:color w:val="000000"/>
                <w:kern w:val="0"/>
                <w:sz w:val="22"/>
                <w:szCs w:val="22"/>
                <w:lang w:val="en-US" w:eastAsia="zh-CN" w:bidi="ar"/>
              </w:rPr>
              <w:t xml:space="preserve">，进入价格分计算的投标人数量向上取整。 </w:t>
            </w:r>
          </w:p>
          <w:p w14:paraId="01D6FA1B">
            <w:pPr>
              <w:keepNext w:val="0"/>
              <w:keepLines w:val="0"/>
              <w:widowControl/>
              <w:suppressLineNumbers w:val="0"/>
              <w:jc w:val="left"/>
              <w:rPr>
                <w:sz w:val="22"/>
                <w:szCs w:val="22"/>
              </w:rPr>
            </w:pPr>
            <w:r>
              <w:rPr>
                <w:rFonts w:hint="default" w:ascii="Calibri" w:hAnsi="Calibri" w:eastAsia="宋体" w:cs="Calibri"/>
                <w:color w:val="000000"/>
                <w:kern w:val="0"/>
                <w:sz w:val="22"/>
                <w:szCs w:val="22"/>
                <w:lang w:val="en-US" w:eastAsia="zh-CN" w:bidi="ar"/>
              </w:rPr>
              <w:t>2</w:t>
            </w:r>
            <w:r>
              <w:rPr>
                <w:rFonts w:hint="eastAsia" w:ascii="宋体" w:hAnsi="宋体" w:eastAsia="宋体" w:cs="宋体"/>
                <w:color w:val="000000"/>
                <w:kern w:val="0"/>
                <w:sz w:val="22"/>
                <w:szCs w:val="22"/>
                <w:lang w:val="en-US" w:eastAsia="zh-CN" w:bidi="ar"/>
              </w:rPr>
              <w:t>、</w:t>
            </w:r>
            <w:r>
              <w:rPr>
                <w:rFonts w:hint="default" w:ascii="Calibri" w:hAnsi="Calibri" w:eastAsia="宋体" w:cs="Calibri"/>
                <w:color w:val="000000"/>
                <w:kern w:val="0"/>
                <w:sz w:val="22"/>
                <w:szCs w:val="22"/>
                <w:lang w:val="en-US" w:eastAsia="zh-CN" w:bidi="ar"/>
              </w:rPr>
              <w:t>HP%</w:t>
            </w:r>
            <w:r>
              <w:rPr>
                <w:rFonts w:hint="eastAsia" w:ascii="宋体" w:hAnsi="宋体" w:eastAsia="宋体" w:cs="宋体"/>
                <w:color w:val="000000"/>
                <w:kern w:val="0"/>
                <w:sz w:val="22"/>
                <w:szCs w:val="22"/>
                <w:lang w:val="en-US" w:eastAsia="zh-CN" w:bidi="ar"/>
              </w:rPr>
              <w:t>去掉最高价的比例，</w:t>
            </w:r>
            <w:r>
              <w:rPr>
                <w:rFonts w:hint="default" w:ascii="Calibri" w:hAnsi="Calibri" w:eastAsia="宋体" w:cs="Calibri"/>
                <w:color w:val="000000"/>
                <w:kern w:val="0"/>
                <w:sz w:val="22"/>
                <w:szCs w:val="22"/>
                <w:lang w:val="en-US" w:eastAsia="zh-CN" w:bidi="ar"/>
              </w:rPr>
              <w:t>HP%</w:t>
            </w:r>
            <w:r>
              <w:rPr>
                <w:rFonts w:hint="eastAsia" w:ascii="宋体" w:hAnsi="宋体" w:eastAsia="宋体" w:cs="宋体"/>
                <w:color w:val="000000"/>
                <w:kern w:val="0"/>
                <w:sz w:val="22"/>
                <w:szCs w:val="22"/>
                <w:lang w:val="en-US" w:eastAsia="zh-CN" w:bidi="ar"/>
              </w:rPr>
              <w:t>缺省值为</w:t>
            </w:r>
            <w:r>
              <w:rPr>
                <w:rFonts w:hint="default" w:ascii="Calibri" w:hAnsi="Calibri" w:eastAsia="宋体" w:cs="Calibri"/>
                <w:color w:val="000000"/>
                <w:kern w:val="0"/>
                <w:sz w:val="22"/>
                <w:szCs w:val="22"/>
                <w:lang w:val="en-US" w:eastAsia="zh-CN" w:bidi="ar"/>
              </w:rPr>
              <w:t>10%</w:t>
            </w:r>
            <w:r>
              <w:rPr>
                <w:rFonts w:hint="eastAsia" w:ascii="宋体" w:hAnsi="宋体" w:eastAsia="宋体" w:cs="宋体"/>
                <w:color w:val="000000"/>
                <w:kern w:val="0"/>
                <w:sz w:val="22"/>
                <w:szCs w:val="22"/>
                <w:lang w:val="en-US" w:eastAsia="zh-CN" w:bidi="ar"/>
              </w:rPr>
              <w:t xml:space="preserve">，计算结果按四舍五入方法取整。 </w:t>
            </w:r>
          </w:p>
          <w:p w14:paraId="51695F70">
            <w:pPr>
              <w:keepNext w:val="0"/>
              <w:keepLines w:val="0"/>
              <w:widowControl/>
              <w:suppressLineNumbers w:val="0"/>
              <w:jc w:val="left"/>
              <w:rPr>
                <w:rFonts w:hint="eastAsia" w:ascii="宋体" w:hAnsi="宋体" w:eastAsia="宋体" w:cs="宋体"/>
                <w:b w:val="0"/>
                <w:bCs w:val="0"/>
                <w:sz w:val="21"/>
                <w:szCs w:val="21"/>
                <w:highlight w:val="none"/>
                <w:vertAlign w:val="baseline"/>
                <w:lang w:val="en-US" w:eastAsia="zh-CN"/>
              </w:rPr>
            </w:pPr>
            <w:r>
              <w:rPr>
                <w:rFonts w:hint="default" w:ascii="Calibri" w:hAnsi="Calibri" w:eastAsia="宋体" w:cs="Calibri"/>
                <w:color w:val="000000"/>
                <w:kern w:val="0"/>
                <w:sz w:val="22"/>
                <w:szCs w:val="22"/>
                <w:lang w:val="en-US" w:eastAsia="zh-CN" w:bidi="ar"/>
              </w:rPr>
              <w:t>3</w:t>
            </w:r>
            <w:r>
              <w:rPr>
                <w:rFonts w:hint="eastAsia" w:ascii="宋体" w:hAnsi="宋体" w:eastAsia="宋体" w:cs="宋体"/>
                <w:color w:val="000000"/>
                <w:kern w:val="0"/>
                <w:sz w:val="22"/>
                <w:szCs w:val="22"/>
                <w:lang w:val="en-US" w:eastAsia="zh-CN" w:bidi="ar"/>
              </w:rPr>
              <w:t>、</w:t>
            </w:r>
            <w:r>
              <w:rPr>
                <w:rFonts w:hint="default" w:ascii="Calibri" w:hAnsi="Calibri" w:eastAsia="宋体" w:cs="Calibri"/>
                <w:color w:val="000000"/>
                <w:kern w:val="0"/>
                <w:sz w:val="22"/>
                <w:szCs w:val="22"/>
                <w:lang w:val="en-US" w:eastAsia="zh-CN" w:bidi="ar"/>
              </w:rPr>
              <w:t>LP%</w:t>
            </w:r>
            <w:r>
              <w:rPr>
                <w:rFonts w:hint="eastAsia" w:ascii="宋体" w:hAnsi="宋体" w:eastAsia="宋体" w:cs="宋体"/>
                <w:color w:val="000000"/>
                <w:kern w:val="0"/>
                <w:sz w:val="22"/>
                <w:szCs w:val="22"/>
                <w:lang w:val="en-US" w:eastAsia="zh-CN" w:bidi="ar"/>
              </w:rPr>
              <w:t>为去掉最低价的比例，</w:t>
            </w:r>
            <w:r>
              <w:rPr>
                <w:rFonts w:hint="default" w:ascii="Calibri" w:hAnsi="Calibri" w:eastAsia="宋体" w:cs="Calibri"/>
                <w:color w:val="000000"/>
                <w:kern w:val="0"/>
                <w:sz w:val="22"/>
                <w:szCs w:val="22"/>
                <w:lang w:val="en-US" w:eastAsia="zh-CN" w:bidi="ar"/>
              </w:rPr>
              <w:t>LP%</w:t>
            </w:r>
            <w:r>
              <w:rPr>
                <w:rFonts w:hint="eastAsia" w:ascii="宋体" w:hAnsi="宋体" w:eastAsia="宋体" w:cs="宋体"/>
                <w:color w:val="000000"/>
                <w:kern w:val="0"/>
                <w:sz w:val="22"/>
                <w:szCs w:val="22"/>
                <w:lang w:val="en-US" w:eastAsia="zh-CN" w:bidi="ar"/>
              </w:rPr>
              <w:t>缺省值为</w:t>
            </w:r>
            <w:r>
              <w:rPr>
                <w:rFonts w:hint="default" w:ascii="Calibri" w:hAnsi="Calibri" w:eastAsia="宋体" w:cs="Calibri"/>
                <w:color w:val="000000"/>
                <w:kern w:val="0"/>
                <w:sz w:val="22"/>
                <w:szCs w:val="22"/>
                <w:lang w:val="en-US" w:eastAsia="zh-CN" w:bidi="ar"/>
              </w:rPr>
              <w:t>10%</w:t>
            </w:r>
            <w:r>
              <w:rPr>
                <w:rFonts w:hint="eastAsia" w:ascii="宋体" w:hAnsi="宋体" w:eastAsia="宋体" w:cs="宋体"/>
                <w:color w:val="000000"/>
                <w:kern w:val="0"/>
                <w:sz w:val="22"/>
                <w:szCs w:val="22"/>
                <w:lang w:val="en-US" w:eastAsia="zh-CN" w:bidi="ar"/>
              </w:rPr>
              <w:t>，计算结果按四舍五入方法取整。</w:t>
            </w:r>
          </w:p>
        </w:tc>
      </w:tr>
    </w:tbl>
    <w:p w14:paraId="4D21926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DE5B47"/>
    <w:rsid w:val="13E8690F"/>
    <w:rsid w:val="2B3B6BE4"/>
    <w:rsid w:val="2F9A0B3E"/>
    <w:rsid w:val="36B46A22"/>
    <w:rsid w:val="38DA028C"/>
    <w:rsid w:val="44DE5B47"/>
    <w:rsid w:val="49ED4C17"/>
    <w:rsid w:val="4D8E3CDE"/>
    <w:rsid w:val="5CC035A8"/>
    <w:rsid w:val="5E526DBA"/>
    <w:rsid w:val="6A312DB3"/>
    <w:rsid w:val="71196525"/>
    <w:rsid w:val="738D0D74"/>
    <w:rsid w:val="792650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next w:val="4"/>
    <w:qFormat/>
    <w:uiPriority w:val="0"/>
    <w:pPr>
      <w:spacing w:after="120"/>
    </w:pPr>
  </w:style>
  <w:style w:type="paragraph" w:styleId="4">
    <w:name w:val="Title"/>
    <w:basedOn w:val="1"/>
    <w:next w:val="1"/>
    <w:qFormat/>
    <w:uiPriority w:val="10"/>
    <w:pPr>
      <w:spacing w:before="240" w:after="60"/>
      <w:jc w:val="center"/>
      <w:outlineLvl w:val="0"/>
    </w:pPr>
    <w:rPr>
      <w:rFonts w:ascii="Arial" w:hAnsi="Arial"/>
      <w:b/>
      <w:bCs/>
      <w:sz w:val="32"/>
      <w:szCs w:val="32"/>
    </w:rPr>
  </w:style>
  <w:style w:type="paragraph" w:styleId="5">
    <w:name w:val="Body Text First Indent"/>
    <w:basedOn w:val="1"/>
    <w:qFormat/>
    <w:uiPriority w:val="0"/>
    <w:pPr>
      <w:ind w:firstLine="420" w:firstLineChars="100"/>
    </w:pPr>
    <w:rPr>
      <w:rFonts w:ascii="Times New Roman" w:hAnsi="Times New Roman" w:eastAsia="宋体" w:cs="Times New Roman"/>
      <w:szCs w:val="20"/>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2074</Words>
  <Characters>2296</Characters>
  <Lines>0</Lines>
  <Paragraphs>0</Paragraphs>
  <TotalTime>28</TotalTime>
  <ScaleCrop>false</ScaleCrop>
  <LinksUpToDate>false</LinksUpToDate>
  <CharactersWithSpaces>2323</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2026-08-25T01:39:00Z</dcterms:created>
  <dc:creator>6AA801CFB15F4700BC8D09059B313DBE</dc:creator>
  <cp:lastModifiedBy>6AA801CFB15F4700BC8D09059B313DBE</cp:lastModifiedBy>
  <dcterms:modified xsi:type="dcterms:W3CDTF">2026-08-28T02:22:51Z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AADCB379643C48509DC1A3A4AE9A3866_11</vt:lpwstr>
  </property>
  <property fmtid="{D5CDD505-2E9C-101B-9397-08002B2CF9AE}" pid="4" name="KSOTemplateDocerSaveRecord">
    <vt:lpwstr>eyJoZGlkIjoiMzEwNTM5NzYwMDRjMzkwZTVkZjY2ODkwMGIxNGU0OTUiLCJ1c2VySWQiOiIxMjA4MzI4Njc4In0=</vt:lpwstr>
  </property>
</Properties>
</file>