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widowControl/>
        <w:numPr>
          <w:ilvl w:val="0"/>
          <w:numId w:val="0"/>
        </w:numPr>
        <w:spacing w:before="120" w:after="100" w:afterAutospacing="1" w:line="240" w:lineRule="auto"/>
        <w:ind w:leftChars="0"/>
        <w:jc w:val="center"/>
        <w:outlineLvl w:val="0"/>
        <w:rPr>
          <w:rFonts w:hint="eastAsia" w:asciiTheme="majorEastAsia" w:hAnsiTheme="majorEastAsia" w:eastAsiaTheme="majorEastAsia" w:cstheme="majorEastAsia"/>
          <w:b/>
          <w:bCs w:val="0"/>
          <w:color w:val="auto"/>
          <w:kern w:val="0"/>
          <w:sz w:val="44"/>
          <w:szCs w:val="32"/>
          <w:highlight w:val="none"/>
          <w:lang w:val="en-US" w:eastAsia="zh-CN" w:bidi="ar-SA"/>
        </w:rPr>
      </w:pPr>
      <w:r>
        <w:rPr>
          <w:rFonts w:hint="eastAsia" w:asciiTheme="majorEastAsia" w:hAnsiTheme="majorEastAsia" w:eastAsiaTheme="majorEastAsia" w:cstheme="majorEastAsia"/>
          <w:b/>
          <w:bCs w:val="0"/>
          <w:color w:val="auto"/>
          <w:kern w:val="0"/>
          <w:sz w:val="44"/>
          <w:szCs w:val="32"/>
          <w:highlight w:val="none"/>
          <w:lang w:val="en-US" w:eastAsia="zh-CN" w:bidi="ar-SA"/>
        </w:rPr>
        <w:t>评标办法（综合评估法）</w:t>
      </w:r>
    </w:p>
    <w:p>
      <w:pPr>
        <w:pStyle w:val="2"/>
        <w:jc w:val="left"/>
        <w:outlineLvl w:val="1"/>
        <w:rPr>
          <w:rFonts w:hint="eastAsia" w:asciiTheme="majorEastAsia" w:hAnsiTheme="majorEastAsia" w:eastAsiaTheme="majorEastAsia" w:cstheme="majorEastAsia"/>
          <w:b/>
          <w:bCs/>
          <w:color w:val="auto"/>
          <w:sz w:val="32"/>
          <w:szCs w:val="22"/>
          <w:highlight w:val="none"/>
          <w:lang w:val="en-US" w:eastAsia="zh-CN"/>
        </w:rPr>
      </w:pPr>
      <w:bookmarkStart w:id="0" w:name="_Toc31434"/>
      <w:bookmarkStart w:id="1" w:name="_Toc10625"/>
      <w:bookmarkStart w:id="2" w:name="_Toc21903"/>
      <w:bookmarkStart w:id="3" w:name="_Toc16844"/>
      <w:bookmarkStart w:id="4" w:name="_Toc28330"/>
      <w:bookmarkStart w:id="5" w:name="_Toc19322"/>
      <w:r>
        <w:rPr>
          <w:rFonts w:hint="eastAsia" w:asciiTheme="majorEastAsia" w:hAnsiTheme="majorEastAsia" w:eastAsiaTheme="majorEastAsia" w:cstheme="majorEastAsia"/>
          <w:b/>
          <w:bCs/>
          <w:color w:val="auto"/>
          <w:sz w:val="32"/>
          <w:szCs w:val="22"/>
          <w:highlight w:val="none"/>
          <w:lang w:val="en-US" w:eastAsia="zh-CN"/>
        </w:rPr>
        <w:t>评标办法前附表</w:t>
      </w:r>
      <w:bookmarkEnd w:id="0"/>
      <w:bookmarkEnd w:id="1"/>
      <w:bookmarkEnd w:id="2"/>
      <w:bookmarkEnd w:id="3"/>
      <w:bookmarkEnd w:id="4"/>
      <w:bookmarkEnd w:id="5"/>
    </w:p>
    <w:p>
      <w:pPr>
        <w:adjustRightInd w:val="0"/>
        <w:snapToGrid w:val="0"/>
        <w:spacing w:line="360" w:lineRule="auto"/>
        <w:ind w:firstLine="241" w:firstLineChars="100"/>
        <w:jc w:val="left"/>
        <w:outlineLvl w:val="9"/>
        <w:rPr>
          <w:rFonts w:hint="eastAsia" w:ascii="宋体" w:hAnsi="宋体" w:eastAsia="宋体" w:cs="Times New Roman"/>
          <w:b w:val="0"/>
          <w:bCs w:val="0"/>
          <w:i w:val="0"/>
          <w:iCs w:val="0"/>
          <w:color w:val="auto"/>
          <w:szCs w:val="21"/>
          <w:highlight w:val="none"/>
          <w:lang w:val="en-US" w:eastAsia="zh-CN"/>
        </w:rPr>
      </w:pPr>
      <w:r>
        <w:rPr>
          <w:rFonts w:hint="eastAsia" w:ascii="宋体" w:hAnsi="宋体" w:eastAsia="宋体" w:cs="Times New Roman"/>
          <w:b/>
          <w:bCs/>
          <w:color w:val="auto"/>
          <w:sz w:val="24"/>
          <w:szCs w:val="24"/>
          <w:highlight w:val="none"/>
          <w:lang w:val="en-US" w:eastAsia="zh-CN"/>
        </w:rPr>
        <w:t>（1）初步评审标准</w:t>
      </w:r>
      <w:bookmarkStart w:id="6" w:name="PO_39F376A24041489CB2563E0AEB1A6B80"/>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1701"/>
        <w:gridCol w:w="59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shd w:val="clear" w:color="auto" w:fill="FFFFFF"/>
            <w:vAlign w:val="center"/>
          </w:tcPr>
          <w:p>
            <w:pPr>
              <w:jc w:val="center"/>
            </w:pPr>
            <w:r>
              <w:rPr>
                <w:b/>
              </w:rPr>
              <w:t>序号</w:t>
            </w:r>
          </w:p>
        </w:tc>
        <w:tc>
          <w:tcPr>
            <w:tcW w:w="1701" w:type="dxa"/>
            <w:shd w:val="clear" w:color="auto" w:fill="FFFFFF"/>
            <w:vAlign w:val="center"/>
          </w:tcPr>
          <w:p>
            <w:pPr>
              <w:jc w:val="center"/>
            </w:pPr>
            <w:r>
              <w:rPr>
                <w:b/>
              </w:rPr>
              <w:t>初审要素</w:t>
            </w:r>
          </w:p>
        </w:tc>
        <w:tc>
          <w:tcPr>
            <w:tcW w:w="5953" w:type="dxa"/>
            <w:shd w:val="clear" w:color="auto" w:fill="FFFFFF"/>
            <w:vAlign w:val="center"/>
          </w:tcPr>
          <w:p>
            <w:pPr>
              <w:jc w:val="center"/>
            </w:pPr>
            <w:r>
              <w:rPr>
                <w:b/>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51" w:type="dxa"/>
            <w:shd w:val="clear" w:color="auto" w:fill="FFFFFF"/>
            <w:vAlign w:val="center"/>
          </w:tcPr>
          <w:p>
            <w:pPr>
              <w:jc w:val="center"/>
            </w:pPr>
            <w:r>
              <w:t>1</w:t>
            </w:r>
          </w:p>
        </w:tc>
        <w:tc>
          <w:tcPr>
            <w:tcW w:w="1701" w:type="dxa"/>
            <w:shd w:val="clear" w:color="auto" w:fill="FFFFFF"/>
            <w:vAlign w:val="center"/>
          </w:tcPr>
          <w:p>
            <w:pPr>
              <w:jc w:val="left"/>
            </w:pPr>
            <w:r>
              <w:t>计算机硬件特征码审查</w:t>
            </w:r>
          </w:p>
        </w:tc>
        <w:tc>
          <w:tcPr>
            <w:tcW w:w="5953" w:type="dxa"/>
            <w:shd w:val="clear" w:color="auto" w:fill="FFFFFF"/>
            <w:vAlign w:val="center"/>
          </w:tcPr>
          <w:p>
            <w:pPr>
              <w:jc w:val="left"/>
            </w:pPr>
            <w:r>
              <w:t>招标： （1）与其他投标人下载招标文件的IP地址、投标文件的CPU序列号及硬盘序列号三者同时一致； （2）与其他投标人上传投标文件的IP地址、投标文件的CPU序列号及硬盘序列号三者同时一致； （3）与其他投标人的投标文件网卡MAC地址一致。  如采购项目最小独立评审单元（标的/标包/标段）出现上述任一情形，将否决投标人响应该采购项目及同一采购项目后续采购的全部投标文件。 非招标： （1）与其他供应商下载采购文件的IP地址、响应文件的CPU序列号及硬盘序列号三者同时一致； （2）与其他供应商上传响应文件的IP地址、响应文件的CPU序列号及硬盘序列号三者同时一致； （3）与其他供应商的响应文件网卡MAC地址一致。  如采购项目最小独立评审单元（标的/标包/标段）出现上述任一情形，将否决供应商响应该采购项目及同一采购项目后续采购的全部响应文件。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51" w:type="dxa"/>
            <w:shd w:val="clear" w:color="auto" w:fill="FFFFFF"/>
            <w:vAlign w:val="center"/>
          </w:tcPr>
          <w:p>
            <w:pPr>
              <w:jc w:val="center"/>
            </w:pPr>
            <w:r>
              <w:t>2</w:t>
            </w:r>
          </w:p>
        </w:tc>
        <w:tc>
          <w:tcPr>
            <w:tcW w:w="1701" w:type="dxa"/>
            <w:shd w:val="clear" w:color="auto" w:fill="FFFFFF"/>
            <w:vAlign w:val="center"/>
          </w:tcPr>
          <w:p>
            <w:pPr>
              <w:jc w:val="left"/>
            </w:pPr>
            <w:r>
              <w:t>投标人名称</w:t>
            </w:r>
          </w:p>
        </w:tc>
        <w:tc>
          <w:tcPr>
            <w:tcW w:w="5953" w:type="dxa"/>
            <w:shd w:val="clear" w:color="auto" w:fill="FFFFFF"/>
            <w:vAlign w:val="center"/>
          </w:tcPr>
          <w:p>
            <w:pPr>
              <w:jc w:val="left"/>
            </w:pPr>
            <w:r>
              <w:t>与营业执照、资质证书一致。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51" w:type="dxa"/>
            <w:shd w:val="clear" w:color="auto" w:fill="FFFFFF"/>
            <w:vAlign w:val="center"/>
          </w:tcPr>
          <w:p>
            <w:pPr>
              <w:jc w:val="center"/>
            </w:pPr>
            <w:r>
              <w:t>3</w:t>
            </w:r>
          </w:p>
        </w:tc>
        <w:tc>
          <w:tcPr>
            <w:tcW w:w="1701" w:type="dxa"/>
            <w:shd w:val="clear" w:color="auto" w:fill="FFFFFF"/>
            <w:vAlign w:val="center"/>
          </w:tcPr>
          <w:p>
            <w:pPr>
              <w:jc w:val="left"/>
            </w:pPr>
            <w:r>
              <w:t>投标文件签字盖章</w:t>
            </w:r>
          </w:p>
        </w:tc>
        <w:tc>
          <w:tcPr>
            <w:tcW w:w="5953" w:type="dxa"/>
            <w:shd w:val="clear" w:color="auto" w:fill="FFFFFF"/>
            <w:vAlign w:val="center"/>
          </w:tcPr>
          <w:p>
            <w:pPr>
              <w:jc w:val="left"/>
            </w:pPr>
            <w:r>
              <w:t>按招标文件提供的投标文件格式要求进行签字或加盖单位公章（含南方电网供应链统一服务平台数字证书电子印章）。由法定代表人（单位负责人）签字的，应附法定代表人（单位负责人）身份证明，由代理人签字的，应附授权委托书，身份证明或授权委托书应符合“投标文件格式”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51" w:type="dxa"/>
            <w:shd w:val="clear" w:color="auto" w:fill="FFFFFF"/>
            <w:vAlign w:val="center"/>
          </w:tcPr>
          <w:p>
            <w:pPr>
              <w:jc w:val="center"/>
            </w:pPr>
            <w:r>
              <w:t>4</w:t>
            </w:r>
          </w:p>
        </w:tc>
        <w:tc>
          <w:tcPr>
            <w:tcW w:w="1701" w:type="dxa"/>
            <w:shd w:val="clear" w:color="auto" w:fill="FFFFFF"/>
            <w:vAlign w:val="center"/>
          </w:tcPr>
          <w:p>
            <w:pPr>
              <w:jc w:val="left"/>
            </w:pPr>
            <w:r>
              <w:t>投标文件格式</w:t>
            </w:r>
          </w:p>
        </w:tc>
        <w:tc>
          <w:tcPr>
            <w:tcW w:w="5953" w:type="dxa"/>
            <w:shd w:val="clear" w:color="auto" w:fill="FFFFFF"/>
            <w:vAlign w:val="center"/>
          </w:tcPr>
          <w:p>
            <w:pPr>
              <w:jc w:val="left"/>
            </w:pPr>
            <w:r>
              <w:t>投标文件按照招标文件规定格式要求编制，且未出现实质性要求和条件响应内容缺失。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51" w:type="dxa"/>
            <w:shd w:val="clear" w:color="auto" w:fill="FFFFFF"/>
            <w:vAlign w:val="center"/>
          </w:tcPr>
          <w:p>
            <w:pPr>
              <w:jc w:val="center"/>
            </w:pPr>
            <w:r>
              <w:t>5</w:t>
            </w:r>
          </w:p>
        </w:tc>
        <w:tc>
          <w:tcPr>
            <w:tcW w:w="1701" w:type="dxa"/>
            <w:shd w:val="clear" w:color="auto" w:fill="FFFFFF"/>
            <w:vAlign w:val="center"/>
          </w:tcPr>
          <w:p>
            <w:pPr>
              <w:jc w:val="left"/>
            </w:pPr>
            <w:r>
              <w:t>资格条件</w:t>
            </w:r>
          </w:p>
        </w:tc>
        <w:tc>
          <w:tcPr>
            <w:tcW w:w="5953" w:type="dxa"/>
            <w:shd w:val="clear" w:color="auto" w:fill="FFFFFF"/>
            <w:vAlign w:val="center"/>
          </w:tcPr>
          <w:p>
            <w:pPr>
              <w:jc w:val="left"/>
            </w:pPr>
            <w:r>
              <w:t>符合本项目通用和专用资格各项要求。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51" w:type="dxa"/>
            <w:shd w:val="clear" w:color="auto" w:fill="FFFFFF"/>
            <w:vAlign w:val="center"/>
          </w:tcPr>
          <w:p>
            <w:pPr>
              <w:jc w:val="center"/>
            </w:pPr>
            <w:r>
              <w:t>6</w:t>
            </w:r>
          </w:p>
        </w:tc>
        <w:tc>
          <w:tcPr>
            <w:tcW w:w="1701" w:type="dxa"/>
            <w:shd w:val="clear" w:color="auto" w:fill="FFFFFF"/>
            <w:vAlign w:val="center"/>
          </w:tcPr>
          <w:p>
            <w:pPr>
              <w:jc w:val="left"/>
            </w:pPr>
            <w:r>
              <w:t>投标报价</w:t>
            </w:r>
          </w:p>
        </w:tc>
        <w:tc>
          <w:tcPr>
            <w:tcW w:w="5953" w:type="dxa"/>
            <w:shd w:val="clear" w:color="auto" w:fill="FFFFFF"/>
            <w:vAlign w:val="center"/>
          </w:tcPr>
          <w:p>
            <w:pPr>
              <w:jc w:val="left"/>
            </w:pPr>
            <w:r>
              <w:t>只能有一个有效报价，报价不得高于对应最高限价，否则按否决投标处理。</w:t>
            </w:r>
          </w:p>
          <w:p>
            <w:pPr>
              <w:jc w:val="left"/>
            </w:pPr>
            <w:r>
              <w:t>出现下列情形之一的，视为可能低于成本或者影响履约的异常低价投标，采购工作组按照评审办法第3.2.4款处理：</w:t>
            </w:r>
          </w:p>
          <w:p>
            <w:pPr>
              <w:jc w:val="left"/>
            </w:pPr>
            <w:r>
              <w:t>（1）投标（响应）报价低于全部通过符合性审查供应商投标（响应）报价平均值50％的；</w:t>
            </w:r>
          </w:p>
          <w:p>
            <w:pPr>
              <w:jc w:val="left"/>
            </w:pPr>
            <w:r>
              <w:t>（2）投标（响应）报价低于通过符合性审查且报价次低供应商投标（响应）报价50％的；</w:t>
            </w:r>
          </w:p>
          <w:p>
            <w:pPr>
              <w:jc w:val="left"/>
            </w:pPr>
            <w:r>
              <w:t>（3）投标（响应）报价低于采购项目最高限价45％的，项目没有设定最高限价的，采购预算视为最高限价；</w:t>
            </w:r>
          </w:p>
          <w:p>
            <w:pPr>
              <w:jc w:val="left"/>
            </w:pPr>
            <w:r>
              <w:t>（4）采购工作组认为供应商报价过低，有可能影响产品质量或者不能诚信履约的其他情形。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51" w:type="dxa"/>
            <w:shd w:val="clear" w:color="auto" w:fill="FFFFFF"/>
            <w:vAlign w:val="center"/>
          </w:tcPr>
          <w:p>
            <w:pPr>
              <w:jc w:val="center"/>
            </w:pPr>
            <w:r>
              <w:t>7</w:t>
            </w:r>
          </w:p>
        </w:tc>
        <w:tc>
          <w:tcPr>
            <w:tcW w:w="1701" w:type="dxa"/>
            <w:shd w:val="clear" w:color="auto" w:fill="FFFFFF"/>
            <w:vAlign w:val="center"/>
          </w:tcPr>
          <w:p>
            <w:pPr>
              <w:jc w:val="left"/>
            </w:pPr>
            <w:r>
              <w:t>投标内容</w:t>
            </w:r>
          </w:p>
        </w:tc>
        <w:tc>
          <w:tcPr>
            <w:tcW w:w="5953" w:type="dxa"/>
            <w:shd w:val="clear" w:color="auto" w:fill="FFFFFF"/>
            <w:vAlign w:val="center"/>
          </w:tcPr>
          <w:p>
            <w:pPr>
              <w:jc w:val="left"/>
            </w:pPr>
            <w:r>
              <w:t>符合招标范围规定。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51" w:type="dxa"/>
            <w:shd w:val="clear" w:color="auto" w:fill="FFFFFF"/>
            <w:vAlign w:val="center"/>
          </w:tcPr>
          <w:p>
            <w:pPr>
              <w:jc w:val="center"/>
            </w:pPr>
            <w:r>
              <w:t>8</w:t>
            </w:r>
          </w:p>
        </w:tc>
        <w:tc>
          <w:tcPr>
            <w:tcW w:w="1701" w:type="dxa"/>
            <w:shd w:val="clear" w:color="auto" w:fill="FFFFFF"/>
            <w:vAlign w:val="center"/>
          </w:tcPr>
          <w:p>
            <w:pPr>
              <w:jc w:val="left"/>
            </w:pPr>
            <w:r>
              <w:t>时间要求</w:t>
            </w:r>
          </w:p>
        </w:tc>
        <w:tc>
          <w:tcPr>
            <w:tcW w:w="5953" w:type="dxa"/>
            <w:shd w:val="clear" w:color="auto" w:fill="FFFFFF"/>
            <w:vAlign w:val="center"/>
          </w:tcPr>
          <w:p>
            <w:pPr>
              <w:jc w:val="left"/>
            </w:pPr>
            <w:r>
              <w:t>工作（或服务、交货）时间符合招标文件要求。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51" w:type="dxa"/>
            <w:shd w:val="clear" w:color="auto" w:fill="FFFFFF"/>
            <w:vAlign w:val="center"/>
          </w:tcPr>
          <w:p>
            <w:pPr>
              <w:jc w:val="center"/>
            </w:pPr>
            <w:r>
              <w:t>9</w:t>
            </w:r>
          </w:p>
        </w:tc>
        <w:tc>
          <w:tcPr>
            <w:tcW w:w="1701" w:type="dxa"/>
            <w:shd w:val="clear" w:color="auto" w:fill="FFFFFF"/>
            <w:vAlign w:val="center"/>
          </w:tcPr>
          <w:p>
            <w:pPr>
              <w:jc w:val="left"/>
            </w:pPr>
            <w:r>
              <w:t>其他否决条款</w:t>
            </w:r>
          </w:p>
        </w:tc>
        <w:tc>
          <w:tcPr>
            <w:tcW w:w="5953" w:type="dxa"/>
            <w:shd w:val="clear" w:color="auto" w:fill="FFFFFF"/>
            <w:vAlign w:val="center"/>
          </w:tcPr>
          <w:p>
            <w:pPr>
              <w:jc w:val="left"/>
            </w:pPr>
            <w:r>
              <w:t>属于《中华人民共和国招标投标法》、《中华人民共和国招标投标法实施条例》等法律法规规定否决处理的。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51" w:type="dxa"/>
            <w:shd w:val="clear" w:color="auto" w:fill="FFFFFF"/>
            <w:vAlign w:val="center"/>
          </w:tcPr>
          <w:p>
            <w:pPr>
              <w:jc w:val="center"/>
            </w:pPr>
            <w:r>
              <w:t>10</w:t>
            </w:r>
          </w:p>
        </w:tc>
        <w:tc>
          <w:tcPr>
            <w:tcW w:w="1701" w:type="dxa"/>
            <w:shd w:val="clear" w:color="auto" w:fill="FFFFFF"/>
            <w:vAlign w:val="center"/>
          </w:tcPr>
          <w:p>
            <w:pPr>
              <w:jc w:val="left"/>
            </w:pPr>
            <w:r>
              <w:t>质量要求</w:t>
            </w:r>
          </w:p>
        </w:tc>
        <w:tc>
          <w:tcPr>
            <w:tcW w:w="5953" w:type="dxa"/>
            <w:shd w:val="clear" w:color="auto" w:fill="FFFFFF"/>
            <w:vAlign w:val="center"/>
          </w:tcPr>
          <w:p>
            <w:pPr>
              <w:jc w:val="left"/>
            </w:pPr>
            <w:r>
              <w:t>标的物质量符合采购文件要求。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51" w:type="dxa"/>
            <w:shd w:val="clear" w:color="auto" w:fill="FFFFFF"/>
            <w:vAlign w:val="center"/>
          </w:tcPr>
          <w:p>
            <w:pPr>
              <w:jc w:val="center"/>
            </w:pPr>
            <w:r>
              <w:t>11</w:t>
            </w:r>
          </w:p>
        </w:tc>
        <w:tc>
          <w:tcPr>
            <w:tcW w:w="1701" w:type="dxa"/>
            <w:shd w:val="clear" w:color="auto" w:fill="FFFFFF"/>
            <w:vAlign w:val="center"/>
          </w:tcPr>
          <w:p>
            <w:pPr>
              <w:jc w:val="left"/>
            </w:pPr>
            <w:r>
              <w:t>投标有效期</w:t>
            </w:r>
          </w:p>
        </w:tc>
        <w:tc>
          <w:tcPr>
            <w:tcW w:w="5953" w:type="dxa"/>
            <w:shd w:val="clear" w:color="auto" w:fill="FFFFFF"/>
            <w:vAlign w:val="center"/>
          </w:tcPr>
          <w:p>
            <w:pPr>
              <w:jc w:val="left"/>
            </w:pPr>
            <w:r>
              <w:t>符合招标文件要求。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51" w:type="dxa"/>
            <w:shd w:val="clear" w:color="auto" w:fill="FFFFFF"/>
            <w:vAlign w:val="center"/>
          </w:tcPr>
          <w:p>
            <w:pPr>
              <w:jc w:val="center"/>
            </w:pPr>
            <w:r>
              <w:t>12</w:t>
            </w:r>
          </w:p>
        </w:tc>
        <w:tc>
          <w:tcPr>
            <w:tcW w:w="1701" w:type="dxa"/>
            <w:shd w:val="clear" w:color="auto" w:fill="FFFFFF"/>
            <w:vAlign w:val="center"/>
          </w:tcPr>
          <w:p>
            <w:pPr>
              <w:jc w:val="left"/>
            </w:pPr>
            <w:r>
              <w:t>权利义务</w:t>
            </w:r>
          </w:p>
        </w:tc>
        <w:tc>
          <w:tcPr>
            <w:tcW w:w="5953" w:type="dxa"/>
            <w:shd w:val="clear" w:color="auto" w:fill="FFFFFF"/>
            <w:vAlign w:val="center"/>
          </w:tcPr>
          <w:p>
            <w:pPr>
              <w:jc w:val="left"/>
            </w:pPr>
            <w:r>
              <w:t>对招标文件适用法律，招标文件规定的履约保证金、责任、义务、违约、赔偿、付款、结算等实质性内容的条款未提出偏差的，或提出偏差但优于招标文件要求的。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51" w:type="dxa"/>
            <w:shd w:val="clear" w:color="auto" w:fill="FFFFFF"/>
            <w:vAlign w:val="center"/>
          </w:tcPr>
          <w:p>
            <w:pPr>
              <w:jc w:val="center"/>
            </w:pPr>
            <w:r>
              <w:t>13</w:t>
            </w:r>
          </w:p>
        </w:tc>
        <w:tc>
          <w:tcPr>
            <w:tcW w:w="1701" w:type="dxa"/>
            <w:shd w:val="clear" w:color="auto" w:fill="FFFFFF"/>
            <w:vAlign w:val="center"/>
          </w:tcPr>
          <w:p>
            <w:pPr>
              <w:jc w:val="left"/>
            </w:pPr>
            <w:r>
              <w:t>不得存在的情形</w:t>
            </w:r>
          </w:p>
        </w:tc>
        <w:tc>
          <w:tcPr>
            <w:tcW w:w="5953" w:type="dxa"/>
            <w:shd w:val="clear" w:color="auto" w:fill="FFFFFF"/>
            <w:vAlign w:val="center"/>
          </w:tcPr>
          <w:p>
            <w:pPr>
              <w:jc w:val="left"/>
            </w:pPr>
            <w:r>
              <w:t>投标人不得存在下列情形之一：</w:t>
            </w:r>
          </w:p>
          <w:p>
            <w:pPr>
              <w:jc w:val="left"/>
            </w:pPr>
            <w:r>
              <w:t>(1)与招标人存在利害关系且可能影响招标公正性；</w:t>
            </w:r>
          </w:p>
          <w:p>
            <w:pPr>
              <w:jc w:val="left"/>
            </w:pPr>
            <w:r>
              <w:t>(2)与本招标项目（同一标包）的其他投标人为同一个单位负责人；</w:t>
            </w:r>
          </w:p>
          <w:p>
            <w:pPr>
              <w:jc w:val="left"/>
            </w:pPr>
            <w:r>
              <w:t>(3)与本招标项目（同一标包）的其他投标人存在控股、管理关系；</w:t>
            </w:r>
          </w:p>
          <w:p>
            <w:pPr>
              <w:jc w:val="left"/>
            </w:pPr>
            <w:r>
              <w:t>(4)为本招标项目提供过设计、编制技术规范和其他文件的咨询服务；</w:t>
            </w:r>
          </w:p>
          <w:p>
            <w:pPr>
              <w:jc w:val="left"/>
            </w:pPr>
            <w:r>
              <w:t>(5)为本招标项目的招标代理机构；</w:t>
            </w:r>
          </w:p>
          <w:p>
            <w:pPr>
              <w:jc w:val="left"/>
            </w:pPr>
            <w:r>
              <w:t>(6)与本招标项目的招标代理机构同为一个法定代表人；</w:t>
            </w:r>
          </w:p>
          <w:p>
            <w:pPr>
              <w:jc w:val="left"/>
            </w:pPr>
            <w:r>
              <w:t>(7)与本招标项目的招标代理机构存在控股或参股关系；</w:t>
            </w:r>
          </w:p>
          <w:p>
            <w:pPr>
              <w:jc w:val="left"/>
            </w:pPr>
            <w:r>
              <w:t>(8)被依法暂停或者取消投标资格。</w:t>
            </w:r>
          </w:p>
          <w:p>
            <w:pPr>
              <w:jc w:val="left"/>
            </w:pPr>
            <w:r>
              <w:t>(9)被责令停产停业、暂扣或者吊销许可证、暂扣或者吊销执照；</w:t>
            </w:r>
          </w:p>
          <w:p>
            <w:pPr>
              <w:jc w:val="left"/>
            </w:pPr>
            <w:r>
              <w:t>(10)进入清算程序，或被宣告破产，或其他丧失履约能力的情形；</w:t>
            </w:r>
          </w:p>
          <w:p>
            <w:pPr>
              <w:jc w:val="left"/>
            </w:pPr>
            <w:r>
              <w:t>(12)被“国家企业信用信息公示系统”（https://www.gsxt.gov.cn）中列入严重违法失信企业名单；</w:t>
            </w:r>
          </w:p>
          <w:p>
            <w:pPr>
              <w:jc w:val="left"/>
            </w:pPr>
            <w:r>
              <w:t>(13)被“信用中国”网站（www.creditchina.gov.cn）或各级信用信息共享平台中列入失信被执行人名单；</w:t>
            </w:r>
          </w:p>
          <w:p>
            <w:pPr>
              <w:jc w:val="left"/>
            </w:pPr>
            <w:r>
              <w:t>(14)在近三年内投标人或其法定代表人、拟委任的项目负责人有行贿犯罪行为的；</w:t>
            </w:r>
          </w:p>
          <w:p>
            <w:pPr>
              <w:jc w:val="left"/>
            </w:pPr>
            <w:r>
              <w:t>(15)被中国南方电网有限责任公司列入供应商处罚黑名单或供应商处罚预警名单的；</w:t>
            </w:r>
          </w:p>
          <w:p>
            <w:pPr>
              <w:jc w:val="left"/>
            </w:pPr>
            <w:r>
              <w:t>(16)法律法规和招标文件规定的其他不得存在的情形。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51" w:type="dxa"/>
            <w:shd w:val="clear" w:color="auto" w:fill="FFFFFF"/>
            <w:vAlign w:val="center"/>
          </w:tcPr>
          <w:p>
            <w:pPr>
              <w:jc w:val="center"/>
            </w:pPr>
            <w:r>
              <w:t>14</w:t>
            </w:r>
          </w:p>
        </w:tc>
        <w:tc>
          <w:tcPr>
            <w:tcW w:w="1701" w:type="dxa"/>
            <w:shd w:val="clear" w:color="auto" w:fill="FFFFFF"/>
            <w:vAlign w:val="center"/>
          </w:tcPr>
          <w:p>
            <w:pPr>
              <w:jc w:val="left"/>
            </w:pPr>
            <w:r>
              <w:t>关键技术指标响应</w:t>
            </w:r>
          </w:p>
        </w:tc>
        <w:tc>
          <w:tcPr>
            <w:tcW w:w="5953" w:type="dxa"/>
            <w:shd w:val="clear" w:color="auto" w:fill="FFFFFF"/>
            <w:vAlign w:val="center"/>
          </w:tcPr>
          <w:p>
            <w:pPr>
              <w:jc w:val="left"/>
            </w:pPr>
            <w:r>
              <w:t>标注*的为关键重要指标，每有一项关键重要指标不满足，其投标无效。</w:t>
            </w:r>
          </w:p>
        </w:tc>
      </w:tr>
      <w:bookmarkEnd w:id="6"/>
    </w:tbl>
    <w:p/>
    <w:p>
      <w:pPr>
        <w:pStyle w:val="3"/>
        <w:spacing w:line="240" w:lineRule="auto"/>
        <w:ind w:firstLine="240"/>
        <w:outlineLvl w:val="9"/>
        <w:rPr>
          <w:rFonts w:hint="default"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w:t>
      </w:r>
      <w:r>
        <w:rPr>
          <w:rFonts w:hint="eastAsia" w:ascii="宋体" w:hAnsi="宋体" w:cs="宋体"/>
          <w:b w:val="0"/>
          <w:bCs w:val="0"/>
          <w:i w:val="0"/>
          <w:iCs w:val="0"/>
          <w:color w:val="auto"/>
          <w:sz w:val="21"/>
          <w:szCs w:val="21"/>
          <w:highlight w:val="none"/>
          <w:lang w:val="en-US" w:eastAsia="zh-CN"/>
        </w:rPr>
        <w:t>2</w:t>
      </w:r>
      <w:r>
        <w:rPr>
          <w:rFonts w:hint="eastAsia" w:ascii="宋体" w:hAnsi="宋体" w:eastAsia="宋体" w:cs="宋体"/>
          <w:b w:val="0"/>
          <w:bCs w:val="0"/>
          <w:i w:val="0"/>
          <w:iCs w:val="0"/>
          <w:color w:val="auto"/>
          <w:sz w:val="21"/>
          <w:szCs w:val="21"/>
          <w:highlight w:val="none"/>
          <w:lang w:val="en-US" w:eastAsia="zh-CN"/>
        </w:rPr>
        <w:t>）详细评审标准</w:t>
      </w:r>
      <w:bookmarkStart w:id="7" w:name="PO_638CE53E34A141D49CDF3F9AE23E9E16"/>
    </w:p>
    <w:tbl>
      <w:tblPr>
        <w:tblStyle w:val="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168"/>
        <w:gridCol w:w="505"/>
        <w:gridCol w:w="741"/>
        <w:gridCol w:w="1271"/>
        <w:gridCol w:w="2367"/>
        <w:gridCol w:w="789"/>
        <w:gridCol w:w="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vAlign w:val="center"/>
          </w:tcPr>
          <w:p>
            <w:pPr>
              <w:spacing w:line="400" w:lineRule="exact"/>
            </w:pPr>
            <w:r>
              <w:t>下列评审标准适用的标包：经营资质策划咨询及协助申报服务[经营资质策划咨询及协助申报服务]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0" w:type="pct"/>
            <w:gridSpan w:val="2"/>
            <w:vAlign w:val="center"/>
          </w:tcPr>
          <w:p>
            <w:pPr>
              <w:spacing w:line="400" w:lineRule="exact"/>
              <w:jc w:val="center"/>
            </w:pPr>
            <w:r>
              <w:rPr>
                <w:b/>
              </w:rPr>
              <w:t>条款号</w:t>
            </w:r>
          </w:p>
        </w:tc>
        <w:tc>
          <w:tcPr>
            <w:tcW w:w="296" w:type="pct"/>
            <w:vAlign w:val="center"/>
          </w:tcPr>
          <w:p>
            <w:pPr>
              <w:spacing w:line="400" w:lineRule="exact"/>
              <w:jc w:val="center"/>
            </w:pPr>
            <w:r>
              <w:rPr>
                <w:b/>
              </w:rPr>
              <w:t>序号</w:t>
            </w:r>
          </w:p>
        </w:tc>
        <w:tc>
          <w:tcPr>
            <w:tcW w:w="435" w:type="pct"/>
            <w:vAlign w:val="center"/>
          </w:tcPr>
          <w:p>
            <w:pPr>
              <w:spacing w:line="400" w:lineRule="exact"/>
              <w:jc w:val="center"/>
            </w:pPr>
            <w:r>
              <w:rPr>
                <w:b/>
              </w:rPr>
              <w:t>评分因素</w:t>
            </w:r>
          </w:p>
        </w:tc>
        <w:tc>
          <w:tcPr>
            <w:tcW w:w="744" w:type="pct"/>
            <w:vAlign w:val="center"/>
          </w:tcPr>
          <w:p>
            <w:pPr>
              <w:spacing w:line="400" w:lineRule="exact"/>
              <w:jc w:val="center"/>
            </w:pPr>
            <w:r>
              <w:rPr>
                <w:b/>
              </w:rPr>
              <w:t>详细评审项</w:t>
            </w:r>
          </w:p>
        </w:tc>
        <w:tc>
          <w:tcPr>
            <w:tcW w:w="1389" w:type="pct"/>
            <w:vAlign w:val="center"/>
          </w:tcPr>
          <w:p>
            <w:pPr>
              <w:spacing w:line="400" w:lineRule="exact"/>
              <w:jc w:val="center"/>
            </w:pPr>
            <w:r>
              <w:rPr>
                <w:b/>
              </w:rPr>
              <w:t>详细评审分项要素</w:t>
            </w:r>
          </w:p>
        </w:tc>
        <w:tc>
          <w:tcPr>
            <w:tcW w:w="463" w:type="pct"/>
            <w:vAlign w:val="center"/>
          </w:tcPr>
          <w:p>
            <w:pPr>
              <w:spacing w:line="400" w:lineRule="exact"/>
              <w:jc w:val="center"/>
            </w:pPr>
            <w:r>
              <w:rPr>
                <w:b/>
              </w:rPr>
              <w:t>是否暗标评审条款</w:t>
            </w:r>
          </w:p>
        </w:tc>
        <w:tc>
          <w:tcPr>
            <w:tcW w:w="549" w:type="pct"/>
            <w:vAlign w:val="center"/>
          </w:tcPr>
          <w:p>
            <w:pPr>
              <w:spacing w:line="400" w:lineRule="exact"/>
              <w:jc w:val="center"/>
            </w:pPr>
            <w:r>
              <w:rPr>
                <w:b/>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 w:type="pct"/>
            <w:vMerge w:val="restart"/>
            <w:vAlign w:val="center"/>
          </w:tcPr>
          <w:p>
            <w:pPr>
              <w:spacing w:line="400" w:lineRule="exact"/>
              <w:jc w:val="center"/>
            </w:pPr>
            <w:r>
              <w:t>1（1）</w:t>
            </w:r>
          </w:p>
        </w:tc>
        <w:tc>
          <w:tcPr>
            <w:tcW w:w="684" w:type="pct"/>
            <w:vMerge w:val="restart"/>
            <w:vAlign w:val="center"/>
          </w:tcPr>
          <w:p>
            <w:pPr>
              <w:spacing w:line="400" w:lineRule="exact"/>
              <w:jc w:val="center"/>
            </w:pPr>
            <w:r>
              <w:t>商务评分 标准</w:t>
            </w:r>
          </w:p>
        </w:tc>
        <w:tc>
          <w:tcPr>
            <w:tcW w:w="296" w:type="pct"/>
            <w:vAlign w:val="center"/>
          </w:tcPr>
          <w:p>
            <w:pPr>
              <w:spacing w:line="400" w:lineRule="exact"/>
              <w:jc w:val="center"/>
            </w:pPr>
            <w:r>
              <w:t>1</w:t>
            </w:r>
          </w:p>
        </w:tc>
        <w:tc>
          <w:tcPr>
            <w:tcW w:w="435" w:type="pct"/>
            <w:vAlign w:val="center"/>
          </w:tcPr>
          <w:p>
            <w:pPr>
              <w:spacing w:line="400" w:lineRule="exact"/>
              <w:jc w:val="center"/>
            </w:pPr>
            <w:r>
              <w:t>商务评分</w:t>
            </w:r>
          </w:p>
        </w:tc>
        <w:tc>
          <w:tcPr>
            <w:tcW w:w="744" w:type="pct"/>
            <w:vAlign w:val="center"/>
          </w:tcPr>
          <w:p>
            <w:pPr>
              <w:spacing w:line="400" w:lineRule="exact"/>
              <w:jc w:val="center"/>
            </w:pPr>
            <w:r>
              <w:t>投标书规范</w:t>
            </w:r>
          </w:p>
        </w:tc>
        <w:tc>
          <w:tcPr>
            <w:tcW w:w="1389" w:type="pct"/>
            <w:vAlign w:val="center"/>
          </w:tcPr>
          <w:p>
            <w:pPr>
              <w:spacing w:line="400" w:lineRule="exact"/>
              <w:jc w:val="left"/>
            </w:pPr>
            <w:r>
              <w:t>投标文件按要求格式编制，完整有序、清晰无错漏得10分，存在1处错漏扣5分；报价存在错漏的得0分。</w:t>
            </w:r>
          </w:p>
        </w:tc>
        <w:tc>
          <w:tcPr>
            <w:tcW w:w="463" w:type="pct"/>
            <w:vAlign w:val="center"/>
          </w:tcPr>
          <w:p>
            <w:pPr>
              <w:spacing w:line="400" w:lineRule="exact"/>
              <w:jc w:val="center"/>
            </w:pPr>
            <w:r>
              <w:t>/</w:t>
            </w:r>
          </w:p>
        </w:tc>
        <w:tc>
          <w:tcPr>
            <w:tcW w:w="549" w:type="pct"/>
            <w:vAlign w:val="center"/>
          </w:tcPr>
          <w:p>
            <w:pPr>
              <w:spacing w:line="400" w:lineRule="exact"/>
              <w:jc w:val="center"/>
            </w:pPr>
            <w: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 w:type="pct"/>
            <w:vMerge w:val="continue"/>
          </w:tcPr>
          <w:p/>
        </w:tc>
        <w:tc>
          <w:tcPr>
            <w:tcW w:w="684" w:type="pct"/>
            <w:vMerge w:val="continue"/>
          </w:tcPr>
          <w:p/>
        </w:tc>
        <w:tc>
          <w:tcPr>
            <w:tcW w:w="296" w:type="pct"/>
            <w:vAlign w:val="center"/>
          </w:tcPr>
          <w:p>
            <w:pPr>
              <w:spacing w:line="400" w:lineRule="exact"/>
              <w:jc w:val="center"/>
            </w:pPr>
            <w:r>
              <w:t>2</w:t>
            </w:r>
          </w:p>
        </w:tc>
        <w:tc>
          <w:tcPr>
            <w:tcW w:w="435" w:type="pct"/>
            <w:vAlign w:val="center"/>
          </w:tcPr>
          <w:p>
            <w:pPr>
              <w:spacing w:line="400" w:lineRule="exact"/>
              <w:jc w:val="center"/>
            </w:pPr>
            <w:r>
              <w:t>商务评分</w:t>
            </w:r>
          </w:p>
        </w:tc>
        <w:tc>
          <w:tcPr>
            <w:tcW w:w="744" w:type="pct"/>
            <w:vAlign w:val="center"/>
          </w:tcPr>
          <w:p>
            <w:pPr>
              <w:spacing w:line="400" w:lineRule="exact"/>
              <w:jc w:val="center"/>
            </w:pPr>
            <w:r>
              <w:t>财务能力</w:t>
            </w:r>
          </w:p>
        </w:tc>
        <w:tc>
          <w:tcPr>
            <w:tcW w:w="1389" w:type="pct"/>
            <w:vAlign w:val="center"/>
          </w:tcPr>
          <w:p>
            <w:pPr>
              <w:spacing w:line="400" w:lineRule="exact"/>
              <w:jc w:val="left"/>
            </w:pPr>
            <w:r>
              <w:t>主要评价企业近三年平均营业净利率。按照响应数值由大到小横向排名，第一名得满分，每下降一名扣相应比例分数（总分/通过初评的投标人数量）。相同数值排名一致，之后排名依次增加（如排名第一者有2家，则之后一家按排名第二处理），最后得分四舍五入保留2位小数。</w:t>
            </w:r>
          </w:p>
          <w:p>
            <w:pPr>
              <w:spacing w:line="400" w:lineRule="exact"/>
              <w:jc w:val="left"/>
            </w:pPr>
            <w:r>
              <w:t>注：提供近三年经审计的财务报告（包含资产负债表、现金流量表、利润表和财务情况说明书等财务报表关键页以及审计报告）。投标截止时间在当年6月30日及以前，未出具上年度财务报表时可上传前一年度财务报表；6月30日以后，应上传上年度财务报表。未按年份和时间要求提供财务报表的本项得0分，新成立单位按成立时间提供。非营利法人且未能提供财务报表的取通过初评的投标人得分平均值。营业净利率=净利润/营业收入；公式中“营业收入”在利润（分配）表中体现为“主营业务收入”，或“营业收入”。</w:t>
            </w:r>
          </w:p>
        </w:tc>
        <w:tc>
          <w:tcPr>
            <w:tcW w:w="463" w:type="pct"/>
            <w:vAlign w:val="center"/>
          </w:tcPr>
          <w:p>
            <w:pPr>
              <w:spacing w:line="400" w:lineRule="exact"/>
              <w:jc w:val="center"/>
            </w:pPr>
            <w:r>
              <w:t>/</w:t>
            </w:r>
          </w:p>
        </w:tc>
        <w:tc>
          <w:tcPr>
            <w:tcW w:w="549" w:type="pct"/>
            <w:vAlign w:val="center"/>
          </w:tcPr>
          <w:p>
            <w:pPr>
              <w:spacing w:line="400" w:lineRule="exact"/>
              <w:jc w:val="center"/>
            </w:pPr>
            <w: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 w:type="pct"/>
            <w:vMerge w:val="continue"/>
          </w:tcPr>
          <w:p/>
        </w:tc>
        <w:tc>
          <w:tcPr>
            <w:tcW w:w="684" w:type="pct"/>
            <w:vMerge w:val="continue"/>
          </w:tcPr>
          <w:p/>
        </w:tc>
        <w:tc>
          <w:tcPr>
            <w:tcW w:w="296" w:type="pct"/>
            <w:vAlign w:val="center"/>
          </w:tcPr>
          <w:p>
            <w:pPr>
              <w:spacing w:line="400" w:lineRule="exact"/>
              <w:jc w:val="center"/>
            </w:pPr>
            <w:r>
              <w:t>3</w:t>
            </w:r>
          </w:p>
        </w:tc>
        <w:tc>
          <w:tcPr>
            <w:tcW w:w="435" w:type="pct"/>
            <w:vAlign w:val="center"/>
          </w:tcPr>
          <w:p>
            <w:pPr>
              <w:spacing w:line="400" w:lineRule="exact"/>
              <w:jc w:val="center"/>
            </w:pPr>
            <w:r>
              <w:t>商务评分</w:t>
            </w:r>
          </w:p>
        </w:tc>
        <w:tc>
          <w:tcPr>
            <w:tcW w:w="744" w:type="pct"/>
            <w:vAlign w:val="center"/>
          </w:tcPr>
          <w:p>
            <w:pPr>
              <w:spacing w:line="400" w:lineRule="exact"/>
              <w:jc w:val="center"/>
            </w:pPr>
            <w:r>
              <w:t>业绩证明</w:t>
            </w:r>
          </w:p>
        </w:tc>
        <w:tc>
          <w:tcPr>
            <w:tcW w:w="1389" w:type="pct"/>
            <w:vAlign w:val="center"/>
          </w:tcPr>
          <w:p>
            <w:pPr>
              <w:spacing w:line="400" w:lineRule="exact"/>
              <w:jc w:val="left"/>
            </w:pPr>
            <w:r>
              <w:t>投标人自2021年</w:t>
            </w:r>
            <w:r>
              <w:rPr>
                <w:rFonts w:hint="eastAsia"/>
                <w:lang w:val="en-US" w:eastAsia="zh-CN"/>
              </w:rPr>
              <w:t>1月1日</w:t>
            </w:r>
            <w:r>
              <w:rPr>
                <w:rFonts w:hint="eastAsia"/>
              </w:rPr>
              <w:t>至投标截止之日</w:t>
            </w:r>
            <w:r>
              <w:t>具备创新管理体系建设、企业资质申报咨询相关业绩，每项5分。满分40分。</w:t>
            </w:r>
          </w:p>
          <w:p>
            <w:pPr>
              <w:spacing w:line="400" w:lineRule="exact"/>
              <w:jc w:val="left"/>
            </w:pPr>
            <w:r>
              <w:t>注：应提供合同封面、签字盖章页及反映主要工作内容的有关页面，或中标通知书、业主接收（验收）证明等。</w:t>
            </w:r>
          </w:p>
        </w:tc>
        <w:tc>
          <w:tcPr>
            <w:tcW w:w="463" w:type="pct"/>
            <w:vAlign w:val="center"/>
          </w:tcPr>
          <w:p>
            <w:pPr>
              <w:spacing w:line="400" w:lineRule="exact"/>
              <w:jc w:val="center"/>
            </w:pPr>
            <w:r>
              <w:t>/</w:t>
            </w:r>
          </w:p>
        </w:tc>
        <w:tc>
          <w:tcPr>
            <w:tcW w:w="549" w:type="pct"/>
            <w:vAlign w:val="center"/>
          </w:tcPr>
          <w:p>
            <w:pPr>
              <w:spacing w:line="400" w:lineRule="exact"/>
              <w:jc w:val="center"/>
            </w:pPr>
            <w: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 w:type="pct"/>
            <w:vMerge w:val="continue"/>
          </w:tcPr>
          <w:p/>
        </w:tc>
        <w:tc>
          <w:tcPr>
            <w:tcW w:w="684" w:type="pct"/>
            <w:vMerge w:val="continue"/>
          </w:tcPr>
          <w:p/>
        </w:tc>
        <w:tc>
          <w:tcPr>
            <w:tcW w:w="296" w:type="pct"/>
            <w:vAlign w:val="center"/>
          </w:tcPr>
          <w:p>
            <w:pPr>
              <w:spacing w:line="400" w:lineRule="exact"/>
              <w:jc w:val="center"/>
            </w:pPr>
            <w:r>
              <w:t>4</w:t>
            </w:r>
          </w:p>
        </w:tc>
        <w:tc>
          <w:tcPr>
            <w:tcW w:w="435" w:type="pct"/>
            <w:vAlign w:val="center"/>
          </w:tcPr>
          <w:p>
            <w:pPr>
              <w:spacing w:line="400" w:lineRule="exact"/>
              <w:jc w:val="center"/>
            </w:pPr>
            <w:r>
              <w:t>商务评分</w:t>
            </w:r>
          </w:p>
        </w:tc>
        <w:tc>
          <w:tcPr>
            <w:tcW w:w="744" w:type="pct"/>
            <w:vAlign w:val="center"/>
          </w:tcPr>
          <w:p>
            <w:pPr>
              <w:spacing w:line="400" w:lineRule="exact"/>
              <w:jc w:val="center"/>
            </w:pPr>
            <w:r>
              <w:t>能力证明</w:t>
            </w:r>
          </w:p>
        </w:tc>
        <w:tc>
          <w:tcPr>
            <w:tcW w:w="1389" w:type="pct"/>
            <w:vAlign w:val="center"/>
          </w:tcPr>
          <w:p>
            <w:pPr>
              <w:spacing w:line="400" w:lineRule="exact"/>
              <w:jc w:val="left"/>
            </w:pPr>
            <w:r>
              <w:t>投标人自2021年</w:t>
            </w:r>
            <w:r>
              <w:rPr>
                <w:rFonts w:hint="eastAsia"/>
                <w:lang w:val="en-US" w:eastAsia="zh-CN"/>
              </w:rPr>
              <w:t>1月1日至投标截止之日</w:t>
            </w:r>
            <w:r>
              <w:t>，</w:t>
            </w:r>
            <w:r>
              <w:rPr>
                <w:rFonts w:hint="eastAsia"/>
              </w:rPr>
              <w:t>获得创新管理的国家级奖励</w:t>
            </w:r>
            <w:r>
              <w:t>每项得5分，获得省部级或行业协会科技奖励每项得3分，获得地市级科技每项得2分，本项最多得10分。（中央企业级别获奖等同于省部级，中央企业下属二级单位级别获奖等同于市级）。</w:t>
            </w:r>
          </w:p>
          <w:p>
            <w:pPr>
              <w:spacing w:line="400" w:lineRule="exact"/>
              <w:jc w:val="left"/>
            </w:pPr>
            <w:r>
              <w:t>注：应提供获奖证书等证明等。</w:t>
            </w:r>
          </w:p>
        </w:tc>
        <w:tc>
          <w:tcPr>
            <w:tcW w:w="463" w:type="pct"/>
            <w:vAlign w:val="center"/>
          </w:tcPr>
          <w:p>
            <w:pPr>
              <w:spacing w:line="400" w:lineRule="exact"/>
              <w:jc w:val="center"/>
            </w:pPr>
            <w:r>
              <w:t>/</w:t>
            </w:r>
          </w:p>
        </w:tc>
        <w:tc>
          <w:tcPr>
            <w:tcW w:w="549" w:type="pct"/>
            <w:vAlign w:val="center"/>
          </w:tcPr>
          <w:p>
            <w:pPr>
              <w:spacing w:line="400" w:lineRule="exact"/>
              <w:jc w:val="center"/>
            </w:pPr>
            <w: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 w:type="pct"/>
            <w:vMerge w:val="continue"/>
          </w:tcPr>
          <w:p/>
        </w:tc>
        <w:tc>
          <w:tcPr>
            <w:tcW w:w="684" w:type="pct"/>
            <w:vMerge w:val="continue"/>
          </w:tcPr>
          <w:p/>
        </w:tc>
        <w:tc>
          <w:tcPr>
            <w:tcW w:w="296" w:type="pct"/>
            <w:vAlign w:val="center"/>
          </w:tcPr>
          <w:p>
            <w:pPr>
              <w:spacing w:line="400" w:lineRule="exact"/>
              <w:jc w:val="center"/>
            </w:pPr>
            <w:r>
              <w:t>5</w:t>
            </w:r>
          </w:p>
        </w:tc>
        <w:tc>
          <w:tcPr>
            <w:tcW w:w="435" w:type="pct"/>
            <w:vAlign w:val="center"/>
          </w:tcPr>
          <w:p>
            <w:pPr>
              <w:spacing w:line="400" w:lineRule="exact"/>
              <w:jc w:val="center"/>
            </w:pPr>
            <w:r>
              <w:t>商务评分</w:t>
            </w:r>
          </w:p>
        </w:tc>
        <w:tc>
          <w:tcPr>
            <w:tcW w:w="744" w:type="pct"/>
            <w:vAlign w:val="center"/>
          </w:tcPr>
          <w:p>
            <w:pPr>
              <w:spacing w:line="400" w:lineRule="exact"/>
              <w:jc w:val="center"/>
            </w:pPr>
            <w:r>
              <w:t>诚信经营</w:t>
            </w:r>
          </w:p>
        </w:tc>
        <w:tc>
          <w:tcPr>
            <w:tcW w:w="1389" w:type="pct"/>
            <w:vAlign w:val="center"/>
          </w:tcPr>
          <w:p>
            <w:pPr>
              <w:spacing w:line="400" w:lineRule="exact"/>
              <w:jc w:val="left"/>
            </w:pPr>
            <w:r>
              <w:t>1.近三年（2023年-2025年）均获得税务机关“A级纳税人”评价得10分；</w:t>
            </w:r>
          </w:p>
          <w:p>
            <w:pPr>
              <w:spacing w:line="400" w:lineRule="exact"/>
              <w:jc w:val="left"/>
            </w:pPr>
            <w:r>
              <w:t>2.近三年内有两年获得过税务机关“A级纳税人”评价得7分；</w:t>
            </w:r>
          </w:p>
          <w:p>
            <w:pPr>
              <w:spacing w:line="400" w:lineRule="exact"/>
              <w:jc w:val="left"/>
            </w:pPr>
            <w:r>
              <w:t>3..近三年内有1年获得过税务机关“A级纳税人”评价得4分；</w:t>
            </w:r>
          </w:p>
          <w:p>
            <w:pPr>
              <w:spacing w:line="400" w:lineRule="exact"/>
              <w:jc w:val="left"/>
            </w:pPr>
            <w:r>
              <w:t>注：提供税务机关出具的近三年纳税等级证明材料。税务总局每年4月确定上一年度纳税评价结果（www.chinatax.gov.cn），若在投标前仍未公布上一年的评价结果，则将前一年度结果作为最近一年度的查询结果，以此类推。未按要求提供佐证材料相关年度不得分。非盈利法人且未能提供纳税等级的取通过初评的投标人得分平均值。</w:t>
            </w:r>
          </w:p>
        </w:tc>
        <w:tc>
          <w:tcPr>
            <w:tcW w:w="463" w:type="pct"/>
            <w:vAlign w:val="center"/>
          </w:tcPr>
          <w:p>
            <w:pPr>
              <w:spacing w:line="400" w:lineRule="exact"/>
              <w:jc w:val="center"/>
            </w:pPr>
            <w:r>
              <w:t>/</w:t>
            </w:r>
          </w:p>
        </w:tc>
        <w:tc>
          <w:tcPr>
            <w:tcW w:w="549" w:type="pct"/>
            <w:vAlign w:val="center"/>
          </w:tcPr>
          <w:p>
            <w:pPr>
              <w:spacing w:line="400" w:lineRule="exact"/>
              <w:jc w:val="center"/>
            </w:pPr>
            <w: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 w:type="pct"/>
            <w:vMerge w:val="continue"/>
          </w:tcPr>
          <w:p/>
        </w:tc>
        <w:tc>
          <w:tcPr>
            <w:tcW w:w="684" w:type="pct"/>
            <w:vMerge w:val="continue"/>
          </w:tcPr>
          <w:p/>
        </w:tc>
        <w:tc>
          <w:tcPr>
            <w:tcW w:w="296" w:type="pct"/>
            <w:vAlign w:val="center"/>
          </w:tcPr>
          <w:p>
            <w:pPr>
              <w:spacing w:line="400" w:lineRule="exact"/>
              <w:jc w:val="center"/>
            </w:pPr>
            <w:r>
              <w:t>6</w:t>
            </w:r>
          </w:p>
        </w:tc>
        <w:tc>
          <w:tcPr>
            <w:tcW w:w="435" w:type="pct"/>
            <w:vAlign w:val="center"/>
          </w:tcPr>
          <w:p>
            <w:pPr>
              <w:spacing w:line="400" w:lineRule="exact"/>
              <w:jc w:val="center"/>
            </w:pPr>
            <w:r>
              <w:t>商务评分</w:t>
            </w:r>
          </w:p>
        </w:tc>
        <w:tc>
          <w:tcPr>
            <w:tcW w:w="744" w:type="pct"/>
            <w:vAlign w:val="center"/>
          </w:tcPr>
          <w:p>
            <w:pPr>
              <w:spacing w:line="400" w:lineRule="exact"/>
              <w:jc w:val="center"/>
            </w:pPr>
            <w:r>
              <w:t>响应差异</w:t>
            </w:r>
          </w:p>
        </w:tc>
        <w:tc>
          <w:tcPr>
            <w:tcW w:w="1389" w:type="pct"/>
            <w:vAlign w:val="center"/>
          </w:tcPr>
          <w:p>
            <w:pPr>
              <w:spacing w:line="400" w:lineRule="exact"/>
              <w:jc w:val="left"/>
            </w:pPr>
            <w:r>
              <w:t>对招标文件响应无差异得4分；优于招标文件要求每项加3分，累计最高得10分；低于招标文件要求每项扣3分，最低得0分。</w:t>
            </w:r>
          </w:p>
        </w:tc>
        <w:tc>
          <w:tcPr>
            <w:tcW w:w="463" w:type="pct"/>
            <w:vAlign w:val="center"/>
          </w:tcPr>
          <w:p>
            <w:pPr>
              <w:spacing w:line="400" w:lineRule="exact"/>
              <w:jc w:val="center"/>
            </w:pPr>
            <w:r>
              <w:t>/</w:t>
            </w:r>
          </w:p>
        </w:tc>
        <w:tc>
          <w:tcPr>
            <w:tcW w:w="549" w:type="pct"/>
            <w:vAlign w:val="center"/>
          </w:tcPr>
          <w:p>
            <w:pPr>
              <w:spacing w:line="400" w:lineRule="exact"/>
              <w:jc w:val="center"/>
            </w:pPr>
            <w: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 w:type="pct"/>
            <w:vMerge w:val="restart"/>
            <w:vAlign w:val="center"/>
          </w:tcPr>
          <w:p>
            <w:pPr>
              <w:spacing w:line="400" w:lineRule="exact"/>
              <w:jc w:val="center"/>
            </w:pPr>
            <w:r>
              <w:t>1（2）</w:t>
            </w:r>
          </w:p>
        </w:tc>
        <w:tc>
          <w:tcPr>
            <w:tcW w:w="684" w:type="pct"/>
            <w:vMerge w:val="restart"/>
            <w:vAlign w:val="center"/>
          </w:tcPr>
          <w:p>
            <w:pPr>
              <w:spacing w:line="400" w:lineRule="exact"/>
              <w:jc w:val="center"/>
            </w:pPr>
            <w:r>
              <w:t>技术评分 标准</w:t>
            </w:r>
          </w:p>
        </w:tc>
        <w:tc>
          <w:tcPr>
            <w:tcW w:w="296" w:type="pct"/>
            <w:vAlign w:val="center"/>
          </w:tcPr>
          <w:p>
            <w:pPr>
              <w:spacing w:line="400" w:lineRule="exact"/>
              <w:jc w:val="center"/>
            </w:pPr>
            <w:r>
              <w:t>1</w:t>
            </w:r>
          </w:p>
        </w:tc>
        <w:tc>
          <w:tcPr>
            <w:tcW w:w="435" w:type="pct"/>
            <w:vAlign w:val="center"/>
          </w:tcPr>
          <w:p>
            <w:pPr>
              <w:spacing w:line="400" w:lineRule="exact"/>
              <w:jc w:val="center"/>
            </w:pPr>
            <w:r>
              <w:t>项目团队</w:t>
            </w:r>
          </w:p>
        </w:tc>
        <w:tc>
          <w:tcPr>
            <w:tcW w:w="744" w:type="pct"/>
            <w:vAlign w:val="center"/>
          </w:tcPr>
          <w:p>
            <w:pPr>
              <w:spacing w:line="400" w:lineRule="exact"/>
              <w:jc w:val="center"/>
            </w:pPr>
            <w:r>
              <w:t>项目负责人</w:t>
            </w:r>
          </w:p>
        </w:tc>
        <w:tc>
          <w:tcPr>
            <w:tcW w:w="1389" w:type="pct"/>
            <w:vAlign w:val="center"/>
          </w:tcPr>
          <w:p>
            <w:pPr>
              <w:spacing w:line="400" w:lineRule="exact"/>
              <w:jc w:val="left"/>
            </w:pPr>
            <w:r>
              <w:t>按照项目负责人职称及资质进行计分：</w:t>
            </w:r>
          </w:p>
          <w:p>
            <w:pPr>
              <w:spacing w:line="400" w:lineRule="exact"/>
              <w:jc w:val="left"/>
            </w:pPr>
            <w:r>
              <w:t>（1）副高级及以上职称4分，中级职称2分，其他得0分。</w:t>
            </w:r>
          </w:p>
          <w:p>
            <w:pPr>
              <w:spacing w:line="400" w:lineRule="exact"/>
              <w:jc w:val="left"/>
            </w:pPr>
            <w:r>
              <w:t>（2）项目负责人具有创新管理体系建设或企业资质申报咨询相关业绩，提供合同证明，每份得2分，本项最高得8分</w:t>
            </w:r>
          </w:p>
          <w:p>
            <w:pPr>
              <w:spacing w:line="400" w:lineRule="exact"/>
              <w:jc w:val="left"/>
            </w:pPr>
            <w:r>
              <w:t>注：提供项目负责人职称、资质证明及近半年连续三个月社保证明材料，按照职称或学位得分较高者计分，未提供佐证材料得0分。</w:t>
            </w:r>
          </w:p>
        </w:tc>
        <w:tc>
          <w:tcPr>
            <w:tcW w:w="463" w:type="pct"/>
            <w:vAlign w:val="center"/>
          </w:tcPr>
          <w:p>
            <w:pPr>
              <w:spacing w:line="400" w:lineRule="exact"/>
              <w:jc w:val="center"/>
            </w:pPr>
            <w:r>
              <w:t>/</w:t>
            </w:r>
          </w:p>
        </w:tc>
        <w:tc>
          <w:tcPr>
            <w:tcW w:w="549" w:type="pct"/>
            <w:vAlign w:val="center"/>
          </w:tcPr>
          <w:p>
            <w:pPr>
              <w:spacing w:line="400" w:lineRule="exact"/>
              <w:jc w:val="center"/>
            </w:pPr>
            <w: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 w:type="pct"/>
            <w:vMerge w:val="continue"/>
          </w:tcPr>
          <w:p/>
        </w:tc>
        <w:tc>
          <w:tcPr>
            <w:tcW w:w="684" w:type="pct"/>
            <w:vMerge w:val="continue"/>
          </w:tcPr>
          <w:p/>
        </w:tc>
        <w:tc>
          <w:tcPr>
            <w:tcW w:w="296" w:type="pct"/>
            <w:vAlign w:val="center"/>
          </w:tcPr>
          <w:p>
            <w:pPr>
              <w:spacing w:line="400" w:lineRule="exact"/>
              <w:jc w:val="center"/>
            </w:pPr>
            <w:r>
              <w:t>2</w:t>
            </w:r>
          </w:p>
        </w:tc>
        <w:tc>
          <w:tcPr>
            <w:tcW w:w="435" w:type="pct"/>
            <w:vAlign w:val="center"/>
          </w:tcPr>
          <w:p>
            <w:pPr>
              <w:spacing w:line="400" w:lineRule="exact"/>
              <w:jc w:val="center"/>
            </w:pPr>
            <w:r>
              <w:t>项目团队</w:t>
            </w:r>
          </w:p>
        </w:tc>
        <w:tc>
          <w:tcPr>
            <w:tcW w:w="744" w:type="pct"/>
            <w:vAlign w:val="center"/>
          </w:tcPr>
          <w:p>
            <w:pPr>
              <w:spacing w:line="400" w:lineRule="exact"/>
              <w:jc w:val="center"/>
            </w:pPr>
            <w:r>
              <w:t>团队成员</w:t>
            </w:r>
          </w:p>
        </w:tc>
        <w:tc>
          <w:tcPr>
            <w:tcW w:w="1389" w:type="pct"/>
            <w:vAlign w:val="center"/>
          </w:tcPr>
          <w:p>
            <w:pPr>
              <w:spacing w:line="400" w:lineRule="exact"/>
              <w:jc w:val="left"/>
            </w:pPr>
            <w:r>
              <w:t>项目团队中，主要人员具备高级职称1人加5分，副高级职称1人加3分，中级职称1人加1分，最高不超过8分。</w:t>
            </w:r>
          </w:p>
          <w:p>
            <w:pPr>
              <w:spacing w:line="400" w:lineRule="exact"/>
              <w:jc w:val="left"/>
            </w:pPr>
            <w:r>
              <w:t>提供相关职称证书及近半年连续三个月社保证明。</w:t>
            </w:r>
          </w:p>
        </w:tc>
        <w:tc>
          <w:tcPr>
            <w:tcW w:w="463" w:type="pct"/>
            <w:vAlign w:val="center"/>
          </w:tcPr>
          <w:p>
            <w:pPr>
              <w:spacing w:line="400" w:lineRule="exact"/>
              <w:jc w:val="center"/>
            </w:pPr>
            <w:r>
              <w:t>/</w:t>
            </w:r>
          </w:p>
        </w:tc>
        <w:tc>
          <w:tcPr>
            <w:tcW w:w="549" w:type="pct"/>
            <w:vAlign w:val="center"/>
          </w:tcPr>
          <w:p>
            <w:pPr>
              <w:spacing w:line="400" w:lineRule="exact"/>
              <w:jc w:val="center"/>
            </w:pPr>
            <w: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 w:type="pct"/>
            <w:vMerge w:val="continue"/>
          </w:tcPr>
          <w:p/>
        </w:tc>
        <w:tc>
          <w:tcPr>
            <w:tcW w:w="684" w:type="pct"/>
            <w:vMerge w:val="continue"/>
          </w:tcPr>
          <w:p/>
        </w:tc>
        <w:tc>
          <w:tcPr>
            <w:tcW w:w="296" w:type="pct"/>
            <w:vAlign w:val="center"/>
          </w:tcPr>
          <w:p>
            <w:pPr>
              <w:spacing w:line="400" w:lineRule="exact"/>
              <w:jc w:val="center"/>
            </w:pPr>
            <w:r>
              <w:t>3</w:t>
            </w:r>
          </w:p>
        </w:tc>
        <w:tc>
          <w:tcPr>
            <w:tcW w:w="435" w:type="pct"/>
            <w:vAlign w:val="center"/>
          </w:tcPr>
          <w:p>
            <w:pPr>
              <w:spacing w:line="400" w:lineRule="exact"/>
              <w:jc w:val="center"/>
            </w:pPr>
            <w:r>
              <w:t>实施方案</w:t>
            </w:r>
          </w:p>
        </w:tc>
        <w:tc>
          <w:tcPr>
            <w:tcW w:w="744" w:type="pct"/>
            <w:vAlign w:val="center"/>
          </w:tcPr>
          <w:p>
            <w:pPr>
              <w:spacing w:line="400" w:lineRule="exact"/>
              <w:jc w:val="center"/>
            </w:pPr>
            <w:r>
              <w:t>经营资质梳理</w:t>
            </w:r>
          </w:p>
        </w:tc>
        <w:tc>
          <w:tcPr>
            <w:tcW w:w="1389" w:type="pct"/>
            <w:vAlign w:val="center"/>
          </w:tcPr>
          <w:p>
            <w:pPr>
              <w:spacing w:line="400" w:lineRule="exact"/>
              <w:jc w:val="left"/>
            </w:pPr>
            <w:r>
              <w:t>对项目方案的完整性、针对性以及可行性进行比较，分档评分：</w:t>
            </w:r>
          </w:p>
          <w:p>
            <w:pPr>
              <w:spacing w:line="400" w:lineRule="exact"/>
              <w:jc w:val="left"/>
            </w:pPr>
            <w:r>
              <w:t>1.项目实施方案内容详尽、合理，实施路线清晰，与北京研究院实际情况结合紧密，可行性强，得10-15分；</w:t>
            </w:r>
          </w:p>
          <w:p>
            <w:pPr>
              <w:spacing w:line="400" w:lineRule="exact"/>
              <w:jc w:val="left"/>
            </w:pPr>
            <w:r>
              <w:t>2.项目实施方案内容合理，实施路线基本清晰，与北京研究院实际情况有所结合，具备一定可行性，得5-9分；</w:t>
            </w:r>
          </w:p>
          <w:p>
            <w:pPr>
              <w:spacing w:line="400" w:lineRule="exact"/>
              <w:jc w:val="left"/>
            </w:pPr>
            <w:r>
              <w:t>3.项目实施方案内容较合理，实施路线、与北京研究院实际情况、可行性均一般，得0-5分。</w:t>
            </w:r>
          </w:p>
        </w:tc>
        <w:tc>
          <w:tcPr>
            <w:tcW w:w="463" w:type="pct"/>
            <w:vAlign w:val="center"/>
          </w:tcPr>
          <w:p>
            <w:pPr>
              <w:spacing w:line="400" w:lineRule="exact"/>
              <w:jc w:val="center"/>
            </w:pPr>
            <w:r>
              <w:t>/</w:t>
            </w:r>
          </w:p>
        </w:tc>
        <w:tc>
          <w:tcPr>
            <w:tcW w:w="549" w:type="pct"/>
            <w:vAlign w:val="center"/>
          </w:tcPr>
          <w:p>
            <w:pPr>
              <w:spacing w:line="400" w:lineRule="exact"/>
              <w:jc w:val="center"/>
            </w:pPr>
            <w: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 w:type="pct"/>
            <w:vMerge w:val="continue"/>
          </w:tcPr>
          <w:p/>
        </w:tc>
        <w:tc>
          <w:tcPr>
            <w:tcW w:w="684" w:type="pct"/>
            <w:vMerge w:val="continue"/>
          </w:tcPr>
          <w:p/>
        </w:tc>
        <w:tc>
          <w:tcPr>
            <w:tcW w:w="296" w:type="pct"/>
            <w:vAlign w:val="center"/>
          </w:tcPr>
          <w:p>
            <w:pPr>
              <w:spacing w:line="400" w:lineRule="exact"/>
              <w:jc w:val="center"/>
            </w:pPr>
            <w:r>
              <w:t>4</w:t>
            </w:r>
          </w:p>
        </w:tc>
        <w:tc>
          <w:tcPr>
            <w:tcW w:w="435" w:type="pct"/>
            <w:vAlign w:val="center"/>
          </w:tcPr>
          <w:p>
            <w:pPr>
              <w:spacing w:line="400" w:lineRule="exact"/>
              <w:jc w:val="center"/>
            </w:pPr>
            <w:r>
              <w:t>实施方案</w:t>
            </w:r>
          </w:p>
        </w:tc>
        <w:tc>
          <w:tcPr>
            <w:tcW w:w="744" w:type="pct"/>
            <w:vAlign w:val="center"/>
          </w:tcPr>
          <w:p>
            <w:pPr>
              <w:spacing w:line="400" w:lineRule="exact"/>
              <w:jc w:val="center"/>
            </w:pPr>
            <w:r>
              <w:t>经营资质申报策略方案制定</w:t>
            </w:r>
          </w:p>
        </w:tc>
        <w:tc>
          <w:tcPr>
            <w:tcW w:w="1389" w:type="pct"/>
            <w:vAlign w:val="center"/>
          </w:tcPr>
          <w:p>
            <w:pPr>
              <w:spacing w:line="400" w:lineRule="exact"/>
              <w:jc w:val="left"/>
            </w:pPr>
            <w:r>
              <w:t>对项目方案的完整性、针对性以及可行性进行比较，分档评分：</w:t>
            </w:r>
          </w:p>
          <w:p>
            <w:pPr>
              <w:spacing w:line="400" w:lineRule="exact"/>
              <w:jc w:val="left"/>
            </w:pPr>
            <w:r>
              <w:t>1.项目实施方案内容详尽、合理，实施路线清晰，与北京研究院实际情况结合紧密，可行性强，得10-15分；</w:t>
            </w:r>
          </w:p>
          <w:p>
            <w:pPr>
              <w:spacing w:line="400" w:lineRule="exact"/>
              <w:jc w:val="left"/>
            </w:pPr>
            <w:r>
              <w:t>2.项目实施方案内容合理，实施路线基本清晰，与北京研究院实际情况有所结合，具备一定可行性，得5-9分；</w:t>
            </w:r>
          </w:p>
          <w:p>
            <w:pPr>
              <w:spacing w:line="400" w:lineRule="exact"/>
              <w:jc w:val="left"/>
            </w:pPr>
            <w:r>
              <w:t>3.项目实施方案内容较合理，实施路线、与北京研究院实际情况、可行性均一般，得0-5分。</w:t>
            </w:r>
          </w:p>
        </w:tc>
        <w:tc>
          <w:tcPr>
            <w:tcW w:w="463" w:type="pct"/>
            <w:vAlign w:val="center"/>
          </w:tcPr>
          <w:p>
            <w:pPr>
              <w:spacing w:line="400" w:lineRule="exact"/>
              <w:jc w:val="center"/>
            </w:pPr>
            <w:r>
              <w:t>/</w:t>
            </w:r>
          </w:p>
        </w:tc>
        <w:tc>
          <w:tcPr>
            <w:tcW w:w="549" w:type="pct"/>
            <w:vAlign w:val="center"/>
          </w:tcPr>
          <w:p>
            <w:pPr>
              <w:spacing w:line="400" w:lineRule="exact"/>
              <w:jc w:val="center"/>
            </w:pPr>
            <w: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 w:type="pct"/>
            <w:vMerge w:val="continue"/>
          </w:tcPr>
          <w:p/>
        </w:tc>
        <w:tc>
          <w:tcPr>
            <w:tcW w:w="684" w:type="pct"/>
            <w:vMerge w:val="continue"/>
          </w:tcPr>
          <w:p/>
        </w:tc>
        <w:tc>
          <w:tcPr>
            <w:tcW w:w="296" w:type="pct"/>
            <w:vAlign w:val="center"/>
          </w:tcPr>
          <w:p>
            <w:pPr>
              <w:spacing w:line="400" w:lineRule="exact"/>
              <w:jc w:val="center"/>
            </w:pPr>
            <w:r>
              <w:t>5</w:t>
            </w:r>
          </w:p>
        </w:tc>
        <w:tc>
          <w:tcPr>
            <w:tcW w:w="435" w:type="pct"/>
            <w:vAlign w:val="center"/>
          </w:tcPr>
          <w:p>
            <w:pPr>
              <w:spacing w:line="400" w:lineRule="exact"/>
              <w:jc w:val="center"/>
            </w:pPr>
            <w:r>
              <w:t>实施方案</w:t>
            </w:r>
          </w:p>
        </w:tc>
        <w:tc>
          <w:tcPr>
            <w:tcW w:w="744" w:type="pct"/>
            <w:vAlign w:val="center"/>
          </w:tcPr>
          <w:p>
            <w:pPr>
              <w:spacing w:line="400" w:lineRule="exact"/>
              <w:jc w:val="center"/>
            </w:pPr>
            <w:r>
              <w:t>经营资质申报方案</w:t>
            </w:r>
          </w:p>
        </w:tc>
        <w:tc>
          <w:tcPr>
            <w:tcW w:w="1389" w:type="pct"/>
            <w:vAlign w:val="center"/>
          </w:tcPr>
          <w:p>
            <w:pPr>
              <w:spacing w:line="400" w:lineRule="exact"/>
              <w:jc w:val="left"/>
            </w:pPr>
            <w:r>
              <w:t>对项目方案的完整性、针对性以及可行性进行比较，分档评分：</w:t>
            </w:r>
          </w:p>
          <w:p>
            <w:pPr>
              <w:spacing w:line="400" w:lineRule="exact"/>
              <w:jc w:val="left"/>
            </w:pPr>
            <w:r>
              <w:t>1.项目实施方案内容详尽、合理，实施路线清晰，与北京研究院实际情况结合紧密，可行性强，</w:t>
            </w:r>
            <w:r>
              <w:rPr>
                <w:highlight w:val="yellow"/>
              </w:rPr>
              <w:t>得10-15分；</w:t>
            </w:r>
          </w:p>
          <w:p>
            <w:pPr>
              <w:spacing w:line="400" w:lineRule="exact"/>
              <w:jc w:val="left"/>
            </w:pPr>
            <w:r>
              <w:t>2.项目实施方案内容合理，实施路线基本清晰，与北京研究院实际情况有所结合，具备一定可行性，得5-9分；</w:t>
            </w:r>
          </w:p>
          <w:p>
            <w:pPr>
              <w:spacing w:line="400" w:lineRule="exact"/>
              <w:jc w:val="left"/>
            </w:pPr>
            <w:r>
              <w:t>3.项目实施方案内容较合理，实施路线、与北京研究院实际情况、可行性均一般，得0-5分。</w:t>
            </w:r>
          </w:p>
        </w:tc>
        <w:tc>
          <w:tcPr>
            <w:tcW w:w="463" w:type="pct"/>
            <w:vAlign w:val="center"/>
          </w:tcPr>
          <w:p>
            <w:pPr>
              <w:spacing w:line="400" w:lineRule="exact"/>
              <w:jc w:val="center"/>
            </w:pPr>
            <w:r>
              <w:t>/</w:t>
            </w:r>
          </w:p>
        </w:tc>
        <w:tc>
          <w:tcPr>
            <w:tcW w:w="549" w:type="pct"/>
            <w:vAlign w:val="center"/>
          </w:tcPr>
          <w:p>
            <w:pPr>
              <w:spacing w:line="400" w:lineRule="exact"/>
              <w:jc w:val="center"/>
            </w:pPr>
            <w: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 w:type="pct"/>
            <w:vMerge w:val="continue"/>
          </w:tcPr>
          <w:p/>
        </w:tc>
        <w:tc>
          <w:tcPr>
            <w:tcW w:w="684" w:type="pct"/>
            <w:vMerge w:val="continue"/>
          </w:tcPr>
          <w:p/>
        </w:tc>
        <w:tc>
          <w:tcPr>
            <w:tcW w:w="296" w:type="pct"/>
            <w:vAlign w:val="center"/>
          </w:tcPr>
          <w:p>
            <w:pPr>
              <w:spacing w:line="400" w:lineRule="exact"/>
              <w:jc w:val="center"/>
            </w:pPr>
            <w:r>
              <w:t>6</w:t>
            </w:r>
          </w:p>
        </w:tc>
        <w:tc>
          <w:tcPr>
            <w:tcW w:w="435" w:type="pct"/>
            <w:vAlign w:val="center"/>
          </w:tcPr>
          <w:p>
            <w:pPr>
              <w:spacing w:line="400" w:lineRule="exact"/>
              <w:jc w:val="center"/>
            </w:pPr>
            <w:r>
              <w:t>实施方案</w:t>
            </w:r>
          </w:p>
        </w:tc>
        <w:tc>
          <w:tcPr>
            <w:tcW w:w="744" w:type="pct"/>
            <w:vAlign w:val="center"/>
          </w:tcPr>
          <w:p>
            <w:pPr>
              <w:spacing w:line="400" w:lineRule="exact"/>
              <w:jc w:val="center"/>
            </w:pPr>
            <w:r>
              <w:t>经营资质维护方案</w:t>
            </w:r>
          </w:p>
        </w:tc>
        <w:tc>
          <w:tcPr>
            <w:tcW w:w="1389" w:type="pct"/>
            <w:vAlign w:val="center"/>
          </w:tcPr>
          <w:p>
            <w:pPr>
              <w:spacing w:line="400" w:lineRule="exact"/>
              <w:jc w:val="left"/>
            </w:pPr>
            <w:r>
              <w:t>对项目方案的完整性、针对性以及可行性进行比较，分档评分：</w:t>
            </w:r>
          </w:p>
          <w:p>
            <w:pPr>
              <w:spacing w:line="400" w:lineRule="exact"/>
              <w:jc w:val="left"/>
            </w:pPr>
            <w:r>
              <w:t>1.项目实施方案内容详尽、合理，实施路线清晰，与北京研究院实际情况结合紧密，可行性强，</w:t>
            </w:r>
            <w:bookmarkStart w:id="36" w:name="_GoBack"/>
            <w:r>
              <w:rPr>
                <w:highlight w:val="yellow"/>
              </w:rPr>
              <w:t>得10-15分；</w:t>
            </w:r>
            <w:bookmarkEnd w:id="36"/>
          </w:p>
          <w:p>
            <w:pPr>
              <w:spacing w:line="400" w:lineRule="exact"/>
              <w:jc w:val="left"/>
            </w:pPr>
            <w:r>
              <w:t>2.项目实施方案内容合理，实施路线基本清晰，与北京研究院实际情况有所结合，具备一定可行性，得5-9分；</w:t>
            </w:r>
          </w:p>
          <w:p>
            <w:pPr>
              <w:spacing w:line="400" w:lineRule="exact"/>
              <w:jc w:val="left"/>
            </w:pPr>
            <w:r>
              <w:t>3.项目实施方案内容较合理，实施路线、与北京研究院实际情况、可行性均一般，得0-5分。</w:t>
            </w:r>
          </w:p>
        </w:tc>
        <w:tc>
          <w:tcPr>
            <w:tcW w:w="463" w:type="pct"/>
            <w:vAlign w:val="center"/>
          </w:tcPr>
          <w:p>
            <w:pPr>
              <w:spacing w:line="400" w:lineRule="exact"/>
              <w:jc w:val="center"/>
            </w:pPr>
            <w:r>
              <w:t>/</w:t>
            </w:r>
          </w:p>
        </w:tc>
        <w:tc>
          <w:tcPr>
            <w:tcW w:w="549" w:type="pct"/>
            <w:vAlign w:val="center"/>
          </w:tcPr>
          <w:p>
            <w:pPr>
              <w:spacing w:line="400" w:lineRule="exact"/>
              <w:jc w:val="center"/>
            </w:pPr>
            <w: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 w:type="pct"/>
            <w:vMerge w:val="continue"/>
          </w:tcPr>
          <w:p/>
        </w:tc>
        <w:tc>
          <w:tcPr>
            <w:tcW w:w="684" w:type="pct"/>
            <w:vMerge w:val="continue"/>
          </w:tcPr>
          <w:p/>
        </w:tc>
        <w:tc>
          <w:tcPr>
            <w:tcW w:w="296" w:type="pct"/>
            <w:vAlign w:val="center"/>
          </w:tcPr>
          <w:p>
            <w:pPr>
              <w:spacing w:line="400" w:lineRule="exact"/>
              <w:jc w:val="center"/>
            </w:pPr>
            <w:r>
              <w:t>7</w:t>
            </w:r>
          </w:p>
        </w:tc>
        <w:tc>
          <w:tcPr>
            <w:tcW w:w="435" w:type="pct"/>
            <w:vAlign w:val="center"/>
          </w:tcPr>
          <w:p>
            <w:pPr>
              <w:spacing w:line="400" w:lineRule="exact"/>
              <w:jc w:val="center"/>
            </w:pPr>
            <w:r>
              <w:t>成果交付</w:t>
            </w:r>
          </w:p>
        </w:tc>
        <w:tc>
          <w:tcPr>
            <w:tcW w:w="744" w:type="pct"/>
            <w:vAlign w:val="center"/>
          </w:tcPr>
          <w:p>
            <w:pPr>
              <w:spacing w:line="400" w:lineRule="exact"/>
              <w:jc w:val="center"/>
            </w:pPr>
            <w:r>
              <w:t>成果交付</w:t>
            </w:r>
          </w:p>
        </w:tc>
        <w:tc>
          <w:tcPr>
            <w:tcW w:w="1389" w:type="pct"/>
            <w:vAlign w:val="center"/>
          </w:tcPr>
          <w:p>
            <w:pPr>
              <w:spacing w:line="400" w:lineRule="exact"/>
              <w:jc w:val="left"/>
            </w:pPr>
            <w:r>
              <w:t>满足技术规范书成果交付指标要求，得基础分 5 分；每存在 1 项优于技术规范书要求的加 2分，最多得10分。</w:t>
            </w:r>
          </w:p>
        </w:tc>
        <w:tc>
          <w:tcPr>
            <w:tcW w:w="463" w:type="pct"/>
            <w:vAlign w:val="center"/>
          </w:tcPr>
          <w:p>
            <w:pPr>
              <w:spacing w:line="400" w:lineRule="exact"/>
              <w:jc w:val="center"/>
            </w:pPr>
            <w:r>
              <w:t>/</w:t>
            </w:r>
          </w:p>
        </w:tc>
        <w:tc>
          <w:tcPr>
            <w:tcW w:w="549" w:type="pct"/>
            <w:vAlign w:val="center"/>
          </w:tcPr>
          <w:p>
            <w:pPr>
              <w:spacing w:line="400" w:lineRule="exact"/>
              <w:jc w:val="center"/>
            </w:pPr>
            <w: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 w:type="pct"/>
            <w:vMerge w:val="continue"/>
          </w:tcPr>
          <w:p/>
        </w:tc>
        <w:tc>
          <w:tcPr>
            <w:tcW w:w="684" w:type="pct"/>
            <w:vMerge w:val="continue"/>
          </w:tcPr>
          <w:p/>
        </w:tc>
        <w:tc>
          <w:tcPr>
            <w:tcW w:w="296" w:type="pct"/>
            <w:vAlign w:val="center"/>
          </w:tcPr>
          <w:p>
            <w:pPr>
              <w:spacing w:line="400" w:lineRule="exact"/>
              <w:jc w:val="center"/>
            </w:pPr>
            <w:r>
              <w:t>8</w:t>
            </w:r>
          </w:p>
        </w:tc>
        <w:tc>
          <w:tcPr>
            <w:tcW w:w="435" w:type="pct"/>
            <w:vAlign w:val="center"/>
          </w:tcPr>
          <w:p>
            <w:pPr>
              <w:spacing w:line="400" w:lineRule="exact"/>
              <w:jc w:val="center"/>
            </w:pPr>
            <w:r>
              <w:t>质量控制及保证措施</w:t>
            </w:r>
          </w:p>
        </w:tc>
        <w:tc>
          <w:tcPr>
            <w:tcW w:w="744" w:type="pct"/>
            <w:vAlign w:val="center"/>
          </w:tcPr>
          <w:p>
            <w:pPr>
              <w:spacing w:line="400" w:lineRule="exact"/>
              <w:jc w:val="center"/>
            </w:pPr>
            <w:r>
              <w:t>进度计划安排</w:t>
            </w:r>
          </w:p>
        </w:tc>
        <w:tc>
          <w:tcPr>
            <w:tcW w:w="1389" w:type="pct"/>
            <w:vAlign w:val="center"/>
          </w:tcPr>
          <w:p>
            <w:pPr>
              <w:spacing w:line="400" w:lineRule="exact"/>
              <w:jc w:val="left"/>
            </w:pPr>
            <w:r>
              <w:t>根据投标人的实施进度进行综合评价。</w:t>
            </w:r>
          </w:p>
          <w:p>
            <w:pPr>
              <w:spacing w:line="400" w:lineRule="exact"/>
              <w:jc w:val="left"/>
            </w:pPr>
            <w:r>
              <w:t>针对项目有详细的实施计划，按月明确工作内容及交付成果，实施进度合理可行，描述详细，可操作性强，得8-10分；</w:t>
            </w:r>
          </w:p>
          <w:p>
            <w:pPr>
              <w:spacing w:line="400" w:lineRule="exact"/>
              <w:jc w:val="left"/>
            </w:pPr>
            <w:r>
              <w:t>针对项目有具体实施计划，按月明确工作内容及交付成果，实施进度描述较详细，保障措施合理，沟通机制及技术服务针对性一般，可行性一般，得4-7分；</w:t>
            </w:r>
          </w:p>
          <w:p>
            <w:pPr>
              <w:spacing w:line="400" w:lineRule="exact"/>
              <w:jc w:val="left"/>
            </w:pPr>
            <w:r>
              <w:t>针对项目有具体实施计划，实施进度描述一般，进度保障措施较弱、沟通机制不完善，得1-3分；</w:t>
            </w:r>
          </w:p>
          <w:p>
            <w:pPr>
              <w:spacing w:line="400" w:lineRule="exact"/>
              <w:jc w:val="left"/>
            </w:pPr>
            <w:r>
              <w:t>其他情况或没有内容不得分。</w:t>
            </w:r>
          </w:p>
        </w:tc>
        <w:tc>
          <w:tcPr>
            <w:tcW w:w="463" w:type="pct"/>
            <w:vAlign w:val="center"/>
          </w:tcPr>
          <w:p>
            <w:pPr>
              <w:spacing w:line="400" w:lineRule="exact"/>
              <w:jc w:val="center"/>
            </w:pPr>
            <w:r>
              <w:t>/</w:t>
            </w:r>
          </w:p>
        </w:tc>
        <w:tc>
          <w:tcPr>
            <w:tcW w:w="549" w:type="pct"/>
            <w:vAlign w:val="center"/>
          </w:tcPr>
          <w:p>
            <w:pPr>
              <w:spacing w:line="400" w:lineRule="exact"/>
              <w:jc w:val="center"/>
            </w:pPr>
            <w: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 w:type="pct"/>
            <w:vMerge w:val="continue"/>
          </w:tcPr>
          <w:p/>
        </w:tc>
        <w:tc>
          <w:tcPr>
            <w:tcW w:w="684" w:type="pct"/>
            <w:vMerge w:val="continue"/>
          </w:tcPr>
          <w:p/>
        </w:tc>
        <w:tc>
          <w:tcPr>
            <w:tcW w:w="296" w:type="pct"/>
            <w:vAlign w:val="center"/>
          </w:tcPr>
          <w:p>
            <w:pPr>
              <w:spacing w:line="400" w:lineRule="exact"/>
              <w:jc w:val="center"/>
            </w:pPr>
            <w:r>
              <w:t>9</w:t>
            </w:r>
          </w:p>
        </w:tc>
        <w:tc>
          <w:tcPr>
            <w:tcW w:w="435" w:type="pct"/>
            <w:vAlign w:val="center"/>
          </w:tcPr>
          <w:p>
            <w:pPr>
              <w:spacing w:line="400" w:lineRule="exact"/>
              <w:jc w:val="center"/>
            </w:pPr>
            <w:r>
              <w:t>质量控制及保证措施</w:t>
            </w:r>
          </w:p>
        </w:tc>
        <w:tc>
          <w:tcPr>
            <w:tcW w:w="744" w:type="pct"/>
            <w:vAlign w:val="center"/>
          </w:tcPr>
          <w:p>
            <w:pPr>
              <w:spacing w:line="400" w:lineRule="exact"/>
              <w:jc w:val="center"/>
            </w:pPr>
            <w:r>
              <w:t>保障措施完善</w:t>
            </w:r>
          </w:p>
        </w:tc>
        <w:tc>
          <w:tcPr>
            <w:tcW w:w="1389" w:type="pct"/>
            <w:vAlign w:val="center"/>
          </w:tcPr>
          <w:p>
            <w:pPr>
              <w:spacing w:line="400" w:lineRule="exact"/>
              <w:jc w:val="left"/>
            </w:pPr>
            <w:r>
              <w:t>根据投标人的保障措施进行综合评价。</w:t>
            </w:r>
          </w:p>
          <w:p>
            <w:pPr>
              <w:spacing w:line="400" w:lineRule="exact"/>
              <w:jc w:val="left"/>
            </w:pPr>
            <w:r>
              <w:t>针对项目保障措施科学有效，与项目要求匹配度高、具有较强的沟通机制、可执行性，得8-10分；</w:t>
            </w:r>
          </w:p>
          <w:p>
            <w:pPr>
              <w:spacing w:line="400" w:lineRule="exact"/>
              <w:jc w:val="left"/>
            </w:pPr>
            <w:r>
              <w:t>针对项目有保障措施合理，沟通机制及技术服务针对性一般，可行性一般，得4-7分；</w:t>
            </w:r>
          </w:p>
          <w:p>
            <w:pPr>
              <w:spacing w:line="400" w:lineRule="exact"/>
              <w:jc w:val="left"/>
            </w:pPr>
            <w:r>
              <w:t>针对项目进度保障措施较弱、沟通机制不完善，得1-3分；</w:t>
            </w:r>
          </w:p>
          <w:p>
            <w:pPr>
              <w:spacing w:line="400" w:lineRule="exact"/>
              <w:jc w:val="left"/>
            </w:pPr>
            <w:r>
              <w:t>其他情况或没有内容不得分。</w:t>
            </w:r>
          </w:p>
        </w:tc>
        <w:tc>
          <w:tcPr>
            <w:tcW w:w="463" w:type="pct"/>
            <w:vAlign w:val="center"/>
          </w:tcPr>
          <w:p>
            <w:pPr>
              <w:spacing w:line="400" w:lineRule="exact"/>
              <w:jc w:val="center"/>
            </w:pPr>
            <w:r>
              <w:t>/</w:t>
            </w:r>
          </w:p>
        </w:tc>
        <w:tc>
          <w:tcPr>
            <w:tcW w:w="549" w:type="pct"/>
            <w:vAlign w:val="center"/>
          </w:tcPr>
          <w:p>
            <w:pPr>
              <w:spacing w:line="400" w:lineRule="exact"/>
              <w:jc w:val="center"/>
            </w:pPr>
            <w: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0" w:type="pct"/>
            <w:gridSpan w:val="2"/>
            <w:vAlign w:val="center"/>
          </w:tcPr>
          <w:p>
            <w:pPr>
              <w:spacing w:line="400" w:lineRule="exact"/>
              <w:jc w:val="center"/>
            </w:pPr>
            <w:r>
              <w:rPr>
                <w:b/>
              </w:rPr>
              <w:t>条款号</w:t>
            </w:r>
          </w:p>
        </w:tc>
        <w:tc>
          <w:tcPr>
            <w:tcW w:w="1477" w:type="pct"/>
            <w:gridSpan w:val="3"/>
            <w:vAlign w:val="center"/>
          </w:tcPr>
          <w:p>
            <w:pPr>
              <w:spacing w:line="400" w:lineRule="exact"/>
              <w:jc w:val="center"/>
            </w:pPr>
            <w:r>
              <w:rPr>
                <w:b/>
              </w:rPr>
              <w:t>评分要素</w:t>
            </w:r>
          </w:p>
        </w:tc>
        <w:tc>
          <w:tcPr>
            <w:tcW w:w="2402" w:type="pct"/>
            <w:gridSpan w:val="3"/>
          </w:tcPr>
          <w:p>
            <w:pPr>
              <w:spacing w:line="400" w:lineRule="exact"/>
              <w:jc w:val="center"/>
            </w:pPr>
            <w:r>
              <w:rPr>
                <w:b/>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 w:type="pct"/>
            <w:vMerge w:val="restart"/>
            <w:vAlign w:val="center"/>
          </w:tcPr>
          <w:p>
            <w:pPr>
              <w:spacing w:line="400" w:lineRule="exact"/>
              <w:jc w:val="center"/>
            </w:pPr>
            <w:r>
              <w:t>1（3）</w:t>
            </w:r>
          </w:p>
        </w:tc>
        <w:tc>
          <w:tcPr>
            <w:tcW w:w="684" w:type="pct"/>
            <w:vMerge w:val="restart"/>
            <w:vAlign w:val="center"/>
          </w:tcPr>
          <w:p>
            <w:pPr>
              <w:spacing w:line="400" w:lineRule="exact"/>
              <w:jc w:val="center"/>
            </w:pPr>
            <w:r>
              <w:t>投标报价 评分标准</w:t>
            </w:r>
          </w:p>
        </w:tc>
        <w:tc>
          <w:tcPr>
            <w:tcW w:w="1477" w:type="pct"/>
            <w:gridSpan w:val="3"/>
            <w:vAlign w:val="center"/>
          </w:tcPr>
          <w:p>
            <w:pPr>
              <w:spacing w:line="400" w:lineRule="exact"/>
              <w:jc w:val="center"/>
            </w:pPr>
            <w:r>
              <w:t>价格分计算方法名称</w:t>
            </w:r>
          </w:p>
        </w:tc>
        <w:tc>
          <w:tcPr>
            <w:tcW w:w="2402" w:type="pct"/>
            <w:gridSpan w:val="3"/>
            <w:vAlign w:val="center"/>
          </w:tcPr>
          <w:p>
            <w:pPr>
              <w:spacing w:line="400" w:lineRule="exact"/>
              <w:jc w:val="left"/>
            </w:pPr>
            <w:r>
              <w:t>合理均价基准差径靶心法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 w:type="pct"/>
            <w:vMerge w:val="continue"/>
          </w:tcPr>
          <w:p/>
        </w:tc>
        <w:tc>
          <w:tcPr>
            <w:tcW w:w="684" w:type="pct"/>
            <w:vMerge w:val="continue"/>
          </w:tcPr>
          <w:p/>
        </w:tc>
        <w:tc>
          <w:tcPr>
            <w:tcW w:w="1477" w:type="pct"/>
            <w:gridSpan w:val="3"/>
            <w:vAlign w:val="center"/>
          </w:tcPr>
          <w:p>
            <w:pPr>
              <w:spacing w:line="400" w:lineRule="exact"/>
              <w:jc w:val="center"/>
            </w:pPr>
            <w:r>
              <w:t>评标基准价计算方法</w:t>
            </w:r>
          </w:p>
        </w:tc>
        <w:tc>
          <w:tcPr>
            <w:tcW w:w="2402" w:type="pct"/>
            <w:gridSpan w:val="3"/>
            <w:vAlign w:val="center"/>
          </w:tcPr>
          <w:p>
            <w:pPr>
              <w:spacing w:line="400" w:lineRule="exact"/>
              <w:jc w:val="left"/>
            </w:pPr>
            <w:r>
              <w:t>1、进入价格分计算的投标人取技术商务加权总分排名前BP%的投标人，按比例HP%、LP%分别去掉最高、最低价格后（当排名前BP%的投标人个数少于等于L个时，根据设定的是否去掉最高最低的值判断是否去掉GH个最高和GL个最低价格后计算平均价），计算平均价作为Y平均。</w:t>
            </w:r>
          </w:p>
          <w:p>
            <w:pPr>
              <w:spacing w:line="400" w:lineRule="exact"/>
              <w:jc w:val="left"/>
            </w:pPr>
            <w:r>
              <w:t>2、计算评标基准价，Y基准＝Y平均×（1-X），X为下浮率，Y基准按四舍五入法保留两位小数。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 w:type="pct"/>
            <w:vMerge w:val="continue"/>
          </w:tcPr>
          <w:p/>
        </w:tc>
        <w:tc>
          <w:tcPr>
            <w:tcW w:w="684" w:type="pct"/>
            <w:vMerge w:val="continue"/>
          </w:tcPr>
          <w:p/>
        </w:tc>
        <w:tc>
          <w:tcPr>
            <w:tcW w:w="1477" w:type="pct"/>
            <w:gridSpan w:val="3"/>
            <w:vAlign w:val="center"/>
          </w:tcPr>
          <w:p>
            <w:pPr>
              <w:spacing w:line="400" w:lineRule="exact"/>
              <w:jc w:val="center"/>
            </w:pPr>
            <w:r>
              <w:t>价格分计算公式</w:t>
            </w:r>
          </w:p>
        </w:tc>
        <w:tc>
          <w:tcPr>
            <w:tcW w:w="2402" w:type="pct"/>
            <w:gridSpan w:val="3"/>
            <w:vAlign w:val="center"/>
          </w:tcPr>
          <w:p>
            <w:pPr>
              <w:spacing w:line="400" w:lineRule="exact"/>
              <w:jc w:val="left"/>
            </w:pPr>
            <w:r>
              <w:t>1、Yi为某投标人的投标价格；Qi为计算得分，按四舍五入法保留两位小数。</w:t>
            </w:r>
          </w:p>
          <w:p>
            <w:pPr>
              <w:spacing w:line="400" w:lineRule="exact"/>
              <w:jc w:val="left"/>
            </w:pPr>
            <w:r>
              <w:t>2、当Yi＞Y基准，Qi＝报价满分－（Yi－Y基准）/Y基准×报价满分×RH。</w:t>
            </w:r>
          </w:p>
          <w:p>
            <w:pPr>
              <w:spacing w:line="400" w:lineRule="exact"/>
              <w:jc w:val="left"/>
            </w:pPr>
            <w:r>
              <w:t>3、当Yi=Y基准，Qi=报价满分。</w:t>
            </w:r>
          </w:p>
          <w:p>
            <w:pPr>
              <w:spacing w:line="400" w:lineRule="exact"/>
              <w:jc w:val="left"/>
            </w:pPr>
            <w:r>
              <w:t>4、当Yi＜Y基准，Qi＝报价满分－（Y基准－Yi）/Y基准×报价满分×RL。</w:t>
            </w:r>
          </w:p>
          <w:p>
            <w:pPr>
              <w:spacing w:line="400" w:lineRule="exact"/>
              <w:jc w:val="left"/>
            </w:pPr>
            <w:r>
              <w:t>5、当Qi＜0，按Qi=0分计。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 w:type="pct"/>
            <w:vMerge w:val="continue"/>
          </w:tcPr>
          <w:p/>
        </w:tc>
        <w:tc>
          <w:tcPr>
            <w:tcW w:w="684" w:type="pct"/>
            <w:vMerge w:val="continue"/>
          </w:tcPr>
          <w:p/>
        </w:tc>
        <w:tc>
          <w:tcPr>
            <w:tcW w:w="1477" w:type="pct"/>
            <w:gridSpan w:val="3"/>
            <w:vAlign w:val="center"/>
          </w:tcPr>
          <w:p>
            <w:pPr>
              <w:spacing w:line="400" w:lineRule="exact"/>
              <w:jc w:val="center"/>
            </w:pPr>
            <w:r>
              <w:t>进入价格评分厂家数量</w:t>
            </w:r>
          </w:p>
        </w:tc>
        <w:tc>
          <w:tcPr>
            <w:tcW w:w="2402" w:type="pct"/>
            <w:gridSpan w:val="3"/>
            <w:vAlign w:val="center"/>
          </w:tcPr>
          <w:p>
            <w:pPr>
              <w:spacing w:line="400" w:lineRule="exact"/>
              <w:jc w:val="center"/>
            </w:pPr>
            <w:r>
              <w:t>本次评标不设置技术商务末位淘汰。进入技术商务评分范围的投标人全部进入价格评分。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 w:type="pct"/>
            <w:vMerge w:val="continue"/>
          </w:tcPr>
          <w:p/>
        </w:tc>
        <w:tc>
          <w:tcPr>
            <w:tcW w:w="684" w:type="pct"/>
            <w:vMerge w:val="continue"/>
          </w:tcPr>
          <w:p/>
        </w:tc>
        <w:tc>
          <w:tcPr>
            <w:tcW w:w="1477" w:type="pct"/>
            <w:gridSpan w:val="3"/>
            <w:vAlign w:val="center"/>
          </w:tcPr>
          <w:p>
            <w:pPr>
              <w:spacing w:line="400" w:lineRule="exact"/>
              <w:jc w:val="center"/>
            </w:pPr>
            <w:r>
              <w:t>下浮率</w:t>
            </w:r>
          </w:p>
        </w:tc>
        <w:tc>
          <w:tcPr>
            <w:tcW w:w="2402" w:type="pct"/>
            <w:gridSpan w:val="3"/>
            <w:vAlign w:val="center"/>
          </w:tcPr>
          <w:p>
            <w:pPr>
              <w:spacing w:line="400" w:lineRule="exact"/>
              <w:jc w:val="center"/>
            </w:pPr>
            <w: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 w:type="pct"/>
            <w:vMerge w:val="continue"/>
            <w:vAlign w:val="center"/>
          </w:tcPr>
          <w:p/>
        </w:tc>
        <w:tc>
          <w:tcPr>
            <w:tcW w:w="684" w:type="pct"/>
            <w:vMerge w:val="continue"/>
          </w:tcPr>
          <w:p/>
        </w:tc>
        <w:tc>
          <w:tcPr>
            <w:tcW w:w="1477" w:type="pct"/>
            <w:gridSpan w:val="3"/>
            <w:vMerge w:val="restart"/>
            <w:vAlign w:val="center"/>
          </w:tcPr>
          <w:p>
            <w:pPr>
              <w:spacing w:line="400" w:lineRule="exact"/>
              <w:jc w:val="center"/>
            </w:pPr>
            <w:r>
              <w:t>参数设置</w:t>
            </w:r>
          </w:p>
        </w:tc>
        <w:tc>
          <w:tcPr>
            <w:tcW w:w="1389" w:type="pct"/>
          </w:tcPr>
          <w:p>
            <w:pPr>
              <w:spacing w:line="400" w:lineRule="exact"/>
              <w:jc w:val="center"/>
            </w:pPr>
            <w:r>
              <w:t>RL</w:t>
            </w:r>
          </w:p>
        </w:tc>
        <w:tc>
          <w:tcPr>
            <w:tcW w:w="463" w:type="pct"/>
          </w:tcPr>
          <w:p>
            <w:pPr>
              <w:spacing w:line="400" w:lineRule="exact"/>
              <w:jc w:val="center"/>
            </w:pPr>
            <w:r>
              <w:rPr>
                <w:b w:val="0"/>
              </w:rPr>
              <w:t>0.3</w:t>
            </w:r>
          </w:p>
        </w:tc>
        <w:tc>
          <w:tcPr>
            <w:tcW w:w="549" w:type="pct"/>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 w:type="pct"/>
            <w:vMerge w:val="continue"/>
            <w:vAlign w:val="center"/>
          </w:tcPr>
          <w:p/>
        </w:tc>
        <w:tc>
          <w:tcPr>
            <w:tcW w:w="684" w:type="pct"/>
            <w:vMerge w:val="continue"/>
          </w:tcPr>
          <w:p/>
        </w:tc>
        <w:tc>
          <w:tcPr>
            <w:tcW w:w="1477" w:type="pct"/>
            <w:gridSpan w:val="3"/>
            <w:vMerge w:val="continue"/>
            <w:vAlign w:val="center"/>
          </w:tcPr>
          <w:p/>
        </w:tc>
        <w:tc>
          <w:tcPr>
            <w:tcW w:w="1389" w:type="pct"/>
          </w:tcPr>
          <w:p>
            <w:pPr>
              <w:spacing w:line="400" w:lineRule="exact"/>
              <w:jc w:val="center"/>
            </w:pPr>
            <w:r>
              <w:t>RH</w:t>
            </w:r>
          </w:p>
        </w:tc>
        <w:tc>
          <w:tcPr>
            <w:tcW w:w="463" w:type="pct"/>
          </w:tcPr>
          <w:p>
            <w:pPr>
              <w:spacing w:line="400" w:lineRule="exact"/>
              <w:jc w:val="center"/>
            </w:pPr>
            <w:r>
              <w:rPr>
                <w:b w:val="0"/>
              </w:rPr>
              <w:t>0.7</w:t>
            </w:r>
          </w:p>
        </w:tc>
        <w:tc>
          <w:tcPr>
            <w:tcW w:w="549" w:type="pct"/>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 w:type="pct"/>
            <w:vMerge w:val="continue"/>
            <w:vAlign w:val="center"/>
          </w:tcPr>
          <w:p/>
        </w:tc>
        <w:tc>
          <w:tcPr>
            <w:tcW w:w="684" w:type="pct"/>
            <w:vMerge w:val="continue"/>
          </w:tcPr>
          <w:p/>
        </w:tc>
        <w:tc>
          <w:tcPr>
            <w:tcW w:w="1477" w:type="pct"/>
            <w:gridSpan w:val="3"/>
            <w:vMerge w:val="continue"/>
            <w:vAlign w:val="center"/>
          </w:tcPr>
          <w:p/>
        </w:tc>
        <w:tc>
          <w:tcPr>
            <w:tcW w:w="1389" w:type="pct"/>
          </w:tcPr>
          <w:p>
            <w:pPr>
              <w:spacing w:line="400" w:lineRule="exact"/>
              <w:jc w:val="center"/>
            </w:pPr>
            <w:r>
              <w:t>BP</w:t>
            </w:r>
          </w:p>
        </w:tc>
        <w:tc>
          <w:tcPr>
            <w:tcW w:w="463" w:type="pct"/>
          </w:tcPr>
          <w:p>
            <w:pPr>
              <w:spacing w:line="400" w:lineRule="exact"/>
              <w:jc w:val="center"/>
            </w:pPr>
            <w:r>
              <w:rPr>
                <w:b w:val="0"/>
              </w:rPr>
              <w:t>80</w:t>
            </w:r>
          </w:p>
        </w:tc>
        <w:tc>
          <w:tcPr>
            <w:tcW w:w="549" w:type="pct"/>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 w:type="pct"/>
            <w:vMerge w:val="continue"/>
            <w:vAlign w:val="center"/>
          </w:tcPr>
          <w:p/>
        </w:tc>
        <w:tc>
          <w:tcPr>
            <w:tcW w:w="684" w:type="pct"/>
            <w:vMerge w:val="continue"/>
          </w:tcPr>
          <w:p/>
        </w:tc>
        <w:tc>
          <w:tcPr>
            <w:tcW w:w="1477" w:type="pct"/>
            <w:gridSpan w:val="3"/>
            <w:vMerge w:val="continue"/>
            <w:vAlign w:val="center"/>
          </w:tcPr>
          <w:p/>
        </w:tc>
        <w:tc>
          <w:tcPr>
            <w:tcW w:w="1389" w:type="pct"/>
          </w:tcPr>
          <w:p>
            <w:pPr>
              <w:spacing w:line="400" w:lineRule="exact"/>
              <w:jc w:val="center"/>
            </w:pPr>
            <w:r>
              <w:t>HP</w:t>
            </w:r>
          </w:p>
        </w:tc>
        <w:tc>
          <w:tcPr>
            <w:tcW w:w="463" w:type="pct"/>
          </w:tcPr>
          <w:p>
            <w:pPr>
              <w:spacing w:line="400" w:lineRule="exact"/>
              <w:jc w:val="center"/>
            </w:pPr>
            <w:r>
              <w:rPr>
                <w:b w:val="0"/>
              </w:rPr>
              <w:t>10</w:t>
            </w:r>
          </w:p>
        </w:tc>
        <w:tc>
          <w:tcPr>
            <w:tcW w:w="549" w:type="pct"/>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 w:type="pct"/>
            <w:vMerge w:val="continue"/>
            <w:vAlign w:val="center"/>
          </w:tcPr>
          <w:p/>
        </w:tc>
        <w:tc>
          <w:tcPr>
            <w:tcW w:w="684" w:type="pct"/>
            <w:vMerge w:val="continue"/>
          </w:tcPr>
          <w:p/>
        </w:tc>
        <w:tc>
          <w:tcPr>
            <w:tcW w:w="1477" w:type="pct"/>
            <w:gridSpan w:val="3"/>
            <w:vMerge w:val="continue"/>
            <w:vAlign w:val="center"/>
          </w:tcPr>
          <w:p/>
        </w:tc>
        <w:tc>
          <w:tcPr>
            <w:tcW w:w="1389" w:type="pct"/>
          </w:tcPr>
          <w:p>
            <w:pPr>
              <w:spacing w:line="400" w:lineRule="exact"/>
              <w:jc w:val="center"/>
            </w:pPr>
            <w:r>
              <w:t>LP</w:t>
            </w:r>
          </w:p>
        </w:tc>
        <w:tc>
          <w:tcPr>
            <w:tcW w:w="463" w:type="pct"/>
          </w:tcPr>
          <w:p>
            <w:pPr>
              <w:spacing w:line="400" w:lineRule="exact"/>
              <w:jc w:val="center"/>
            </w:pPr>
            <w:r>
              <w:rPr>
                <w:b w:val="0"/>
              </w:rPr>
              <w:t>10</w:t>
            </w:r>
          </w:p>
        </w:tc>
        <w:tc>
          <w:tcPr>
            <w:tcW w:w="549" w:type="pct"/>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 w:type="pct"/>
            <w:vMerge w:val="continue"/>
            <w:vAlign w:val="center"/>
          </w:tcPr>
          <w:p/>
        </w:tc>
        <w:tc>
          <w:tcPr>
            <w:tcW w:w="684" w:type="pct"/>
            <w:vMerge w:val="continue"/>
          </w:tcPr>
          <w:p/>
        </w:tc>
        <w:tc>
          <w:tcPr>
            <w:tcW w:w="1477" w:type="pct"/>
            <w:gridSpan w:val="3"/>
            <w:vMerge w:val="continue"/>
            <w:vAlign w:val="center"/>
          </w:tcPr>
          <w:p/>
        </w:tc>
        <w:tc>
          <w:tcPr>
            <w:tcW w:w="1389" w:type="pct"/>
          </w:tcPr>
          <w:p>
            <w:pPr>
              <w:spacing w:line="400" w:lineRule="exact"/>
              <w:jc w:val="center"/>
            </w:pPr>
            <w:r>
              <w:t>L</w:t>
            </w:r>
          </w:p>
        </w:tc>
        <w:tc>
          <w:tcPr>
            <w:tcW w:w="463" w:type="pct"/>
          </w:tcPr>
          <w:p>
            <w:pPr>
              <w:spacing w:line="400" w:lineRule="exact"/>
              <w:jc w:val="center"/>
            </w:pPr>
            <w:r>
              <w:rPr>
                <w:b w:val="0"/>
              </w:rPr>
              <w:t>6</w:t>
            </w:r>
          </w:p>
        </w:tc>
        <w:tc>
          <w:tcPr>
            <w:tcW w:w="549" w:type="pct"/>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 w:type="pct"/>
            <w:vMerge w:val="continue"/>
            <w:vAlign w:val="center"/>
          </w:tcPr>
          <w:p/>
        </w:tc>
        <w:tc>
          <w:tcPr>
            <w:tcW w:w="684" w:type="pct"/>
            <w:vMerge w:val="continue"/>
          </w:tcPr>
          <w:p/>
        </w:tc>
        <w:tc>
          <w:tcPr>
            <w:tcW w:w="1477" w:type="pct"/>
            <w:gridSpan w:val="3"/>
            <w:vMerge w:val="continue"/>
            <w:vAlign w:val="center"/>
          </w:tcPr>
          <w:p/>
        </w:tc>
        <w:tc>
          <w:tcPr>
            <w:tcW w:w="1389" w:type="pct"/>
          </w:tcPr>
          <w:p>
            <w:pPr>
              <w:spacing w:line="400" w:lineRule="exact"/>
              <w:jc w:val="center"/>
            </w:pPr>
            <w:r>
              <w:t>若排名前BP%的供应商数量小于等于L值，是否去掉最高最低</w:t>
            </w:r>
          </w:p>
        </w:tc>
        <w:tc>
          <w:tcPr>
            <w:tcW w:w="463" w:type="pct"/>
          </w:tcPr>
          <w:p>
            <w:pPr>
              <w:spacing w:line="400" w:lineRule="exact"/>
              <w:jc w:val="center"/>
            </w:pPr>
            <w:r>
              <w:rPr>
                <w:b w:val="0"/>
              </w:rPr>
              <w:t>否</w:t>
            </w:r>
          </w:p>
        </w:tc>
        <w:tc>
          <w:tcPr>
            <w:tcW w:w="549" w:type="pct"/>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 w:type="pct"/>
            <w:vMerge w:val="continue"/>
          </w:tcPr>
          <w:p/>
        </w:tc>
        <w:tc>
          <w:tcPr>
            <w:tcW w:w="684" w:type="pct"/>
            <w:vMerge w:val="continue"/>
          </w:tcPr>
          <w:p/>
        </w:tc>
        <w:tc>
          <w:tcPr>
            <w:tcW w:w="1477" w:type="pct"/>
            <w:gridSpan w:val="3"/>
            <w:vAlign w:val="center"/>
          </w:tcPr>
          <w:p>
            <w:pPr>
              <w:spacing w:line="400" w:lineRule="exact"/>
              <w:jc w:val="center"/>
            </w:pPr>
            <w:r>
              <w:t>参数设置说明</w:t>
            </w:r>
          </w:p>
        </w:tc>
        <w:tc>
          <w:tcPr>
            <w:tcW w:w="2402" w:type="pct"/>
            <w:gridSpan w:val="3"/>
            <w:vAlign w:val="center"/>
          </w:tcPr>
          <w:p>
            <w:pPr>
              <w:spacing w:line="400" w:lineRule="exact"/>
            </w:pPr>
            <w:r>
              <w:t>1、BP%为技术商务分排名靠前的比例，BP%缺省值为80%，进入价格分计算的投标人数量向上取整。</w:t>
            </w:r>
          </w:p>
          <w:p>
            <w:pPr>
              <w:spacing w:line="400" w:lineRule="exact"/>
            </w:pPr>
            <w:r>
              <w:t>2、HP%去掉最高价的比例，HP%缺省值为10%，计算结果按四舍五入方法取整。</w:t>
            </w:r>
          </w:p>
          <w:p>
            <w:pPr>
              <w:spacing w:line="400" w:lineRule="exact"/>
            </w:pPr>
            <w:r>
              <w:t>3、LP%为去掉最低价的比例，LP%缺省值为10%，计算结果按四舍五入方法取整。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 w:type="pct"/>
            <w:vAlign w:val="center"/>
          </w:tcPr>
          <w:p>
            <w:pPr>
              <w:spacing w:line="400" w:lineRule="exact"/>
            </w:pPr>
            <w:r>
              <w:t>2（1）</w:t>
            </w:r>
          </w:p>
        </w:tc>
        <w:tc>
          <w:tcPr>
            <w:tcW w:w="684" w:type="pct"/>
            <w:vAlign w:val="center"/>
          </w:tcPr>
          <w:p>
            <w:pPr>
              <w:spacing w:line="400" w:lineRule="exact"/>
            </w:pPr>
            <w:r>
              <w:t>专家技术商务分算法</w:t>
            </w:r>
          </w:p>
        </w:tc>
        <w:tc>
          <w:tcPr>
            <w:tcW w:w="3879" w:type="pct"/>
            <w:gridSpan w:val="6"/>
            <w:vAlign w:val="center"/>
          </w:tcPr>
          <w:p>
            <w:pPr>
              <w:spacing w:line="400" w:lineRule="exact"/>
            </w:pPr>
            <w:r>
              <w:t>评标专家打分完毕后，计算各标包供应商的商务/技术分时，取专家打分的平均分作为该供应商的商务/技术得分。</w:t>
            </w:r>
          </w:p>
        </w:tc>
      </w:tr>
    </w:tbl>
    <w:p>
      <w:pPr>
        <w:pStyle w:val="3"/>
        <w:spacing w:line="240" w:lineRule="auto"/>
        <w:ind w:firstLine="240"/>
        <w:outlineLvl w:val="9"/>
        <w:rPr>
          <w:rFonts w:hint="default" w:ascii="宋体" w:hAnsi="宋体" w:eastAsia="宋体" w:cs="宋体"/>
          <w:b w:val="0"/>
          <w:bCs w:val="0"/>
          <w:i w:val="0"/>
          <w:iCs w:val="0"/>
          <w:color w:val="auto"/>
          <w:sz w:val="21"/>
          <w:szCs w:val="21"/>
          <w:highlight w:val="none"/>
          <w:lang w:val="en-US" w:eastAsia="zh-CN"/>
        </w:rPr>
      </w:pPr>
    </w:p>
    <w:p>
      <w:pPr>
        <w:pStyle w:val="3"/>
        <w:spacing w:line="240" w:lineRule="auto"/>
        <w:ind w:firstLine="240"/>
        <w:outlineLvl w:val="9"/>
        <w:rPr>
          <w:rFonts w:hint="default" w:ascii="宋体" w:hAnsi="宋体" w:eastAsia="宋体" w:cs="宋体"/>
          <w:b w:val="0"/>
          <w:bCs w:val="0"/>
          <w:i w:val="0"/>
          <w:iCs w:val="0"/>
          <w:color w:val="auto"/>
          <w:sz w:val="21"/>
          <w:szCs w:val="21"/>
          <w:highlight w:val="none"/>
          <w:lang w:val="en-US" w:eastAsia="zh-CN"/>
        </w:rPr>
      </w:pPr>
    </w:p>
    <w:bookmarkEnd w:id="7"/>
    <w:p/>
    <w:p>
      <w:pPr>
        <w:adjustRightInd w:val="0"/>
        <w:snapToGrid w:val="0"/>
        <w:spacing w:line="360" w:lineRule="auto"/>
        <w:ind w:left="284"/>
        <w:outlineLvl w:val="9"/>
        <w:rPr>
          <w:rFonts w:hint="eastAsia" w:ascii="宋体" w:hAnsi="宋体"/>
          <w:i w:val="0"/>
          <w:iCs w:val="0"/>
          <w:color w:val="auto"/>
          <w:kern w:val="0"/>
          <w:sz w:val="18"/>
          <w:szCs w:val="18"/>
          <w:highlight w:val="none"/>
        </w:rPr>
      </w:pPr>
    </w:p>
    <w:p>
      <w:pPr>
        <w:pStyle w:val="3"/>
        <w:spacing w:line="240" w:lineRule="auto"/>
        <w:ind w:firstLine="240"/>
        <w:outlineLvl w:val="9"/>
        <w:rPr>
          <w:rFonts w:hint="eastAsia" w:ascii="宋体" w:hAnsi="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w:t>
      </w:r>
      <w:r>
        <w:rPr>
          <w:rFonts w:hint="eastAsia" w:ascii="宋体" w:hAnsi="宋体" w:cs="宋体"/>
          <w:b w:val="0"/>
          <w:bCs w:val="0"/>
          <w:i w:val="0"/>
          <w:iCs w:val="0"/>
          <w:color w:val="auto"/>
          <w:sz w:val="21"/>
          <w:szCs w:val="21"/>
          <w:highlight w:val="none"/>
          <w:lang w:val="en-US" w:eastAsia="zh-CN"/>
        </w:rPr>
        <w:t>3</w:t>
      </w:r>
      <w:r>
        <w:rPr>
          <w:rFonts w:hint="eastAsia" w:ascii="宋体" w:hAnsi="宋体" w:eastAsia="宋体" w:cs="宋体"/>
          <w:b w:val="0"/>
          <w:bCs w:val="0"/>
          <w:i w:val="0"/>
          <w:iCs w:val="0"/>
          <w:color w:val="auto"/>
          <w:sz w:val="21"/>
          <w:szCs w:val="21"/>
          <w:highlight w:val="none"/>
          <w:lang w:val="en-US" w:eastAsia="zh-CN"/>
        </w:rPr>
        <w:t>）分值构成</w:t>
      </w:r>
      <w:bookmarkStart w:id="8" w:name="PO_74D7D5637BAD4CE5B171042906FE3D04_2"/>
    </w:p>
    <w:tbl>
      <w:tblPr>
        <w:tblStyle w:val="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1789"/>
        <w:gridCol w:w="1363"/>
        <w:gridCol w:w="1363"/>
        <w:gridCol w:w="1364"/>
        <w:gridCol w:w="22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 w:type="pct"/>
            <w:vMerge w:val="restart"/>
            <w:vAlign w:val="center"/>
          </w:tcPr>
          <w:p>
            <w:pPr>
              <w:jc w:val="center"/>
            </w:pPr>
            <w:r>
              <w:rPr>
                <w:b/>
              </w:rPr>
              <w:t>序号</w:t>
            </w:r>
          </w:p>
        </w:tc>
        <w:tc>
          <w:tcPr>
            <w:tcW w:w="1050" w:type="pct"/>
            <w:vMerge w:val="restart"/>
            <w:vAlign w:val="center"/>
          </w:tcPr>
          <w:p>
            <w:pPr>
              <w:jc w:val="center"/>
            </w:pPr>
            <w:r>
              <w:rPr>
                <w:b/>
              </w:rPr>
              <w:t>标的/标包</w:t>
            </w:r>
          </w:p>
        </w:tc>
        <w:tc>
          <w:tcPr>
            <w:tcW w:w="2400" w:type="pct"/>
            <w:gridSpan w:val="3"/>
            <w:vAlign w:val="center"/>
          </w:tcPr>
          <w:p>
            <w:pPr>
              <w:jc w:val="center"/>
            </w:pPr>
            <w:r>
              <w:rPr>
                <w:b/>
              </w:rPr>
              <w:t>分值权重</w:t>
            </w:r>
          </w:p>
        </w:tc>
        <w:tc>
          <w:tcPr>
            <w:tcW w:w="1300" w:type="pct"/>
            <w:vMerge w:val="restart"/>
            <w:vAlign w:val="center"/>
          </w:tcPr>
          <w:p>
            <w:pPr>
              <w:jc w:val="center"/>
            </w:pPr>
            <w:r>
              <w:rPr>
                <w:b/>
              </w:rPr>
              <w:t>价格分计算方法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 w:type="pct"/>
            <w:vMerge w:val="continue"/>
          </w:tcPr>
          <w:p/>
        </w:tc>
        <w:tc>
          <w:tcPr>
            <w:tcW w:w="1050" w:type="pct"/>
            <w:vMerge w:val="continue"/>
          </w:tcPr>
          <w:p/>
        </w:tc>
        <w:tc>
          <w:tcPr>
            <w:tcW w:w="800" w:type="pct"/>
            <w:vAlign w:val="center"/>
          </w:tcPr>
          <w:p>
            <w:pPr>
              <w:jc w:val="center"/>
            </w:pPr>
            <w:r>
              <w:rPr>
                <w:b/>
              </w:rPr>
              <w:t>商务分</w:t>
            </w:r>
          </w:p>
        </w:tc>
        <w:tc>
          <w:tcPr>
            <w:tcW w:w="800" w:type="pct"/>
            <w:vAlign w:val="center"/>
          </w:tcPr>
          <w:p>
            <w:pPr>
              <w:jc w:val="center"/>
            </w:pPr>
            <w:r>
              <w:rPr>
                <w:b/>
              </w:rPr>
              <w:t>技术分</w:t>
            </w:r>
          </w:p>
        </w:tc>
        <w:tc>
          <w:tcPr>
            <w:tcW w:w="800" w:type="pct"/>
            <w:vAlign w:val="center"/>
          </w:tcPr>
          <w:p>
            <w:pPr>
              <w:jc w:val="center"/>
            </w:pPr>
            <w:r>
              <w:rPr>
                <w:b/>
              </w:rPr>
              <w:t>价格分</w:t>
            </w:r>
          </w:p>
        </w:tc>
        <w:tc>
          <w:tcPr>
            <w:tcW w:w="1300" w:type="pct"/>
            <w:vMerge w:val="continue"/>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 w:type="pct"/>
            <w:shd w:val="clear" w:color="auto" w:fill="FFFFFF"/>
            <w:vAlign w:val="center"/>
          </w:tcPr>
          <w:p>
            <w:pPr>
              <w:jc w:val="center"/>
            </w:pPr>
            <w:r>
              <w:t>1</w:t>
            </w:r>
          </w:p>
        </w:tc>
        <w:tc>
          <w:tcPr>
            <w:tcW w:w="1050" w:type="pct"/>
            <w:shd w:val="clear" w:color="auto" w:fill="FFFFFF"/>
            <w:vAlign w:val="center"/>
          </w:tcPr>
          <w:p>
            <w:pPr>
              <w:jc w:val="center"/>
            </w:pPr>
            <w:r>
              <w:t>经营资质策划咨询及协助申报服务[经营资质策划咨询及协助申报服务]</w:t>
            </w:r>
          </w:p>
        </w:tc>
        <w:tc>
          <w:tcPr>
            <w:tcW w:w="800" w:type="pct"/>
            <w:shd w:val="clear" w:color="auto" w:fill="FFFFFF"/>
            <w:vAlign w:val="center"/>
          </w:tcPr>
          <w:p>
            <w:pPr>
              <w:jc w:val="center"/>
            </w:pPr>
            <w:r>
              <w:t>20.0%</w:t>
            </w:r>
          </w:p>
        </w:tc>
        <w:tc>
          <w:tcPr>
            <w:tcW w:w="800" w:type="pct"/>
            <w:shd w:val="clear" w:color="auto" w:fill="FFFFFF"/>
            <w:vAlign w:val="center"/>
          </w:tcPr>
          <w:p>
            <w:pPr>
              <w:jc w:val="center"/>
            </w:pPr>
            <w:r>
              <w:t>50.0%</w:t>
            </w:r>
          </w:p>
        </w:tc>
        <w:tc>
          <w:tcPr>
            <w:tcW w:w="800" w:type="pct"/>
            <w:shd w:val="clear" w:color="auto" w:fill="FFFFFF"/>
            <w:vAlign w:val="center"/>
          </w:tcPr>
          <w:p>
            <w:pPr>
              <w:jc w:val="center"/>
            </w:pPr>
            <w:r>
              <w:t>30.0%</w:t>
            </w:r>
          </w:p>
        </w:tc>
        <w:tc>
          <w:tcPr>
            <w:tcW w:w="1300" w:type="pct"/>
            <w:shd w:val="clear" w:color="auto" w:fill="FFFFFF"/>
            <w:vAlign w:val="center"/>
          </w:tcPr>
          <w:p>
            <w:pPr>
              <w:jc w:val="center"/>
            </w:pPr>
            <w:r>
              <w:t>合理均价基准差径靶心法</w:t>
            </w:r>
          </w:p>
        </w:tc>
      </w:tr>
      <w:bookmarkEnd w:id="8"/>
    </w:tbl>
    <w:p/>
    <w:p>
      <w:pPr>
        <w:pStyle w:val="3"/>
        <w:spacing w:line="240" w:lineRule="auto"/>
        <w:ind w:firstLine="240"/>
        <w:outlineLvl w:val="9"/>
        <w:rPr>
          <w:rFonts w:hint="eastAsia" w:ascii="宋体" w:hAnsi="宋体" w:eastAsia="宋体" w:cs="宋体"/>
          <w:b w:val="0"/>
          <w:bCs w:val="0"/>
          <w:i w:val="0"/>
          <w:iCs w:val="0"/>
          <w:color w:val="auto"/>
          <w:sz w:val="21"/>
          <w:szCs w:val="21"/>
          <w:highlight w:val="none"/>
          <w:lang w:val="en-US" w:eastAsia="zh-CN"/>
        </w:rPr>
      </w:pPr>
    </w:p>
    <w:p>
      <w:pPr>
        <w:pStyle w:val="3"/>
        <w:spacing w:line="240" w:lineRule="auto"/>
        <w:ind w:firstLine="240"/>
        <w:outlineLvl w:val="9"/>
        <w:rPr>
          <w:rFonts w:hint="default"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（4）中标推荐原则</w:t>
      </w:r>
      <w:r>
        <w:rPr>
          <w:rFonts w:hint="eastAsia" w:ascii="宋体" w:hAnsi="宋体" w:cs="宋体"/>
          <w:b w:val="0"/>
          <w:bCs w:val="0"/>
          <w:i w:val="0"/>
          <w:iCs w:val="0"/>
          <w:color w:val="auto"/>
          <w:sz w:val="21"/>
          <w:szCs w:val="21"/>
          <w:highlight w:val="none"/>
          <w:lang w:val="en-US" w:eastAsia="zh-CN"/>
        </w:rPr>
        <w:t xml:space="preserve"> </w:t>
      </w:r>
      <w:bookmarkStart w:id="9" w:name="PO_CFE50F769DC64D97A9D2285028450065"/>
    </w:p>
    <w:tbl>
      <w:tblPr>
        <w:tblStyle w:val="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1"/>
        <w:gridCol w:w="2897"/>
        <w:gridCol w:w="51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0" w:type="pct"/>
            <w:shd w:val="clear" w:color="auto" w:fill="FFFFFF"/>
            <w:vAlign w:val="center"/>
          </w:tcPr>
          <w:p>
            <w:pPr>
              <w:jc w:val="center"/>
            </w:pPr>
            <w:r>
              <w:rPr>
                <w:b/>
              </w:rPr>
              <w:t>序号</w:t>
            </w:r>
          </w:p>
        </w:tc>
        <w:tc>
          <w:tcPr>
            <w:tcW w:w="1700" w:type="pct"/>
            <w:shd w:val="clear" w:color="auto" w:fill="FFFFFF"/>
            <w:vAlign w:val="center"/>
          </w:tcPr>
          <w:p>
            <w:pPr>
              <w:jc w:val="center"/>
            </w:pPr>
            <w:r>
              <w:rPr>
                <w:b/>
              </w:rPr>
              <w:t>标的</w:t>
            </w:r>
          </w:p>
        </w:tc>
        <w:tc>
          <w:tcPr>
            <w:tcW w:w="3000" w:type="pct"/>
            <w:shd w:val="clear" w:color="auto" w:fill="FFFFFF"/>
            <w:vAlign w:val="center"/>
          </w:tcPr>
          <w:p>
            <w:pPr>
              <w:jc w:val="center"/>
            </w:pPr>
            <w:r>
              <w:rPr>
                <w:b/>
              </w:rPr>
              <w:t>中标推荐原则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 w:type="pct"/>
            <w:shd w:val="clear" w:color="auto" w:fill="FFFFFF"/>
            <w:vAlign w:val="center"/>
          </w:tcPr>
          <w:p>
            <w:pPr>
              <w:keepNext w:val="0"/>
              <w:keepLines w:val="0"/>
              <w:autoSpaceDE/>
              <w:autoSpaceDN/>
              <w:spacing w:afterAutospacing="1"/>
              <w:jc w:val="center"/>
            </w:pPr>
            <w:r>
              <w:t>1</w:t>
            </w:r>
          </w:p>
        </w:tc>
        <w:tc>
          <w:tcPr>
            <w:tcW w:w="1700" w:type="pct"/>
            <w:shd w:val="clear" w:color="auto" w:fill="FFFFFF"/>
            <w:vAlign w:val="center"/>
          </w:tcPr>
          <w:p>
            <w:pPr>
              <w:keepNext w:val="0"/>
              <w:keepLines w:val="0"/>
              <w:autoSpaceDE/>
              <w:autoSpaceDN/>
              <w:spacing w:afterAutospacing="1"/>
              <w:jc w:val="left"/>
            </w:pPr>
            <w:r>
              <w:t>全部</w:t>
            </w:r>
          </w:p>
        </w:tc>
        <w:tc>
          <w:tcPr>
            <w:tcW w:w="3000" w:type="pct"/>
            <w:shd w:val="clear" w:color="auto" w:fill="FFFFFF"/>
            <w:vAlign w:val="center"/>
          </w:tcPr>
          <w:p>
            <w:pPr>
              <w:keepNext w:val="0"/>
              <w:keepLines w:val="0"/>
              <w:autoSpaceDE/>
              <w:autoSpaceDN/>
              <w:spacing w:afterAutospacing="1"/>
              <w:jc w:val="left"/>
            </w:pPr>
            <w:r>
              <w:t>（1）评标委员会提出评标报告，按得分由高到低进行排序，向招标人推荐1名中标候选人，综合得分最高者为中标候选人。</w:t>
            </w:r>
          </w:p>
          <w:p>
            <w:pPr>
              <w:keepNext w:val="0"/>
              <w:keepLines w:val="0"/>
              <w:autoSpaceDE/>
              <w:autoSpaceDN/>
              <w:spacing w:afterAutospacing="1"/>
              <w:jc w:val="left"/>
            </w:pPr>
            <w:r>
              <w:t>（2）当出现综合得分相同的存在两个或以上投标人的，以报价低者优先，如果报价也相同，以技术得分高者优先，如果仍然相同，则由评标委员会投票，票数多者优先。</w:t>
            </w:r>
          </w:p>
        </w:tc>
      </w:tr>
      <w:bookmarkEnd w:id="9"/>
    </w:tbl>
    <w:p/>
    <w:p>
      <w:pPr>
        <w:outlineLvl w:val="9"/>
        <w:rPr>
          <w:rFonts w:hint="eastAsia" w:ascii="黑体" w:hAnsi="黑体" w:eastAsia="黑体" w:cs="黑体"/>
          <w:i w:val="0"/>
          <w:iCs w:val="0"/>
          <w:color w:val="auto"/>
          <w:sz w:val="28"/>
          <w:szCs w:val="28"/>
          <w:highlight w:val="none"/>
        </w:rPr>
      </w:pPr>
      <w:r>
        <w:br w:type="page"/>
      </w:r>
    </w:p>
    <w:p>
      <w:pPr>
        <w:outlineLvl w:val="9"/>
        <w:rPr>
          <w:rFonts w:hint="eastAsia" w:ascii="黑体" w:hAnsi="黑体" w:eastAsia="黑体" w:cs="黑体"/>
          <w:i w:val="0"/>
          <w:iCs w:val="0"/>
          <w:color w:val="auto"/>
          <w:sz w:val="28"/>
          <w:szCs w:val="28"/>
          <w:highlight w:val="none"/>
        </w:rPr>
      </w:pPr>
      <w:r>
        <w:rPr>
          <w:rFonts w:hint="eastAsia" w:ascii="黑体" w:hAnsi="黑体" w:eastAsia="黑体" w:cs="黑体"/>
          <w:i w:val="0"/>
          <w:iCs w:val="0"/>
          <w:color w:val="auto"/>
          <w:sz w:val="28"/>
          <w:szCs w:val="28"/>
          <w:highlight w:val="none"/>
        </w:rPr>
        <w:t>1. 评标方法</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本次评标采用综合评估法。评标委员会对满足招标文件实质性要求的投标文件</w:t>
      </w:r>
      <w:r>
        <w:rPr>
          <w:rFonts w:hint="eastAsia" w:ascii="宋体" w:hAnsi="宋体"/>
          <w:i w:val="0"/>
          <w:iCs w:val="0"/>
          <w:color w:val="auto"/>
          <w:sz w:val="21"/>
          <w:highlight w:val="none"/>
          <w:lang w:eastAsia="zh-CN"/>
        </w:rPr>
        <w:t>，</w:t>
      </w:r>
      <w:r>
        <w:rPr>
          <w:rFonts w:hint="eastAsia" w:ascii="宋体" w:hAnsi="宋体"/>
          <w:i w:val="0"/>
          <w:iCs w:val="0"/>
          <w:color w:val="auto"/>
          <w:sz w:val="21"/>
          <w:highlight w:val="none"/>
        </w:rPr>
        <w:t>按照本章第 2.2 款规定的评分标准进行打分</w:t>
      </w:r>
      <w:r>
        <w:rPr>
          <w:rFonts w:hint="eastAsia" w:ascii="宋体" w:hAnsi="宋体"/>
          <w:i w:val="0"/>
          <w:iCs w:val="0"/>
          <w:color w:val="auto"/>
          <w:sz w:val="21"/>
          <w:highlight w:val="none"/>
          <w:lang w:eastAsia="zh-CN"/>
        </w:rPr>
        <w:t>，</w:t>
      </w:r>
      <w:r>
        <w:rPr>
          <w:rFonts w:hint="eastAsia" w:ascii="宋体" w:hAnsi="宋体"/>
          <w:i w:val="0"/>
          <w:iCs w:val="0"/>
          <w:color w:val="auto"/>
          <w:sz w:val="21"/>
          <w:highlight w:val="none"/>
        </w:rPr>
        <w:t>并按得分由高到低顺序推荐中标候选人</w:t>
      </w:r>
      <w:r>
        <w:rPr>
          <w:rFonts w:hint="eastAsia" w:ascii="宋体" w:hAnsi="宋体"/>
          <w:i w:val="0"/>
          <w:iCs w:val="0"/>
          <w:color w:val="auto"/>
          <w:sz w:val="21"/>
          <w:highlight w:val="none"/>
          <w:lang w:eastAsia="zh-CN"/>
        </w:rPr>
        <w:t>，</w:t>
      </w:r>
      <w:r>
        <w:rPr>
          <w:rFonts w:hint="eastAsia" w:ascii="宋体" w:hAnsi="宋体"/>
          <w:i w:val="0"/>
          <w:iCs w:val="0"/>
          <w:color w:val="auto"/>
          <w:sz w:val="21"/>
          <w:highlight w:val="none"/>
        </w:rPr>
        <w:t>或根据招标人授权直接确定中标人</w:t>
      </w:r>
      <w:r>
        <w:rPr>
          <w:rFonts w:hint="eastAsia" w:ascii="宋体" w:hAnsi="宋体"/>
          <w:i w:val="0"/>
          <w:iCs w:val="0"/>
          <w:color w:val="auto"/>
          <w:sz w:val="21"/>
          <w:highlight w:val="none"/>
          <w:lang w:eastAsia="zh-CN"/>
        </w:rPr>
        <w:t>，</w:t>
      </w:r>
      <w:r>
        <w:rPr>
          <w:rFonts w:hint="eastAsia" w:ascii="宋体" w:hAnsi="宋体"/>
          <w:i w:val="0"/>
          <w:iCs w:val="0"/>
          <w:color w:val="auto"/>
          <w:sz w:val="21"/>
          <w:highlight w:val="none"/>
        </w:rPr>
        <w:t>但投标报价低于其成本的除外。</w:t>
      </w:r>
    </w:p>
    <w:p>
      <w:pPr>
        <w:pStyle w:val="6"/>
        <w:tabs>
          <w:tab w:val="left" w:pos="1200"/>
        </w:tabs>
        <w:adjustRightInd w:val="0"/>
        <w:snapToGrid w:val="0"/>
        <w:ind w:left="0" w:firstLine="420" w:firstLineChars="200"/>
        <w:outlineLvl w:val="9"/>
        <w:rPr>
          <w:rFonts w:hint="eastAsia" w:ascii="宋体" w:hAnsi="宋体" w:eastAsia="宋体"/>
          <w:i w:val="0"/>
          <w:iCs w:val="0"/>
          <w:color w:val="auto"/>
          <w:sz w:val="21"/>
          <w:highlight w:val="none"/>
          <w:lang w:eastAsia="zh-CN"/>
        </w:rPr>
      </w:pPr>
      <w:r>
        <w:rPr>
          <w:rFonts w:hint="eastAsia" w:ascii="宋体" w:hAnsi="宋体" w:eastAsia="宋体"/>
          <w:i w:val="0"/>
          <w:iCs w:val="0"/>
          <w:color w:val="auto"/>
          <w:sz w:val="21"/>
          <w:highlight w:val="none"/>
          <w:lang w:val="en-US" w:eastAsia="zh-CN"/>
        </w:rPr>
        <w:t>中标推荐原则</w:t>
      </w:r>
      <w:r>
        <w:rPr>
          <w:rFonts w:hint="eastAsia" w:ascii="宋体" w:hAnsi="宋体"/>
          <w:i w:val="0"/>
          <w:iCs w:val="0"/>
          <w:color w:val="auto"/>
          <w:sz w:val="21"/>
          <w:highlight w:val="none"/>
          <w:lang w:val="en-US" w:eastAsia="zh-CN"/>
        </w:rPr>
        <w:t>：详</w:t>
      </w:r>
      <w:r>
        <w:rPr>
          <w:rFonts w:hint="eastAsia" w:ascii="宋体" w:hAnsi="宋体"/>
          <w:i w:val="0"/>
          <w:iCs w:val="0"/>
          <w:color w:val="auto"/>
          <w:sz w:val="21"/>
          <w:highlight w:val="none"/>
        </w:rPr>
        <w:t>见评标办法前附表</w:t>
      </w:r>
      <w:r>
        <w:rPr>
          <w:rFonts w:hint="eastAsia" w:ascii="宋体" w:hAnsi="宋体"/>
          <w:i w:val="0"/>
          <w:iCs w:val="0"/>
          <w:color w:val="auto"/>
          <w:sz w:val="21"/>
          <w:highlight w:val="none"/>
          <w:lang w:eastAsia="zh-CN"/>
        </w:rPr>
        <w:t>。</w:t>
      </w:r>
    </w:p>
    <w:p>
      <w:pPr>
        <w:outlineLvl w:val="9"/>
        <w:rPr>
          <w:rFonts w:hint="eastAsia" w:ascii="黑体" w:hAnsi="黑体" w:eastAsia="黑体" w:cs="黑体"/>
          <w:i w:val="0"/>
          <w:iCs w:val="0"/>
          <w:color w:val="auto"/>
          <w:sz w:val="28"/>
          <w:szCs w:val="28"/>
          <w:highlight w:val="none"/>
        </w:rPr>
      </w:pPr>
      <w:bookmarkStart w:id="10" w:name="_Toc3400"/>
      <w:bookmarkStart w:id="11" w:name="_Toc7368"/>
      <w:bookmarkStart w:id="12" w:name="_Toc16327"/>
      <w:bookmarkStart w:id="13" w:name="_Toc14700"/>
      <w:r>
        <w:rPr>
          <w:rFonts w:hint="eastAsia" w:ascii="黑体" w:hAnsi="黑体" w:eastAsia="黑体" w:cs="黑体"/>
          <w:i w:val="0"/>
          <w:iCs w:val="0"/>
          <w:color w:val="auto"/>
          <w:sz w:val="28"/>
          <w:szCs w:val="28"/>
          <w:highlight w:val="none"/>
        </w:rPr>
        <w:t>2. 评审标准</w:t>
      </w:r>
      <w:bookmarkEnd w:id="10"/>
      <w:bookmarkEnd w:id="11"/>
      <w:bookmarkEnd w:id="12"/>
      <w:bookmarkEnd w:id="13"/>
    </w:p>
    <w:p>
      <w:pPr>
        <w:spacing w:line="360" w:lineRule="auto"/>
        <w:outlineLvl w:val="9"/>
        <w:rPr>
          <w:rFonts w:hint="eastAsia" w:ascii="黑体" w:hAnsi="黑体" w:eastAsia="黑体" w:cs="黑体"/>
          <w:i w:val="0"/>
          <w:iCs w:val="0"/>
          <w:color w:val="auto"/>
          <w:sz w:val="24"/>
          <w:szCs w:val="24"/>
          <w:highlight w:val="none"/>
        </w:rPr>
      </w:pPr>
      <w:bookmarkStart w:id="14" w:name="_Toc7243"/>
      <w:bookmarkStart w:id="15" w:name="_Toc8101"/>
      <w:bookmarkStart w:id="16" w:name="_Toc6891"/>
      <w:r>
        <w:rPr>
          <w:rFonts w:hint="eastAsia" w:ascii="黑体" w:hAnsi="黑体" w:eastAsia="黑体" w:cs="黑体"/>
          <w:i w:val="0"/>
          <w:iCs w:val="0"/>
          <w:color w:val="auto"/>
          <w:sz w:val="24"/>
          <w:szCs w:val="24"/>
          <w:highlight w:val="none"/>
        </w:rPr>
        <w:t>2.1 初步评审标准</w:t>
      </w:r>
      <w:bookmarkEnd w:id="14"/>
      <w:bookmarkEnd w:id="15"/>
      <w:bookmarkEnd w:id="16"/>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2.1.1 形式评审标准：见评标办法前附表。</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2.1.2 资格评审标准：见评标办法前附表。</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2.1.3 响应性评审标准：见评标办法前附表。</w:t>
      </w:r>
    </w:p>
    <w:p>
      <w:pPr>
        <w:spacing w:line="360" w:lineRule="auto"/>
        <w:outlineLvl w:val="9"/>
        <w:rPr>
          <w:rFonts w:hint="eastAsia" w:ascii="黑体" w:hAnsi="黑体" w:eastAsia="黑体" w:cs="黑体"/>
          <w:i w:val="0"/>
          <w:iCs w:val="0"/>
          <w:color w:val="auto"/>
          <w:sz w:val="24"/>
          <w:szCs w:val="24"/>
          <w:highlight w:val="none"/>
        </w:rPr>
      </w:pPr>
      <w:bookmarkStart w:id="17" w:name="_Toc29969"/>
      <w:bookmarkStart w:id="18" w:name="_Toc25499"/>
      <w:bookmarkStart w:id="19" w:name="_Toc4923"/>
      <w:r>
        <w:rPr>
          <w:rFonts w:hint="eastAsia" w:ascii="黑体" w:hAnsi="黑体" w:eastAsia="黑体" w:cs="黑体"/>
          <w:i w:val="0"/>
          <w:iCs w:val="0"/>
          <w:color w:val="auto"/>
          <w:sz w:val="24"/>
          <w:szCs w:val="24"/>
          <w:highlight w:val="none"/>
        </w:rPr>
        <w:t>2.2 分值构成与评分标准</w:t>
      </w:r>
      <w:bookmarkEnd w:id="17"/>
      <w:bookmarkEnd w:id="18"/>
      <w:bookmarkEnd w:id="19"/>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2.2.1 分值构成</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（1）商务部分：见评标办法前附表；</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（2）技术部分：见评标办法前附表；</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（3）投标</w:t>
      </w:r>
      <w:r>
        <w:rPr>
          <w:rFonts w:hint="eastAsia" w:ascii="宋体" w:hAnsi="宋体"/>
          <w:i w:val="0"/>
          <w:iCs w:val="0"/>
          <w:color w:val="auto"/>
          <w:sz w:val="21"/>
          <w:highlight w:val="none"/>
          <w:lang w:eastAsia="zh-CN"/>
        </w:rPr>
        <w:t>报价</w:t>
      </w:r>
      <w:r>
        <w:rPr>
          <w:rFonts w:hint="eastAsia" w:ascii="宋体" w:hAnsi="宋体"/>
          <w:i w:val="0"/>
          <w:iCs w:val="0"/>
          <w:color w:val="auto"/>
          <w:sz w:val="21"/>
          <w:highlight w:val="none"/>
        </w:rPr>
        <w:t>部分：见评标办法前附表；</w:t>
      </w:r>
    </w:p>
    <w:p>
      <w:pPr>
        <w:pStyle w:val="6"/>
        <w:tabs>
          <w:tab w:val="left" w:pos="1200"/>
        </w:tabs>
        <w:adjustRightInd w:val="0"/>
        <w:snapToGrid w:val="0"/>
        <w:ind w:left="0" w:firstLine="420" w:firstLineChars="200"/>
        <w:outlineLvl w:val="9"/>
        <w:rPr>
          <w:rFonts w:ascii="宋体" w:hAnsi="宋体" w:cs="宋体"/>
          <w:i w:val="0"/>
          <w:iCs w:val="0"/>
          <w:color w:val="auto"/>
          <w:sz w:val="21"/>
          <w:highlight w:val="none"/>
        </w:rPr>
      </w:pPr>
      <w:r>
        <w:rPr>
          <w:rFonts w:hint="eastAsia" w:ascii="宋体" w:hAnsi="宋体"/>
          <w:i w:val="0"/>
          <w:iCs w:val="0"/>
          <w:color w:val="auto"/>
          <w:sz w:val="21"/>
          <w:highlight w:val="none"/>
        </w:rPr>
        <w:t>（4）其他评分因素：见评标办法前附表</w:t>
      </w:r>
      <w:r>
        <w:rPr>
          <w:rFonts w:hint="eastAsia" w:ascii="宋体" w:hAnsi="宋体" w:cs="宋体"/>
          <w:i w:val="0"/>
          <w:iCs w:val="0"/>
          <w:color w:val="auto"/>
          <w:sz w:val="21"/>
          <w:highlight w:val="none"/>
        </w:rPr>
        <w:t>。</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2.2.2 评标基准价计算</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评标基准价计算方法：见评标办法前附表。</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2.2.3 投标报价的偏差率计算</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投标报价的偏差率计算公式：见评标办法前附表。</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2.2.4 评分标准</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（1）商务评分标准：见评标办法前附表；</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（2）技术评分标准：见评标办法前附表；</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（3）投标报价评分标准：见评标办法前附表；</w:t>
      </w:r>
    </w:p>
    <w:p>
      <w:pPr>
        <w:pStyle w:val="6"/>
        <w:tabs>
          <w:tab w:val="left" w:pos="1200"/>
        </w:tabs>
        <w:adjustRightInd w:val="0"/>
        <w:snapToGrid w:val="0"/>
        <w:ind w:left="0" w:firstLine="420" w:firstLineChars="200"/>
        <w:outlineLvl w:val="9"/>
        <w:rPr>
          <w:rFonts w:hint="eastAsia" w:ascii="宋体" w:hAnsi="宋体" w:eastAsia="宋体"/>
          <w:i w:val="0"/>
          <w:iCs w:val="0"/>
          <w:color w:val="auto"/>
          <w:sz w:val="21"/>
          <w:highlight w:val="none"/>
          <w:lang w:eastAsia="zh-CN"/>
        </w:rPr>
      </w:pPr>
      <w:r>
        <w:rPr>
          <w:rFonts w:hint="eastAsia" w:ascii="宋体" w:hAnsi="宋体" w:eastAsia="宋体"/>
          <w:i w:val="0"/>
          <w:iCs w:val="0"/>
          <w:color w:val="auto"/>
          <w:sz w:val="21"/>
          <w:highlight w:val="none"/>
        </w:rPr>
        <w:t>（4）其他因素评分标准：见评标办法前附表</w:t>
      </w:r>
      <w:r>
        <w:rPr>
          <w:rFonts w:hint="eastAsia" w:ascii="宋体" w:hAnsi="宋体" w:eastAsia="宋体"/>
          <w:i w:val="0"/>
          <w:iCs w:val="0"/>
          <w:color w:val="auto"/>
          <w:sz w:val="21"/>
          <w:highlight w:val="none"/>
          <w:lang w:eastAsia="zh-CN"/>
        </w:rPr>
        <w:t>。</w:t>
      </w:r>
    </w:p>
    <w:p>
      <w:pPr>
        <w:pStyle w:val="6"/>
        <w:tabs>
          <w:tab w:val="left" w:pos="1200"/>
        </w:tabs>
        <w:adjustRightInd w:val="0"/>
        <w:snapToGrid w:val="0"/>
        <w:ind w:left="0" w:firstLine="420" w:firstLineChars="200"/>
        <w:outlineLvl w:val="9"/>
        <w:rPr>
          <w:rFonts w:hint="default" w:ascii="宋体" w:hAnsi="宋体" w:eastAsia="宋体"/>
          <w:i w:val="0"/>
          <w:iCs w:val="0"/>
          <w:color w:val="auto"/>
          <w:sz w:val="21"/>
          <w:highlight w:val="none"/>
          <w:lang w:val="en-US" w:eastAsia="zh-CN"/>
        </w:rPr>
      </w:pPr>
      <w:r>
        <w:rPr>
          <w:rFonts w:hint="default" w:ascii="宋体" w:hAnsi="宋体" w:eastAsia="宋体"/>
          <w:i w:val="0"/>
          <w:iCs w:val="0"/>
          <w:color w:val="auto"/>
          <w:sz w:val="21"/>
          <w:highlight w:val="none"/>
          <w:lang w:val="en-US" w:eastAsia="zh-CN"/>
        </w:rPr>
        <w:t>2.2.5其他说明</w:t>
      </w:r>
    </w:p>
    <w:p>
      <w:pPr>
        <w:pStyle w:val="6"/>
        <w:tabs>
          <w:tab w:val="left" w:pos="1200"/>
        </w:tabs>
        <w:adjustRightInd w:val="0"/>
        <w:snapToGrid w:val="0"/>
        <w:ind w:left="0" w:firstLine="420" w:firstLineChars="200"/>
        <w:outlineLvl w:val="9"/>
        <w:rPr>
          <w:rFonts w:hint="default" w:ascii="宋体" w:hAnsi="宋体" w:eastAsia="宋体"/>
          <w:i w:val="0"/>
          <w:iCs w:val="0"/>
          <w:color w:val="auto"/>
          <w:sz w:val="21"/>
          <w:highlight w:val="none"/>
          <w:lang w:val="en-US" w:eastAsia="zh-CN"/>
        </w:rPr>
      </w:pPr>
      <w:r>
        <w:rPr>
          <w:rFonts w:hint="default" w:ascii="宋体" w:hAnsi="宋体" w:eastAsia="宋体"/>
          <w:i w:val="0"/>
          <w:iCs w:val="0"/>
          <w:color w:val="auto"/>
          <w:sz w:val="21"/>
          <w:highlight w:val="none"/>
          <w:lang w:val="en-US" w:eastAsia="zh-CN"/>
        </w:rPr>
        <w:t>（1）专家技术商务分算法：见评标办法前附表；</w:t>
      </w:r>
    </w:p>
    <w:p>
      <w:pPr>
        <w:pStyle w:val="6"/>
        <w:tabs>
          <w:tab w:val="left" w:pos="1200"/>
        </w:tabs>
        <w:adjustRightInd w:val="0"/>
        <w:snapToGrid w:val="0"/>
        <w:ind w:left="0" w:firstLine="420" w:firstLineChars="200"/>
        <w:outlineLvl w:val="9"/>
        <w:rPr>
          <w:rFonts w:hint="default" w:ascii="宋体" w:hAnsi="宋体" w:eastAsia="宋体"/>
          <w:i w:val="0"/>
          <w:iCs w:val="0"/>
          <w:color w:val="auto"/>
          <w:sz w:val="21"/>
          <w:highlight w:val="none"/>
          <w:lang w:val="en-US" w:eastAsia="zh-CN"/>
        </w:rPr>
      </w:pPr>
      <w:r>
        <w:rPr>
          <w:rFonts w:hint="default" w:ascii="宋体" w:hAnsi="宋体" w:eastAsia="宋体"/>
          <w:i w:val="0"/>
          <w:iCs w:val="0"/>
          <w:color w:val="auto"/>
          <w:sz w:val="21"/>
          <w:highlight w:val="none"/>
          <w:lang w:val="en-US" w:eastAsia="zh-CN"/>
        </w:rPr>
        <w:t>（2）技术商务淘汰方式：见评标办法前附表。</w:t>
      </w:r>
    </w:p>
    <w:p>
      <w:pPr>
        <w:outlineLvl w:val="9"/>
        <w:rPr>
          <w:rFonts w:hint="eastAsia" w:ascii="黑体" w:hAnsi="黑体" w:eastAsia="黑体" w:cs="黑体"/>
          <w:i w:val="0"/>
          <w:iCs w:val="0"/>
          <w:color w:val="auto"/>
          <w:sz w:val="28"/>
          <w:szCs w:val="28"/>
          <w:highlight w:val="none"/>
        </w:rPr>
      </w:pPr>
      <w:bookmarkStart w:id="20" w:name="_Toc12303"/>
      <w:bookmarkStart w:id="21" w:name="_Toc5497"/>
      <w:bookmarkStart w:id="22" w:name="_Toc10465"/>
      <w:bookmarkStart w:id="23" w:name="_Toc12018"/>
      <w:r>
        <w:rPr>
          <w:rFonts w:hint="eastAsia" w:ascii="黑体" w:hAnsi="黑体" w:eastAsia="黑体" w:cs="黑体"/>
          <w:i w:val="0"/>
          <w:iCs w:val="0"/>
          <w:color w:val="auto"/>
          <w:sz w:val="28"/>
          <w:szCs w:val="28"/>
          <w:highlight w:val="none"/>
        </w:rPr>
        <w:t>3. 评标程序</w:t>
      </w:r>
      <w:bookmarkEnd w:id="20"/>
      <w:bookmarkEnd w:id="21"/>
      <w:bookmarkEnd w:id="22"/>
      <w:bookmarkEnd w:id="23"/>
    </w:p>
    <w:p>
      <w:pPr>
        <w:spacing w:line="360" w:lineRule="auto"/>
        <w:outlineLvl w:val="9"/>
        <w:rPr>
          <w:rFonts w:hint="eastAsia" w:ascii="黑体" w:hAnsi="黑体" w:eastAsia="黑体" w:cs="黑体"/>
          <w:i w:val="0"/>
          <w:iCs w:val="0"/>
          <w:color w:val="auto"/>
          <w:sz w:val="24"/>
          <w:szCs w:val="24"/>
          <w:highlight w:val="none"/>
        </w:rPr>
      </w:pPr>
      <w:bookmarkStart w:id="24" w:name="_Toc31913"/>
      <w:bookmarkStart w:id="25" w:name="_Toc19787"/>
      <w:bookmarkStart w:id="26" w:name="_Toc18139"/>
      <w:r>
        <w:rPr>
          <w:rFonts w:hint="eastAsia" w:ascii="黑体" w:hAnsi="黑体" w:eastAsia="黑体" w:cs="黑体"/>
          <w:i w:val="0"/>
          <w:iCs w:val="0"/>
          <w:color w:val="auto"/>
          <w:sz w:val="24"/>
          <w:szCs w:val="24"/>
          <w:highlight w:val="none"/>
        </w:rPr>
        <w:t>3.1 初步评审</w:t>
      </w:r>
      <w:bookmarkEnd w:id="24"/>
      <w:bookmarkEnd w:id="25"/>
      <w:bookmarkEnd w:id="26"/>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3.1.1 评标委员会可以要求投标人提交第二章“投标人须知”规定的有关证明和证件的原件，以便核验。评标委员会依据本章第2.1款规定的标准对投标文件进行初步评审，有一项不符合评审标准的，评标委员会应当否决其投标。重点核查以下异常投标情形：</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（1）法律法规规定视为串通投标的情形；</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（2）投标文件异常一致；</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（3）投标活动异常关联；</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（4）通过受让、租借、挂靠资质投标，伪造、变造资质、资格证书或者其他许可证件，提供虚假业绩、奖项、项目负责人等材料。</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3.1.2 投标人有以下情形之一的</w:t>
      </w:r>
      <w:r>
        <w:rPr>
          <w:rFonts w:hint="eastAsia" w:ascii="宋体" w:hAnsi="宋体"/>
          <w:i w:val="0"/>
          <w:iCs w:val="0"/>
          <w:color w:val="auto"/>
          <w:sz w:val="21"/>
          <w:highlight w:val="none"/>
          <w:lang w:eastAsia="zh-CN"/>
        </w:rPr>
        <w:t>，</w:t>
      </w:r>
      <w:r>
        <w:rPr>
          <w:rFonts w:hint="eastAsia" w:ascii="宋体" w:hAnsi="宋体"/>
          <w:i w:val="0"/>
          <w:iCs w:val="0"/>
          <w:color w:val="auto"/>
          <w:sz w:val="21"/>
          <w:highlight w:val="none"/>
        </w:rPr>
        <w:t>评标委员会应当否决其投标：</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（1）投标文件没有对招标文件的实质性要求和条件作出响应</w:t>
      </w:r>
      <w:r>
        <w:rPr>
          <w:rFonts w:hint="eastAsia" w:ascii="宋体" w:hAnsi="宋体"/>
          <w:i w:val="0"/>
          <w:iCs w:val="0"/>
          <w:color w:val="auto"/>
          <w:sz w:val="21"/>
          <w:highlight w:val="none"/>
          <w:lang w:eastAsia="zh-CN"/>
        </w:rPr>
        <w:t>，</w:t>
      </w:r>
      <w:r>
        <w:rPr>
          <w:rFonts w:hint="eastAsia" w:ascii="宋体" w:hAnsi="宋体"/>
          <w:i w:val="0"/>
          <w:iCs w:val="0"/>
          <w:color w:val="auto"/>
          <w:sz w:val="21"/>
          <w:highlight w:val="none"/>
        </w:rPr>
        <w:t>或者对招标文件的偏差超出招标文件规定的偏差范围或最高项数；</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（2）有串通投标、弄虚作假、行贿等违法行为。</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3.1.3 投标报价有算术错误及其他错误的</w:t>
      </w:r>
      <w:r>
        <w:rPr>
          <w:rFonts w:hint="eastAsia" w:ascii="宋体" w:hAnsi="宋体"/>
          <w:i w:val="0"/>
          <w:iCs w:val="0"/>
          <w:color w:val="auto"/>
          <w:sz w:val="21"/>
          <w:highlight w:val="none"/>
          <w:lang w:eastAsia="zh-CN"/>
        </w:rPr>
        <w:t>，</w:t>
      </w:r>
      <w:r>
        <w:rPr>
          <w:rFonts w:hint="eastAsia" w:ascii="宋体" w:hAnsi="宋体"/>
          <w:i w:val="0"/>
          <w:iCs w:val="0"/>
          <w:color w:val="auto"/>
          <w:sz w:val="21"/>
          <w:highlight w:val="none"/>
        </w:rPr>
        <w:t>评标委员会按以下原则要求投标人对投标报价进行修正</w:t>
      </w:r>
      <w:r>
        <w:rPr>
          <w:rFonts w:hint="eastAsia" w:ascii="宋体" w:hAnsi="宋体"/>
          <w:i w:val="0"/>
          <w:iCs w:val="0"/>
          <w:color w:val="auto"/>
          <w:sz w:val="21"/>
          <w:highlight w:val="none"/>
          <w:lang w:eastAsia="zh-CN"/>
        </w:rPr>
        <w:t>，</w:t>
      </w:r>
      <w:r>
        <w:rPr>
          <w:rFonts w:hint="eastAsia" w:ascii="宋体" w:hAnsi="宋体"/>
          <w:i w:val="0"/>
          <w:iCs w:val="0"/>
          <w:color w:val="auto"/>
          <w:sz w:val="21"/>
          <w:highlight w:val="none"/>
        </w:rPr>
        <w:t>并要求投标人书面澄清确认。投标人拒不澄清确认的</w:t>
      </w:r>
      <w:r>
        <w:rPr>
          <w:rFonts w:hint="eastAsia" w:ascii="宋体" w:hAnsi="宋体"/>
          <w:i w:val="0"/>
          <w:iCs w:val="0"/>
          <w:color w:val="auto"/>
          <w:sz w:val="21"/>
          <w:highlight w:val="none"/>
          <w:lang w:eastAsia="zh-CN"/>
        </w:rPr>
        <w:t>，</w:t>
      </w:r>
      <w:r>
        <w:rPr>
          <w:rFonts w:hint="eastAsia" w:ascii="宋体" w:hAnsi="宋体"/>
          <w:i w:val="0"/>
          <w:iCs w:val="0"/>
          <w:color w:val="auto"/>
          <w:sz w:val="21"/>
          <w:highlight w:val="none"/>
        </w:rPr>
        <w:t>评标委员会应当否决其投标：</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（1）投标文件中的大写金额与小写金额不一致的</w:t>
      </w:r>
      <w:r>
        <w:rPr>
          <w:rFonts w:hint="eastAsia" w:ascii="宋体" w:hAnsi="宋体"/>
          <w:i w:val="0"/>
          <w:iCs w:val="0"/>
          <w:color w:val="auto"/>
          <w:sz w:val="21"/>
          <w:highlight w:val="none"/>
          <w:lang w:eastAsia="zh-CN"/>
        </w:rPr>
        <w:t>，</w:t>
      </w:r>
      <w:r>
        <w:rPr>
          <w:rFonts w:hint="eastAsia" w:ascii="宋体" w:hAnsi="宋体"/>
          <w:i w:val="0"/>
          <w:iCs w:val="0"/>
          <w:color w:val="auto"/>
          <w:sz w:val="21"/>
          <w:highlight w:val="none"/>
        </w:rPr>
        <w:t>以大写金额为准；</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（2）总价金额与单价金额不一致的</w:t>
      </w:r>
      <w:r>
        <w:rPr>
          <w:rFonts w:hint="eastAsia" w:ascii="宋体" w:hAnsi="宋体"/>
          <w:i w:val="0"/>
          <w:iCs w:val="0"/>
          <w:color w:val="auto"/>
          <w:sz w:val="21"/>
          <w:highlight w:val="none"/>
          <w:lang w:eastAsia="zh-CN"/>
        </w:rPr>
        <w:t>，</w:t>
      </w:r>
      <w:r>
        <w:rPr>
          <w:rFonts w:hint="eastAsia" w:ascii="宋体" w:hAnsi="宋体"/>
          <w:i w:val="0"/>
          <w:iCs w:val="0"/>
          <w:color w:val="auto"/>
          <w:sz w:val="21"/>
          <w:highlight w:val="none"/>
        </w:rPr>
        <w:t>以单价金额为准</w:t>
      </w:r>
      <w:r>
        <w:rPr>
          <w:rFonts w:hint="eastAsia" w:ascii="宋体" w:hAnsi="宋体"/>
          <w:i w:val="0"/>
          <w:iCs w:val="0"/>
          <w:color w:val="auto"/>
          <w:sz w:val="21"/>
          <w:highlight w:val="none"/>
          <w:lang w:eastAsia="zh-CN"/>
        </w:rPr>
        <w:t>，</w:t>
      </w:r>
      <w:r>
        <w:rPr>
          <w:rFonts w:hint="eastAsia" w:ascii="宋体" w:hAnsi="宋体"/>
          <w:i w:val="0"/>
          <w:iCs w:val="0"/>
          <w:color w:val="auto"/>
          <w:sz w:val="21"/>
          <w:highlight w:val="none"/>
        </w:rPr>
        <w:t>但单价金额小数点有明显错误的除外；</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（3）投标报价为各分项报价金额之和</w:t>
      </w:r>
      <w:r>
        <w:rPr>
          <w:rFonts w:hint="eastAsia" w:ascii="宋体" w:hAnsi="宋体"/>
          <w:i w:val="0"/>
          <w:iCs w:val="0"/>
          <w:color w:val="auto"/>
          <w:sz w:val="21"/>
          <w:highlight w:val="none"/>
          <w:lang w:eastAsia="zh-CN"/>
        </w:rPr>
        <w:t>，</w:t>
      </w:r>
      <w:r>
        <w:rPr>
          <w:rFonts w:hint="eastAsia" w:ascii="宋体" w:hAnsi="宋体"/>
          <w:i w:val="0"/>
          <w:iCs w:val="0"/>
          <w:color w:val="auto"/>
          <w:sz w:val="21"/>
          <w:highlight w:val="none"/>
        </w:rPr>
        <w:t>投标报价与分项报价的合价不一致的</w:t>
      </w:r>
      <w:r>
        <w:rPr>
          <w:rFonts w:hint="eastAsia" w:ascii="宋体" w:hAnsi="宋体"/>
          <w:i w:val="0"/>
          <w:iCs w:val="0"/>
          <w:color w:val="auto"/>
          <w:sz w:val="21"/>
          <w:highlight w:val="none"/>
          <w:lang w:eastAsia="zh-CN"/>
        </w:rPr>
        <w:t>，</w:t>
      </w:r>
      <w:r>
        <w:rPr>
          <w:rFonts w:hint="eastAsia" w:ascii="宋体" w:hAnsi="宋体"/>
          <w:i w:val="0"/>
          <w:iCs w:val="0"/>
          <w:color w:val="auto"/>
          <w:sz w:val="21"/>
          <w:highlight w:val="none"/>
        </w:rPr>
        <w:t>应以各分项合价累计数为准</w:t>
      </w:r>
      <w:r>
        <w:rPr>
          <w:rFonts w:hint="eastAsia" w:ascii="宋体" w:hAnsi="宋体"/>
          <w:i w:val="0"/>
          <w:iCs w:val="0"/>
          <w:color w:val="auto"/>
          <w:sz w:val="21"/>
          <w:highlight w:val="none"/>
          <w:lang w:eastAsia="zh-CN"/>
        </w:rPr>
        <w:t>，</w:t>
      </w:r>
      <w:r>
        <w:rPr>
          <w:rFonts w:hint="eastAsia" w:ascii="宋体" w:hAnsi="宋体"/>
          <w:i w:val="0"/>
          <w:iCs w:val="0"/>
          <w:color w:val="auto"/>
          <w:sz w:val="21"/>
          <w:highlight w:val="none"/>
        </w:rPr>
        <w:t>修正投标报价；</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（4）如果分项报价中存在缺漏项</w:t>
      </w:r>
      <w:r>
        <w:rPr>
          <w:rFonts w:hint="eastAsia" w:ascii="宋体" w:hAnsi="宋体"/>
          <w:i w:val="0"/>
          <w:iCs w:val="0"/>
          <w:color w:val="auto"/>
          <w:sz w:val="21"/>
          <w:highlight w:val="none"/>
          <w:lang w:eastAsia="zh-CN"/>
        </w:rPr>
        <w:t>，</w:t>
      </w:r>
      <w:r>
        <w:rPr>
          <w:rFonts w:hint="eastAsia" w:ascii="宋体" w:hAnsi="宋体"/>
          <w:i w:val="0"/>
          <w:iCs w:val="0"/>
          <w:color w:val="auto"/>
          <w:sz w:val="21"/>
          <w:highlight w:val="none"/>
        </w:rPr>
        <w:t>则视为缺漏项价格已包含在其他分项报价之中。</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3.1.4初评评审内容采用评委集中评审方式。由评委主任组织专家集体讨论评议。若评委意见不一致时，则按少数服从多数的原则确定。</w:t>
      </w:r>
    </w:p>
    <w:p>
      <w:pPr>
        <w:spacing w:line="360" w:lineRule="auto"/>
        <w:outlineLvl w:val="9"/>
        <w:rPr>
          <w:rFonts w:hint="eastAsia" w:ascii="黑体" w:hAnsi="黑体" w:eastAsia="黑体" w:cs="黑体"/>
          <w:i w:val="0"/>
          <w:iCs w:val="0"/>
          <w:color w:val="auto"/>
          <w:sz w:val="24"/>
          <w:szCs w:val="24"/>
          <w:highlight w:val="none"/>
        </w:rPr>
      </w:pPr>
      <w:bookmarkStart w:id="27" w:name="_Toc10631"/>
      <w:bookmarkStart w:id="28" w:name="_Toc33"/>
      <w:bookmarkStart w:id="29" w:name="_Toc2458"/>
      <w:r>
        <w:rPr>
          <w:rFonts w:hint="eastAsia" w:ascii="黑体" w:hAnsi="黑体" w:eastAsia="黑体" w:cs="黑体"/>
          <w:i w:val="0"/>
          <w:iCs w:val="0"/>
          <w:color w:val="auto"/>
          <w:sz w:val="24"/>
          <w:szCs w:val="24"/>
          <w:highlight w:val="none"/>
        </w:rPr>
        <w:t>3.2 详细评审</w:t>
      </w:r>
      <w:bookmarkEnd w:id="27"/>
      <w:bookmarkEnd w:id="28"/>
      <w:bookmarkEnd w:id="29"/>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3.2.1 评标委员会按本章第 2.2 款规定的量化因素和分值进行打分</w:t>
      </w:r>
      <w:r>
        <w:rPr>
          <w:rFonts w:hint="eastAsia" w:ascii="宋体" w:hAnsi="宋体"/>
          <w:i w:val="0"/>
          <w:iCs w:val="0"/>
          <w:color w:val="auto"/>
          <w:sz w:val="21"/>
          <w:highlight w:val="none"/>
          <w:lang w:eastAsia="zh-CN"/>
        </w:rPr>
        <w:t>，</w:t>
      </w:r>
      <w:r>
        <w:rPr>
          <w:rFonts w:hint="eastAsia" w:ascii="宋体" w:hAnsi="宋体"/>
          <w:i w:val="0"/>
          <w:iCs w:val="0"/>
          <w:color w:val="auto"/>
          <w:sz w:val="21"/>
          <w:highlight w:val="none"/>
        </w:rPr>
        <w:t>并计算出综合评估得分。</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（1）按本章第 2.2.4（1）目规定的评审因素和分值对商务部分计算出得分 A；</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（2）按本章第 2.2.4（2）目规定的评审因素和分值对技术部分计算出得分 B；</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（3）按本章第 2.2.4（3）目规定的评审因素和分值对投标报价计算出得分 C；</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（4）按本章第 2.2.4（4）目规定的评审因素和分值对其他部分计算出得分 D。</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3.2.2 评分分值计算保留小数点后两位</w:t>
      </w:r>
      <w:r>
        <w:rPr>
          <w:rFonts w:hint="eastAsia" w:ascii="宋体" w:hAnsi="宋体"/>
          <w:i w:val="0"/>
          <w:iCs w:val="0"/>
          <w:color w:val="auto"/>
          <w:sz w:val="21"/>
          <w:highlight w:val="none"/>
          <w:lang w:eastAsia="zh-CN"/>
        </w:rPr>
        <w:t>，</w:t>
      </w:r>
      <w:r>
        <w:rPr>
          <w:rFonts w:hint="eastAsia" w:ascii="宋体" w:hAnsi="宋体"/>
          <w:i w:val="0"/>
          <w:iCs w:val="0"/>
          <w:color w:val="auto"/>
          <w:sz w:val="21"/>
          <w:highlight w:val="none"/>
        </w:rPr>
        <w:t>小数点后第三位“四舍五入”。</w:t>
      </w:r>
    </w:p>
    <w:p>
      <w:pPr>
        <w:spacing w:line="360" w:lineRule="auto"/>
        <w:ind w:firstLine="420" w:firstLineChars="200"/>
        <w:outlineLvl w:val="9"/>
        <w:rPr>
          <w:rFonts w:hint="eastAsia" w:ascii="宋体" w:hAnsi="宋体" w:cs="宋体"/>
          <w:i w:val="0"/>
          <w:iCs w:val="0"/>
          <w:color w:val="auto"/>
          <w:highlight w:val="none"/>
        </w:rPr>
      </w:pPr>
      <w:r>
        <w:rPr>
          <w:rFonts w:hint="eastAsia" w:ascii="宋体" w:hAnsi="宋体"/>
          <w:i w:val="0"/>
          <w:iCs w:val="0"/>
          <w:color w:val="auto"/>
          <w:highlight w:val="none"/>
        </w:rPr>
        <w:t>3.2.3 投标人得分</w:t>
      </w:r>
      <w:r>
        <w:rPr>
          <w:rFonts w:hint="eastAsia" w:ascii="宋体" w:hAnsi="宋体" w:cs="宋体"/>
          <w:i w:val="0"/>
          <w:iCs w:val="0"/>
          <w:color w:val="auto"/>
          <w:highlight w:val="none"/>
        </w:rPr>
        <w:t>=A×商务分所占权重+B×技术分所占权重+C×价格分所占权重+D×其他分所占权重</w:t>
      </w:r>
      <w:r>
        <w:rPr>
          <w:rFonts w:hint="eastAsia" w:ascii="宋体" w:hAnsi="宋体" w:eastAsia="宋体" w:cs="宋体"/>
          <w:i w:val="0"/>
          <w:iCs w:val="0"/>
          <w:color w:val="auto"/>
          <w:szCs w:val="21"/>
          <w:highlight w:val="none"/>
          <w:lang w:val="en-US" w:eastAsia="zh-CN"/>
        </w:rPr>
        <w:t>-供应商扣分</w:t>
      </w:r>
      <w:r>
        <w:rPr>
          <w:rFonts w:hint="eastAsia" w:ascii="宋体" w:hAnsi="宋体" w:cs="宋体"/>
          <w:i w:val="0"/>
          <w:iCs w:val="0"/>
          <w:color w:val="auto"/>
          <w:highlight w:val="none"/>
          <w:lang w:eastAsia="zh-CN"/>
        </w:rPr>
        <w:t>，</w:t>
      </w:r>
      <w:r>
        <w:rPr>
          <w:rFonts w:hint="eastAsia" w:ascii="宋体" w:hAnsi="宋体" w:cs="宋体"/>
          <w:i w:val="0"/>
          <w:iCs w:val="0"/>
          <w:color w:val="auto"/>
          <w:highlight w:val="none"/>
        </w:rPr>
        <w:t>各部分所占权重详见评标办法前附表。（若商务技术合并</w:t>
      </w:r>
      <w:r>
        <w:rPr>
          <w:rFonts w:hint="eastAsia" w:ascii="宋体" w:hAnsi="宋体" w:cs="宋体"/>
          <w:i w:val="0"/>
          <w:iCs w:val="0"/>
          <w:color w:val="auto"/>
          <w:highlight w:val="none"/>
          <w:lang w:eastAsia="zh-CN"/>
        </w:rPr>
        <w:t>，</w:t>
      </w:r>
      <w:r>
        <w:rPr>
          <w:rFonts w:hint="eastAsia" w:ascii="宋体" w:hAnsi="宋体" w:cs="宋体"/>
          <w:i w:val="0"/>
          <w:iCs w:val="0"/>
          <w:color w:val="auto"/>
          <w:highlight w:val="none"/>
        </w:rPr>
        <w:t>按商务技术合并后的得分及所占权重计算。）</w:t>
      </w:r>
    </w:p>
    <w:p>
      <w:pPr>
        <w:spacing w:line="360" w:lineRule="auto"/>
        <w:ind w:firstLine="420" w:firstLineChars="200"/>
        <w:outlineLvl w:val="9"/>
        <w:rPr>
          <w:rFonts w:hint="eastAsia" w:ascii="宋体" w:hAnsi="宋体" w:cs="宋体"/>
          <w:i w:val="0"/>
          <w:iCs w:val="0"/>
          <w:color w:val="auto"/>
          <w:highlight w:val="none"/>
        </w:rPr>
      </w:pPr>
      <w:r>
        <w:rPr>
          <w:rFonts w:hint="eastAsia" w:ascii="宋体" w:hAnsi="宋体" w:cs="宋体"/>
          <w:i w:val="0"/>
          <w:iCs w:val="0"/>
          <w:color w:val="auto"/>
          <w:highlight w:val="none"/>
        </w:rPr>
        <w:t>本项目执行《关于将服务商和非电力物资供货商失信扣分应用于采购评审环节的公告》《关于实施&lt;南方电网公司供应商私设互联网应用失信行为扣分工作指引（试行）&gt;的公告》《关于实施&lt;中国南方电网有限责任公司供应商不良行为处理管理细则（2025年版）&gt;的公告》。南方电网系统范围内开单并生效的扣分均纳入采购评审环节应用范围，不区分扣分主体、不良行为性质，实行全品类扣减评标综合分（不按处罚品类区分应用范围）。应用时效为投标截止日前（含当月）36个月（不满36个月按实际时长计算，数据读取时间节点统一为招标文件载明的投标截止日前一日的24:00）。供应商扣分分值=Σa×（n²/12），扣分结果按四舍五入保留小数点后两位。a为差异化的折算系数（根据扣分生效日期与投标截止日的间隔期长短应用差异化的折算系数，投标截止日前12个月内的a=1，投标截止日前13-24个月内的a=0.5，投标截止日前25-36个月内的a=0.25）；n为每个间隔期的供应商不良行为扣分之和，累计扣分值应用上限为12分。被实施市场禁入的，将禁入期按月折算分数（禁入期满当月为第一个月往前折算，处罚生效当月不计），即禁入一个月折算为1分。各项扣分取值起点时间如下（起点前开单的扣分或列入市场禁入的不予追溯）：</w:t>
      </w:r>
    </w:p>
    <w:p>
      <w:pPr>
        <w:spacing w:line="360" w:lineRule="auto"/>
        <w:ind w:firstLine="420" w:firstLineChars="200"/>
        <w:outlineLvl w:val="9"/>
        <w:rPr>
          <w:rFonts w:hint="eastAsia" w:ascii="宋体" w:hAnsi="宋体" w:cs="宋体"/>
          <w:i w:val="0"/>
          <w:iCs w:val="0"/>
          <w:color w:val="auto"/>
          <w:highlight w:val="none"/>
        </w:rPr>
      </w:pPr>
      <w:r>
        <w:rPr>
          <w:rFonts w:hint="eastAsia" w:ascii="宋体" w:hAnsi="宋体" w:cs="宋体"/>
          <w:i w:val="0"/>
          <w:iCs w:val="0"/>
          <w:color w:val="auto"/>
          <w:highlight w:val="none"/>
        </w:rPr>
        <w:t>1.私设互联网应用失信行为扣分：2023年6月19日（含当日）起；</w:t>
      </w:r>
    </w:p>
    <w:p>
      <w:pPr>
        <w:spacing w:line="360" w:lineRule="auto"/>
        <w:ind w:firstLine="420" w:firstLineChars="200"/>
        <w:outlineLvl w:val="9"/>
        <w:rPr>
          <w:rFonts w:hint="eastAsia" w:ascii="宋体" w:hAnsi="宋体" w:cs="宋体"/>
          <w:i w:val="0"/>
          <w:iCs w:val="0"/>
          <w:color w:val="auto"/>
          <w:highlight w:val="none"/>
        </w:rPr>
      </w:pPr>
      <w:r>
        <w:rPr>
          <w:rFonts w:hint="eastAsia" w:ascii="宋体" w:hAnsi="宋体" w:cs="宋体"/>
          <w:i w:val="0"/>
          <w:iCs w:val="0"/>
          <w:color w:val="auto"/>
          <w:highlight w:val="none"/>
        </w:rPr>
        <w:t>2.其他按《中国南方电网有限责任公司供应商失信扣分管理细则》《中国南方电网有限责任公司供应商不良行为处理管理细则》实施的扣分：2024年8月21日（含当日）起；</w:t>
      </w:r>
    </w:p>
    <w:p>
      <w:pPr>
        <w:spacing w:line="360" w:lineRule="auto"/>
        <w:ind w:firstLine="420" w:firstLineChars="200"/>
        <w:outlineLvl w:val="9"/>
        <w:rPr>
          <w:rFonts w:hint="eastAsia" w:ascii="宋体" w:hAnsi="宋体" w:cs="宋体"/>
          <w:i w:val="0"/>
          <w:iCs w:val="0"/>
          <w:color w:val="auto"/>
          <w:highlight w:val="none"/>
        </w:rPr>
      </w:pPr>
      <w:r>
        <w:rPr>
          <w:rFonts w:hint="eastAsia" w:ascii="宋体" w:hAnsi="宋体" w:cs="宋体"/>
          <w:i w:val="0"/>
          <w:iCs w:val="0"/>
          <w:color w:val="auto"/>
          <w:highlight w:val="none"/>
        </w:rPr>
        <w:t>3.市场禁入：2024年8月21日（含当日）起。</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3.2.4 评标委员会发现投标人的报价明显低于其他投标报价使得其投标报价可能低于其个别成本的</w:t>
      </w:r>
      <w:r>
        <w:rPr>
          <w:rFonts w:hint="eastAsia" w:ascii="宋体" w:hAnsi="宋体"/>
          <w:i w:val="0"/>
          <w:iCs w:val="0"/>
          <w:color w:val="auto"/>
          <w:sz w:val="21"/>
          <w:highlight w:val="none"/>
          <w:lang w:eastAsia="zh-CN"/>
        </w:rPr>
        <w:t>，</w:t>
      </w:r>
      <w:r>
        <w:rPr>
          <w:rFonts w:hint="eastAsia" w:ascii="宋体" w:hAnsi="宋体"/>
          <w:i w:val="0"/>
          <w:iCs w:val="0"/>
          <w:color w:val="auto"/>
          <w:sz w:val="21"/>
          <w:highlight w:val="none"/>
        </w:rPr>
        <w:t>应当要求该投标人作出书面说明并提供相应的证明材料。投标人不能合理说明或者不能提供相应证明材料的</w:t>
      </w:r>
      <w:r>
        <w:rPr>
          <w:rFonts w:hint="eastAsia" w:ascii="宋体" w:hAnsi="宋体"/>
          <w:i w:val="0"/>
          <w:iCs w:val="0"/>
          <w:color w:val="auto"/>
          <w:sz w:val="21"/>
          <w:highlight w:val="none"/>
          <w:lang w:eastAsia="zh-CN"/>
        </w:rPr>
        <w:t>，</w:t>
      </w:r>
      <w:r>
        <w:rPr>
          <w:rFonts w:hint="eastAsia" w:ascii="宋体" w:hAnsi="宋体"/>
          <w:i w:val="0"/>
          <w:iCs w:val="0"/>
          <w:color w:val="auto"/>
          <w:sz w:val="21"/>
          <w:highlight w:val="none"/>
        </w:rPr>
        <w:t>评标委员会应当认定该投标人以低于成本报价竞标</w:t>
      </w:r>
      <w:r>
        <w:rPr>
          <w:rFonts w:hint="eastAsia" w:ascii="宋体" w:hAnsi="宋体"/>
          <w:i w:val="0"/>
          <w:iCs w:val="0"/>
          <w:color w:val="auto"/>
          <w:sz w:val="21"/>
          <w:highlight w:val="none"/>
          <w:lang w:eastAsia="zh-CN"/>
        </w:rPr>
        <w:t>，</w:t>
      </w:r>
      <w:r>
        <w:rPr>
          <w:rFonts w:hint="eastAsia" w:ascii="宋体" w:hAnsi="宋体"/>
          <w:i w:val="0"/>
          <w:iCs w:val="0"/>
          <w:color w:val="auto"/>
          <w:sz w:val="21"/>
          <w:highlight w:val="none"/>
        </w:rPr>
        <w:t>并否决其投标。</w:t>
      </w:r>
    </w:p>
    <w:p>
      <w:pPr>
        <w:spacing w:line="360" w:lineRule="auto"/>
        <w:outlineLvl w:val="9"/>
        <w:rPr>
          <w:rFonts w:hint="eastAsia" w:ascii="黑体" w:hAnsi="黑体" w:eastAsia="黑体" w:cs="黑体"/>
          <w:i w:val="0"/>
          <w:iCs w:val="0"/>
          <w:color w:val="auto"/>
          <w:sz w:val="24"/>
          <w:szCs w:val="24"/>
          <w:highlight w:val="none"/>
        </w:rPr>
      </w:pPr>
      <w:bookmarkStart w:id="30" w:name="_Toc7264"/>
      <w:bookmarkStart w:id="31" w:name="_Toc1519"/>
      <w:bookmarkStart w:id="32" w:name="_Toc13945"/>
      <w:r>
        <w:rPr>
          <w:rFonts w:hint="eastAsia" w:ascii="黑体" w:hAnsi="黑体" w:eastAsia="黑体" w:cs="黑体"/>
          <w:i w:val="0"/>
          <w:iCs w:val="0"/>
          <w:color w:val="auto"/>
          <w:sz w:val="24"/>
          <w:szCs w:val="24"/>
          <w:highlight w:val="none"/>
        </w:rPr>
        <w:t>3.3 投标文件的澄清</w:t>
      </w:r>
      <w:bookmarkEnd w:id="30"/>
      <w:bookmarkEnd w:id="31"/>
      <w:bookmarkEnd w:id="32"/>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3.3.1 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不同投标人出现投标文件异常一致、投标活动异常关联等情形，评标委员会应要求相关投标人作出解释说明。</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3.3.2 澄清、说明或补正不得超出投标文件的范围且不得改变投标文件的实质性内容</w:t>
      </w:r>
      <w:r>
        <w:rPr>
          <w:rFonts w:hint="eastAsia" w:ascii="宋体" w:hAnsi="宋体"/>
          <w:i w:val="0"/>
          <w:iCs w:val="0"/>
          <w:color w:val="auto"/>
          <w:sz w:val="21"/>
          <w:highlight w:val="none"/>
          <w:lang w:eastAsia="zh-CN"/>
        </w:rPr>
        <w:t>，</w:t>
      </w:r>
      <w:r>
        <w:rPr>
          <w:rFonts w:hint="eastAsia" w:ascii="宋体" w:hAnsi="宋体"/>
          <w:i w:val="0"/>
          <w:iCs w:val="0"/>
          <w:color w:val="auto"/>
          <w:sz w:val="21"/>
          <w:highlight w:val="none"/>
        </w:rPr>
        <w:t>并构成投标文件的组成部分。</w:t>
      </w:r>
    </w:p>
    <w:p>
      <w:pPr>
        <w:pStyle w:val="6"/>
        <w:tabs>
          <w:tab w:val="left" w:pos="1200"/>
        </w:tabs>
        <w:adjustRightInd w:val="0"/>
        <w:snapToGrid w:val="0"/>
        <w:ind w:left="0" w:firstLine="420" w:firstLineChars="200"/>
        <w:outlineLvl w:val="9"/>
        <w:rPr>
          <w:rFonts w:hint="eastAsia" w:ascii="宋体" w:hAnsi="宋体"/>
          <w:i w:val="0"/>
          <w:iCs w:val="0"/>
          <w:color w:val="auto"/>
          <w:sz w:val="21"/>
          <w:highlight w:val="none"/>
        </w:rPr>
      </w:pPr>
      <w:r>
        <w:rPr>
          <w:rFonts w:hint="eastAsia" w:ascii="宋体" w:hAnsi="宋体"/>
          <w:i w:val="0"/>
          <w:iCs w:val="0"/>
          <w:color w:val="auto"/>
          <w:sz w:val="21"/>
          <w:highlight w:val="none"/>
        </w:rPr>
        <w:t>3.3.3 评标委员会对投标人提交的澄清、说明或补正有疑问的</w:t>
      </w:r>
      <w:r>
        <w:rPr>
          <w:rFonts w:hint="eastAsia" w:ascii="宋体" w:hAnsi="宋体"/>
          <w:i w:val="0"/>
          <w:iCs w:val="0"/>
          <w:color w:val="auto"/>
          <w:sz w:val="21"/>
          <w:highlight w:val="none"/>
          <w:lang w:eastAsia="zh-CN"/>
        </w:rPr>
        <w:t>，</w:t>
      </w:r>
      <w:r>
        <w:rPr>
          <w:rFonts w:hint="eastAsia" w:ascii="宋体" w:hAnsi="宋体"/>
          <w:i w:val="0"/>
          <w:iCs w:val="0"/>
          <w:color w:val="auto"/>
          <w:sz w:val="21"/>
          <w:highlight w:val="none"/>
        </w:rPr>
        <w:t>可以要求投标人进一步澄清、说明或补正</w:t>
      </w:r>
      <w:r>
        <w:rPr>
          <w:rFonts w:hint="eastAsia" w:ascii="宋体" w:hAnsi="宋体"/>
          <w:i w:val="0"/>
          <w:iCs w:val="0"/>
          <w:color w:val="auto"/>
          <w:sz w:val="21"/>
          <w:highlight w:val="none"/>
          <w:lang w:eastAsia="zh-CN"/>
        </w:rPr>
        <w:t>，</w:t>
      </w:r>
      <w:r>
        <w:rPr>
          <w:rFonts w:hint="eastAsia" w:ascii="宋体" w:hAnsi="宋体"/>
          <w:i w:val="0"/>
          <w:iCs w:val="0"/>
          <w:color w:val="auto"/>
          <w:sz w:val="21"/>
          <w:highlight w:val="none"/>
        </w:rPr>
        <w:t>直至满足评标委员会的要求。</w:t>
      </w:r>
    </w:p>
    <w:p>
      <w:pPr>
        <w:spacing w:line="360" w:lineRule="auto"/>
        <w:outlineLvl w:val="9"/>
        <w:rPr>
          <w:rFonts w:hint="eastAsia" w:ascii="黑体" w:hAnsi="黑体" w:eastAsia="黑体" w:cs="黑体"/>
          <w:i w:val="0"/>
          <w:iCs w:val="0"/>
          <w:color w:val="auto"/>
          <w:sz w:val="24"/>
          <w:szCs w:val="24"/>
          <w:highlight w:val="none"/>
        </w:rPr>
      </w:pPr>
      <w:bookmarkStart w:id="33" w:name="_Toc26834"/>
      <w:bookmarkStart w:id="34" w:name="_Toc21238"/>
      <w:bookmarkStart w:id="35" w:name="_Toc10846"/>
      <w:r>
        <w:rPr>
          <w:rFonts w:hint="eastAsia" w:ascii="黑体" w:hAnsi="黑体" w:eastAsia="黑体" w:cs="黑体"/>
          <w:i w:val="0"/>
          <w:iCs w:val="0"/>
          <w:color w:val="auto"/>
          <w:sz w:val="24"/>
          <w:szCs w:val="24"/>
          <w:highlight w:val="none"/>
        </w:rPr>
        <w:t>3.4 评标结果</w:t>
      </w:r>
      <w:bookmarkEnd w:id="33"/>
      <w:bookmarkEnd w:id="34"/>
      <w:bookmarkEnd w:id="35"/>
    </w:p>
    <w:p>
      <w:pPr>
        <w:pStyle w:val="6"/>
        <w:tabs>
          <w:tab w:val="left" w:pos="1200"/>
        </w:tabs>
        <w:adjustRightInd w:val="0"/>
        <w:snapToGrid w:val="0"/>
        <w:ind w:left="0" w:firstLine="420" w:firstLineChars="200"/>
        <w:outlineLvl w:val="9"/>
        <w:rPr>
          <w:rFonts w:hint="eastAsia" w:ascii="宋体" w:hAnsi="宋体" w:eastAsia="宋体" w:cs="Times New Roman"/>
          <w:i w:val="0"/>
          <w:iCs w:val="0"/>
          <w:color w:val="auto"/>
          <w:kern w:val="0"/>
          <w:sz w:val="21"/>
          <w:szCs w:val="21"/>
          <w:highlight w:val="none"/>
          <w:lang w:val="en-US" w:eastAsia="zh-CN" w:bidi="ar-SA"/>
        </w:rPr>
      </w:pPr>
      <w:r>
        <w:rPr>
          <w:rFonts w:hint="eastAsia" w:ascii="宋体" w:hAnsi="宋体"/>
          <w:i w:val="0"/>
          <w:iCs w:val="0"/>
          <w:color w:val="auto"/>
          <w:sz w:val="21"/>
          <w:highlight w:val="none"/>
        </w:rPr>
        <w:t>3.4.1 除第二章“投标人须知”前附表授权直接确定中标人外</w:t>
      </w:r>
      <w:r>
        <w:rPr>
          <w:rFonts w:hint="eastAsia" w:ascii="宋体" w:hAnsi="宋体"/>
          <w:i w:val="0"/>
          <w:iCs w:val="0"/>
          <w:color w:val="auto"/>
          <w:sz w:val="21"/>
          <w:highlight w:val="none"/>
          <w:lang w:eastAsia="zh-CN"/>
        </w:rPr>
        <w:t>，</w:t>
      </w:r>
      <w:r>
        <w:rPr>
          <w:rFonts w:hint="eastAsia" w:ascii="宋体" w:hAnsi="宋体"/>
          <w:i w:val="0"/>
          <w:iCs w:val="0"/>
          <w:color w:val="auto"/>
          <w:sz w:val="21"/>
          <w:highlight w:val="none"/>
        </w:rPr>
        <w:t>评标委员会按照得分由高到低的顺序推荐中标候选人</w:t>
      </w:r>
      <w:r>
        <w:rPr>
          <w:rFonts w:hint="eastAsia" w:ascii="宋体" w:hAnsi="宋体"/>
          <w:i w:val="0"/>
          <w:iCs w:val="0"/>
          <w:color w:val="auto"/>
          <w:sz w:val="21"/>
          <w:highlight w:val="none"/>
          <w:lang w:eastAsia="zh-CN"/>
        </w:rPr>
        <w:t>，</w:t>
      </w:r>
      <w:r>
        <w:rPr>
          <w:rFonts w:hint="eastAsia" w:ascii="宋体" w:hAnsi="宋体"/>
          <w:i w:val="0"/>
          <w:iCs w:val="0"/>
          <w:color w:val="auto"/>
          <w:sz w:val="21"/>
          <w:highlight w:val="none"/>
        </w:rPr>
        <w:t>并标明排序。</w:t>
      </w:r>
    </w:p>
    <w:p>
      <w:pPr>
        <w:pStyle w:val="6"/>
        <w:shd w:val="clear" w:color="auto" w:fill="auto"/>
        <w:tabs>
          <w:tab w:val="left" w:pos="1200"/>
        </w:tabs>
        <w:adjustRightInd w:val="0"/>
        <w:snapToGrid w:val="0"/>
        <w:ind w:left="0" w:firstLine="420" w:firstLineChars="200"/>
        <w:rPr>
          <w:rFonts w:hint="eastAsia" w:asciiTheme="minorEastAsia" w:hAnsiTheme="minorEastAsia" w:eastAsiaTheme="minorEastAsia" w:cstheme="minorEastAsia"/>
          <w:i w:val="0"/>
          <w:iCs w:val="0"/>
          <w:color w:val="auto"/>
          <w:kern w:val="0"/>
          <w:sz w:val="20"/>
          <w:szCs w:val="20"/>
          <w:highlight w:val="none"/>
        </w:rPr>
      </w:pPr>
      <w:r>
        <w:rPr>
          <w:rFonts w:hint="eastAsia" w:ascii="宋体" w:hAnsi="宋体"/>
          <w:i w:val="0"/>
          <w:iCs w:val="0"/>
          <w:color w:val="auto"/>
          <w:sz w:val="21"/>
          <w:highlight w:val="none"/>
        </w:rPr>
        <w:t>3.4.2 评标委员会完成评标后</w:t>
      </w:r>
      <w:r>
        <w:rPr>
          <w:rFonts w:hint="eastAsia" w:ascii="宋体" w:hAnsi="宋体"/>
          <w:i w:val="0"/>
          <w:iCs w:val="0"/>
          <w:color w:val="auto"/>
          <w:sz w:val="21"/>
          <w:highlight w:val="none"/>
          <w:lang w:eastAsia="zh-CN"/>
        </w:rPr>
        <w:t>，</w:t>
      </w:r>
      <w:r>
        <w:rPr>
          <w:rFonts w:hint="eastAsia" w:ascii="宋体" w:hAnsi="宋体"/>
          <w:i w:val="0"/>
          <w:iCs w:val="0"/>
          <w:color w:val="auto"/>
          <w:sz w:val="21"/>
          <w:highlight w:val="none"/>
        </w:rPr>
        <w:t>应当向招标人提交书面评标报告和中标候选人名单</w:t>
      </w:r>
      <w:r>
        <w:rPr>
          <w:rFonts w:hint="eastAsia" w:ascii="宋体" w:hAnsi="宋体"/>
          <w:color w:val="auto"/>
          <w:sz w:val="21"/>
          <w:highlight w:val="none"/>
        </w:rPr>
        <w:t>。</w:t>
      </w:r>
    </w:p>
    <w:p>
      <w:pPr>
        <w:rPr>
          <w:rFonts w:hint="eastAsia" w:eastAsiaTheme="minorEastAsia"/>
          <w:lang w:val="en-US" w:eastAsia="zh-CN"/>
        </w:rPr>
      </w:pPr>
      <w:r>
        <w:rPr>
          <w:rFonts w:hint="eastAsia"/>
          <w:lang w:val="en-US" w:eastAsia="zh-CN"/>
        </w:rPr>
        <w:t xml:space="preserve">                             </w:t>
      </w:r>
    </w:p>
    <w:p/>
    <w:p>
      <w:pPr>
        <w:rPr>
          <w:rFonts w:hint="eastAsia" w:eastAsiaTheme="minorEastAsia"/>
          <w:lang w:val="en-US"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CB26A1"/>
    <w:rsid w:val="03CB26A1"/>
    <w:rsid w:val="3ADF31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spacing w:before="140" w:after="140"/>
      <w:jc w:val="center"/>
      <w:outlineLvl w:val="1"/>
    </w:pPr>
    <w:rPr>
      <w:rFonts w:ascii="Arial" w:hAnsi="Arial" w:eastAsia="微软雅黑" w:cs="Times New Roman"/>
      <w:bCs/>
      <w:kern w:val="0"/>
      <w:sz w:val="44"/>
      <w:szCs w:val="32"/>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First Indent"/>
    <w:basedOn w:val="1"/>
    <w:qFormat/>
    <w:uiPriority w:val="0"/>
    <w:pPr>
      <w:ind w:firstLine="420" w:firstLineChars="100"/>
    </w:pPr>
    <w:rPr>
      <w:rFonts w:ascii="Times New Roman" w:hAnsi="Times New Roman" w:eastAsia="宋体" w:cs="Times New Roman"/>
      <w:szCs w:val="20"/>
    </w:rPr>
  </w:style>
  <w:style w:type="paragraph" w:customStyle="1" w:styleId="6">
    <w:name w:val="南网5级目录"/>
    <w:basedOn w:val="1"/>
    <w:qFormat/>
    <w:uiPriority w:val="0"/>
    <w:pPr>
      <w:widowControl/>
      <w:spacing w:line="360" w:lineRule="auto"/>
      <w:ind w:left="1200" w:hanging="360"/>
      <w:contextualSpacing/>
      <w:jc w:val="left"/>
    </w:pPr>
    <w:rPr>
      <w:rFonts w:ascii="Times New Roman" w:hAnsi="Times New Roman" w:eastAsia="宋体" w:cs="Times New Roman"/>
      <w:kern w:val="0"/>
      <w:sz w:val="2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2026-09-01T07:40:00Z</dcterms:created>
  <dc:creator>洪嘉辉</dc:creator>
  <cp:lastModifiedBy>MR.H</cp:lastModifiedBy>
  <dcterms:modified xsi:type="dcterms:W3CDTF">2026-09-01T07:46:10Z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8B12BCCAD60F48639F995FA6A30E2E25</vt:lpwstr>
  </property>
</Properties>
</file>