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Toc246216323"/>
      <w:r>
        <w:drawing>
          <wp:anchor distT="0" distB="0" distL="114300" distR="114300" simplePos="0" relativeHeight="251659264" behindDoc="1" locked="0" layoutInCell="1" allowOverlap="1">
            <wp:simplePos x="0" y="0"/>
            <wp:positionH relativeFrom="column">
              <wp:posOffset>-1087120</wp:posOffset>
            </wp:positionH>
            <wp:positionV relativeFrom="paragraph">
              <wp:posOffset>-914400</wp:posOffset>
            </wp:positionV>
            <wp:extent cx="8915400" cy="2736850"/>
            <wp:effectExtent l="0" t="0" r="0" b="6350"/>
            <wp:wrapTight wrapText="bothSides">
              <wp:wrapPolygon>
                <wp:start x="0" y="0"/>
                <wp:lineTo x="0" y="21500"/>
                <wp:lineTo x="21554" y="21500"/>
                <wp:lineTo x="21554"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2"/>
                    <a:stretch>
                      <a:fillRect/>
                    </a:stretch>
                  </pic:blipFill>
                  <pic:spPr>
                    <a:xfrm>
                      <a:off x="0" y="0"/>
                      <a:ext cx="8915400" cy="2736850"/>
                    </a:xfrm>
                    <a:prstGeom prst="rect">
                      <a:avLst/>
                    </a:prstGeom>
                    <a:noFill/>
                    <a:ln>
                      <a:noFill/>
                    </a:ln>
                  </pic:spPr>
                </pic:pic>
              </a:graphicData>
            </a:graphic>
          </wp:anchor>
        </w:drawing>
      </w:r>
    </w:p>
    <w:p>
      <w:pPr>
        <w:jc w:val="center"/>
        <w:rPr>
          <w:rFonts w:hint="eastAsia" w:eastAsia="黑体"/>
          <w:b/>
          <w:sz w:val="52"/>
        </w:rPr>
      </w:pPr>
      <w:r>
        <w:rPr>
          <w:rFonts w:hint="eastAsia" w:eastAsia="黑体"/>
          <w:b/>
          <w:sz w:val="52"/>
        </w:rPr>
        <w:t xml:space="preserve">  </w:t>
      </w:r>
    </w:p>
    <w:p>
      <w:pPr>
        <w:jc w:val="both"/>
        <w:rPr>
          <w:rFonts w:hint="eastAsia" w:eastAsia="黑体"/>
          <w:b/>
          <w:sz w:val="40"/>
          <w:szCs w:val="28"/>
          <w:lang w:eastAsia="zh-CN"/>
        </w:rPr>
      </w:pPr>
      <w:r>
        <w:rPr>
          <w:rFonts w:hint="eastAsia" w:eastAsia="黑体"/>
          <w:b/>
          <w:sz w:val="56"/>
          <w:szCs w:val="28"/>
        </w:rPr>
        <w:t>10kV干式电压互感器</w:t>
      </w:r>
      <w:r>
        <w:rPr>
          <w:rFonts w:hint="eastAsia" w:eastAsia="黑体"/>
          <w:b/>
          <w:sz w:val="56"/>
          <w:szCs w:val="28"/>
          <w:lang w:eastAsia="zh-CN"/>
        </w:rPr>
        <w:t>技术规范书</w:t>
      </w:r>
    </w:p>
    <w:p>
      <w:pPr>
        <w:spacing w:before="480" w:beforeLines="200"/>
        <w:ind w:firstLine="2873" w:firstLineChars="795"/>
        <w:jc w:val="left"/>
        <w:rPr>
          <w:rFonts w:hint="eastAsia" w:eastAsia="黑体"/>
          <w:b/>
          <w:sz w:val="36"/>
        </w:rPr>
      </w:pPr>
    </w:p>
    <w:p>
      <w:pPr>
        <w:spacing w:before="480" w:beforeLines="200"/>
        <w:ind w:firstLine="2873" w:firstLineChars="795"/>
        <w:jc w:val="left"/>
        <w:rPr>
          <w:rFonts w:hint="eastAsia" w:eastAsia="黑体"/>
          <w:b/>
          <w:sz w:val="36"/>
        </w:rPr>
      </w:pPr>
    </w:p>
    <w:p>
      <w:pPr>
        <w:spacing w:before="480" w:beforeLines="200"/>
        <w:ind w:firstLine="2873" w:firstLineChars="795"/>
        <w:jc w:val="left"/>
        <w:rPr>
          <w:rFonts w:hint="eastAsia" w:eastAsia="黑体"/>
          <w:b/>
          <w:sz w:val="36"/>
        </w:rPr>
      </w:pPr>
    </w:p>
    <w:p>
      <w:pPr>
        <w:spacing w:before="480" w:beforeLines="200"/>
        <w:ind w:firstLine="2873" w:firstLineChars="795"/>
        <w:jc w:val="left"/>
        <w:rPr>
          <w:rFonts w:hint="eastAsia" w:eastAsia="黑体"/>
          <w:b/>
          <w:sz w:val="36"/>
        </w:rPr>
      </w:pPr>
    </w:p>
    <w:p>
      <w:pPr>
        <w:spacing w:before="480" w:beforeLines="200"/>
        <w:ind w:firstLine="2873" w:firstLineChars="795"/>
        <w:jc w:val="left"/>
        <w:rPr>
          <w:rFonts w:hint="eastAsia" w:eastAsia="黑体"/>
          <w:b/>
          <w:sz w:val="36"/>
        </w:rPr>
      </w:pPr>
    </w:p>
    <w:p>
      <w:pPr>
        <w:spacing w:before="480" w:beforeLines="200"/>
        <w:jc w:val="center"/>
        <w:rPr>
          <w:rFonts w:hint="eastAsia" w:ascii="黑体" w:eastAsia="黑体"/>
          <w:b/>
          <w:spacing w:val="20"/>
          <w:w w:val="135"/>
          <w:sz w:val="32"/>
          <w:szCs w:val="24"/>
          <w:lang w:eastAsia="zh-CN"/>
        </w:rPr>
      </w:pPr>
      <w:r>
        <w:rPr>
          <w:rFonts w:hint="eastAsia" w:ascii="黑体" w:eastAsia="黑体"/>
          <w:b/>
          <w:spacing w:val="20"/>
          <w:w w:val="135"/>
          <w:sz w:val="32"/>
          <w:szCs w:val="24"/>
        </w:rPr>
        <w:t>广西新电力投资集团</w:t>
      </w:r>
      <w:r>
        <w:rPr>
          <w:rFonts w:hint="eastAsia" w:ascii="黑体" w:eastAsia="黑体"/>
          <w:b/>
          <w:spacing w:val="20"/>
          <w:w w:val="135"/>
          <w:sz w:val="32"/>
          <w:szCs w:val="24"/>
          <w:lang w:val="en-US" w:eastAsia="zh-CN"/>
        </w:rPr>
        <w:t>钟山供电</w:t>
      </w:r>
      <w:r>
        <w:rPr>
          <w:rFonts w:hint="eastAsia" w:ascii="黑体" w:eastAsia="黑体"/>
          <w:b/>
          <w:spacing w:val="20"/>
          <w:w w:val="135"/>
          <w:sz w:val="32"/>
          <w:szCs w:val="24"/>
        </w:rPr>
        <w:t>有限公司</w:t>
      </w:r>
    </w:p>
    <w:p>
      <w:pPr>
        <w:spacing w:before="480" w:beforeLines="200"/>
        <w:jc w:val="center"/>
        <w:rPr>
          <w:rFonts w:hint="eastAsia" w:eastAsia="黑体"/>
          <w:b/>
          <w:sz w:val="36"/>
        </w:rPr>
      </w:pPr>
      <w:r>
        <w:rPr>
          <w:rFonts w:hint="eastAsia" w:ascii="黑体" w:eastAsia="黑体"/>
          <w:b/>
          <w:spacing w:val="20"/>
          <w:w w:val="135"/>
          <w:sz w:val="30"/>
        </w:rPr>
        <w:t>20</w:t>
      </w:r>
      <w:r>
        <w:rPr>
          <w:rFonts w:hint="eastAsia" w:ascii="黑体" w:eastAsia="黑体"/>
          <w:b/>
          <w:spacing w:val="20"/>
          <w:w w:val="135"/>
          <w:sz w:val="30"/>
          <w:lang w:val="en-US" w:eastAsia="zh-CN"/>
        </w:rPr>
        <w:t>26</w:t>
      </w:r>
      <w:r>
        <w:rPr>
          <w:rFonts w:hint="eastAsia" w:ascii="黑体" w:eastAsia="黑体"/>
          <w:b/>
          <w:spacing w:val="20"/>
          <w:w w:val="135"/>
          <w:sz w:val="30"/>
        </w:rPr>
        <w:t>年</w:t>
      </w:r>
      <w:r>
        <w:rPr>
          <w:rFonts w:hint="eastAsia" w:ascii="黑体" w:eastAsia="黑体"/>
          <w:b/>
          <w:spacing w:val="20"/>
          <w:w w:val="135"/>
          <w:sz w:val="30"/>
          <w:lang w:val="en-US" w:eastAsia="zh-CN"/>
        </w:rPr>
        <w:t>06</w:t>
      </w:r>
      <w:r>
        <w:rPr>
          <w:rFonts w:hint="eastAsia" w:ascii="黑体" w:eastAsia="黑体"/>
          <w:b/>
          <w:spacing w:val="20"/>
          <w:w w:val="135"/>
          <w:sz w:val="30"/>
        </w:rPr>
        <w:t>月</w:t>
      </w:r>
    </w:p>
    <w:p>
      <w:pPr>
        <w:pStyle w:val="16"/>
        <w:numPr>
          <w:ilvl w:val="1"/>
          <w:numId w:val="0"/>
        </w:numPr>
        <w:autoSpaceDE w:val="0"/>
        <w:autoSpaceDN w:val="0"/>
        <w:rPr>
          <w:rFonts w:hint="eastAsia" w:ascii="Times New Roman"/>
        </w:rPr>
      </w:pPr>
    </w:p>
    <w:p>
      <w:pPr>
        <w:pStyle w:val="16"/>
        <w:numPr>
          <w:ilvl w:val="1"/>
          <w:numId w:val="0"/>
        </w:numPr>
        <w:autoSpaceDE w:val="0"/>
        <w:autoSpaceDN w:val="0"/>
        <w:rPr>
          <w:rFonts w:hint="eastAsia" w:ascii="Times New Roman"/>
        </w:rPr>
        <w:sectPr>
          <w:headerReference r:id="rId5" w:type="first"/>
          <w:headerReference r:id="rId3" w:type="default"/>
          <w:footerReference r:id="rId6" w:type="default"/>
          <w:headerReference r:id="rId4" w:type="even"/>
          <w:footerReference r:id="rId7" w:type="even"/>
          <w:pgSz w:w="11907" w:h="16839"/>
          <w:pgMar w:top="1440" w:right="1701" w:bottom="1440" w:left="1701" w:header="964" w:footer="737" w:gutter="0"/>
          <w:pgNumType w:start="1"/>
          <w:cols w:space="720" w:num="1"/>
          <w:titlePg/>
          <w:docGrid w:linePitch="312" w:charSpace="0"/>
        </w:sectPr>
      </w:pPr>
    </w:p>
    <w:p>
      <w:pPr>
        <w:pStyle w:val="17"/>
        <w:adjustRightInd w:val="0"/>
        <w:snapToGrid w:val="0"/>
        <w:spacing w:line="360" w:lineRule="auto"/>
        <w:ind w:firstLine="3241" w:firstLineChars="1076"/>
        <w:rPr>
          <w:rFonts w:hint="eastAsia" w:eastAsia="宋体" w:cs="Times New Roman"/>
          <w:b/>
          <w:sz w:val="30"/>
          <w:szCs w:val="24"/>
        </w:rPr>
      </w:pPr>
      <w:r>
        <w:rPr>
          <w:rFonts w:hint="eastAsia" w:eastAsia="宋体" w:cs="Times New Roman"/>
          <w:b/>
          <w:sz w:val="30"/>
          <w:szCs w:val="24"/>
        </w:rPr>
        <w:t>目  录</w:t>
      </w:r>
    </w:p>
    <w:p>
      <w:pPr>
        <w:pStyle w:val="9"/>
        <w:tabs>
          <w:tab w:val="right" w:leader="dot" w:pos="8296"/>
        </w:tabs>
        <w:rPr>
          <w:rFonts w:ascii="Calibri" w:hAnsi="Calibri"/>
          <w:b w:val="0"/>
          <w:bCs w:val="0"/>
          <w:caps w:val="0"/>
          <w:sz w:val="21"/>
          <w:szCs w:val="22"/>
        </w:rPr>
      </w:pPr>
      <w:r>
        <w:rPr>
          <w:b w:val="0"/>
          <w:i/>
          <w:sz w:val="21"/>
          <w:szCs w:val="21"/>
        </w:rPr>
        <w:fldChar w:fldCharType="begin"/>
      </w:r>
      <w:r>
        <w:rPr>
          <w:b w:val="0"/>
          <w:i/>
          <w:sz w:val="21"/>
          <w:szCs w:val="21"/>
        </w:rPr>
        <w:instrText xml:space="preserve"> </w:instrText>
      </w:r>
      <w:r>
        <w:rPr>
          <w:rFonts w:hint="eastAsia"/>
          <w:b w:val="0"/>
          <w:i/>
          <w:sz w:val="21"/>
          <w:szCs w:val="21"/>
        </w:rPr>
        <w:instrText xml:space="preserve">TOC \o "1-2" \h \z \u</w:instrText>
      </w:r>
      <w:r>
        <w:rPr>
          <w:b w:val="0"/>
          <w:i/>
          <w:sz w:val="21"/>
          <w:szCs w:val="21"/>
        </w:rPr>
        <w:instrText xml:space="preserve"> </w:instrText>
      </w:r>
      <w:r>
        <w:rPr>
          <w:b w:val="0"/>
          <w:i/>
          <w:sz w:val="21"/>
          <w:szCs w:val="21"/>
        </w:rPr>
        <w:fldChar w:fldCharType="separate"/>
      </w:r>
      <w:r>
        <w:fldChar w:fldCharType="begin"/>
      </w:r>
      <w:r>
        <w:rPr>
          <w:rStyle w:val="15"/>
          <w:color w:val="auto"/>
        </w:rPr>
        <w:instrText xml:space="preserve"> </w:instrText>
      </w:r>
      <w:r>
        <w:instrText xml:space="preserve">HYPERLINK \l "_Toc342897936"</w:instrText>
      </w:r>
      <w:r>
        <w:rPr>
          <w:rStyle w:val="15"/>
          <w:color w:val="auto"/>
        </w:rPr>
        <w:instrText xml:space="preserve"> </w:instrText>
      </w:r>
      <w:r>
        <w:fldChar w:fldCharType="separate"/>
      </w:r>
      <w:r>
        <w:rPr>
          <w:rStyle w:val="15"/>
          <w:color w:val="auto"/>
        </w:rPr>
        <w:t>1</w:t>
      </w:r>
      <w:r>
        <w:rPr>
          <w:rStyle w:val="15"/>
          <w:rFonts w:hint="eastAsia" w:ascii="黑体" w:eastAsia="黑体"/>
          <w:color w:val="auto"/>
        </w:rPr>
        <w:t xml:space="preserve"> 总则</w:t>
      </w:r>
      <w:r>
        <w:tab/>
      </w:r>
      <w:r>
        <w:fldChar w:fldCharType="begin"/>
      </w:r>
      <w:r>
        <w:instrText xml:space="preserve"> PAGEREF _Toc342897936 \h </w:instrText>
      </w:r>
      <w:r>
        <w:fldChar w:fldCharType="separate"/>
      </w:r>
      <w:r>
        <w:t>1</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"_Toc342897937"</w:instrText>
      </w:r>
      <w:r>
        <w:rPr>
          <w:rStyle w:val="15"/>
          <w:color w:val="auto"/>
        </w:rPr>
        <w:instrText xml:space="preserve"> </w:instrText>
      </w:r>
      <w:r>
        <w:fldChar w:fldCharType="separate"/>
      </w:r>
      <w:r>
        <w:rPr>
          <w:rStyle w:val="15"/>
          <w:color w:val="auto"/>
        </w:rPr>
        <w:t>2</w:t>
      </w:r>
      <w:r>
        <w:rPr>
          <w:rStyle w:val="15"/>
          <w:rFonts w:hint="eastAsia" w:ascii="黑体" w:hAnsi="宋体" w:eastAsia="黑体"/>
          <w:color w:val="auto"/>
        </w:rPr>
        <w:t xml:space="preserve"> 工作范围</w:t>
      </w:r>
      <w:r>
        <w:tab/>
      </w:r>
      <w:r>
        <w:fldChar w:fldCharType="begin"/>
      </w:r>
      <w:r>
        <w:instrText xml:space="preserve"> PAGEREF _Toc342897937 \h </w:instrText>
      </w:r>
      <w:r>
        <w:fldChar w:fldCharType="separate"/>
      </w:r>
      <w:r>
        <w:t>1</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"_Toc342897938"</w:instrText>
      </w:r>
      <w:r>
        <w:rPr>
          <w:rStyle w:val="15"/>
          <w:color w:val="auto"/>
        </w:rPr>
        <w:instrText xml:space="preserve"> </w:instrText>
      </w:r>
      <w:r>
        <w:fldChar w:fldCharType="separate"/>
      </w:r>
      <w:r>
        <w:rPr>
          <w:rStyle w:val="15"/>
          <w:rFonts w:ascii="黑体" w:eastAsia="黑体"/>
          <w:color w:val="auto"/>
        </w:rPr>
        <w:t xml:space="preserve">2.1 </w:t>
      </w:r>
      <w:r>
        <w:rPr>
          <w:rStyle w:val="15"/>
          <w:rFonts w:hint="eastAsia" w:ascii="黑体" w:eastAsia="黑体"/>
          <w:color w:val="auto"/>
        </w:rPr>
        <w:t>工程概况</w:t>
      </w:r>
      <w:r>
        <w:tab/>
      </w:r>
      <w:r>
        <w:fldChar w:fldCharType="begin"/>
      </w:r>
      <w:r>
        <w:instrText xml:space="preserve"> PAGEREF _Toc342897938 \h </w:instrText>
      </w:r>
      <w:r>
        <w:fldChar w:fldCharType="separate"/>
      </w:r>
      <w:r>
        <w:t>1</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"_Toc342897939"</w:instrText>
      </w:r>
      <w:r>
        <w:rPr>
          <w:rStyle w:val="15"/>
          <w:color w:val="auto"/>
        </w:rPr>
        <w:instrText xml:space="preserve"> </w:instrText>
      </w:r>
      <w:r>
        <w:fldChar w:fldCharType="separate"/>
      </w:r>
      <w:r>
        <w:rPr>
          <w:rStyle w:val="15"/>
          <w:rFonts w:ascii="黑体" w:eastAsia="黑体"/>
          <w:color w:val="auto"/>
        </w:rPr>
        <w:t xml:space="preserve">2.2  </w:t>
      </w:r>
      <w:r>
        <w:rPr>
          <w:rStyle w:val="15"/>
          <w:rFonts w:hint="eastAsia" w:ascii="黑体" w:eastAsia="黑体"/>
          <w:color w:val="auto"/>
        </w:rPr>
        <w:t>范围和界限</w:t>
      </w:r>
      <w:r>
        <w:tab/>
      </w:r>
      <w:r>
        <w:fldChar w:fldCharType="begin"/>
      </w:r>
      <w:r>
        <w:instrText xml:space="preserve"> PAGEREF _Toc342897939 \h </w:instrText>
      </w:r>
      <w:r>
        <w:fldChar w:fldCharType="separate"/>
      </w:r>
      <w:r>
        <w:t>2</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"_Toc342897940"</w:instrText>
      </w:r>
      <w:r>
        <w:rPr>
          <w:rStyle w:val="15"/>
          <w:color w:val="auto"/>
        </w:rPr>
        <w:instrText xml:space="preserve"> </w:instrText>
      </w:r>
      <w:r>
        <w:fldChar w:fldCharType="separate"/>
      </w:r>
      <w:r>
        <w:rPr>
          <w:rStyle w:val="15"/>
          <w:rFonts w:ascii="黑体" w:eastAsia="黑体"/>
          <w:color w:val="auto"/>
        </w:rPr>
        <w:t xml:space="preserve">2.3  </w:t>
      </w:r>
      <w:r>
        <w:rPr>
          <w:rStyle w:val="15"/>
          <w:rFonts w:hint="eastAsia" w:ascii="黑体" w:eastAsia="黑体"/>
          <w:color w:val="auto"/>
        </w:rPr>
        <w:t>服务范围</w:t>
      </w:r>
      <w:r>
        <w:tab/>
      </w:r>
      <w:r>
        <w:fldChar w:fldCharType="begin"/>
      </w:r>
      <w:r>
        <w:instrText xml:space="preserve"> PAGEREF _Toc342897940 \h </w:instrText>
      </w:r>
      <w:r>
        <w:fldChar w:fldCharType="separate"/>
      </w:r>
      <w:r>
        <w:t>2</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"_Toc342897941"</w:instrText>
      </w:r>
      <w:r>
        <w:rPr>
          <w:rStyle w:val="15"/>
          <w:color w:val="auto"/>
        </w:rPr>
        <w:instrText xml:space="preserve"> </w:instrText>
      </w:r>
      <w:r>
        <w:fldChar w:fldCharType="separate"/>
      </w:r>
      <w:r>
        <w:rPr>
          <w:rStyle w:val="15"/>
          <w:color w:val="auto"/>
        </w:rPr>
        <w:t>3</w:t>
      </w:r>
      <w:r>
        <w:rPr>
          <w:rStyle w:val="15"/>
          <w:rFonts w:hint="eastAsia"/>
          <w:color w:val="auto"/>
        </w:rPr>
        <w:t xml:space="preserve"> 应遵循的主要标准</w:t>
      </w:r>
      <w:r>
        <w:tab/>
      </w:r>
      <w:r>
        <w:fldChar w:fldCharType="begin"/>
      </w:r>
      <w:r>
        <w:instrText xml:space="preserve"> PAGEREF _Toc342897941 \h </w:instrText>
      </w:r>
      <w:r>
        <w:fldChar w:fldCharType="separate"/>
      </w:r>
      <w:r>
        <w:t>3</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"_Toc342897942"</w:instrText>
      </w:r>
      <w:r>
        <w:rPr>
          <w:rStyle w:val="15"/>
          <w:color w:val="auto"/>
        </w:rPr>
        <w:instrText xml:space="preserve"> </w:instrText>
      </w:r>
      <w:r>
        <w:fldChar w:fldCharType="separate"/>
      </w:r>
      <w:r>
        <w:rPr>
          <w:rStyle w:val="15"/>
          <w:color w:val="auto"/>
        </w:rPr>
        <w:t>4</w:t>
      </w:r>
      <w:r>
        <w:rPr>
          <w:rStyle w:val="15"/>
          <w:rFonts w:hint="eastAsia" w:ascii="黑体" w:hAnsi="宋体" w:eastAsia="黑体"/>
          <w:color w:val="auto"/>
        </w:rPr>
        <w:t xml:space="preserve"> 使用条件</w:t>
      </w:r>
      <w:r>
        <w:tab/>
      </w:r>
      <w:r>
        <w:fldChar w:fldCharType="begin"/>
      </w:r>
      <w:r>
        <w:instrText xml:space="preserve"> PAGEREF _Toc342897942 \h </w:instrText>
      </w:r>
      <w:r>
        <w:fldChar w:fldCharType="separate"/>
      </w:r>
      <w:r>
        <w:t>4</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"_Toc342897943"</w:instrText>
      </w:r>
      <w:r>
        <w:rPr>
          <w:rStyle w:val="15"/>
          <w:color w:val="auto"/>
        </w:rPr>
        <w:instrText xml:space="preserve"> </w:instrText>
      </w:r>
      <w:r>
        <w:fldChar w:fldCharType="separate"/>
      </w:r>
      <w:r>
        <w:rPr>
          <w:rStyle w:val="15"/>
          <w:rFonts w:ascii="黑体" w:eastAsia="黑体"/>
          <w:color w:val="auto"/>
        </w:rPr>
        <w:t xml:space="preserve">4.1 </w:t>
      </w:r>
      <w:r>
        <w:rPr>
          <w:rStyle w:val="15"/>
          <w:rFonts w:hint="eastAsia" w:ascii="黑体" w:eastAsia="黑体"/>
          <w:color w:val="auto"/>
        </w:rPr>
        <w:t>正常使用条件</w:t>
      </w:r>
      <w:r>
        <w:tab/>
      </w:r>
      <w:r>
        <w:fldChar w:fldCharType="begin"/>
      </w:r>
      <w:r>
        <w:instrText xml:space="preserve"> PAGEREF _Toc342897943 \h </w:instrText>
      </w:r>
      <w:r>
        <w:fldChar w:fldCharType="separate"/>
      </w:r>
      <w:r>
        <w:t>5</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"_Toc342897944"</w:instrText>
      </w:r>
      <w:r>
        <w:rPr>
          <w:rStyle w:val="15"/>
          <w:color w:val="auto"/>
        </w:rPr>
        <w:instrText xml:space="preserve"> </w:instrText>
      </w:r>
      <w:r>
        <w:fldChar w:fldCharType="separate"/>
      </w:r>
      <w:r>
        <w:rPr>
          <w:rStyle w:val="15"/>
          <w:rFonts w:ascii="黑体" w:eastAsia="黑体"/>
          <w:color w:val="auto"/>
        </w:rPr>
        <w:t xml:space="preserve">4.2 </w:t>
      </w:r>
      <w:r>
        <w:rPr>
          <w:rStyle w:val="15"/>
          <w:rFonts w:hint="eastAsia" w:ascii="黑体" w:eastAsia="黑体"/>
          <w:color w:val="auto"/>
        </w:rPr>
        <w:t>特殊使用条件</w:t>
      </w:r>
      <w:r>
        <w:tab/>
      </w:r>
      <w:r>
        <w:fldChar w:fldCharType="begin"/>
      </w:r>
      <w:r>
        <w:instrText xml:space="preserve"> PAGEREF _Toc342897944 \h </w:instrText>
      </w:r>
      <w:r>
        <w:fldChar w:fldCharType="separate"/>
      </w:r>
      <w:r>
        <w:t>5</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"_Toc342897945"</w:instrText>
      </w:r>
      <w:r>
        <w:rPr>
          <w:rStyle w:val="15"/>
          <w:color w:val="auto"/>
        </w:rPr>
        <w:instrText xml:space="preserve"> </w:instrText>
      </w:r>
      <w:r>
        <w:fldChar w:fldCharType="separate"/>
      </w:r>
      <w:r>
        <w:rPr>
          <w:rStyle w:val="15"/>
          <w:color w:val="auto"/>
        </w:rPr>
        <w:t>5</w:t>
      </w:r>
      <w:r>
        <w:rPr>
          <w:rStyle w:val="15"/>
          <w:rFonts w:hint="eastAsia" w:ascii="黑体" w:hAnsi="宋体" w:eastAsia="黑体"/>
          <w:color w:val="auto"/>
        </w:rPr>
        <w:t xml:space="preserve"> 技术要求</w:t>
      </w:r>
      <w:r>
        <w:tab/>
      </w:r>
      <w:r>
        <w:fldChar w:fldCharType="begin"/>
      </w:r>
      <w:r>
        <w:instrText xml:space="preserve"> PAGEREF _Toc342897945 \h </w:instrText>
      </w:r>
      <w:r>
        <w:fldChar w:fldCharType="separate"/>
      </w:r>
      <w:r>
        <w:t>6</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"_Toc342897946"</w:instrText>
      </w:r>
      <w:r>
        <w:rPr>
          <w:rStyle w:val="15"/>
          <w:color w:val="auto"/>
        </w:rPr>
        <w:instrText xml:space="preserve"> </w:instrText>
      </w:r>
      <w:r>
        <w:fldChar w:fldCharType="separate"/>
      </w:r>
      <w:r>
        <w:rPr>
          <w:rStyle w:val="15"/>
          <w:rFonts w:ascii="黑体" w:hAnsi="宋体" w:eastAsia="黑体"/>
          <w:color w:val="auto"/>
        </w:rPr>
        <w:t xml:space="preserve">5.1 </w:t>
      </w:r>
      <w:r>
        <w:rPr>
          <w:rStyle w:val="15"/>
          <w:rFonts w:hint="eastAsia" w:ascii="黑体" w:hAnsi="宋体" w:eastAsia="黑体"/>
          <w:color w:val="auto"/>
        </w:rPr>
        <w:t>基本参数</w:t>
      </w:r>
      <w:r>
        <w:tab/>
      </w:r>
      <w:r>
        <w:fldChar w:fldCharType="begin"/>
      </w:r>
      <w:r>
        <w:instrText xml:space="preserve"> PAGEREF _Toc342897946 \h </w:instrText>
      </w:r>
      <w:r>
        <w:fldChar w:fldCharType="separate"/>
      </w:r>
      <w:r>
        <w:t>6</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"_Toc342897947"</w:instrText>
      </w:r>
      <w:r>
        <w:rPr>
          <w:rStyle w:val="15"/>
          <w:color w:val="auto"/>
        </w:rPr>
        <w:instrText xml:space="preserve"> </w:instrText>
      </w:r>
      <w:r>
        <w:fldChar w:fldCharType="separate"/>
      </w:r>
      <w:r>
        <w:rPr>
          <w:rStyle w:val="15"/>
          <w:rFonts w:ascii="黑体" w:eastAsia="黑体"/>
          <w:color w:val="auto"/>
        </w:rPr>
        <w:t>5.2</w:t>
      </w:r>
      <w:r>
        <w:rPr>
          <w:rStyle w:val="15"/>
          <w:rFonts w:hint="eastAsia" w:ascii="黑体" w:eastAsia="黑体"/>
          <w:color w:val="auto"/>
        </w:rPr>
        <w:t>设计与结构要求</w:t>
      </w:r>
      <w:r>
        <w:tab/>
      </w:r>
      <w:r>
        <w:fldChar w:fldCharType="begin"/>
      </w:r>
      <w:r>
        <w:instrText xml:space="preserve"> PAGEREF _Toc342897947 \h </w:instrText>
      </w:r>
      <w:r>
        <w:fldChar w:fldCharType="separate"/>
      </w:r>
      <w:r>
        <w:t>8</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"_Toc342897948"</w:instrText>
      </w:r>
      <w:r>
        <w:rPr>
          <w:rStyle w:val="15"/>
          <w:color w:val="auto"/>
        </w:rPr>
        <w:instrText xml:space="preserve"> </w:instrText>
      </w:r>
      <w:r>
        <w:fldChar w:fldCharType="separate"/>
      </w:r>
      <w:r>
        <w:rPr>
          <w:rStyle w:val="15"/>
          <w:rFonts w:ascii="黑体" w:eastAsia="黑体"/>
          <w:color w:val="auto"/>
        </w:rPr>
        <w:t>5.3</w:t>
      </w:r>
      <w:r>
        <w:rPr>
          <w:rStyle w:val="15"/>
          <w:rFonts w:hint="eastAsia" w:ascii="黑体" w:eastAsia="黑体"/>
          <w:color w:val="auto"/>
        </w:rPr>
        <w:t>专业接口要求</w:t>
      </w:r>
      <w:r>
        <w:tab/>
      </w:r>
      <w:r>
        <w:fldChar w:fldCharType="begin"/>
      </w:r>
      <w:r>
        <w:instrText xml:space="preserve"> PAGEREF _Toc342897948 \h </w:instrText>
      </w:r>
      <w:r>
        <w:fldChar w:fldCharType="separate"/>
      </w:r>
      <w:r>
        <w:t>12</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"_Toc342897949"</w:instrText>
      </w:r>
      <w:r>
        <w:rPr>
          <w:rStyle w:val="15"/>
          <w:color w:val="auto"/>
        </w:rPr>
        <w:instrText xml:space="preserve"> </w:instrText>
      </w:r>
      <w:r>
        <w:fldChar w:fldCharType="separate"/>
      </w:r>
      <w:r>
        <w:rPr>
          <w:rStyle w:val="15"/>
          <w:color w:val="auto"/>
        </w:rPr>
        <w:t>6</w:t>
      </w:r>
      <w:r>
        <w:rPr>
          <w:rStyle w:val="15"/>
          <w:rFonts w:hint="eastAsia" w:ascii="黑体" w:hAnsi="宋体" w:eastAsia="黑体"/>
          <w:color w:val="auto"/>
        </w:rPr>
        <w:t xml:space="preserve"> 试验</w:t>
      </w:r>
      <w:r>
        <w:tab/>
      </w:r>
      <w:r>
        <w:fldChar w:fldCharType="begin"/>
      </w:r>
      <w:r>
        <w:instrText xml:space="preserve"> PAGEREF _Toc342897949 \h </w:instrText>
      </w:r>
      <w:r>
        <w:fldChar w:fldCharType="separate"/>
      </w:r>
      <w:r>
        <w:t>13</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"_Toc342897950"</w:instrText>
      </w:r>
      <w:r>
        <w:rPr>
          <w:rStyle w:val="15"/>
          <w:color w:val="auto"/>
        </w:rPr>
        <w:instrText xml:space="preserve"> </w:instrText>
      </w:r>
      <w:r>
        <w:fldChar w:fldCharType="separate"/>
      </w:r>
      <w:r>
        <w:rPr>
          <w:rStyle w:val="15"/>
          <w:rFonts w:eastAsia="黑体"/>
          <w:color w:val="auto"/>
        </w:rPr>
        <w:t>6.1</w:t>
      </w:r>
      <w:r>
        <w:rPr>
          <w:rStyle w:val="15"/>
          <w:rFonts w:hint="eastAsia" w:eastAsia="黑体"/>
          <w:color w:val="auto"/>
        </w:rPr>
        <w:t>试验分类</w:t>
      </w:r>
      <w:r>
        <w:tab/>
      </w:r>
      <w:r>
        <w:fldChar w:fldCharType="begin"/>
      </w:r>
      <w:r>
        <w:instrText xml:space="preserve"> PAGEREF _Toc342897950 \h </w:instrText>
      </w:r>
      <w:r>
        <w:fldChar w:fldCharType="separate"/>
      </w:r>
      <w:r>
        <w:t>13</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"_Toc342897951"</w:instrText>
      </w:r>
      <w:r>
        <w:rPr>
          <w:rStyle w:val="15"/>
          <w:color w:val="auto"/>
        </w:rPr>
        <w:instrText xml:space="preserve"> </w:instrText>
      </w:r>
      <w:r>
        <w:fldChar w:fldCharType="separate"/>
      </w:r>
      <w:r>
        <w:rPr>
          <w:rStyle w:val="15"/>
          <w:rFonts w:eastAsia="黑体"/>
          <w:color w:val="auto"/>
        </w:rPr>
        <w:t xml:space="preserve">6.2 </w:t>
      </w:r>
      <w:r>
        <w:rPr>
          <w:rStyle w:val="15"/>
          <w:rFonts w:hint="eastAsia" w:eastAsia="黑体"/>
          <w:color w:val="auto"/>
        </w:rPr>
        <w:t>型式试验</w:t>
      </w:r>
      <w:r>
        <w:tab/>
      </w:r>
      <w:r>
        <w:fldChar w:fldCharType="begin"/>
      </w:r>
      <w:r>
        <w:instrText xml:space="preserve"> PAGEREF _Toc342897951 \h </w:instrText>
      </w:r>
      <w:r>
        <w:fldChar w:fldCharType="separate"/>
      </w:r>
      <w:r>
        <w:t>14</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"_Toc342897952"</w:instrText>
      </w:r>
      <w:r>
        <w:rPr>
          <w:rStyle w:val="15"/>
          <w:color w:val="auto"/>
        </w:rPr>
        <w:instrText xml:space="preserve"> </w:instrText>
      </w:r>
      <w:r>
        <w:fldChar w:fldCharType="separate"/>
      </w:r>
      <w:r>
        <w:rPr>
          <w:rStyle w:val="15"/>
          <w:rFonts w:eastAsia="黑体"/>
          <w:color w:val="auto"/>
        </w:rPr>
        <w:t xml:space="preserve">6.3 </w:t>
      </w:r>
      <w:r>
        <w:rPr>
          <w:rStyle w:val="15"/>
          <w:rFonts w:hint="eastAsia" w:ascii="宋体" w:hAnsi="宋体"/>
          <w:color w:val="auto"/>
        </w:rPr>
        <w:t>★</w:t>
      </w:r>
      <w:r>
        <w:rPr>
          <w:rStyle w:val="15"/>
          <w:rFonts w:hint="eastAsia" w:eastAsia="黑体"/>
          <w:color w:val="auto"/>
        </w:rPr>
        <w:t>例行试验</w:t>
      </w:r>
      <w:r>
        <w:tab/>
      </w:r>
      <w:r>
        <w:fldChar w:fldCharType="begin"/>
      </w:r>
      <w:r>
        <w:instrText xml:space="preserve"> PAGEREF _Toc342897952 \h </w:instrText>
      </w:r>
      <w:r>
        <w:fldChar w:fldCharType="separate"/>
      </w:r>
      <w:r>
        <w:t>14</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"_Toc342897953"</w:instrText>
      </w:r>
      <w:r>
        <w:rPr>
          <w:rStyle w:val="15"/>
          <w:color w:val="auto"/>
        </w:rPr>
        <w:instrText xml:space="preserve"> </w:instrText>
      </w:r>
      <w:r>
        <w:fldChar w:fldCharType="separate"/>
      </w:r>
      <w:r>
        <w:rPr>
          <w:rStyle w:val="15"/>
          <w:rFonts w:eastAsia="黑体"/>
          <w:color w:val="auto"/>
        </w:rPr>
        <w:t>6.4</w:t>
      </w:r>
      <w:r>
        <w:rPr>
          <w:rStyle w:val="15"/>
          <w:rFonts w:hint="eastAsia" w:eastAsia="黑体"/>
          <w:color w:val="auto"/>
        </w:rPr>
        <w:t>特殊试验</w:t>
      </w:r>
      <w:r>
        <w:tab/>
      </w:r>
      <w:r>
        <w:fldChar w:fldCharType="begin"/>
      </w:r>
      <w:r>
        <w:instrText xml:space="preserve"> PAGEREF _Toc342897953 \h </w:instrText>
      </w:r>
      <w:r>
        <w:fldChar w:fldCharType="separate"/>
      </w:r>
      <w:r>
        <w:t>14</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"_Toc342897954"</w:instrText>
      </w:r>
      <w:r>
        <w:rPr>
          <w:rStyle w:val="15"/>
          <w:color w:val="auto"/>
        </w:rPr>
        <w:instrText xml:space="preserve"> </w:instrText>
      </w:r>
      <w:r>
        <w:fldChar w:fldCharType="separate"/>
      </w:r>
      <w:r>
        <w:rPr>
          <w:rStyle w:val="15"/>
          <w:rFonts w:eastAsia="黑体"/>
          <w:color w:val="auto"/>
        </w:rPr>
        <w:t>6.5</w:t>
      </w:r>
      <w:r>
        <w:rPr>
          <w:rStyle w:val="15"/>
          <w:rFonts w:hint="eastAsia" w:eastAsia="黑体"/>
          <w:color w:val="auto"/>
        </w:rPr>
        <w:t>现场交接试验</w:t>
      </w:r>
      <w:r>
        <w:tab/>
      </w:r>
      <w:r>
        <w:fldChar w:fldCharType="begin"/>
      </w:r>
      <w:r>
        <w:instrText xml:space="preserve"> PAGEREF _Toc342897954 \h </w:instrText>
      </w:r>
      <w:r>
        <w:fldChar w:fldCharType="separate"/>
      </w:r>
      <w:r>
        <w:t>15</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"_Toc342897955"</w:instrText>
      </w:r>
      <w:r>
        <w:rPr>
          <w:rStyle w:val="15"/>
          <w:color w:val="auto"/>
        </w:rPr>
        <w:instrText xml:space="preserve"> </w:instrText>
      </w:r>
      <w:r>
        <w:fldChar w:fldCharType="separate"/>
      </w:r>
      <w:r>
        <w:rPr>
          <w:rStyle w:val="15"/>
          <w:rFonts w:ascii="黑体" w:eastAsia="黑体"/>
          <w:color w:val="auto"/>
        </w:rPr>
        <w:t xml:space="preserve">7 </w:t>
      </w:r>
      <w:r>
        <w:rPr>
          <w:rStyle w:val="15"/>
          <w:rFonts w:hint="eastAsia" w:ascii="黑体" w:eastAsia="黑体"/>
          <w:color w:val="auto"/>
        </w:rPr>
        <w:t>产品对环境的影响</w:t>
      </w:r>
      <w:r>
        <w:tab/>
      </w:r>
      <w:r>
        <w:fldChar w:fldCharType="begin"/>
      </w:r>
      <w:r>
        <w:instrText xml:space="preserve"> PAGEREF _Toc342897955 \h </w:instrText>
      </w:r>
      <w:r>
        <w:fldChar w:fldCharType="separate"/>
      </w:r>
      <w:r>
        <w:t>15</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"_Toc342897956"</w:instrText>
      </w:r>
      <w:r>
        <w:rPr>
          <w:rStyle w:val="15"/>
          <w:color w:val="auto"/>
        </w:rPr>
        <w:instrText xml:space="preserve"> </w:instrText>
      </w:r>
      <w:r>
        <w:fldChar w:fldCharType="separate"/>
      </w:r>
      <w:r>
        <w:rPr>
          <w:rStyle w:val="15"/>
          <w:rFonts w:ascii="黑体" w:eastAsia="黑体"/>
          <w:color w:val="auto"/>
        </w:rPr>
        <w:t xml:space="preserve">8 </w:t>
      </w:r>
      <w:r>
        <w:rPr>
          <w:rStyle w:val="15"/>
          <w:rFonts w:hint="eastAsia" w:ascii="黑体" w:eastAsia="黑体"/>
          <w:color w:val="auto"/>
        </w:rPr>
        <w:t>企业</w:t>
      </w:r>
      <w:r>
        <w:rPr>
          <w:rStyle w:val="15"/>
          <w:rFonts w:ascii="黑体" w:eastAsia="黑体"/>
          <w:color w:val="auto"/>
        </w:rPr>
        <w:t>VI</w:t>
      </w:r>
      <w:r>
        <w:rPr>
          <w:rStyle w:val="15"/>
          <w:rFonts w:hint="eastAsia" w:ascii="黑体" w:eastAsia="黑体"/>
          <w:color w:val="auto"/>
        </w:rPr>
        <w:t>标识</w:t>
      </w:r>
      <w:r>
        <w:tab/>
      </w:r>
      <w:r>
        <w:fldChar w:fldCharType="begin"/>
      </w:r>
      <w:r>
        <w:instrText xml:space="preserve"> PAGEREF _Toc342897956 \h </w:instrText>
      </w:r>
      <w:r>
        <w:fldChar w:fldCharType="separate"/>
      </w:r>
      <w:r>
        <w:t>15</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"_Toc342897957"</w:instrText>
      </w:r>
      <w:r>
        <w:rPr>
          <w:rStyle w:val="15"/>
          <w:color w:val="auto"/>
        </w:rPr>
        <w:instrText xml:space="preserve"> </w:instrText>
      </w:r>
      <w:r>
        <w:fldChar w:fldCharType="separate"/>
      </w:r>
      <w:r>
        <w:rPr>
          <w:rStyle w:val="15"/>
          <w:rFonts w:ascii="黑体" w:eastAsia="黑体"/>
          <w:color w:val="auto"/>
        </w:rPr>
        <w:t xml:space="preserve">9 </w:t>
      </w:r>
      <w:r>
        <w:rPr>
          <w:rStyle w:val="15"/>
          <w:rFonts w:hint="eastAsia" w:ascii="黑体" w:eastAsia="黑体"/>
          <w:color w:val="auto"/>
        </w:rPr>
        <w:t>技术文件要求</w:t>
      </w:r>
      <w:r>
        <w:tab/>
      </w:r>
      <w:r>
        <w:fldChar w:fldCharType="begin"/>
      </w:r>
      <w:r>
        <w:instrText xml:space="preserve"> PAGEREF _Toc342897957 \h </w:instrText>
      </w:r>
      <w:r>
        <w:fldChar w:fldCharType="separate"/>
      </w:r>
      <w:r>
        <w:t>15</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"_Toc342897958"</w:instrText>
      </w:r>
      <w:r>
        <w:rPr>
          <w:rStyle w:val="15"/>
          <w:color w:val="auto"/>
        </w:rPr>
        <w:instrText xml:space="preserve"> </w:instrText>
      </w:r>
      <w:r>
        <w:fldChar w:fldCharType="separate"/>
      </w:r>
      <w:r>
        <w:rPr>
          <w:rStyle w:val="15"/>
          <w:rFonts w:ascii="黑体" w:eastAsia="黑体"/>
          <w:color w:val="auto"/>
        </w:rPr>
        <w:t xml:space="preserve">10 </w:t>
      </w:r>
      <w:r>
        <w:rPr>
          <w:rStyle w:val="15"/>
          <w:rFonts w:hint="eastAsia" w:ascii="黑体" w:eastAsia="黑体"/>
          <w:color w:val="auto"/>
        </w:rPr>
        <w:t>监造、包装、运输、安装及质量保证</w:t>
      </w:r>
      <w:r>
        <w:tab/>
      </w:r>
      <w:r>
        <w:fldChar w:fldCharType="begin"/>
      </w:r>
      <w:r>
        <w:instrText xml:space="preserve"> PAGEREF _Toc342897958 \h </w:instrText>
      </w:r>
      <w:r>
        <w:fldChar w:fldCharType="separate"/>
      </w:r>
      <w:r>
        <w:t>16</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"_Toc342897959"</w:instrText>
      </w:r>
      <w:r>
        <w:rPr>
          <w:rStyle w:val="15"/>
          <w:color w:val="auto"/>
        </w:rPr>
        <w:instrText xml:space="preserve"> </w:instrText>
      </w:r>
      <w:r>
        <w:fldChar w:fldCharType="separate"/>
      </w:r>
      <w:r>
        <w:rPr>
          <w:rStyle w:val="15"/>
          <w:rFonts w:ascii="黑体" w:eastAsia="黑体"/>
          <w:color w:val="auto"/>
        </w:rPr>
        <w:t>10.1</w:t>
      </w:r>
      <w:r>
        <w:rPr>
          <w:rFonts w:ascii="Calibri" w:hAnsi="Calibri"/>
          <w:szCs w:val="22"/>
        </w:rPr>
        <w:tab/>
      </w:r>
      <w:r>
        <w:rPr>
          <w:rStyle w:val="15"/>
          <w:rFonts w:hint="eastAsia" w:ascii="黑体" w:eastAsia="黑体"/>
          <w:color w:val="auto"/>
        </w:rPr>
        <w:t>监造</w:t>
      </w:r>
      <w:r>
        <w:tab/>
      </w:r>
      <w:r>
        <w:fldChar w:fldCharType="begin"/>
      </w:r>
      <w:r>
        <w:instrText xml:space="preserve"> PAGEREF _Toc342897959 \h </w:instrText>
      </w:r>
      <w:r>
        <w:fldChar w:fldCharType="separate"/>
      </w:r>
      <w:r>
        <w:t>16</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"_Toc342897960"</w:instrText>
      </w:r>
      <w:r>
        <w:rPr>
          <w:rStyle w:val="15"/>
          <w:color w:val="auto"/>
        </w:rPr>
        <w:instrText xml:space="preserve"> </w:instrText>
      </w:r>
      <w:r>
        <w:fldChar w:fldCharType="separate"/>
      </w:r>
      <w:r>
        <w:rPr>
          <w:rStyle w:val="15"/>
          <w:rFonts w:ascii="黑体" w:eastAsia="黑体"/>
          <w:color w:val="auto"/>
        </w:rPr>
        <w:t>10.2</w:t>
      </w:r>
      <w:r>
        <w:rPr>
          <w:rFonts w:ascii="Calibri" w:hAnsi="Calibri"/>
          <w:szCs w:val="22"/>
        </w:rPr>
        <w:tab/>
      </w:r>
      <w:r>
        <w:rPr>
          <w:rStyle w:val="15"/>
          <w:rFonts w:hint="eastAsia" w:ascii="黑体" w:eastAsia="黑体"/>
          <w:color w:val="auto"/>
        </w:rPr>
        <w:t>包装</w:t>
      </w:r>
      <w:r>
        <w:tab/>
      </w:r>
      <w:r>
        <w:fldChar w:fldCharType="begin"/>
      </w:r>
      <w:r>
        <w:instrText xml:space="preserve"> PAGEREF _Toc342897960 \h </w:instrText>
      </w:r>
      <w:r>
        <w:fldChar w:fldCharType="separate"/>
      </w:r>
      <w:r>
        <w:t>17</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"_Toc342897961"</w:instrText>
      </w:r>
      <w:r>
        <w:rPr>
          <w:rStyle w:val="15"/>
          <w:color w:val="auto"/>
        </w:rPr>
        <w:instrText xml:space="preserve"> </w:instrText>
      </w:r>
      <w:r>
        <w:fldChar w:fldCharType="separate"/>
      </w:r>
      <w:r>
        <w:rPr>
          <w:rStyle w:val="15"/>
          <w:rFonts w:ascii="黑体" w:eastAsia="黑体"/>
          <w:color w:val="auto"/>
        </w:rPr>
        <w:t>10.3</w:t>
      </w:r>
      <w:r>
        <w:rPr>
          <w:rFonts w:ascii="Calibri" w:hAnsi="Calibri"/>
          <w:szCs w:val="22"/>
        </w:rPr>
        <w:tab/>
      </w:r>
      <w:r>
        <w:rPr>
          <w:rStyle w:val="15"/>
          <w:rFonts w:hint="eastAsia" w:ascii="黑体" w:eastAsia="黑体"/>
          <w:color w:val="auto"/>
        </w:rPr>
        <w:t>运输</w:t>
      </w:r>
      <w:r>
        <w:tab/>
      </w:r>
      <w:r>
        <w:fldChar w:fldCharType="begin"/>
      </w:r>
      <w:r>
        <w:instrText xml:space="preserve"> PAGEREF _Toc342897961 \h </w:instrText>
      </w:r>
      <w:r>
        <w:fldChar w:fldCharType="separate"/>
      </w:r>
      <w:r>
        <w:t>18</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"_Toc342897962"</w:instrText>
      </w:r>
      <w:r>
        <w:rPr>
          <w:rStyle w:val="15"/>
          <w:color w:val="auto"/>
        </w:rPr>
        <w:instrText xml:space="preserve"> </w:instrText>
      </w:r>
      <w:r>
        <w:fldChar w:fldCharType="separate"/>
      </w:r>
      <w:r>
        <w:rPr>
          <w:rStyle w:val="15"/>
          <w:rFonts w:ascii="黑体" w:eastAsia="黑体"/>
          <w:color w:val="auto"/>
        </w:rPr>
        <w:t>10.4</w:t>
      </w:r>
      <w:r>
        <w:rPr>
          <w:rFonts w:ascii="Calibri" w:hAnsi="Calibri"/>
          <w:szCs w:val="22"/>
        </w:rPr>
        <w:tab/>
      </w:r>
      <w:r>
        <w:rPr>
          <w:rStyle w:val="15"/>
          <w:rFonts w:hint="eastAsia" w:ascii="黑体" w:eastAsia="黑体"/>
          <w:color w:val="auto"/>
        </w:rPr>
        <w:t>安装指导</w:t>
      </w:r>
      <w:r>
        <w:tab/>
      </w:r>
      <w:r>
        <w:fldChar w:fldCharType="begin"/>
      </w:r>
      <w:r>
        <w:instrText xml:space="preserve"> PAGEREF _Toc342897962 \h </w:instrText>
      </w:r>
      <w:r>
        <w:fldChar w:fldCharType="separate"/>
      </w:r>
      <w:r>
        <w:t>18</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"_Toc342897963"</w:instrText>
      </w:r>
      <w:r>
        <w:rPr>
          <w:rStyle w:val="15"/>
          <w:color w:val="auto"/>
        </w:rPr>
        <w:instrText xml:space="preserve"> </w:instrText>
      </w:r>
      <w:r>
        <w:fldChar w:fldCharType="separate"/>
      </w:r>
      <w:r>
        <w:rPr>
          <w:rStyle w:val="15"/>
          <w:rFonts w:ascii="黑体" w:eastAsia="黑体"/>
          <w:color w:val="auto"/>
        </w:rPr>
        <w:t>10.5</w:t>
      </w:r>
      <w:r>
        <w:rPr>
          <w:rFonts w:ascii="Calibri" w:hAnsi="Calibri"/>
          <w:szCs w:val="22"/>
        </w:rPr>
        <w:tab/>
      </w:r>
      <w:r>
        <w:rPr>
          <w:rStyle w:val="15"/>
          <w:rFonts w:hint="eastAsia" w:ascii="黑体" w:eastAsia="黑体"/>
          <w:color w:val="auto"/>
        </w:rPr>
        <w:t>质量保证</w:t>
      </w:r>
      <w:r>
        <w:tab/>
      </w:r>
      <w:r>
        <w:fldChar w:fldCharType="begin"/>
      </w:r>
      <w:r>
        <w:instrText xml:space="preserve"> PAGEREF _Toc342897963 \h </w:instrText>
      </w:r>
      <w:r>
        <w:fldChar w:fldCharType="separate"/>
      </w:r>
      <w:r>
        <w:t>18</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"_Toc342897964"</w:instrText>
      </w:r>
      <w:r>
        <w:rPr>
          <w:rStyle w:val="15"/>
          <w:color w:val="auto"/>
        </w:rPr>
        <w:instrText xml:space="preserve"> </w:instrText>
      </w:r>
      <w:r>
        <w:fldChar w:fldCharType="separate"/>
      </w:r>
      <w:r>
        <w:rPr>
          <w:rStyle w:val="15"/>
          <w:rFonts w:ascii="黑体" w:eastAsia="黑体"/>
          <w:color w:val="auto"/>
        </w:rPr>
        <w:t xml:space="preserve">11 </w:t>
      </w:r>
      <w:r>
        <w:rPr>
          <w:rStyle w:val="15"/>
          <w:rFonts w:hint="eastAsia" w:ascii="黑体" w:eastAsia="黑体"/>
          <w:color w:val="auto"/>
        </w:rPr>
        <w:t>设备技术参数和性能要求响应表</w:t>
      </w:r>
      <w:r>
        <w:tab/>
      </w:r>
      <w:r>
        <w:fldChar w:fldCharType="begin"/>
      </w:r>
      <w:r>
        <w:instrText xml:space="preserve"> PAGEREF _Toc342897964 \h </w:instrText>
      </w:r>
      <w:r>
        <w:fldChar w:fldCharType="separate"/>
      </w:r>
      <w:r>
        <w:t>19</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"_Toc342897965"</w:instrText>
      </w:r>
      <w:r>
        <w:rPr>
          <w:rStyle w:val="15"/>
          <w:color w:val="auto"/>
        </w:rPr>
        <w:instrText xml:space="preserve"> </w:instrText>
      </w:r>
      <w:r>
        <w:fldChar w:fldCharType="separate"/>
      </w:r>
      <w:r>
        <w:rPr>
          <w:rStyle w:val="15"/>
          <w:rFonts w:ascii="黑体" w:eastAsia="黑体"/>
          <w:color w:val="auto"/>
        </w:rPr>
        <w:t xml:space="preserve">12 </w:t>
      </w:r>
      <w:r>
        <w:rPr>
          <w:rStyle w:val="15"/>
          <w:rFonts w:hint="eastAsia" w:ascii="黑体" w:eastAsia="黑体"/>
          <w:color w:val="auto"/>
        </w:rPr>
        <w:t>备品备件及专用工具</w:t>
      </w:r>
      <w:r>
        <w:tab/>
      </w:r>
      <w:r>
        <w:fldChar w:fldCharType="begin"/>
      </w:r>
      <w:r>
        <w:instrText xml:space="preserve"> PAGEREF _Toc342897965 \h </w:instrText>
      </w:r>
      <w:r>
        <w:fldChar w:fldCharType="separate"/>
      </w:r>
      <w:r>
        <w:t>20</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"_Toc342897966"</w:instrText>
      </w:r>
      <w:r>
        <w:rPr>
          <w:rStyle w:val="15"/>
          <w:color w:val="auto"/>
        </w:rPr>
        <w:instrText xml:space="preserve"> </w:instrText>
      </w:r>
      <w:r>
        <w:fldChar w:fldCharType="separate"/>
      </w:r>
      <w:r>
        <w:rPr>
          <w:rStyle w:val="15"/>
          <w:rFonts w:ascii="黑体" w:eastAsia="黑体"/>
          <w:color w:val="auto"/>
        </w:rPr>
        <w:t xml:space="preserve">12.1 </w:t>
      </w:r>
      <w:r>
        <w:rPr>
          <w:rStyle w:val="15"/>
          <w:rFonts w:hint="eastAsia" w:ascii="黑体" w:eastAsia="黑体"/>
          <w:color w:val="auto"/>
        </w:rPr>
        <w:t>必备的备品备件、专用工具和仪器仪表</w:t>
      </w:r>
      <w:r>
        <w:tab/>
      </w:r>
      <w:r>
        <w:fldChar w:fldCharType="begin"/>
      </w:r>
      <w:r>
        <w:instrText xml:space="preserve"> PAGEREF _Toc342897966 \h </w:instrText>
      </w:r>
      <w:r>
        <w:fldChar w:fldCharType="separate"/>
      </w:r>
      <w:r>
        <w:t>20</w:t>
      </w:r>
      <w:r>
        <w:fldChar w:fldCharType="end"/>
      </w:r>
      <w:r>
        <w:fldChar w:fldCharType="end"/>
      </w:r>
    </w:p>
    <w:p>
      <w:pPr>
        <w:pStyle w:val="10"/>
        <w:rPr>
          <w:rFonts w:ascii="Calibri" w:hAnsi="Calibri"/>
          <w:szCs w:val="22"/>
        </w:rPr>
      </w:pPr>
      <w:r>
        <w:fldChar w:fldCharType="begin"/>
      </w:r>
      <w:r>
        <w:rPr>
          <w:rStyle w:val="15"/>
          <w:color w:val="auto"/>
        </w:rPr>
        <w:instrText xml:space="preserve"> </w:instrText>
      </w:r>
      <w:r>
        <w:instrText xml:space="preserve">HYPERLINK \l "_Toc342897967"</w:instrText>
      </w:r>
      <w:r>
        <w:rPr>
          <w:rStyle w:val="15"/>
          <w:color w:val="auto"/>
        </w:rPr>
        <w:instrText xml:space="preserve"> </w:instrText>
      </w:r>
      <w:r>
        <w:fldChar w:fldCharType="separate"/>
      </w:r>
      <w:r>
        <w:rPr>
          <w:rStyle w:val="15"/>
          <w:rFonts w:ascii="黑体" w:eastAsia="黑体"/>
          <w:color w:val="auto"/>
        </w:rPr>
        <w:t xml:space="preserve">12.2 </w:t>
      </w:r>
      <w:r>
        <w:rPr>
          <w:rStyle w:val="15"/>
          <w:rFonts w:hint="eastAsia" w:ascii="黑体" w:eastAsia="黑体"/>
          <w:color w:val="auto"/>
        </w:rPr>
        <w:t>推荐的备品备件、专用工具和仪器仪表</w:t>
      </w:r>
      <w:r>
        <w:tab/>
      </w:r>
      <w:r>
        <w:fldChar w:fldCharType="begin"/>
      </w:r>
      <w:r>
        <w:instrText xml:space="preserve"> PAGEREF _Toc342897967 \h </w:instrText>
      </w:r>
      <w:r>
        <w:fldChar w:fldCharType="separate"/>
      </w:r>
      <w:r>
        <w:t>21</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"_Toc342897968"</w:instrText>
      </w:r>
      <w:r>
        <w:rPr>
          <w:rStyle w:val="15"/>
          <w:color w:val="auto"/>
        </w:rPr>
        <w:instrText xml:space="preserve"> </w:instrText>
      </w:r>
      <w:r>
        <w:fldChar w:fldCharType="separate"/>
      </w:r>
      <w:r>
        <w:rPr>
          <w:rStyle w:val="15"/>
          <w:rFonts w:ascii="黑体" w:eastAsia="黑体"/>
          <w:color w:val="auto"/>
        </w:rPr>
        <w:t xml:space="preserve">13 </w:t>
      </w:r>
      <w:r>
        <w:rPr>
          <w:rStyle w:val="15"/>
          <w:rFonts w:hint="eastAsia" w:ascii="黑体" w:eastAsia="黑体"/>
          <w:color w:val="auto"/>
        </w:rPr>
        <w:t>主要元器件来源</w:t>
      </w:r>
      <w:r>
        <w:tab/>
      </w:r>
      <w:r>
        <w:fldChar w:fldCharType="begin"/>
      </w:r>
      <w:r>
        <w:instrText xml:space="preserve"> PAGEREF _Toc342897968 \h </w:instrText>
      </w:r>
      <w:r>
        <w:fldChar w:fldCharType="separate"/>
      </w:r>
      <w:r>
        <w:t>21</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"_Toc342897970"</w:instrText>
      </w:r>
      <w:r>
        <w:rPr>
          <w:rStyle w:val="15"/>
          <w:color w:val="auto"/>
        </w:rPr>
        <w:instrText xml:space="preserve"> </w:instrText>
      </w:r>
      <w:r>
        <w:fldChar w:fldCharType="separate"/>
      </w:r>
      <w:r>
        <w:rPr>
          <w:rStyle w:val="15"/>
          <w:rFonts w:ascii="黑体" w:eastAsia="黑体"/>
          <w:color w:val="auto"/>
        </w:rPr>
        <w:t>1</w:t>
      </w:r>
      <w:r>
        <w:rPr>
          <w:rStyle w:val="15"/>
          <w:rFonts w:hint="eastAsia" w:ascii="黑体" w:eastAsia="黑体"/>
          <w:color w:val="auto"/>
          <w:lang w:val="en-US" w:eastAsia="zh-CN"/>
        </w:rPr>
        <w:t>4</w:t>
      </w:r>
      <w:r>
        <w:rPr>
          <w:rStyle w:val="15"/>
          <w:rFonts w:ascii="黑体" w:eastAsia="黑体"/>
          <w:color w:val="auto"/>
        </w:rPr>
        <w:t xml:space="preserve"> </w:t>
      </w:r>
      <w:r>
        <w:rPr>
          <w:rStyle w:val="15"/>
          <w:rFonts w:hint="eastAsia" w:ascii="黑体" w:eastAsia="黑体"/>
          <w:color w:val="auto"/>
        </w:rPr>
        <w:t>技术差异表</w:t>
      </w:r>
      <w:r>
        <w:tab/>
      </w:r>
      <w:r>
        <w:fldChar w:fldCharType="begin"/>
      </w:r>
      <w:r>
        <w:instrText xml:space="preserve"> PAGEREF _Toc342897970 \h </w:instrText>
      </w:r>
      <w:r>
        <w:fldChar w:fldCharType="separate"/>
      </w:r>
      <w:r>
        <w:t>21</w:t>
      </w:r>
      <w:r>
        <w:fldChar w:fldCharType="end"/>
      </w:r>
      <w:r>
        <w:fldChar w:fldCharType="end"/>
      </w:r>
    </w:p>
    <w:p>
      <w:pPr>
        <w:pStyle w:val="9"/>
        <w:tabs>
          <w:tab w:val="right" w:leader="dot" w:pos="8296"/>
        </w:tabs>
        <w:rPr>
          <w:rFonts w:ascii="Calibri" w:hAnsi="Calibri"/>
          <w:b w:val="0"/>
          <w:bCs w:val="0"/>
          <w:caps w:val="0"/>
          <w:sz w:val="21"/>
          <w:szCs w:val="22"/>
        </w:rPr>
      </w:pPr>
      <w:r>
        <w:fldChar w:fldCharType="begin"/>
      </w:r>
      <w:r>
        <w:rPr>
          <w:rStyle w:val="15"/>
          <w:color w:val="auto"/>
        </w:rPr>
        <w:instrText xml:space="preserve"> </w:instrText>
      </w:r>
      <w:r>
        <w:instrText xml:space="preserve">HYPERLINK \l "_Toc342897971"</w:instrText>
      </w:r>
      <w:r>
        <w:rPr>
          <w:rStyle w:val="15"/>
          <w:color w:val="auto"/>
        </w:rPr>
        <w:instrText xml:space="preserve"> </w:instrText>
      </w:r>
      <w:r>
        <w:fldChar w:fldCharType="separate"/>
      </w:r>
      <w:r>
        <w:rPr>
          <w:rStyle w:val="15"/>
          <w:rFonts w:ascii="黑体" w:eastAsia="黑体"/>
          <w:color w:val="auto"/>
        </w:rPr>
        <w:t>1</w:t>
      </w:r>
      <w:r>
        <w:rPr>
          <w:rStyle w:val="15"/>
          <w:rFonts w:hint="eastAsia" w:ascii="黑体" w:eastAsia="黑体"/>
          <w:color w:val="auto"/>
          <w:lang w:val="en-US" w:eastAsia="zh-CN"/>
        </w:rPr>
        <w:t>5</w:t>
      </w:r>
      <w:r>
        <w:rPr>
          <w:rStyle w:val="15"/>
          <w:rFonts w:ascii="黑体" w:eastAsia="黑体"/>
          <w:color w:val="auto"/>
        </w:rPr>
        <w:t xml:space="preserve"> </w:t>
      </w:r>
      <w:r>
        <w:rPr>
          <w:rStyle w:val="15"/>
          <w:rFonts w:hint="eastAsia" w:ascii="黑体" w:eastAsia="黑体"/>
          <w:color w:val="auto"/>
        </w:rPr>
        <w:t>投标方需说明的其他问题</w:t>
      </w:r>
      <w:r>
        <w:tab/>
      </w:r>
      <w:r>
        <w:fldChar w:fldCharType="begin"/>
      </w:r>
      <w:r>
        <w:instrText xml:space="preserve"> PAGEREF _Toc342897971 \h </w:instrText>
      </w:r>
      <w:r>
        <w:fldChar w:fldCharType="separate"/>
      </w:r>
      <w:r>
        <w:t>22</w:t>
      </w:r>
      <w:r>
        <w:fldChar w:fldCharType="end"/>
      </w:r>
      <w:r>
        <w:fldChar w:fldCharType="end"/>
      </w:r>
    </w:p>
    <w:p>
      <w:pPr>
        <w:adjustRightInd w:val="0"/>
        <w:snapToGrid w:val="0"/>
        <w:rPr>
          <w:rFonts w:hint="eastAsia" w:ascii="宋体" w:hAnsi="宋体"/>
          <w:szCs w:val="21"/>
        </w:rPr>
        <w:sectPr>
          <w:footerReference r:id="rId8" w:type="default"/>
          <w:pgSz w:w="11906" w:h="16838"/>
          <w:pgMar w:top="1440" w:right="1800" w:bottom="1440" w:left="1800" w:header="851" w:footer="992" w:gutter="0"/>
          <w:pgNumType w:fmt="upperRoman" w:start="1"/>
          <w:cols w:space="720" w:num="1"/>
          <w:docGrid w:type="lines" w:linePitch="312" w:charSpace="0"/>
        </w:sectPr>
      </w:pPr>
      <w:r>
        <w:fldChar w:fldCharType="end"/>
      </w:r>
    </w:p>
    <w:p>
      <w:pPr>
        <w:pStyle w:val="2"/>
        <w:adjustRightInd w:val="0"/>
        <w:rPr>
          <w:rFonts w:hint="eastAsia" w:ascii="黑体" w:eastAsia="黑体"/>
          <w:b w:val="0"/>
        </w:rPr>
      </w:pPr>
      <w:bookmarkStart w:id="1" w:name="_Toc229476507"/>
      <w:bookmarkEnd w:id="1"/>
      <w:bookmarkStart w:id="2" w:name="_Toc229476473"/>
      <w:bookmarkEnd w:id="2"/>
      <w:bookmarkStart w:id="3" w:name="_Toc229476378"/>
      <w:bookmarkEnd w:id="3"/>
      <w:bookmarkStart w:id="4" w:name="_Toc229476588"/>
      <w:bookmarkEnd w:id="4"/>
      <w:bookmarkStart w:id="5" w:name="_Toc112756677"/>
      <w:r>
        <w:rPr>
          <w:rFonts w:hint="eastAsia" w:ascii="黑体" w:eastAsia="黑体"/>
          <w:b w:val="0"/>
        </w:rPr>
        <w:t xml:space="preserve"> </w:t>
      </w:r>
      <w:bookmarkEnd w:id="5"/>
      <w:bookmarkStart w:id="6" w:name="_Toc342897936"/>
      <w:r>
        <w:rPr>
          <w:rFonts w:hint="eastAsia" w:ascii="黑体" w:eastAsia="黑体"/>
          <w:b w:val="0"/>
        </w:rPr>
        <w:t>总则</w:t>
      </w:r>
      <w:bookmarkEnd w:id="6"/>
    </w:p>
    <w:p>
      <w:pPr>
        <w:pStyle w:val="17"/>
        <w:adjustRightInd w:val="0"/>
        <w:snapToGrid w:val="0"/>
        <w:spacing w:line="360" w:lineRule="auto"/>
        <w:ind w:firstLine="0" w:firstLineChars="0"/>
        <w:rPr>
          <w:rFonts w:eastAsia="宋体" w:cs="Times New Roman"/>
          <w:szCs w:val="21"/>
        </w:rPr>
      </w:pPr>
      <w:bookmarkStart w:id="7" w:name="_Toc112756678"/>
      <w:r>
        <w:rPr>
          <w:rFonts w:eastAsia="宋体" w:cs="Times New Roman"/>
          <w:szCs w:val="21"/>
        </w:rPr>
        <w:t xml:space="preserve">1.1  </w:t>
      </w:r>
      <w:r>
        <w:rPr>
          <w:rFonts w:hint="eastAsia" w:eastAsia="宋体" w:cs="Times New Roman"/>
          <w:szCs w:val="21"/>
        </w:rPr>
        <w:t>本招标技术文件适用于广西新电力投资集团有限责任公司</w:t>
      </w:r>
      <w:r>
        <w:rPr>
          <w:rFonts w:hint="eastAsia" w:eastAsia="宋体" w:cs="Times New Roman"/>
          <w:szCs w:val="21"/>
          <w:u w:val="single"/>
        </w:rPr>
        <w:t xml:space="preserve"> </w:t>
      </w:r>
      <w:r>
        <w:rPr>
          <w:rFonts w:hint="eastAsia" w:eastAsia="宋体" w:cs="Times New Roman"/>
          <w:szCs w:val="21"/>
          <w:u w:val="single"/>
          <w:lang w:val="en-US" w:eastAsia="zh-CN"/>
        </w:rPr>
        <w:t>钟山公司</w:t>
      </w:r>
      <w:r>
        <w:rPr>
          <w:rFonts w:hint="eastAsia" w:eastAsia="宋体" w:cs="Times New Roman"/>
          <w:szCs w:val="21"/>
          <w:u w:val="single"/>
        </w:rPr>
        <w:t xml:space="preserve"> </w:t>
      </w:r>
      <w:r>
        <w:rPr>
          <w:rFonts w:hint="eastAsia" w:eastAsia="宋体" w:cs="Times New Roman"/>
          <w:szCs w:val="21"/>
        </w:rPr>
        <w:t>(项目单位填写)</w:t>
      </w:r>
      <w:r>
        <w:rPr>
          <w:rFonts w:hint="eastAsia" w:eastAsia="宋体" w:cs="Times New Roman"/>
          <w:szCs w:val="21"/>
          <w:lang w:val="en-US" w:eastAsia="zh-CN"/>
        </w:rPr>
        <w:t>生产材料</w:t>
      </w:r>
      <w:r>
        <w:rPr>
          <w:rFonts w:hint="eastAsia" w:eastAsia="宋体" w:cs="Times New Roman"/>
          <w:szCs w:val="21"/>
        </w:rPr>
        <w:t xml:space="preserve">项目采购的10kV </w:t>
      </w:r>
      <w:r>
        <w:rPr>
          <w:rFonts w:hint="eastAsia" w:eastAsia="宋体" w:cs="Times New Roman"/>
          <w:szCs w:val="21"/>
          <w:lang w:eastAsia="zh-CN"/>
        </w:rPr>
        <w:t>户外</w:t>
      </w:r>
      <w:r>
        <w:rPr>
          <w:rFonts w:hint="eastAsia" w:eastAsia="宋体" w:cs="Times New Roman"/>
          <w:szCs w:val="21"/>
        </w:rPr>
        <w:t>干式电压互感器，</w:t>
      </w:r>
      <w:r>
        <w:rPr>
          <w:rFonts w:eastAsia="宋体" w:cs="Times New Roman"/>
          <w:szCs w:val="21"/>
        </w:rPr>
        <w:t xml:space="preserve"> </w:t>
      </w:r>
      <w:r>
        <w:rPr>
          <w:rFonts w:hint="eastAsia" w:eastAsia="宋体" w:cs="Times New Roman"/>
          <w:szCs w:val="21"/>
        </w:rPr>
        <w:t>它提出了该设备本体及附属设备的功能设计、结构、性能、安装和试验等方面的技术要求。</w:t>
      </w:r>
    </w:p>
    <w:p>
      <w:pPr>
        <w:pStyle w:val="17"/>
        <w:adjustRightInd w:val="0"/>
        <w:snapToGrid w:val="0"/>
        <w:spacing w:line="360" w:lineRule="auto"/>
        <w:ind w:firstLine="0" w:firstLineChars="0"/>
        <w:rPr>
          <w:rFonts w:eastAsia="宋体" w:cs="Times New Roman"/>
          <w:szCs w:val="21"/>
        </w:rPr>
      </w:pPr>
      <w:r>
        <w:rPr>
          <w:rFonts w:eastAsia="宋体" w:cs="Times New Roman"/>
          <w:szCs w:val="21"/>
        </w:rPr>
        <w:t xml:space="preserve">1.2  </w:t>
      </w:r>
      <w:r>
        <w:rPr>
          <w:rFonts w:hint="eastAsia" w:eastAsia="宋体" w:cs="Times New Roman"/>
          <w:szCs w:val="21"/>
        </w:rPr>
        <w:t>本设备招标技术文件提出的是最低限度的技术要求。凡本招标技术文件中未规定，但在相关设备的行业标准、国家标准或</w:t>
      </w:r>
      <w:r>
        <w:rPr>
          <w:rFonts w:eastAsia="宋体" w:cs="Times New Roman"/>
          <w:szCs w:val="21"/>
        </w:rPr>
        <w:t>IEC</w:t>
      </w:r>
      <w:r>
        <w:rPr>
          <w:rFonts w:hint="eastAsia" w:eastAsia="宋体" w:cs="Times New Roman"/>
          <w:szCs w:val="21"/>
        </w:rPr>
        <w:t>标准中有规定的规范条文，投标方应按相应标准的条文进行设备设计、制造、试验和安装。对国家有关安全、环保等强制性标准，必须满足其要求</w:t>
      </w:r>
      <w:r>
        <w:rPr>
          <w:rFonts w:eastAsia="宋体" w:cs="Times New Roman"/>
          <w:szCs w:val="21"/>
        </w:rPr>
        <w:t>(如压力容器、高电压设备等)</w:t>
      </w:r>
      <w:r>
        <w:rPr>
          <w:rFonts w:hint="eastAsia" w:eastAsia="宋体" w:cs="Times New Roman"/>
          <w:szCs w:val="21"/>
        </w:rPr>
        <w:t>。</w:t>
      </w:r>
    </w:p>
    <w:p>
      <w:pPr>
        <w:pStyle w:val="17"/>
        <w:adjustRightInd w:val="0"/>
        <w:snapToGrid w:val="0"/>
        <w:spacing w:line="360" w:lineRule="auto"/>
        <w:ind w:firstLine="0" w:firstLineChars="0"/>
        <w:rPr>
          <w:rFonts w:eastAsia="宋体" w:cs="Times New Roman"/>
          <w:szCs w:val="21"/>
        </w:rPr>
      </w:pPr>
      <w:r>
        <w:rPr>
          <w:rFonts w:eastAsia="宋体" w:cs="Times New Roman"/>
          <w:szCs w:val="21"/>
        </w:rPr>
        <w:t xml:space="preserve">1.3  </w:t>
      </w:r>
      <w:r>
        <w:rPr>
          <w:rFonts w:hint="eastAsia" w:eastAsia="宋体" w:cs="Times New Roman"/>
          <w:szCs w:val="21"/>
        </w:rPr>
        <w:t>如果投标方没有以书面形式对本招标技术文件的条文提出异议，</w:t>
      </w:r>
      <w:r>
        <w:rPr>
          <w:rFonts w:eastAsia="宋体" w:cs="Times New Roman"/>
          <w:szCs w:val="21"/>
        </w:rPr>
        <w:t xml:space="preserve"> </w:t>
      </w:r>
      <w:r>
        <w:rPr>
          <w:rFonts w:hint="eastAsia" w:eastAsia="宋体" w:cs="Times New Roman"/>
          <w:szCs w:val="21"/>
        </w:rPr>
        <w:t>则意味着投标方提供的设备完全符合本招标技术文件的要求。如有异议，</w:t>
      </w:r>
      <w:r>
        <w:rPr>
          <w:rFonts w:eastAsia="宋体" w:cs="Times New Roman"/>
          <w:szCs w:val="21"/>
        </w:rPr>
        <w:t xml:space="preserve"> </w:t>
      </w:r>
      <w:r>
        <w:rPr>
          <w:rFonts w:hint="eastAsia" w:eastAsia="宋体" w:cs="Times New Roman"/>
          <w:szCs w:val="21"/>
        </w:rPr>
        <w:t>不管是多么微小，</w:t>
      </w:r>
      <w:r>
        <w:rPr>
          <w:rFonts w:eastAsia="宋体" w:cs="Times New Roman"/>
          <w:szCs w:val="21"/>
        </w:rPr>
        <w:t xml:space="preserve"> </w:t>
      </w:r>
      <w:r>
        <w:rPr>
          <w:rFonts w:hint="eastAsia" w:eastAsia="宋体" w:cs="Times New Roman"/>
          <w:szCs w:val="21"/>
        </w:rPr>
        <w:t>都应在报价书中以“对招标技术文件的意见和同招标技术文件的差异”为标题的专门章节中加以详细描述。</w:t>
      </w:r>
    </w:p>
    <w:p>
      <w:pPr>
        <w:pStyle w:val="17"/>
        <w:adjustRightInd w:val="0"/>
        <w:snapToGrid w:val="0"/>
        <w:spacing w:line="360" w:lineRule="auto"/>
        <w:ind w:firstLine="0" w:firstLineChars="0"/>
        <w:rPr>
          <w:rFonts w:eastAsia="宋体" w:cs="Times New Roman"/>
          <w:szCs w:val="21"/>
        </w:rPr>
      </w:pPr>
      <w:r>
        <w:rPr>
          <w:rFonts w:eastAsia="宋体" w:cs="Times New Roman"/>
          <w:szCs w:val="21"/>
        </w:rPr>
        <w:t xml:space="preserve">1.4  </w:t>
      </w:r>
      <w:r>
        <w:rPr>
          <w:rFonts w:hint="eastAsia" w:eastAsia="宋体" w:cs="Times New Roman"/>
          <w:szCs w:val="21"/>
        </w:rPr>
        <w:t>本招标技术文件所使用的标准如遇与投标方所执行的标准不一致时，</w:t>
      </w:r>
      <w:r>
        <w:rPr>
          <w:rFonts w:eastAsia="宋体" w:cs="Times New Roman"/>
          <w:szCs w:val="21"/>
        </w:rPr>
        <w:t xml:space="preserve"> </w:t>
      </w:r>
      <w:r>
        <w:rPr>
          <w:rFonts w:hint="eastAsia" w:eastAsia="宋体" w:cs="Times New Roman"/>
          <w:szCs w:val="21"/>
        </w:rPr>
        <w:t>按较高标准执行。</w:t>
      </w:r>
    </w:p>
    <w:p>
      <w:pPr>
        <w:pStyle w:val="17"/>
        <w:adjustRightInd w:val="0"/>
        <w:snapToGrid w:val="0"/>
        <w:spacing w:line="360" w:lineRule="auto"/>
        <w:ind w:firstLine="0" w:firstLineChars="0"/>
        <w:rPr>
          <w:rFonts w:eastAsia="宋体" w:cs="Times New Roman"/>
          <w:szCs w:val="21"/>
        </w:rPr>
      </w:pPr>
      <w:r>
        <w:rPr>
          <w:rFonts w:eastAsia="宋体" w:cs="Times New Roman"/>
          <w:szCs w:val="21"/>
        </w:rPr>
        <w:t xml:space="preserve">1.5  </w:t>
      </w:r>
      <w:r>
        <w:rPr>
          <w:rFonts w:hint="eastAsia" w:eastAsia="宋体" w:cs="Times New Roman"/>
          <w:szCs w:val="21"/>
        </w:rPr>
        <w:t>本招标技术文件经招、投标双方确认后作为订货合同的技术附件，与合同正文具有同等的法律效力。</w:t>
      </w:r>
    </w:p>
    <w:p>
      <w:pPr>
        <w:pStyle w:val="17"/>
        <w:adjustRightInd w:val="0"/>
        <w:snapToGrid w:val="0"/>
        <w:spacing w:line="360" w:lineRule="auto"/>
        <w:ind w:firstLine="0" w:firstLineChars="0"/>
        <w:rPr>
          <w:rFonts w:hint="eastAsia" w:eastAsia="宋体" w:cs="Times New Roman"/>
          <w:szCs w:val="21"/>
        </w:rPr>
      </w:pPr>
      <w:r>
        <w:rPr>
          <w:rFonts w:eastAsia="宋体" w:cs="Times New Roman"/>
          <w:szCs w:val="21"/>
        </w:rPr>
        <w:t xml:space="preserve">1.6  </w:t>
      </w:r>
      <w:r>
        <w:rPr>
          <w:rFonts w:hint="eastAsia" w:eastAsia="宋体" w:cs="Times New Roman"/>
          <w:szCs w:val="21"/>
        </w:rPr>
        <w:t>本招标技术文件未尽事宜，由招、投标双方协商确定。</w:t>
      </w: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1.8  投标方应在应标技术部分按本招标技术文件的要求如实详细的填写应标设备的标准配置表，并在应标商务部分按此标准配置进行报价，如发现二者有矛盾之处，将对评标工作有不同程度的影响。</w:t>
      </w:r>
    </w:p>
    <w:p>
      <w:pPr>
        <w:pStyle w:val="17"/>
        <w:adjustRightInd w:val="0"/>
        <w:snapToGrid w:val="0"/>
        <w:spacing w:line="360" w:lineRule="auto"/>
        <w:ind w:firstLine="0" w:firstLineChars="0"/>
        <w:rPr>
          <w:rFonts w:eastAsia="宋体" w:cs="Times New Roman"/>
          <w:szCs w:val="21"/>
        </w:rPr>
      </w:pPr>
      <w:r>
        <w:rPr>
          <w:rFonts w:hint="eastAsia" w:eastAsia="宋体" w:cs="Times New Roman"/>
          <w:szCs w:val="21"/>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1.10  标注“★”的条款为关键条款，作为评标时打分的重点参考。</w:t>
      </w:r>
    </w:p>
    <w:p>
      <w:pPr>
        <w:pStyle w:val="2"/>
        <w:adjustRightInd w:val="0"/>
        <w:spacing w:before="0" w:beforeLines="0"/>
        <w:rPr>
          <w:rFonts w:hint="eastAsia" w:ascii="黑体" w:hAnsi="宋体" w:eastAsia="黑体"/>
          <w:b w:val="0"/>
        </w:rPr>
      </w:pPr>
      <w:bookmarkStart w:id="8" w:name="_Toc342897937"/>
      <w:r>
        <w:rPr>
          <w:rFonts w:hint="eastAsia" w:ascii="黑体" w:hAnsi="宋体" w:eastAsia="黑体"/>
          <w:b w:val="0"/>
        </w:rPr>
        <w:t>工作范围</w:t>
      </w:r>
      <w:bookmarkEnd w:id="8"/>
    </w:p>
    <w:p>
      <w:pPr>
        <w:adjustRightInd w:val="0"/>
        <w:snapToGrid w:val="0"/>
        <w:spacing w:line="360" w:lineRule="auto"/>
        <w:outlineLvl w:val="1"/>
        <w:rPr>
          <w:rFonts w:hint="eastAsia" w:ascii="黑体" w:eastAsia="黑体"/>
        </w:rPr>
      </w:pPr>
      <w:bookmarkStart w:id="9" w:name="_Toc342897938"/>
      <w:bookmarkStart w:id="10" w:name="_Toc290652071"/>
      <w:r>
        <w:rPr>
          <w:rFonts w:hint="eastAsia" w:ascii="黑体" w:eastAsia="黑体"/>
        </w:rPr>
        <w:t>2</w:t>
      </w:r>
      <w:r>
        <w:rPr>
          <w:rFonts w:ascii="黑体" w:eastAsia="黑体"/>
        </w:rPr>
        <w:t>.1</w:t>
      </w:r>
      <w:r>
        <w:rPr>
          <w:rFonts w:hint="eastAsia" w:ascii="黑体" w:eastAsia="黑体"/>
        </w:rPr>
        <w:t xml:space="preserve"> 工程概况</w:t>
      </w:r>
      <w:bookmarkEnd w:id="9"/>
      <w:bookmarkEnd w:id="10"/>
    </w:p>
    <w:p>
      <w:pPr>
        <w:pStyle w:val="17"/>
        <w:adjustRightInd w:val="0"/>
        <w:snapToGrid w:val="0"/>
        <w:spacing w:line="360" w:lineRule="auto"/>
        <w:rPr>
          <w:rFonts w:hint="eastAsia" w:eastAsia="宋体" w:cs="Times New Roman"/>
          <w:szCs w:val="21"/>
        </w:rPr>
      </w:pPr>
      <w:r>
        <w:rPr>
          <w:rFonts w:hint="eastAsia" w:eastAsia="宋体" w:cs="Times New Roman"/>
          <w:szCs w:val="21"/>
        </w:rPr>
        <w:t>本标书采购的设备适用的工程概况见表2.1：工程概况一览表。</w:t>
      </w:r>
    </w:p>
    <w:p>
      <w:pPr>
        <w:pStyle w:val="16"/>
        <w:ind w:firstLine="0" w:firstLineChars="0"/>
        <w:jc w:val="center"/>
        <w:rPr>
          <w:rFonts w:hint="eastAsia"/>
          <w:szCs w:val="21"/>
        </w:rPr>
      </w:pPr>
      <w:r>
        <w:rPr>
          <w:rFonts w:hint="eastAsia" w:hAnsi="宋体"/>
          <w:szCs w:val="21"/>
        </w:rPr>
        <w:t xml:space="preserve">表2.1 </w:t>
      </w:r>
      <w:r>
        <w:rPr>
          <w:rFonts w:hAnsi="宋体"/>
          <w:szCs w:val="21"/>
        </w:rPr>
        <w:t xml:space="preserve"> </w:t>
      </w:r>
      <w:r>
        <w:rPr>
          <w:rFonts w:hint="eastAsia" w:hAnsi="宋体"/>
          <w:szCs w:val="21"/>
        </w:rPr>
        <w:t>工程概况一览表 （项目单位填写）</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6"/>
        <w:gridCol w:w="2631"/>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26" w:type="dxa"/>
            <w:noWrap w:val="0"/>
            <w:vAlign w:val="center"/>
          </w:tcPr>
          <w:p>
            <w:pPr>
              <w:jc w:val="center"/>
              <w:rPr>
                <w:rFonts w:hint="eastAsia"/>
              </w:rPr>
            </w:pPr>
            <w:r>
              <w:rPr>
                <w:rFonts w:hint="eastAsia"/>
              </w:rPr>
              <w:t>序号</w:t>
            </w:r>
          </w:p>
        </w:tc>
        <w:tc>
          <w:tcPr>
            <w:tcW w:w="2631" w:type="dxa"/>
            <w:noWrap w:val="0"/>
            <w:vAlign w:val="center"/>
          </w:tcPr>
          <w:p>
            <w:pPr>
              <w:jc w:val="center"/>
              <w:rPr>
                <w:rFonts w:hint="eastAsia"/>
              </w:rPr>
            </w:pPr>
            <w:r>
              <w:rPr>
                <w:rFonts w:hint="eastAsia"/>
              </w:rPr>
              <w:t>名 称</w:t>
            </w:r>
          </w:p>
        </w:tc>
        <w:tc>
          <w:tcPr>
            <w:tcW w:w="5111" w:type="dxa"/>
            <w:noWrap w:val="0"/>
            <w:vAlign w:val="center"/>
          </w:tcPr>
          <w:p>
            <w:pPr>
              <w:jc w:val="center"/>
              <w:rPr>
                <w:rFonts w:hint="eastAsia"/>
              </w:rPr>
            </w:pPr>
            <w:r>
              <w:rPr>
                <w:rFonts w:hint="eastAsia"/>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626" w:type="dxa"/>
            <w:noWrap w:val="0"/>
            <w:vAlign w:val="center"/>
          </w:tcPr>
          <w:p>
            <w:pPr>
              <w:jc w:val="center"/>
              <w:rPr>
                <w:rFonts w:hint="eastAsia"/>
              </w:rPr>
            </w:pPr>
            <w:r>
              <w:rPr>
                <w:rFonts w:hint="eastAsia"/>
              </w:rPr>
              <w:t>1</w:t>
            </w:r>
          </w:p>
        </w:tc>
        <w:tc>
          <w:tcPr>
            <w:tcW w:w="2631" w:type="dxa"/>
            <w:noWrap w:val="0"/>
            <w:vAlign w:val="center"/>
          </w:tcPr>
          <w:p>
            <w:pPr>
              <w:rPr>
                <w:rFonts w:hint="eastAsia"/>
              </w:rPr>
            </w:pPr>
            <w:r>
              <w:rPr>
                <w:rFonts w:hint="eastAsia"/>
              </w:rPr>
              <w:t>工程名称</w:t>
            </w:r>
          </w:p>
        </w:tc>
        <w:tc>
          <w:tcPr>
            <w:tcW w:w="5111" w:type="dxa"/>
            <w:noWrap w:val="0"/>
            <w:vAlign w:val="center"/>
          </w:tcPr>
          <w:p>
            <w:pPr>
              <w:rPr>
                <w:rFonts w:hint="default" w:eastAsia="宋体"/>
                <w:lang w:val="en-US" w:eastAsia="zh-CN"/>
              </w:rPr>
            </w:pPr>
            <w:r>
              <w:rPr>
                <w:rFonts w:hint="default" w:eastAsia="宋体"/>
                <w:lang w:val="en-US" w:eastAsia="zh-CN"/>
              </w:rPr>
              <w:t>202</w:t>
            </w:r>
            <w:r>
              <w:rPr>
                <w:rFonts w:hint="eastAsia" w:eastAsia="宋体"/>
                <w:lang w:val="en-US" w:eastAsia="zh-CN"/>
              </w:rPr>
              <w:t>6</w:t>
            </w:r>
            <w:r>
              <w:rPr>
                <w:rFonts w:hint="default" w:eastAsia="宋体"/>
                <w:lang w:val="en-US" w:eastAsia="zh-CN"/>
              </w:rPr>
              <w:t>年</w:t>
            </w:r>
            <w:r>
              <w:rPr>
                <w:rFonts w:hint="eastAsia" w:eastAsia="宋体"/>
                <w:lang w:val="en-US" w:eastAsia="zh-CN"/>
              </w:rPr>
              <w:t>钟山</w:t>
            </w:r>
            <w:r>
              <w:rPr>
                <w:rFonts w:hint="default" w:eastAsia="宋体"/>
                <w:lang w:val="en-US" w:eastAsia="zh-CN"/>
              </w:rPr>
              <w:t>供电公司生产材料费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626" w:type="dxa"/>
            <w:noWrap w:val="0"/>
            <w:vAlign w:val="center"/>
          </w:tcPr>
          <w:p>
            <w:pPr>
              <w:jc w:val="center"/>
              <w:rPr>
                <w:rFonts w:hint="eastAsia"/>
              </w:rPr>
            </w:pPr>
            <w:r>
              <w:rPr>
                <w:rFonts w:hint="eastAsia"/>
              </w:rPr>
              <w:t>2</w:t>
            </w:r>
          </w:p>
        </w:tc>
        <w:tc>
          <w:tcPr>
            <w:tcW w:w="2631" w:type="dxa"/>
            <w:noWrap w:val="0"/>
            <w:vAlign w:val="center"/>
          </w:tcPr>
          <w:p>
            <w:pPr>
              <w:rPr>
                <w:rFonts w:hint="eastAsia"/>
              </w:rPr>
            </w:pPr>
            <w:r>
              <w:rPr>
                <w:rFonts w:hint="eastAsia"/>
              </w:rPr>
              <w:t>工程建设单位</w:t>
            </w:r>
          </w:p>
        </w:tc>
        <w:tc>
          <w:tcPr>
            <w:tcW w:w="5111" w:type="dxa"/>
            <w:noWrap w:val="0"/>
            <w:vAlign w:val="center"/>
          </w:tcPr>
          <w:p>
            <w:pPr>
              <w:rPr>
                <w:rFonts w:hint="default" w:eastAsia="宋体"/>
                <w:lang w:val="en-US" w:eastAsia="zh-CN"/>
              </w:rPr>
            </w:pPr>
            <w:r>
              <w:rPr>
                <w:rFonts w:hint="eastAsia" w:eastAsia="宋体"/>
                <w:lang w:val="en-US" w:eastAsia="zh-CN"/>
              </w:rPr>
              <w:t>广西新电力投资集团钟山供电有限公司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626" w:type="dxa"/>
            <w:noWrap w:val="0"/>
            <w:vAlign w:val="center"/>
          </w:tcPr>
          <w:p>
            <w:pPr>
              <w:jc w:val="center"/>
              <w:rPr>
                <w:rFonts w:hint="eastAsia"/>
              </w:rPr>
            </w:pPr>
            <w:r>
              <w:rPr>
                <w:rFonts w:hint="eastAsia"/>
              </w:rPr>
              <w:t>3</w:t>
            </w:r>
          </w:p>
        </w:tc>
        <w:tc>
          <w:tcPr>
            <w:tcW w:w="2631" w:type="dxa"/>
            <w:noWrap w:val="0"/>
            <w:vAlign w:val="center"/>
          </w:tcPr>
          <w:p>
            <w:pPr>
              <w:rPr>
                <w:rFonts w:hint="eastAsia"/>
              </w:rPr>
            </w:pPr>
            <w:r>
              <w:rPr>
                <w:rFonts w:hint="eastAsia"/>
              </w:rPr>
              <w:t>工程地址</w:t>
            </w:r>
          </w:p>
        </w:tc>
        <w:tc>
          <w:tcPr>
            <w:tcW w:w="5111" w:type="dxa"/>
            <w:noWrap w:val="0"/>
            <w:vAlign w:val="center"/>
          </w:tcPr>
          <w:p>
            <w:pPr>
              <w:rPr>
                <w:rFonts w:hint="default" w:eastAsia="宋体"/>
                <w:lang w:val="en-US" w:eastAsia="zh-CN"/>
              </w:rPr>
            </w:pPr>
            <w:r>
              <w:rPr>
                <w:rFonts w:hint="eastAsia" w:eastAsia="宋体"/>
                <w:lang w:val="en-US" w:eastAsia="zh-CN"/>
              </w:rPr>
              <w:t>35kV同古站</w:t>
            </w:r>
          </w:p>
        </w:tc>
      </w:tr>
    </w:tbl>
    <w:p>
      <w:pPr>
        <w:pStyle w:val="17"/>
        <w:adjustRightInd w:val="0"/>
        <w:snapToGrid w:val="0"/>
        <w:spacing w:line="360" w:lineRule="auto"/>
        <w:ind w:firstLine="0" w:firstLineChars="0"/>
        <w:rPr>
          <w:rFonts w:hint="eastAsia" w:eastAsia="宋体" w:cs="Times New Roman"/>
          <w:szCs w:val="21"/>
        </w:rPr>
      </w:pPr>
      <w:bookmarkStart w:id="11" w:name="_Toc290652072"/>
    </w:p>
    <w:p>
      <w:pPr>
        <w:adjustRightInd w:val="0"/>
        <w:snapToGrid w:val="0"/>
        <w:spacing w:line="360" w:lineRule="auto"/>
        <w:outlineLvl w:val="1"/>
        <w:rPr>
          <w:rFonts w:ascii="黑体" w:eastAsia="黑体"/>
        </w:rPr>
      </w:pPr>
      <w:bookmarkStart w:id="12" w:name="_Toc342897939"/>
      <w:r>
        <w:rPr>
          <w:rFonts w:ascii="黑体" w:eastAsia="黑体"/>
        </w:rPr>
        <w:t>2.</w:t>
      </w:r>
      <w:r>
        <w:rPr>
          <w:rFonts w:hint="eastAsia" w:ascii="黑体" w:eastAsia="黑体"/>
        </w:rPr>
        <w:t>2</w:t>
      </w:r>
      <w:r>
        <w:rPr>
          <w:rFonts w:ascii="黑体" w:eastAsia="黑体"/>
        </w:rPr>
        <w:t xml:space="preserve">  范围和界限</w:t>
      </w:r>
      <w:bookmarkEnd w:id="11"/>
      <w:bookmarkEnd w:id="12"/>
    </w:p>
    <w:p>
      <w:pPr>
        <w:pStyle w:val="17"/>
        <w:adjustRightInd w:val="0"/>
        <w:snapToGrid w:val="0"/>
        <w:spacing w:line="360" w:lineRule="auto"/>
        <w:ind w:firstLine="0" w:firstLineChars="0"/>
        <w:rPr>
          <w:rFonts w:eastAsia="宋体" w:cs="Times New Roman"/>
          <w:szCs w:val="21"/>
        </w:rPr>
      </w:pPr>
      <w:r>
        <w:rPr>
          <w:rFonts w:eastAsia="宋体" w:cs="Times New Roman"/>
          <w:szCs w:val="21"/>
        </w:rPr>
        <w:t>(1) 本标书适应于</w:t>
      </w:r>
      <w:r>
        <w:rPr>
          <w:rFonts w:hint="eastAsia" w:eastAsia="宋体" w:cs="Times New Roman"/>
          <w:szCs w:val="21"/>
        </w:rPr>
        <w:t>所供10kV 干式电压互感器</w:t>
      </w:r>
      <w:r>
        <w:rPr>
          <w:rFonts w:eastAsia="宋体" w:cs="Times New Roman"/>
          <w:szCs w:val="21"/>
        </w:rPr>
        <w:t>及其附属设备的设计</w:t>
      </w:r>
      <w:r>
        <w:rPr>
          <w:rFonts w:hint="eastAsia" w:eastAsia="宋体" w:cs="Times New Roman"/>
          <w:szCs w:val="21"/>
        </w:rPr>
        <w:t>、</w:t>
      </w:r>
      <w:r>
        <w:rPr>
          <w:rFonts w:eastAsia="宋体" w:cs="Times New Roman"/>
          <w:szCs w:val="21"/>
        </w:rPr>
        <w:t>制造</w:t>
      </w:r>
      <w:r>
        <w:rPr>
          <w:rFonts w:hint="eastAsia" w:eastAsia="宋体" w:cs="Times New Roman"/>
          <w:szCs w:val="21"/>
        </w:rPr>
        <w:t>、</w:t>
      </w:r>
      <w:r>
        <w:rPr>
          <w:rFonts w:eastAsia="宋体" w:cs="Times New Roman"/>
          <w:szCs w:val="21"/>
        </w:rPr>
        <w:t>装配</w:t>
      </w:r>
      <w:r>
        <w:rPr>
          <w:rFonts w:hint="eastAsia" w:eastAsia="宋体" w:cs="Times New Roman"/>
          <w:szCs w:val="21"/>
        </w:rPr>
        <w:t>、</w:t>
      </w:r>
      <w:r>
        <w:rPr>
          <w:rFonts w:eastAsia="宋体" w:cs="Times New Roman"/>
          <w:szCs w:val="21"/>
        </w:rPr>
        <w:t>工厂试验</w:t>
      </w:r>
      <w:r>
        <w:rPr>
          <w:rFonts w:hint="eastAsia" w:eastAsia="宋体" w:cs="Times New Roman"/>
          <w:szCs w:val="21"/>
        </w:rPr>
        <w:t>、</w:t>
      </w:r>
      <w:r>
        <w:rPr>
          <w:rFonts w:eastAsia="宋体" w:cs="Times New Roman"/>
          <w:szCs w:val="21"/>
        </w:rPr>
        <w:t>交付</w:t>
      </w:r>
      <w:r>
        <w:rPr>
          <w:rFonts w:hint="eastAsia" w:eastAsia="宋体" w:cs="Times New Roman"/>
          <w:szCs w:val="21"/>
        </w:rPr>
        <w:t>、</w:t>
      </w:r>
      <w:r>
        <w:rPr>
          <w:rFonts w:eastAsia="宋体" w:cs="Times New Roman"/>
          <w:szCs w:val="21"/>
        </w:rPr>
        <w:t>现场安装和试验的指导、监督以及试运行工作。</w:t>
      </w:r>
    </w:p>
    <w:p>
      <w:pPr>
        <w:pStyle w:val="17"/>
        <w:adjustRightInd w:val="0"/>
        <w:snapToGrid w:val="0"/>
        <w:spacing w:line="360" w:lineRule="auto"/>
        <w:ind w:firstLine="0" w:firstLineChars="0"/>
        <w:rPr>
          <w:rFonts w:eastAsia="宋体" w:cs="Times New Roman"/>
          <w:szCs w:val="21"/>
        </w:rPr>
      </w:pPr>
      <w:r>
        <w:rPr>
          <w:rFonts w:eastAsia="宋体" w:cs="Times New Roman"/>
          <w:szCs w:val="21"/>
        </w:rPr>
        <w:t>(2) 运输</w:t>
      </w:r>
    </w:p>
    <w:p>
      <w:pPr>
        <w:pStyle w:val="17"/>
        <w:adjustRightInd w:val="0"/>
        <w:snapToGrid w:val="0"/>
        <w:spacing w:line="360" w:lineRule="auto"/>
        <w:ind w:firstLine="0" w:firstLineChars="0"/>
        <w:rPr>
          <w:rFonts w:eastAsia="宋体" w:cs="Times New Roman"/>
          <w:szCs w:val="21"/>
        </w:rPr>
      </w:pPr>
      <w:r>
        <w:rPr>
          <w:rFonts w:eastAsia="宋体" w:cs="Times New Roman"/>
          <w:szCs w:val="21"/>
        </w:rPr>
        <w:t xml:space="preserve">   </w:t>
      </w:r>
      <w:r>
        <w:rPr>
          <w:rFonts w:hint="eastAsia" w:eastAsia="宋体" w:cs="Times New Roman"/>
          <w:szCs w:val="21"/>
        </w:rPr>
        <w:t xml:space="preserve"> 运输条件：</w:t>
      </w:r>
      <w:r>
        <w:rPr>
          <w:rFonts w:hint="eastAsia" w:eastAsia="宋体" w:cs="Times New Roman"/>
          <w:szCs w:val="21"/>
          <w:lang w:eastAsia="zh-CN"/>
        </w:rPr>
        <w:t>需方收到货时检查及试验结果合格为准。</w:t>
      </w:r>
      <w:r>
        <w:rPr>
          <w:rFonts w:hint="eastAsia" w:eastAsia="宋体" w:cs="Times New Roman"/>
          <w:szCs w:val="21"/>
        </w:rPr>
        <w:t>（项目单位填写）</w:t>
      </w:r>
    </w:p>
    <w:p>
      <w:pPr>
        <w:pStyle w:val="17"/>
        <w:adjustRightInd w:val="0"/>
        <w:snapToGrid w:val="0"/>
        <w:spacing w:line="360" w:lineRule="auto"/>
        <w:ind w:firstLine="0" w:firstLineChars="0"/>
        <w:rPr>
          <w:rFonts w:hint="eastAsia" w:eastAsia="宋体" w:cs="Times New Roman"/>
          <w:szCs w:val="21"/>
        </w:rPr>
      </w:pPr>
      <w:r>
        <w:rPr>
          <w:rFonts w:eastAsia="宋体" w:cs="Times New Roman"/>
          <w:szCs w:val="21"/>
        </w:rPr>
        <w:t>(3)  现场安装和试验在投标方的技术指导和监督下由招标方完成。</w:t>
      </w: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(4）</w:t>
      </w:r>
      <w:r>
        <w:rPr>
          <w:rFonts w:eastAsia="宋体" w:cs="Times New Roman"/>
          <w:szCs w:val="21"/>
        </w:rPr>
        <w:t>本标书未说明</w:t>
      </w:r>
      <w:r>
        <w:rPr>
          <w:rFonts w:hint="eastAsia" w:eastAsia="宋体" w:cs="Times New Roman"/>
          <w:szCs w:val="21"/>
        </w:rPr>
        <w:t>，</w:t>
      </w:r>
      <w:r>
        <w:rPr>
          <w:rFonts w:eastAsia="宋体" w:cs="Times New Roman"/>
          <w:szCs w:val="21"/>
        </w:rPr>
        <w:t>但又与设计、制造、装配、试验、运输、包装、保管、安装和运行维护有关的技术要求</w:t>
      </w:r>
      <w:r>
        <w:rPr>
          <w:rFonts w:hint="eastAsia" w:eastAsia="宋体" w:cs="Times New Roman"/>
          <w:szCs w:val="21"/>
        </w:rPr>
        <w:t>，</w:t>
      </w:r>
      <w:r>
        <w:rPr>
          <w:rFonts w:eastAsia="宋体" w:cs="Times New Roman"/>
          <w:szCs w:val="21"/>
        </w:rPr>
        <w:t>按条款3所规定的有关标准执行。</w:t>
      </w:r>
    </w:p>
    <w:p>
      <w:pPr>
        <w:adjustRightInd w:val="0"/>
        <w:snapToGrid w:val="0"/>
        <w:spacing w:line="360" w:lineRule="auto"/>
        <w:outlineLvl w:val="1"/>
        <w:rPr>
          <w:rFonts w:ascii="黑体" w:eastAsia="黑体"/>
        </w:rPr>
      </w:pPr>
      <w:bookmarkStart w:id="13" w:name="_Toc290652073"/>
      <w:bookmarkStart w:id="14" w:name="_Toc342897940"/>
      <w:r>
        <w:rPr>
          <w:rFonts w:ascii="黑体" w:eastAsia="黑体"/>
        </w:rPr>
        <w:t>2.</w:t>
      </w:r>
      <w:r>
        <w:rPr>
          <w:rFonts w:hint="eastAsia" w:ascii="黑体" w:eastAsia="黑体"/>
        </w:rPr>
        <w:t>3</w:t>
      </w:r>
      <w:r>
        <w:rPr>
          <w:rFonts w:ascii="黑体" w:eastAsia="黑体"/>
        </w:rPr>
        <w:t xml:space="preserve">  服务范围</w:t>
      </w:r>
      <w:bookmarkEnd w:id="13"/>
      <w:bookmarkEnd w:id="14"/>
    </w:p>
    <w:p>
      <w:pPr>
        <w:pStyle w:val="17"/>
        <w:adjustRightInd w:val="0"/>
        <w:snapToGrid w:val="0"/>
        <w:spacing w:line="360" w:lineRule="auto"/>
        <w:ind w:firstLine="0" w:firstLineChars="0"/>
        <w:rPr>
          <w:rFonts w:eastAsia="宋体" w:cs="Times New Roman"/>
          <w:szCs w:val="21"/>
        </w:rPr>
      </w:pPr>
      <w:r>
        <w:rPr>
          <w:rFonts w:eastAsia="宋体" w:cs="Times New Roman"/>
          <w:szCs w:val="21"/>
        </w:rPr>
        <w:t>(1)  投标方应按本标书的要求提供</w:t>
      </w:r>
      <w:r>
        <w:rPr>
          <w:rFonts w:hint="eastAsia" w:eastAsia="宋体" w:cs="Times New Roman"/>
          <w:szCs w:val="21"/>
          <w:u w:val="single"/>
        </w:rPr>
        <w:t xml:space="preserve">  </w:t>
      </w:r>
      <w:r>
        <w:rPr>
          <w:rFonts w:hint="eastAsia" w:eastAsia="宋体" w:cs="Times New Roman"/>
          <w:color w:val="auto"/>
          <w:szCs w:val="21"/>
          <w:u w:val="single"/>
          <w:lang w:val="en-US" w:eastAsia="zh-CN"/>
        </w:rPr>
        <w:t>1</w:t>
      </w:r>
      <w:r>
        <w:rPr>
          <w:rFonts w:hint="eastAsia" w:eastAsia="宋体" w:cs="Times New Roman"/>
          <w:szCs w:val="21"/>
          <w:u w:val="single"/>
        </w:rPr>
        <w:t xml:space="preserve">  </w:t>
      </w:r>
      <w:r>
        <w:rPr>
          <w:rFonts w:hint="eastAsia" w:eastAsia="宋体" w:cs="Times New Roman"/>
          <w:szCs w:val="21"/>
        </w:rPr>
        <w:t>（项目单位填写）台</w:t>
      </w:r>
      <w:r>
        <w:rPr>
          <w:rFonts w:eastAsia="宋体" w:cs="Times New Roman"/>
          <w:szCs w:val="21"/>
        </w:rPr>
        <w:t>全新的、合格的</w:t>
      </w:r>
      <w:r>
        <w:rPr>
          <w:rFonts w:hint="eastAsia" w:eastAsia="宋体" w:cs="Times New Roman"/>
          <w:szCs w:val="21"/>
        </w:rPr>
        <w:t>10kV 干式电压互感器</w:t>
      </w:r>
      <w:r>
        <w:rPr>
          <w:rFonts w:eastAsia="宋体" w:cs="Times New Roman"/>
          <w:szCs w:val="21"/>
        </w:rPr>
        <w:t>及其附属设备、备品备件、专用工具和仪器。</w:t>
      </w:r>
    </w:p>
    <w:p>
      <w:pPr>
        <w:pStyle w:val="17"/>
        <w:adjustRightInd w:val="0"/>
        <w:snapToGrid w:val="0"/>
        <w:spacing w:line="360" w:lineRule="auto"/>
        <w:rPr>
          <w:rFonts w:hint="eastAsia" w:eastAsia="宋体" w:cs="Times New Roman"/>
          <w:szCs w:val="21"/>
        </w:rPr>
      </w:pPr>
      <w:r>
        <w:rPr>
          <w:rFonts w:eastAsia="宋体" w:cs="Times New Roman"/>
          <w:szCs w:val="21"/>
        </w:rPr>
        <w:t>投标方所提供的组件或附件如需向第三方外购时</w:t>
      </w:r>
      <w:r>
        <w:rPr>
          <w:rFonts w:hint="eastAsia" w:eastAsia="宋体" w:cs="Times New Roman"/>
          <w:szCs w:val="21"/>
        </w:rPr>
        <w:t>，投标方</w:t>
      </w:r>
      <w:r>
        <w:rPr>
          <w:rFonts w:eastAsia="宋体" w:cs="Times New Roman"/>
          <w:szCs w:val="21"/>
        </w:rPr>
        <w:t>应对质量向招标方负责</w:t>
      </w:r>
      <w:r>
        <w:rPr>
          <w:rFonts w:hint="eastAsia" w:eastAsia="宋体" w:cs="Times New Roman"/>
          <w:szCs w:val="21"/>
        </w:rPr>
        <w:t>，</w:t>
      </w:r>
      <w:r>
        <w:rPr>
          <w:rFonts w:eastAsia="宋体" w:cs="Times New Roman"/>
          <w:szCs w:val="21"/>
        </w:rPr>
        <w:t>并提供相应出厂和验收证明。</w:t>
      </w: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（2）供货范围</w:t>
      </w:r>
      <w:bookmarkStart w:id="15" w:name="_Toc282433715"/>
      <w:bookmarkStart w:id="16" w:name="_Toc283142589"/>
      <w:bookmarkStart w:id="17" w:name="_Toc283011667"/>
      <w:r>
        <w:rPr>
          <w:rFonts w:hint="eastAsia" w:eastAsia="宋体" w:cs="Times New Roman"/>
          <w:szCs w:val="21"/>
        </w:rPr>
        <w:t>一览表</w:t>
      </w:r>
      <w:bookmarkEnd w:id="15"/>
      <w:bookmarkEnd w:id="16"/>
      <w:bookmarkEnd w:id="17"/>
    </w:p>
    <w:p>
      <w:pPr>
        <w:pStyle w:val="17"/>
        <w:adjustRightInd w:val="0"/>
        <w:snapToGrid w:val="0"/>
        <w:spacing w:line="360" w:lineRule="auto"/>
        <w:rPr>
          <w:rFonts w:hint="eastAsia" w:eastAsia="宋体" w:cs="Times New Roman"/>
          <w:szCs w:val="21"/>
        </w:rPr>
      </w:pPr>
      <w:r>
        <w:rPr>
          <w:rFonts w:eastAsia="宋体" w:cs="Times New Roman"/>
          <w:szCs w:val="21"/>
        </w:rPr>
        <w:t>投标方</w:t>
      </w:r>
      <w:r>
        <w:rPr>
          <w:rFonts w:hint="eastAsia" w:eastAsia="宋体" w:cs="Times New Roman"/>
          <w:szCs w:val="21"/>
        </w:rPr>
        <w:t>提供的10kV 干式电压互感器的具体规格、数量见表2.2：供货范围及设备技术规格一览表。投标方应如实填写“投标方保证”栏。</w:t>
      </w:r>
    </w:p>
    <w:p>
      <w:pPr>
        <w:spacing w:line="360" w:lineRule="auto"/>
        <w:jc w:val="center"/>
        <w:rPr>
          <w:rFonts w:hint="eastAsia" w:ascii="宋体" w:hAnsi="宋体"/>
          <w:sz w:val="18"/>
          <w:szCs w:val="18"/>
        </w:rPr>
      </w:pPr>
      <w:r>
        <w:rPr>
          <w:rFonts w:hint="eastAsia" w:hAnsi="宋体"/>
          <w:szCs w:val="21"/>
        </w:rPr>
        <w:t xml:space="preserve">表2.2 </w:t>
      </w:r>
      <w:r>
        <w:rPr>
          <w:rFonts w:hint="eastAsia" w:ascii="宋体" w:hAnsi="宋体"/>
        </w:rPr>
        <w:t>供货范围及设备技术规格一览表</w:t>
      </w:r>
    </w:p>
    <w:tbl>
      <w:tblPr>
        <w:tblStyle w:val="11"/>
        <w:tblW w:w="8804" w:type="dxa"/>
        <w:tblInd w:w="93" w:type="dxa"/>
        <w:tblLayout w:type="fixed"/>
        <w:tblCellMar>
          <w:top w:w="0" w:type="dxa"/>
          <w:left w:w="108" w:type="dxa"/>
          <w:bottom w:w="0" w:type="dxa"/>
          <w:right w:w="108" w:type="dxa"/>
        </w:tblCellMar>
      </w:tblPr>
      <w:tblGrid>
        <w:gridCol w:w="645"/>
        <w:gridCol w:w="1233"/>
        <w:gridCol w:w="2880"/>
        <w:gridCol w:w="720"/>
        <w:gridCol w:w="774"/>
        <w:gridCol w:w="850"/>
        <w:gridCol w:w="851"/>
        <w:gridCol w:w="851"/>
      </w:tblGrid>
      <w:tr>
        <w:tblPrEx>
          <w:tblCellMar>
            <w:top w:w="0" w:type="dxa"/>
            <w:left w:w="108" w:type="dxa"/>
            <w:bottom w:w="0" w:type="dxa"/>
            <w:right w:w="108" w:type="dxa"/>
          </w:tblCellMar>
        </w:tblPrEx>
        <w:trPr>
          <w:trHeight w:val="285" w:hRule="atLeast"/>
        </w:trPr>
        <w:tc>
          <w:tcPr>
            <w:tcW w:w="645" w:type="dxa"/>
            <w:vMerge w:val="restart"/>
            <w:tcBorders>
              <w:top w:val="single" w:color="auto" w:sz="4" w:space="0"/>
              <w:left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cs="宋体"/>
                <w:kern w:val="0"/>
                <w:szCs w:val="21"/>
              </w:rPr>
              <w:t>序号</w:t>
            </w:r>
          </w:p>
        </w:tc>
        <w:tc>
          <w:tcPr>
            <w:tcW w:w="1233"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Cs w:val="21"/>
              </w:rPr>
            </w:pPr>
            <w:bookmarkStart w:id="18" w:name="RANGE!D4"/>
            <w:r>
              <w:rPr>
                <w:rFonts w:hint="eastAsia" w:ascii="宋体" w:hAnsi="宋体" w:cs="宋体"/>
                <w:kern w:val="0"/>
                <w:szCs w:val="21"/>
              </w:rPr>
              <w:t>设备名称</w:t>
            </w:r>
            <w:bookmarkEnd w:id="18"/>
          </w:p>
        </w:tc>
        <w:tc>
          <w:tcPr>
            <w:tcW w:w="4374" w:type="dxa"/>
            <w:gridSpan w:val="3"/>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rPr>
              <w:t>买方要求</w:t>
            </w:r>
          </w:p>
        </w:tc>
        <w:tc>
          <w:tcPr>
            <w:tcW w:w="2552" w:type="dxa"/>
            <w:gridSpan w:val="3"/>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rPr>
              <w:t>卖方保证</w:t>
            </w:r>
          </w:p>
        </w:tc>
      </w:tr>
      <w:tr>
        <w:tblPrEx>
          <w:tblCellMar>
            <w:top w:w="0" w:type="dxa"/>
            <w:left w:w="108" w:type="dxa"/>
            <w:bottom w:w="0" w:type="dxa"/>
            <w:right w:w="108" w:type="dxa"/>
          </w:tblCellMar>
        </w:tblPrEx>
        <w:trPr>
          <w:trHeight w:val="510" w:hRule="atLeast"/>
        </w:trPr>
        <w:tc>
          <w:tcPr>
            <w:tcW w:w="645" w:type="dxa"/>
            <w:vMerge w:val="continue"/>
            <w:tcBorders>
              <w:left w:val="single" w:color="auto" w:sz="4" w:space="0"/>
              <w:bottom w:val="single" w:color="auto" w:sz="4" w:space="0"/>
              <w:right w:val="single" w:color="auto" w:sz="4" w:space="0"/>
            </w:tcBorders>
            <w:noWrap w:val="0"/>
            <w:vAlign w:val="top"/>
          </w:tcPr>
          <w:p>
            <w:pPr>
              <w:widowControl/>
              <w:jc w:val="left"/>
              <w:rPr>
                <w:rFonts w:hint="eastAsia" w:ascii="宋体" w:hAnsi="宋体" w:cs="宋体"/>
                <w:kern w:val="0"/>
                <w:szCs w:val="21"/>
              </w:rPr>
            </w:pPr>
          </w:p>
        </w:tc>
        <w:tc>
          <w:tcPr>
            <w:tcW w:w="123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kern w:val="0"/>
                <w:szCs w:val="21"/>
              </w:rPr>
            </w:pPr>
          </w:p>
        </w:tc>
        <w:tc>
          <w:tcPr>
            <w:tcW w:w="2880" w:type="dxa"/>
            <w:tcBorders>
              <w:top w:val="nil"/>
              <w:left w:val="nil"/>
              <w:bottom w:val="single" w:color="auto" w:sz="4" w:space="0"/>
              <w:right w:val="single" w:color="auto" w:sz="4" w:space="0"/>
            </w:tcBorders>
            <w:noWrap w:val="0"/>
            <w:vAlign w:val="center"/>
          </w:tcPr>
          <w:p>
            <w:pPr>
              <w:jc w:val="center"/>
              <w:rPr>
                <w:rFonts w:ascii="宋体" w:hAnsi="宋体"/>
              </w:rPr>
            </w:pPr>
            <w:r>
              <w:rPr>
                <w:rFonts w:hint="eastAsia" w:ascii="宋体" w:hAnsi="宋体"/>
              </w:rPr>
              <w:t>型式、规格</w:t>
            </w:r>
          </w:p>
          <w:p>
            <w:pPr>
              <w:widowControl/>
              <w:jc w:val="center"/>
              <w:rPr>
                <w:rFonts w:hint="eastAsia" w:ascii="宋体" w:hAnsi="宋体" w:cs="宋体"/>
                <w:kern w:val="0"/>
                <w:szCs w:val="21"/>
              </w:rPr>
            </w:pPr>
          </w:p>
        </w:tc>
        <w:tc>
          <w:tcPr>
            <w:tcW w:w="720"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cs="宋体"/>
                <w:kern w:val="0"/>
                <w:szCs w:val="21"/>
              </w:rPr>
              <w:t>单位</w:t>
            </w:r>
          </w:p>
        </w:tc>
        <w:tc>
          <w:tcPr>
            <w:tcW w:w="774"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cs="宋体"/>
                <w:kern w:val="0"/>
                <w:szCs w:val="21"/>
              </w:rPr>
              <w:t>数量</w:t>
            </w:r>
          </w:p>
        </w:tc>
        <w:tc>
          <w:tcPr>
            <w:tcW w:w="850" w:type="dxa"/>
            <w:tcBorders>
              <w:top w:val="nil"/>
              <w:left w:val="nil"/>
              <w:bottom w:val="single" w:color="auto" w:sz="4" w:space="0"/>
              <w:right w:val="single" w:color="auto" w:sz="4" w:space="0"/>
            </w:tcBorders>
            <w:noWrap w:val="0"/>
            <w:vAlign w:val="center"/>
          </w:tcPr>
          <w:p>
            <w:pPr>
              <w:jc w:val="center"/>
              <w:rPr>
                <w:rFonts w:hint="eastAsia" w:ascii="宋体" w:hAnsi="宋体"/>
              </w:rPr>
            </w:pPr>
            <w:r>
              <w:rPr>
                <w:rFonts w:hint="eastAsia" w:ascii="宋体" w:hAnsi="宋体"/>
              </w:rPr>
              <w:t>型式</w:t>
            </w:r>
          </w:p>
          <w:p>
            <w:pPr>
              <w:jc w:val="center"/>
              <w:rPr>
                <w:rFonts w:hint="eastAsia" w:ascii="宋体" w:hAnsi="宋体" w:cs="宋体"/>
                <w:kern w:val="0"/>
                <w:szCs w:val="21"/>
              </w:rPr>
            </w:pPr>
            <w:r>
              <w:rPr>
                <w:rFonts w:hint="eastAsia" w:ascii="宋体" w:hAnsi="宋体"/>
              </w:rPr>
              <w:t>规格</w:t>
            </w:r>
          </w:p>
        </w:tc>
        <w:tc>
          <w:tcPr>
            <w:tcW w:w="851"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cs="宋体"/>
                <w:kern w:val="0"/>
                <w:szCs w:val="21"/>
              </w:rPr>
              <w:t>单位</w:t>
            </w:r>
          </w:p>
        </w:tc>
        <w:tc>
          <w:tcPr>
            <w:tcW w:w="851"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cs="宋体"/>
                <w:kern w:val="0"/>
                <w:szCs w:val="21"/>
              </w:rPr>
              <w:t>数量</w:t>
            </w:r>
          </w:p>
        </w:tc>
      </w:tr>
      <w:tr>
        <w:tblPrEx>
          <w:tblCellMar>
            <w:top w:w="0" w:type="dxa"/>
            <w:left w:w="108" w:type="dxa"/>
            <w:bottom w:w="0" w:type="dxa"/>
            <w:right w:w="108" w:type="dxa"/>
          </w:tblCellMar>
        </w:tblPrEx>
        <w:trPr>
          <w:trHeight w:val="510" w:hRule="atLeast"/>
        </w:trPr>
        <w:tc>
          <w:tcPr>
            <w:tcW w:w="64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cs="宋体"/>
                <w:kern w:val="0"/>
                <w:szCs w:val="21"/>
              </w:rPr>
              <w:t>1</w:t>
            </w:r>
          </w:p>
        </w:tc>
        <w:tc>
          <w:tcPr>
            <w:tcW w:w="123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sz w:val="22"/>
                <w:szCs w:val="22"/>
              </w:rPr>
            </w:pPr>
            <w:r>
              <w:rPr>
                <w:rFonts w:hint="eastAsia"/>
                <w:color w:val="000000"/>
                <w:sz w:val="22"/>
                <w:szCs w:val="22"/>
              </w:rPr>
              <w:t>10kV</w:t>
            </w:r>
            <w:bookmarkStart w:id="139" w:name="_GoBack"/>
            <w:bookmarkEnd w:id="139"/>
            <w:r>
              <w:rPr>
                <w:rFonts w:hint="eastAsia"/>
                <w:color w:val="000000"/>
                <w:sz w:val="22"/>
                <w:szCs w:val="22"/>
              </w:rPr>
              <w:t>干式电压互感器</w:t>
            </w:r>
          </w:p>
        </w:tc>
        <w:tc>
          <w:tcPr>
            <w:tcW w:w="2880" w:type="dxa"/>
            <w:tcBorders>
              <w:top w:val="single" w:color="auto" w:sz="4" w:space="0"/>
              <w:left w:val="nil"/>
              <w:bottom w:val="single" w:color="auto" w:sz="4" w:space="0"/>
              <w:right w:val="single" w:color="auto" w:sz="4" w:space="0"/>
            </w:tcBorders>
            <w:noWrap w:val="0"/>
            <w:vAlign w:val="center"/>
          </w:tcPr>
          <w:p>
            <w:pPr>
              <w:jc w:val="left"/>
              <w:rPr>
                <w:rFonts w:hint="eastAsia"/>
                <w:color w:val="auto"/>
              </w:rPr>
            </w:pPr>
            <w:r>
              <w:rPr>
                <w:rFonts w:hint="eastAsia"/>
                <w:color w:val="auto"/>
                <w:lang w:eastAsia="zh-CN"/>
              </w:rPr>
              <w:t>型号：</w:t>
            </w:r>
            <w:r>
              <w:rPr>
                <w:rFonts w:hint="eastAsia"/>
                <w:color w:val="auto"/>
              </w:rPr>
              <w:t xml:space="preserve">JSZW-10WF </w:t>
            </w:r>
          </w:p>
          <w:p>
            <w:pPr>
              <w:jc w:val="left"/>
              <w:rPr>
                <w:rFonts w:hint="eastAsia"/>
                <w:color w:val="0000FF"/>
              </w:rPr>
            </w:pPr>
            <w:r>
              <w:rPr>
                <w:rFonts w:hint="eastAsia"/>
                <w:color w:val="0000FF"/>
                <w:lang w:val="en-US" w:eastAsia="zh-CN"/>
              </w:rPr>
              <w:t>c级防污</w:t>
            </w:r>
            <w:r>
              <w:rPr>
                <w:rFonts w:hint="eastAsia"/>
                <w:color w:val="0000FF"/>
              </w:rPr>
              <w:t xml:space="preserve"> </w:t>
            </w:r>
          </w:p>
          <w:p>
            <w:pPr>
              <w:jc w:val="left"/>
              <w:rPr>
                <w:rFonts w:hint="eastAsia"/>
                <w:color w:val="auto"/>
                <w:lang w:eastAsia="zh-CN"/>
              </w:rPr>
            </w:pPr>
            <w:r>
              <w:rPr>
                <w:rFonts w:hint="eastAsia"/>
                <w:color w:val="auto"/>
              </w:rPr>
              <w:t>干式电磁式，全绝缘、全密封，固体绝缘浇注式</w:t>
            </w:r>
            <w:r>
              <w:rPr>
                <w:rFonts w:hint="eastAsia"/>
                <w:color w:val="auto"/>
                <w:lang w:eastAsia="zh-CN"/>
              </w:rPr>
              <w:t>，</w:t>
            </w:r>
          </w:p>
          <w:p>
            <w:pPr>
              <w:jc w:val="left"/>
              <w:rPr>
                <w:rFonts w:hint="default"/>
                <w:color w:val="auto"/>
                <w:lang w:val="en-US" w:eastAsia="zh-CN"/>
              </w:rPr>
            </w:pPr>
            <w:r>
              <w:rPr>
                <w:rFonts w:hint="default"/>
                <w:color w:val="auto"/>
                <w:lang w:val="en-US" w:eastAsia="zh-CN"/>
              </w:rPr>
              <w:t>额定绝缘水平 12/24/75KV 额定</w:t>
            </w:r>
            <w:r>
              <w:rPr>
                <w:rFonts w:hint="eastAsia"/>
                <w:color w:val="auto"/>
                <w:lang w:val="en-US" w:eastAsia="zh-CN"/>
              </w:rPr>
              <w:t>频率</w:t>
            </w:r>
            <w:r>
              <w:rPr>
                <w:rFonts w:hint="default"/>
                <w:color w:val="auto"/>
                <w:lang w:val="en-US" w:eastAsia="zh-CN"/>
              </w:rPr>
              <w:t xml:space="preserve">50HZ </w:t>
            </w:r>
          </w:p>
          <w:p>
            <w:pPr>
              <w:jc w:val="left"/>
              <w:rPr>
                <w:rFonts w:hint="default"/>
                <w:color w:val="auto"/>
                <w:lang w:val="en-US" w:eastAsia="zh-CN"/>
              </w:rPr>
            </w:pPr>
            <w:r>
              <w:rPr>
                <w:rFonts w:hint="default"/>
                <w:color w:val="auto"/>
                <w:lang w:val="en-US" w:eastAsia="zh-CN"/>
              </w:rPr>
              <w:t xml:space="preserve">额定电压比10000/√3/100/√3/100/3 </w:t>
            </w:r>
          </w:p>
          <w:p>
            <w:pPr>
              <w:jc w:val="left"/>
              <w:rPr>
                <w:rFonts w:hint="default"/>
                <w:color w:val="auto"/>
                <w:lang w:val="en-US" w:eastAsia="zh-CN"/>
              </w:rPr>
            </w:pPr>
            <w:r>
              <w:rPr>
                <w:rFonts w:hint="default"/>
                <w:color w:val="auto"/>
                <w:lang w:val="en-US" w:eastAsia="zh-CN"/>
              </w:rPr>
              <w:t>准确级</w:t>
            </w:r>
            <w:r>
              <w:rPr>
                <w:rFonts w:hint="eastAsia"/>
                <w:color w:val="auto"/>
                <w:lang w:val="en-US" w:eastAsia="zh-CN"/>
              </w:rPr>
              <w:t>1</w:t>
            </w:r>
            <w:r>
              <w:rPr>
                <w:rFonts w:hint="default"/>
                <w:color w:val="auto"/>
                <w:lang w:val="en-US" w:eastAsia="zh-CN"/>
              </w:rPr>
              <w:t xml:space="preserve">a </w:t>
            </w:r>
            <w:r>
              <w:rPr>
                <w:rFonts w:hint="eastAsia"/>
                <w:color w:val="auto"/>
                <w:lang w:val="en-US" w:eastAsia="zh-CN"/>
              </w:rPr>
              <w:t>1</w:t>
            </w:r>
            <w:r>
              <w:rPr>
                <w:rFonts w:hint="default"/>
                <w:color w:val="auto"/>
                <w:lang w:val="en-US" w:eastAsia="zh-CN"/>
              </w:rPr>
              <w:t>n 0.2级、</w:t>
            </w:r>
            <w:r>
              <w:rPr>
                <w:rFonts w:hint="eastAsia"/>
                <w:color w:val="auto"/>
                <w:lang w:val="en-US" w:eastAsia="zh-CN"/>
              </w:rPr>
              <w:t xml:space="preserve"> </w:t>
            </w:r>
            <w:r>
              <w:rPr>
                <w:rFonts w:hint="default"/>
                <w:color w:val="auto"/>
                <w:lang w:val="en-US" w:eastAsia="zh-CN"/>
              </w:rPr>
              <w:t>da dn 3P级，</w:t>
            </w:r>
          </w:p>
          <w:p>
            <w:pPr>
              <w:jc w:val="left"/>
              <w:rPr>
                <w:rFonts w:hint="default"/>
                <w:color w:val="auto"/>
                <w:lang w:val="en-US" w:eastAsia="zh-CN"/>
              </w:rPr>
            </w:pPr>
            <w:r>
              <w:rPr>
                <w:rFonts w:hint="default"/>
                <w:color w:val="auto"/>
                <w:lang w:val="en-US" w:eastAsia="zh-CN"/>
              </w:rPr>
              <w:t xml:space="preserve">极限输出600VA  </w:t>
            </w:r>
          </w:p>
          <w:p>
            <w:pPr>
              <w:jc w:val="left"/>
              <w:rPr>
                <w:rFonts w:hint="default"/>
                <w:color w:val="FF0000"/>
                <w:lang w:val="en-US" w:eastAsia="zh-CN"/>
              </w:rPr>
            </w:pPr>
          </w:p>
        </w:tc>
        <w:tc>
          <w:tcPr>
            <w:tcW w:w="720" w:type="dxa"/>
            <w:tcBorders>
              <w:top w:val="single" w:color="auto" w:sz="4" w:space="0"/>
              <w:left w:val="nil"/>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台</w:t>
            </w:r>
          </w:p>
        </w:tc>
        <w:tc>
          <w:tcPr>
            <w:tcW w:w="774"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eastAsia="仿宋_GB2312"/>
                <w:kern w:val="0"/>
                <w:szCs w:val="21"/>
                <w:lang w:eastAsia="zh-CN"/>
              </w:rPr>
            </w:pPr>
            <w:r>
              <w:rPr>
                <w:rFonts w:hint="eastAsia" w:ascii="仿宋_GB2312" w:eastAsia="仿宋_GB2312"/>
                <w:kern w:val="0"/>
                <w:szCs w:val="21"/>
                <w:lang w:val="en-US" w:eastAsia="zh-CN"/>
              </w:rPr>
              <w:t>1</w:t>
            </w:r>
          </w:p>
        </w:tc>
        <w:tc>
          <w:tcPr>
            <w:tcW w:w="85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eastAsia="仿宋_GB2312"/>
                <w:kern w:val="0"/>
                <w:szCs w:val="21"/>
              </w:rPr>
            </w:pPr>
          </w:p>
        </w:tc>
        <w:tc>
          <w:tcPr>
            <w:tcW w:w="851"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eastAsia="仿宋_GB2312"/>
                <w:kern w:val="0"/>
                <w:szCs w:val="21"/>
              </w:rPr>
            </w:pPr>
          </w:p>
        </w:tc>
        <w:tc>
          <w:tcPr>
            <w:tcW w:w="851"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_GB2312" w:eastAsia="仿宋_GB2312"/>
                <w:kern w:val="0"/>
                <w:szCs w:val="21"/>
              </w:rPr>
            </w:pPr>
          </w:p>
        </w:tc>
      </w:tr>
      <w:tr>
        <w:tblPrEx>
          <w:tblCellMar>
            <w:top w:w="0" w:type="dxa"/>
            <w:left w:w="108" w:type="dxa"/>
            <w:bottom w:w="0" w:type="dxa"/>
            <w:right w:w="108" w:type="dxa"/>
          </w:tblCellMar>
        </w:tblPrEx>
        <w:trPr>
          <w:trHeight w:val="510" w:hRule="atLeast"/>
        </w:trPr>
        <w:tc>
          <w:tcPr>
            <w:tcW w:w="64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Cs w:val="21"/>
              </w:rPr>
            </w:pPr>
            <w:r>
              <w:rPr>
                <w:rFonts w:hint="eastAsia" w:ascii="宋体" w:hAnsi="宋体" w:cs="宋体"/>
                <w:kern w:val="0"/>
                <w:szCs w:val="21"/>
              </w:rPr>
              <w:t>2</w:t>
            </w:r>
          </w:p>
        </w:tc>
        <w:tc>
          <w:tcPr>
            <w:tcW w:w="123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sz w:val="22"/>
                <w:szCs w:val="22"/>
              </w:rPr>
            </w:pPr>
            <w:r>
              <w:rPr>
                <w:rFonts w:hint="eastAsia" w:ascii="宋体" w:hAnsi="宋体"/>
                <w:szCs w:val="21"/>
              </w:rPr>
              <w:t>设计部门及联系人</w:t>
            </w:r>
          </w:p>
        </w:tc>
        <w:tc>
          <w:tcPr>
            <w:tcW w:w="6926" w:type="dxa"/>
            <w:gridSpan w:val="6"/>
            <w:tcBorders>
              <w:top w:val="single" w:color="auto" w:sz="4" w:space="0"/>
              <w:left w:val="nil"/>
              <w:bottom w:val="single" w:color="auto" w:sz="4" w:space="0"/>
              <w:right w:val="single" w:color="auto" w:sz="4" w:space="0"/>
            </w:tcBorders>
            <w:noWrap w:val="0"/>
            <w:vAlign w:val="center"/>
          </w:tcPr>
          <w:p>
            <w:pPr>
              <w:widowControl/>
              <w:jc w:val="left"/>
              <w:rPr>
                <w:rFonts w:hint="eastAsia" w:ascii="仿宋_GB2312" w:eastAsia="仿宋_GB2312"/>
                <w:kern w:val="0"/>
                <w:szCs w:val="21"/>
                <w:lang w:val="en-US" w:eastAsia="zh-CN"/>
              </w:rPr>
            </w:pPr>
            <w:r>
              <w:rPr>
                <w:rFonts w:hint="eastAsia" w:ascii="仿宋_GB2312" w:eastAsia="仿宋_GB2312"/>
                <w:kern w:val="0"/>
                <w:szCs w:val="21"/>
                <w:lang w:val="en-US" w:eastAsia="zh-CN"/>
              </w:rPr>
              <w:t>无</w:t>
            </w:r>
          </w:p>
        </w:tc>
      </w:tr>
    </w:tbl>
    <w:p>
      <w:pPr>
        <w:pStyle w:val="17"/>
        <w:adjustRightInd w:val="0"/>
        <w:snapToGrid w:val="0"/>
        <w:spacing w:line="360" w:lineRule="auto"/>
        <w:ind w:firstLine="0" w:firstLineChars="0"/>
        <w:rPr>
          <w:rFonts w:hint="eastAsia" w:eastAsia="宋体" w:cs="Times New Roman"/>
          <w:szCs w:val="21"/>
          <w:lang w:eastAsia="zh-CN"/>
        </w:rPr>
      </w:pP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(3) 工厂试验由投标方在生产厂家内完成, 但应有招标方代表参加, 参加工厂验收的人数及天数等规定详见标书商务部分。</w:t>
      </w: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(4) 现场安装和试验在投标方的技术指导下由招标方完成, 投标方协助招标方按标准检查安装质量, 处理调试投运过程中出现的问题，并提供备品、备件，做好销售服务工作。投标方应选派有经验的技术人员，对安装和运行人员免费培训。安装督导的工作范围及人数和天数等规定详见标书商务部分。</w:t>
      </w: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(5) 投标方应协助招标方解决设备运行中出现的问题。</w:t>
      </w:r>
    </w:p>
    <w:p>
      <w:pPr>
        <w:pStyle w:val="17"/>
        <w:adjustRightInd w:val="0"/>
        <w:snapToGrid w:val="0"/>
        <w:spacing w:line="360" w:lineRule="auto"/>
        <w:ind w:firstLine="0" w:firstLineChars="0"/>
        <w:rPr>
          <w:rFonts w:hint="eastAsia" w:eastAsia="宋体" w:cs="Times New Roman"/>
          <w:szCs w:val="21"/>
        </w:rPr>
      </w:pPr>
      <w:r>
        <w:rPr>
          <w:rFonts w:hint="eastAsia" w:eastAsia="宋体" w:cs="Times New Roman"/>
          <w:szCs w:val="21"/>
        </w:rPr>
        <w:t>(6) 设计联络会议的地点及招标方参加人员的人数和天数等规定详见标书商务部分。</w:t>
      </w:r>
    </w:p>
    <w:p>
      <w:pPr>
        <w:widowControl/>
        <w:spacing w:line="360" w:lineRule="auto"/>
        <w:jc w:val="left"/>
        <w:rPr>
          <w:szCs w:val="21"/>
        </w:rPr>
      </w:pPr>
      <w:r>
        <w:rPr>
          <w:rFonts w:hint="eastAsia"/>
          <w:szCs w:val="21"/>
        </w:rPr>
        <w:t>(7) 设备安装、调试和性能试验合格后方可投运。设备投运并稳定运行后，投标方和招标方（业主）双方应根据相关法律、法规和公司管理制度签署合同设备的验收证明书。该证明书共两份，双方各执一份。</w:t>
      </w:r>
    </w:p>
    <w:p>
      <w:pPr>
        <w:widowControl/>
        <w:spacing w:line="360" w:lineRule="auto"/>
        <w:jc w:val="left"/>
        <w:rPr>
          <w:rFonts w:hint="eastAsia"/>
          <w:szCs w:val="21"/>
        </w:rPr>
      </w:pPr>
      <w:r>
        <w:rPr>
          <w:rFonts w:hint="eastAsia"/>
        </w:rPr>
        <w:t>(8) 如果安装、调试、性能试验、试运行及质保期内技术指标一项或多项不能满足合同技术部分要求，买卖双方共同分析原因，分清责任，如属制造方面的原因，或涉及索赔部分，按商务部分有关条款执行。</w:t>
      </w:r>
    </w:p>
    <w:bookmarkEnd w:id="7"/>
    <w:p>
      <w:pPr>
        <w:pStyle w:val="2"/>
        <w:adjustRightInd w:val="0"/>
        <w:spacing w:before="0" w:beforeLines="0"/>
        <w:rPr>
          <w:rFonts w:hint="eastAsia" w:ascii="黑体" w:hAnsi="宋体" w:eastAsia="黑体"/>
          <w:b w:val="0"/>
        </w:rPr>
      </w:pPr>
      <w:bookmarkStart w:id="19" w:name="_Toc342897941"/>
      <w:r>
        <w:rPr>
          <w:rFonts w:hint="eastAsia"/>
        </w:rPr>
        <w:t>应遵循的主要标准</w:t>
      </w:r>
      <w:bookmarkEnd w:id="19"/>
    </w:p>
    <w:p>
      <w:pPr>
        <w:pStyle w:val="17"/>
        <w:adjustRightInd w:val="0"/>
        <w:snapToGrid w:val="0"/>
        <w:spacing w:line="360" w:lineRule="auto"/>
        <w:rPr>
          <w:rFonts w:hint="eastAsia" w:eastAsia="宋体" w:cs="Times New Roman"/>
          <w:szCs w:val="21"/>
        </w:rPr>
      </w:pPr>
      <w:r>
        <w:rPr>
          <w:rFonts w:eastAsia="宋体" w:cs="Times New Roman"/>
          <w:szCs w:val="21"/>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并从招标方处获得书面的认可才能使用。提交供审查的标准应为中文或英文版本。</w:t>
      </w:r>
      <w:r>
        <w:rPr>
          <w:rFonts w:hint="eastAsia" w:eastAsia="宋体" w:cs="Times New Roman"/>
          <w:szCs w:val="21"/>
        </w:rPr>
        <w:t>主要引用标准如下：</w:t>
      </w:r>
    </w:p>
    <w:p>
      <w:pPr>
        <w:pStyle w:val="17"/>
        <w:tabs>
          <w:tab w:val="left" w:pos="2160"/>
        </w:tabs>
        <w:adjustRightInd w:val="0"/>
        <w:snapToGrid w:val="0"/>
        <w:spacing w:line="360" w:lineRule="auto"/>
        <w:rPr>
          <w:rFonts w:hint="eastAsia" w:eastAsia="宋体"/>
        </w:rPr>
      </w:pPr>
      <w:bookmarkStart w:id="20" w:name="OLE_LINK1"/>
      <w:bookmarkStart w:id="21" w:name="_Toc279769035"/>
      <w:r>
        <w:rPr>
          <w:rFonts w:eastAsia="宋体"/>
        </w:rPr>
        <w:t>IEC60044</w:t>
      </w:r>
      <w:r>
        <w:rPr>
          <w:rFonts w:hint="eastAsia" w:eastAsia="宋体"/>
        </w:rPr>
        <w:t>.</w:t>
      </w:r>
      <w:r>
        <w:rPr>
          <w:rFonts w:eastAsia="宋体"/>
        </w:rPr>
        <w:t>2</w:t>
      </w:r>
      <w:r>
        <w:rPr>
          <w:rFonts w:hint="eastAsia" w:eastAsia="宋体"/>
        </w:rPr>
        <w:t xml:space="preserve"> </w:t>
      </w:r>
      <w:r>
        <w:rPr>
          <w:rFonts w:hint="eastAsia" w:eastAsia="宋体"/>
        </w:rPr>
        <w:tab/>
      </w:r>
      <w:r>
        <w:rPr>
          <w:rFonts w:hAnsi="宋体" w:eastAsia="宋体"/>
        </w:rPr>
        <w:t>互感器</w:t>
      </w:r>
      <w:r>
        <w:rPr>
          <w:rFonts w:eastAsia="宋体"/>
        </w:rPr>
        <w:t xml:space="preserve"> </w:t>
      </w:r>
      <w:r>
        <w:rPr>
          <w:rFonts w:hAnsi="宋体" w:eastAsia="宋体"/>
        </w:rPr>
        <w:t>第</w:t>
      </w:r>
      <w:r>
        <w:rPr>
          <w:rFonts w:eastAsia="宋体"/>
        </w:rPr>
        <w:t>1</w:t>
      </w:r>
      <w:r>
        <w:rPr>
          <w:rFonts w:hAnsi="宋体" w:eastAsia="宋体"/>
        </w:rPr>
        <w:t>部分：电</w:t>
      </w:r>
      <w:r>
        <w:rPr>
          <w:rFonts w:hint="eastAsia" w:hAnsi="宋体" w:eastAsia="宋体"/>
        </w:rPr>
        <w:t>压</w:t>
      </w:r>
      <w:r>
        <w:rPr>
          <w:rFonts w:hAnsi="宋体" w:eastAsia="宋体"/>
        </w:rPr>
        <w:t>互感器</w:t>
      </w:r>
    </w:p>
    <w:p>
      <w:pPr>
        <w:pStyle w:val="17"/>
        <w:tabs>
          <w:tab w:val="left" w:pos="2160"/>
        </w:tabs>
        <w:adjustRightInd w:val="0"/>
        <w:snapToGrid w:val="0"/>
        <w:spacing w:line="360" w:lineRule="auto"/>
        <w:rPr>
          <w:rFonts w:hint="eastAsia" w:eastAsia="宋体"/>
        </w:rPr>
      </w:pPr>
      <w:r>
        <w:rPr>
          <w:rFonts w:eastAsia="宋体"/>
        </w:rPr>
        <w:t>GB</w:t>
      </w:r>
      <w:r>
        <w:rPr>
          <w:rFonts w:hint="eastAsia" w:eastAsia="宋体"/>
        </w:rPr>
        <w:t xml:space="preserve">1207 </w:t>
      </w:r>
      <w:r>
        <w:rPr>
          <w:rFonts w:hint="eastAsia" w:eastAsia="宋体"/>
        </w:rPr>
        <w:tab/>
      </w:r>
      <w:r>
        <w:rPr>
          <w:rFonts w:hAnsi="宋体" w:eastAsia="宋体"/>
        </w:rPr>
        <w:t>电磁式电压互感器</w:t>
      </w:r>
    </w:p>
    <w:p>
      <w:pPr>
        <w:pStyle w:val="17"/>
        <w:tabs>
          <w:tab w:val="left" w:pos="2160"/>
        </w:tabs>
        <w:adjustRightInd w:val="0"/>
        <w:snapToGrid w:val="0"/>
        <w:spacing w:line="360" w:lineRule="auto"/>
        <w:rPr>
          <w:rFonts w:hint="eastAsia" w:eastAsia="宋体"/>
        </w:rPr>
      </w:pPr>
      <w:r>
        <w:rPr>
          <w:rFonts w:eastAsia="宋体"/>
        </w:rPr>
        <w:t>GB156</w:t>
      </w:r>
      <w:r>
        <w:rPr>
          <w:rFonts w:hint="eastAsia" w:eastAsia="宋体"/>
        </w:rPr>
        <w:t xml:space="preserve"> </w:t>
      </w:r>
      <w:r>
        <w:rPr>
          <w:rFonts w:hint="eastAsia" w:eastAsia="宋体"/>
        </w:rPr>
        <w:tab/>
      </w:r>
      <w:r>
        <w:rPr>
          <w:rFonts w:hAnsi="宋体" w:eastAsia="宋体"/>
        </w:rPr>
        <w:t>标准电压</w:t>
      </w:r>
    </w:p>
    <w:p>
      <w:pPr>
        <w:pStyle w:val="17"/>
        <w:tabs>
          <w:tab w:val="left" w:pos="2160"/>
        </w:tabs>
        <w:adjustRightInd w:val="0"/>
        <w:snapToGrid w:val="0"/>
        <w:spacing w:line="360" w:lineRule="auto"/>
        <w:rPr>
          <w:rFonts w:hint="eastAsia" w:eastAsia="宋体"/>
        </w:rPr>
      </w:pPr>
      <w:r>
        <w:rPr>
          <w:rFonts w:hint="eastAsia" w:eastAsia="宋体"/>
        </w:rPr>
        <w:t xml:space="preserve">GB2900.15 </w:t>
      </w:r>
      <w:r>
        <w:rPr>
          <w:rFonts w:hint="eastAsia" w:eastAsia="宋体"/>
        </w:rPr>
        <w:tab/>
      </w:r>
      <w:r>
        <w:rPr>
          <w:rFonts w:hint="eastAsia" w:hAnsi="宋体" w:eastAsia="宋体"/>
        </w:rPr>
        <w:t>电工术语</w:t>
      </w:r>
      <w:r>
        <w:rPr>
          <w:rFonts w:hint="eastAsia" w:eastAsia="宋体"/>
        </w:rPr>
        <w:t xml:space="preserve"> </w:t>
      </w:r>
      <w:r>
        <w:rPr>
          <w:rFonts w:hint="eastAsia" w:hAnsi="宋体" w:eastAsia="宋体"/>
        </w:rPr>
        <w:t>变压器、互感器、调压器和电抗器</w:t>
      </w:r>
    </w:p>
    <w:p>
      <w:pPr>
        <w:pStyle w:val="17"/>
        <w:tabs>
          <w:tab w:val="left" w:pos="2160"/>
        </w:tabs>
        <w:adjustRightInd w:val="0"/>
        <w:snapToGrid w:val="0"/>
        <w:spacing w:line="360" w:lineRule="auto"/>
        <w:rPr>
          <w:rFonts w:hint="eastAsia" w:eastAsia="宋体"/>
        </w:rPr>
      </w:pPr>
      <w:r>
        <w:rPr>
          <w:rFonts w:eastAsia="宋体"/>
        </w:rPr>
        <w:t>GB311.1</w:t>
      </w:r>
      <w:r>
        <w:rPr>
          <w:rFonts w:hint="eastAsia" w:eastAsia="宋体"/>
        </w:rPr>
        <w:t xml:space="preserve"> </w:t>
      </w:r>
      <w:r>
        <w:rPr>
          <w:rFonts w:hint="eastAsia" w:eastAsia="宋体"/>
        </w:rPr>
        <w:tab/>
      </w:r>
      <w:r>
        <w:rPr>
          <w:rFonts w:hAnsi="宋体" w:eastAsia="宋体"/>
        </w:rPr>
        <w:t>高压输变电设备的绝缘配合</w:t>
      </w:r>
    </w:p>
    <w:p>
      <w:pPr>
        <w:pStyle w:val="17"/>
        <w:tabs>
          <w:tab w:val="left" w:pos="2160"/>
        </w:tabs>
        <w:adjustRightInd w:val="0"/>
        <w:snapToGrid w:val="0"/>
        <w:spacing w:line="360" w:lineRule="auto"/>
        <w:rPr>
          <w:rFonts w:hint="eastAsia" w:eastAsia="宋体"/>
        </w:rPr>
      </w:pPr>
      <w:r>
        <w:rPr>
          <w:rFonts w:hint="eastAsia" w:eastAsia="宋体"/>
        </w:rPr>
        <w:t xml:space="preserve">GB311.2 </w:t>
      </w:r>
      <w:r>
        <w:rPr>
          <w:rFonts w:hint="eastAsia" w:eastAsia="宋体"/>
        </w:rPr>
        <w:tab/>
      </w:r>
      <w:r>
        <w:rPr>
          <w:rFonts w:hint="eastAsia" w:hAnsi="宋体" w:eastAsia="宋体"/>
        </w:rPr>
        <w:t>绝缘配合</w:t>
      </w:r>
      <w:r>
        <w:rPr>
          <w:rFonts w:hint="eastAsia" w:eastAsia="宋体"/>
        </w:rPr>
        <w:t xml:space="preserve"> </w:t>
      </w:r>
      <w:r>
        <w:rPr>
          <w:rFonts w:hint="eastAsia" w:hAnsi="宋体" w:eastAsia="宋体"/>
        </w:rPr>
        <w:t>第</w:t>
      </w:r>
      <w:r>
        <w:rPr>
          <w:rFonts w:hint="eastAsia" w:eastAsia="宋体"/>
        </w:rPr>
        <w:t>2</w:t>
      </w:r>
      <w:r>
        <w:rPr>
          <w:rFonts w:hint="eastAsia" w:hAnsi="宋体" w:eastAsia="宋体"/>
        </w:rPr>
        <w:t>部分：高压输变电设备的绝缘配合使用导则</w:t>
      </w:r>
    </w:p>
    <w:p>
      <w:pPr>
        <w:pStyle w:val="17"/>
        <w:tabs>
          <w:tab w:val="left" w:pos="2160"/>
        </w:tabs>
        <w:adjustRightInd w:val="0"/>
        <w:snapToGrid w:val="0"/>
        <w:spacing w:line="360" w:lineRule="auto"/>
        <w:rPr>
          <w:rFonts w:hint="eastAsia" w:eastAsia="宋体"/>
        </w:rPr>
      </w:pPr>
      <w:r>
        <w:rPr>
          <w:rFonts w:hint="eastAsia" w:eastAsia="宋体"/>
        </w:rPr>
        <w:t xml:space="preserve">GB4109 </w:t>
      </w:r>
      <w:r>
        <w:rPr>
          <w:rFonts w:hint="eastAsia" w:eastAsia="宋体"/>
        </w:rPr>
        <w:tab/>
      </w:r>
      <w:r>
        <w:rPr>
          <w:rFonts w:hint="eastAsia" w:hAnsi="宋体" w:eastAsia="宋体"/>
        </w:rPr>
        <w:t>高压套管技术条件</w:t>
      </w:r>
    </w:p>
    <w:p>
      <w:pPr>
        <w:pStyle w:val="17"/>
        <w:tabs>
          <w:tab w:val="left" w:pos="2160"/>
        </w:tabs>
        <w:adjustRightInd w:val="0"/>
        <w:snapToGrid w:val="0"/>
        <w:spacing w:line="360" w:lineRule="auto"/>
        <w:rPr>
          <w:rFonts w:hint="eastAsia" w:eastAsia="宋体"/>
        </w:rPr>
      </w:pPr>
      <w:r>
        <w:rPr>
          <w:rFonts w:eastAsia="宋体"/>
        </w:rPr>
        <w:t>GB50150</w:t>
      </w:r>
      <w:r>
        <w:rPr>
          <w:rFonts w:hint="eastAsia" w:eastAsia="宋体"/>
        </w:rPr>
        <w:t xml:space="preserve"> </w:t>
      </w:r>
      <w:r>
        <w:rPr>
          <w:rFonts w:hint="eastAsia" w:eastAsia="宋体"/>
        </w:rPr>
        <w:tab/>
      </w:r>
      <w:r>
        <w:rPr>
          <w:rFonts w:hAnsi="宋体" w:eastAsia="宋体"/>
        </w:rPr>
        <w:t>电气装置安装工程电气设备交接试验标准</w:t>
      </w:r>
    </w:p>
    <w:p>
      <w:pPr>
        <w:pStyle w:val="17"/>
        <w:tabs>
          <w:tab w:val="left" w:pos="2160"/>
        </w:tabs>
        <w:adjustRightInd w:val="0"/>
        <w:snapToGrid w:val="0"/>
        <w:spacing w:line="360" w:lineRule="auto"/>
        <w:rPr>
          <w:rFonts w:hint="eastAsia" w:eastAsia="宋体"/>
        </w:rPr>
      </w:pPr>
      <w:r>
        <w:rPr>
          <w:rFonts w:hint="eastAsia" w:eastAsia="宋体"/>
        </w:rPr>
        <w:t xml:space="preserve">GB/T1231 </w:t>
      </w:r>
      <w:r>
        <w:rPr>
          <w:rFonts w:hint="eastAsia" w:eastAsia="宋体"/>
        </w:rPr>
        <w:tab/>
      </w:r>
      <w:r>
        <w:rPr>
          <w:rFonts w:hint="eastAsia" w:hAnsi="宋体" w:eastAsia="宋体"/>
        </w:rPr>
        <w:t>钢结构用高强度大六角头螺栓、大六角螺母、垫圈技术条件</w:t>
      </w:r>
    </w:p>
    <w:p>
      <w:pPr>
        <w:pStyle w:val="17"/>
        <w:tabs>
          <w:tab w:val="left" w:pos="2160"/>
        </w:tabs>
        <w:adjustRightInd w:val="0"/>
        <w:snapToGrid w:val="0"/>
        <w:spacing w:line="360" w:lineRule="auto"/>
        <w:rPr>
          <w:rFonts w:hint="eastAsia" w:eastAsia="宋体"/>
        </w:rPr>
      </w:pPr>
      <w:r>
        <w:rPr>
          <w:rFonts w:eastAsia="宋体"/>
        </w:rPr>
        <w:t>GB/T16434</w:t>
      </w:r>
      <w:r>
        <w:rPr>
          <w:rFonts w:hint="eastAsia" w:eastAsia="宋体"/>
        </w:rPr>
        <w:t xml:space="preserve"> </w:t>
      </w:r>
      <w:r>
        <w:rPr>
          <w:rFonts w:hint="eastAsia" w:eastAsia="宋体"/>
        </w:rPr>
        <w:tab/>
      </w:r>
      <w:r>
        <w:rPr>
          <w:rFonts w:hAnsi="宋体" w:eastAsia="宋体"/>
        </w:rPr>
        <w:t>高压架空线路和发电厂、变电所环境污区分级及外绝缘选择标准</w:t>
      </w:r>
    </w:p>
    <w:p>
      <w:pPr>
        <w:pStyle w:val="17"/>
        <w:tabs>
          <w:tab w:val="left" w:pos="2160"/>
        </w:tabs>
        <w:adjustRightInd w:val="0"/>
        <w:snapToGrid w:val="0"/>
        <w:spacing w:line="360" w:lineRule="auto"/>
        <w:rPr>
          <w:rFonts w:hint="eastAsia" w:eastAsia="宋体"/>
        </w:rPr>
      </w:pPr>
      <w:r>
        <w:rPr>
          <w:rFonts w:hint="eastAsia" w:eastAsia="宋体"/>
        </w:rPr>
        <w:t xml:space="preserve">GB/T16927.1 </w:t>
      </w:r>
      <w:r>
        <w:rPr>
          <w:rFonts w:hint="eastAsia" w:eastAsia="宋体"/>
        </w:rPr>
        <w:tab/>
      </w:r>
      <w:r>
        <w:rPr>
          <w:rFonts w:hint="eastAsia" w:hAnsi="宋体" w:eastAsia="宋体"/>
        </w:rPr>
        <w:t>高压试验技术第一部分一般试验要求</w:t>
      </w:r>
    </w:p>
    <w:p>
      <w:pPr>
        <w:pStyle w:val="17"/>
        <w:tabs>
          <w:tab w:val="left" w:pos="2160"/>
        </w:tabs>
        <w:adjustRightInd w:val="0"/>
        <w:snapToGrid w:val="0"/>
        <w:spacing w:line="360" w:lineRule="auto"/>
        <w:rPr>
          <w:rFonts w:hint="eastAsia" w:eastAsia="宋体"/>
        </w:rPr>
      </w:pPr>
      <w:r>
        <w:rPr>
          <w:rFonts w:hint="eastAsia" w:eastAsia="宋体"/>
        </w:rPr>
        <w:t xml:space="preserve">GB/T16927.2 </w:t>
      </w:r>
      <w:r>
        <w:rPr>
          <w:rFonts w:hint="eastAsia" w:eastAsia="宋体"/>
        </w:rPr>
        <w:tab/>
      </w:r>
      <w:r>
        <w:rPr>
          <w:rFonts w:hint="eastAsia" w:hAnsi="宋体" w:eastAsia="宋体"/>
        </w:rPr>
        <w:t>高压试验技术第二部分测量系统</w:t>
      </w:r>
    </w:p>
    <w:p>
      <w:pPr>
        <w:pStyle w:val="17"/>
        <w:tabs>
          <w:tab w:val="left" w:pos="2160"/>
        </w:tabs>
        <w:adjustRightInd w:val="0"/>
        <w:snapToGrid w:val="0"/>
        <w:spacing w:line="360" w:lineRule="auto"/>
        <w:rPr>
          <w:rFonts w:hint="eastAsia" w:eastAsia="宋体"/>
        </w:rPr>
      </w:pPr>
      <w:r>
        <w:rPr>
          <w:rFonts w:hint="eastAsia" w:eastAsia="宋体"/>
        </w:rPr>
        <w:t xml:space="preserve">GB/T17742 </w:t>
      </w:r>
      <w:r>
        <w:rPr>
          <w:rFonts w:hint="eastAsia" w:eastAsia="宋体"/>
        </w:rPr>
        <w:tab/>
      </w:r>
      <w:r>
        <w:rPr>
          <w:rFonts w:hint="eastAsia" w:hAnsi="宋体" w:eastAsia="宋体"/>
        </w:rPr>
        <w:t>中国地震烈度表</w:t>
      </w:r>
    </w:p>
    <w:p>
      <w:pPr>
        <w:pStyle w:val="17"/>
        <w:tabs>
          <w:tab w:val="left" w:pos="2160"/>
        </w:tabs>
        <w:adjustRightInd w:val="0"/>
        <w:snapToGrid w:val="0"/>
        <w:spacing w:line="360" w:lineRule="auto"/>
        <w:rPr>
          <w:rFonts w:eastAsia="宋体"/>
        </w:rPr>
      </w:pPr>
      <w:r>
        <w:rPr>
          <w:rFonts w:eastAsia="宋体"/>
        </w:rPr>
        <w:t>GB/T8905</w:t>
      </w:r>
      <w:r>
        <w:rPr>
          <w:rFonts w:hint="eastAsia" w:eastAsia="宋体"/>
        </w:rPr>
        <w:t xml:space="preserve"> </w:t>
      </w:r>
      <w:r>
        <w:rPr>
          <w:rFonts w:eastAsia="宋体"/>
        </w:rPr>
        <w:tab/>
      </w:r>
      <w:r>
        <w:rPr>
          <w:rFonts w:eastAsia="宋体"/>
        </w:rPr>
        <w:t>六氟化硫电气设备中气体管理和检验导则</w:t>
      </w:r>
    </w:p>
    <w:p>
      <w:pPr>
        <w:pStyle w:val="17"/>
        <w:tabs>
          <w:tab w:val="left" w:pos="2160"/>
        </w:tabs>
        <w:adjustRightInd w:val="0"/>
        <w:snapToGrid w:val="0"/>
        <w:spacing w:line="360" w:lineRule="auto"/>
        <w:rPr>
          <w:rFonts w:hint="eastAsia" w:eastAsia="宋体"/>
        </w:rPr>
      </w:pPr>
      <w:r>
        <w:rPr>
          <w:rFonts w:eastAsia="宋体"/>
        </w:rPr>
        <w:t>GB/T4109</w:t>
      </w:r>
      <w:r>
        <w:rPr>
          <w:rFonts w:hint="eastAsia" w:eastAsia="宋体"/>
        </w:rPr>
        <w:t xml:space="preserve"> </w:t>
      </w:r>
      <w:r>
        <w:rPr>
          <w:rFonts w:hint="eastAsia" w:eastAsia="宋体"/>
        </w:rPr>
        <w:tab/>
      </w:r>
      <w:r>
        <w:rPr>
          <w:rFonts w:hint="eastAsia" w:hAnsi="宋体" w:eastAsia="宋体"/>
        </w:rPr>
        <w:t>交流电压高于</w:t>
      </w:r>
      <w:r>
        <w:rPr>
          <w:rFonts w:hint="eastAsia" w:eastAsia="宋体"/>
        </w:rPr>
        <w:t>1000V</w:t>
      </w:r>
      <w:r>
        <w:rPr>
          <w:rFonts w:hint="eastAsia" w:hAnsi="宋体" w:eastAsia="宋体"/>
        </w:rPr>
        <w:t>绝缘套管</w:t>
      </w:r>
    </w:p>
    <w:p>
      <w:pPr>
        <w:pStyle w:val="17"/>
        <w:tabs>
          <w:tab w:val="left" w:pos="2160"/>
        </w:tabs>
        <w:adjustRightInd w:val="0"/>
        <w:snapToGrid w:val="0"/>
        <w:spacing w:line="360" w:lineRule="auto"/>
        <w:rPr>
          <w:rFonts w:hint="eastAsia" w:eastAsia="宋体"/>
        </w:rPr>
      </w:pPr>
      <w:r>
        <w:rPr>
          <w:rFonts w:eastAsia="宋体"/>
        </w:rPr>
        <w:t>GB</w:t>
      </w:r>
      <w:r>
        <w:rPr>
          <w:rFonts w:hint="eastAsia" w:eastAsia="宋体"/>
        </w:rPr>
        <w:t>/T</w:t>
      </w:r>
      <w:r>
        <w:rPr>
          <w:rFonts w:eastAsia="宋体"/>
        </w:rPr>
        <w:t>5273</w:t>
      </w:r>
      <w:r>
        <w:rPr>
          <w:rFonts w:hint="eastAsia" w:eastAsia="宋体"/>
        </w:rPr>
        <w:t xml:space="preserve"> </w:t>
      </w:r>
      <w:r>
        <w:rPr>
          <w:rFonts w:hint="eastAsia" w:eastAsia="宋体"/>
        </w:rPr>
        <w:tab/>
      </w:r>
      <w:r>
        <w:rPr>
          <w:rFonts w:hAnsi="宋体" w:eastAsia="宋体"/>
        </w:rPr>
        <w:t>变压器、高压电器和套管的接线端子</w:t>
      </w:r>
    </w:p>
    <w:p>
      <w:pPr>
        <w:pStyle w:val="17"/>
        <w:tabs>
          <w:tab w:val="left" w:pos="2160"/>
        </w:tabs>
        <w:adjustRightInd w:val="0"/>
        <w:snapToGrid w:val="0"/>
        <w:spacing w:line="360" w:lineRule="auto"/>
        <w:rPr>
          <w:rFonts w:hint="eastAsia" w:eastAsia="宋体"/>
        </w:rPr>
      </w:pPr>
      <w:r>
        <w:rPr>
          <w:rFonts w:hint="eastAsia" w:eastAsia="宋体"/>
        </w:rPr>
        <w:t xml:space="preserve">DL/T586 </w:t>
      </w:r>
      <w:r>
        <w:rPr>
          <w:rFonts w:hint="eastAsia" w:eastAsia="宋体"/>
        </w:rPr>
        <w:tab/>
      </w:r>
      <w:r>
        <w:rPr>
          <w:rFonts w:hint="eastAsia" w:hAnsi="宋体" w:eastAsia="宋体"/>
        </w:rPr>
        <w:t>电力设备监造技术导则</w:t>
      </w:r>
      <w:r>
        <w:rPr>
          <w:rFonts w:hint="eastAsia" w:eastAsia="宋体"/>
        </w:rPr>
        <w:t xml:space="preserve"> </w:t>
      </w:r>
    </w:p>
    <w:p>
      <w:pPr>
        <w:pStyle w:val="17"/>
        <w:tabs>
          <w:tab w:val="left" w:pos="2160"/>
        </w:tabs>
        <w:adjustRightInd w:val="0"/>
        <w:snapToGrid w:val="0"/>
        <w:spacing w:line="360" w:lineRule="auto"/>
        <w:rPr>
          <w:rFonts w:hint="eastAsia" w:eastAsia="宋体"/>
        </w:rPr>
      </w:pPr>
      <w:r>
        <w:rPr>
          <w:rFonts w:eastAsia="宋体"/>
        </w:rPr>
        <w:t>DL/T620</w:t>
      </w:r>
      <w:r>
        <w:rPr>
          <w:rFonts w:hint="eastAsia" w:eastAsia="宋体"/>
        </w:rPr>
        <w:t xml:space="preserve"> </w:t>
      </w:r>
      <w:r>
        <w:rPr>
          <w:rFonts w:hint="eastAsia" w:eastAsia="宋体"/>
        </w:rPr>
        <w:tab/>
      </w:r>
      <w:r>
        <w:rPr>
          <w:rFonts w:hAnsi="宋体" w:eastAsia="宋体"/>
        </w:rPr>
        <w:t>交流电气装置的过电压保护和绝缘配合</w:t>
      </w:r>
    </w:p>
    <w:bookmarkEnd w:id="20"/>
    <w:p>
      <w:pPr>
        <w:pStyle w:val="17"/>
        <w:tabs>
          <w:tab w:val="left" w:pos="2160"/>
        </w:tabs>
        <w:adjustRightInd w:val="0"/>
        <w:snapToGrid w:val="0"/>
        <w:spacing w:line="360" w:lineRule="auto"/>
        <w:rPr>
          <w:rFonts w:eastAsia="宋体"/>
        </w:rPr>
      </w:pPr>
      <w:r>
        <w:rPr>
          <w:rFonts w:eastAsia="宋体"/>
        </w:rPr>
        <w:t>DL/T72</w:t>
      </w:r>
      <w:r>
        <w:rPr>
          <w:rFonts w:hint="eastAsia" w:eastAsia="宋体"/>
        </w:rPr>
        <w:t xml:space="preserve">6 </w:t>
      </w:r>
      <w:r>
        <w:rPr>
          <w:rFonts w:hint="eastAsia" w:eastAsia="宋体"/>
        </w:rPr>
        <w:tab/>
      </w:r>
      <w:r>
        <w:rPr>
          <w:rFonts w:hAnsi="宋体" w:eastAsia="宋体"/>
        </w:rPr>
        <w:t>电力用电</w:t>
      </w:r>
      <w:r>
        <w:rPr>
          <w:rFonts w:hint="eastAsia" w:hAnsi="宋体" w:eastAsia="宋体"/>
        </w:rPr>
        <w:t>压</w:t>
      </w:r>
      <w:r>
        <w:rPr>
          <w:rFonts w:hAnsi="宋体" w:eastAsia="宋体"/>
        </w:rPr>
        <w:t>互感器订货技术条件</w:t>
      </w:r>
    </w:p>
    <w:p>
      <w:pPr>
        <w:pStyle w:val="17"/>
        <w:tabs>
          <w:tab w:val="left" w:pos="2160"/>
        </w:tabs>
        <w:adjustRightInd w:val="0"/>
        <w:snapToGrid w:val="0"/>
        <w:spacing w:line="360" w:lineRule="auto"/>
        <w:rPr>
          <w:rFonts w:hint="eastAsia" w:eastAsia="宋体"/>
        </w:rPr>
      </w:pPr>
      <w:r>
        <w:rPr>
          <w:rFonts w:eastAsia="宋体"/>
        </w:rPr>
        <w:t>DL/T864</w:t>
      </w:r>
      <w:r>
        <w:rPr>
          <w:rFonts w:hint="eastAsia" w:eastAsia="宋体"/>
        </w:rPr>
        <w:t xml:space="preserve"> </w:t>
      </w:r>
      <w:r>
        <w:rPr>
          <w:rFonts w:hint="eastAsia" w:eastAsia="宋体"/>
        </w:rPr>
        <w:tab/>
      </w:r>
      <w:r>
        <w:rPr>
          <w:rFonts w:hAnsi="宋体" w:eastAsia="宋体"/>
        </w:rPr>
        <w:t>标称电压高于</w:t>
      </w:r>
      <w:r>
        <w:rPr>
          <w:rFonts w:eastAsia="宋体"/>
        </w:rPr>
        <w:t>1000V</w:t>
      </w:r>
      <w:r>
        <w:rPr>
          <w:rFonts w:hAnsi="宋体" w:eastAsia="宋体"/>
        </w:rPr>
        <w:t>的交流架空线路用复合绝缘子使用导则</w:t>
      </w:r>
    </w:p>
    <w:p>
      <w:pPr>
        <w:pStyle w:val="17"/>
        <w:tabs>
          <w:tab w:val="left" w:pos="2160"/>
        </w:tabs>
        <w:adjustRightInd w:val="0"/>
        <w:snapToGrid w:val="0"/>
        <w:spacing w:line="360" w:lineRule="auto"/>
        <w:rPr>
          <w:rFonts w:hint="eastAsia" w:hAnsi="宋体" w:eastAsia="宋体"/>
        </w:rPr>
      </w:pPr>
      <w:r>
        <w:rPr>
          <w:rFonts w:eastAsia="宋体"/>
        </w:rPr>
        <w:t>DL/T866</w:t>
      </w:r>
      <w:r>
        <w:rPr>
          <w:rFonts w:hint="eastAsia" w:eastAsia="宋体"/>
        </w:rPr>
        <w:t xml:space="preserve"> </w:t>
      </w:r>
      <w:r>
        <w:rPr>
          <w:rFonts w:hint="eastAsia" w:eastAsia="宋体"/>
        </w:rPr>
        <w:tab/>
      </w:r>
      <w:r>
        <w:rPr>
          <w:rFonts w:hAnsi="宋体" w:eastAsia="宋体"/>
        </w:rPr>
        <w:t>电流互感器和电压互感器选择及计算导则</w:t>
      </w:r>
    </w:p>
    <w:p>
      <w:pPr>
        <w:pStyle w:val="17"/>
        <w:tabs>
          <w:tab w:val="left" w:pos="2160"/>
        </w:tabs>
        <w:adjustRightInd w:val="0"/>
        <w:snapToGrid w:val="0"/>
        <w:spacing w:line="360" w:lineRule="auto"/>
        <w:rPr>
          <w:rFonts w:eastAsia="宋体"/>
        </w:rPr>
      </w:pPr>
      <w:r>
        <w:rPr>
          <w:rFonts w:hint="eastAsia" w:eastAsia="宋体"/>
        </w:rPr>
        <w:t>J</w:t>
      </w:r>
      <w:r>
        <w:rPr>
          <w:rFonts w:eastAsia="宋体"/>
        </w:rPr>
        <w:t>B/T535</w:t>
      </w:r>
      <w:r>
        <w:rPr>
          <w:rFonts w:hint="eastAsia" w:eastAsia="宋体"/>
        </w:rPr>
        <w:t xml:space="preserve">7 </w:t>
      </w:r>
      <w:r>
        <w:rPr>
          <w:rFonts w:hint="eastAsia" w:eastAsia="宋体"/>
        </w:rPr>
        <w:tab/>
      </w:r>
      <w:r>
        <w:rPr>
          <w:rFonts w:eastAsia="宋体"/>
        </w:rPr>
        <w:t>电流互感器试验导则</w:t>
      </w:r>
    </w:p>
    <w:p>
      <w:pPr>
        <w:pStyle w:val="17"/>
        <w:tabs>
          <w:tab w:val="left" w:pos="2160"/>
        </w:tabs>
        <w:adjustRightInd w:val="0"/>
        <w:snapToGrid w:val="0"/>
        <w:spacing w:line="360" w:lineRule="auto"/>
        <w:rPr>
          <w:rFonts w:hint="eastAsia" w:eastAsia="宋体" w:cs="Times New Roman"/>
          <w:lang w:bidi="ar"/>
        </w:rPr>
      </w:pPr>
      <w:r>
        <w:rPr>
          <w:rFonts w:eastAsia="宋体" w:cs="Times New Roman"/>
          <w:lang w:bidi="ar"/>
        </w:rPr>
        <w:t>QCSG1209012-2016      10kV</w:t>
      </w:r>
      <w:r>
        <w:rPr>
          <w:rFonts w:hint="eastAsia" w:eastAsia="宋体" w:cs="Times New Roman"/>
          <w:lang w:bidi="ar"/>
        </w:rPr>
        <w:t>／</w:t>
      </w:r>
      <w:r>
        <w:rPr>
          <w:rFonts w:eastAsia="宋体" w:cs="Times New Roman"/>
          <w:lang w:bidi="ar"/>
        </w:rPr>
        <w:t>20kV</w:t>
      </w:r>
      <w:r>
        <w:rPr>
          <w:rFonts w:hint="eastAsia" w:eastAsia="宋体" w:cs="Times New Roman"/>
          <w:lang w:bidi="ar"/>
        </w:rPr>
        <w:t>计量用电压互感器技术</w:t>
      </w:r>
      <w:r>
        <w:rPr>
          <w:rFonts w:eastAsia="宋体" w:cs="Times New Roman"/>
          <w:lang w:bidi="ar"/>
        </w:rPr>
        <w:t xml:space="preserve">   </w:t>
      </w:r>
      <w:r>
        <w:rPr>
          <w:rFonts w:hint="eastAsia" w:eastAsia="宋体" w:cs="Times New Roman"/>
          <w:lang w:bidi="ar"/>
        </w:rPr>
        <w:t>（南方电网公司企业标准）</w:t>
      </w:r>
    </w:p>
    <w:p>
      <w:pPr>
        <w:pStyle w:val="17"/>
        <w:tabs>
          <w:tab w:val="left" w:pos="2160"/>
        </w:tabs>
        <w:adjustRightInd w:val="0"/>
        <w:snapToGrid w:val="0"/>
        <w:spacing w:line="360" w:lineRule="auto"/>
        <w:rPr>
          <w:rFonts w:hint="eastAsia" w:eastAsia="宋体" w:cs="Times New Roman"/>
          <w:lang w:bidi="ar"/>
        </w:rPr>
      </w:pPr>
      <w:r>
        <w:rPr>
          <w:rFonts w:eastAsia="宋体" w:cs="Times New Roman"/>
          <w:lang w:bidi="ar"/>
        </w:rPr>
        <w:t xml:space="preserve">JJG 314-2010            </w:t>
      </w:r>
      <w:r>
        <w:rPr>
          <w:rFonts w:hint="eastAsia" w:eastAsia="宋体" w:cs="Times New Roman"/>
          <w:lang w:bidi="ar"/>
        </w:rPr>
        <w:t>测量用电压互感器检定规程</w:t>
      </w:r>
    </w:p>
    <w:p>
      <w:pPr>
        <w:pStyle w:val="17"/>
        <w:tabs>
          <w:tab w:val="left" w:pos="2160"/>
        </w:tabs>
        <w:adjustRightInd w:val="0"/>
        <w:snapToGrid w:val="0"/>
        <w:spacing w:line="360" w:lineRule="auto"/>
        <w:rPr>
          <w:rFonts w:hint="eastAsia" w:eastAsia="宋体" w:cs="Times New Roman"/>
          <w:lang w:bidi="ar"/>
        </w:rPr>
      </w:pPr>
      <w:r>
        <w:rPr>
          <w:rFonts w:eastAsia="宋体" w:cs="Times New Roman"/>
          <w:lang w:bidi="ar"/>
        </w:rPr>
        <w:t xml:space="preserve">DL/T726     </w:t>
      </w:r>
      <w:r>
        <w:rPr>
          <w:rFonts w:eastAsia="宋体" w:cs="Times New Roman"/>
          <w:lang w:bidi="ar"/>
        </w:rPr>
        <w:tab/>
      </w:r>
      <w:r>
        <w:rPr>
          <w:rFonts w:eastAsia="宋体" w:cs="Times New Roman"/>
          <w:lang w:bidi="ar"/>
        </w:rPr>
        <w:tab/>
      </w:r>
      <w:r>
        <w:rPr>
          <w:rFonts w:eastAsia="宋体" w:cs="Times New Roman"/>
          <w:lang w:bidi="ar"/>
        </w:rPr>
        <w:tab/>
      </w:r>
      <w:r>
        <w:rPr>
          <w:rFonts w:hint="eastAsia" w:eastAsia="宋体" w:cs="Times New Roman"/>
          <w:lang w:bidi="ar"/>
        </w:rPr>
        <w:t>电力用电磁式电压互感器使用技术规范</w:t>
      </w:r>
    </w:p>
    <w:p>
      <w:pPr>
        <w:pStyle w:val="17"/>
        <w:tabs>
          <w:tab w:val="left" w:pos="2160"/>
        </w:tabs>
        <w:adjustRightInd w:val="0"/>
        <w:snapToGrid w:val="0"/>
        <w:spacing w:line="360" w:lineRule="auto"/>
        <w:rPr>
          <w:rFonts w:hint="eastAsia" w:eastAsia="宋体" w:cs="Times New Roman"/>
          <w:lang w:bidi="ar"/>
        </w:rPr>
      </w:pPr>
      <w:r>
        <w:rPr>
          <w:rFonts w:eastAsia="宋体" w:cs="Times New Roman"/>
          <w:lang w:bidi="ar"/>
        </w:rPr>
        <w:t xml:space="preserve">GB20840.3-2013          </w:t>
      </w:r>
      <w:r>
        <w:rPr>
          <w:rFonts w:hint="eastAsia" w:eastAsia="宋体" w:cs="Times New Roman"/>
          <w:lang w:bidi="ar"/>
        </w:rPr>
        <w:t>互感器</w:t>
      </w:r>
      <w:r>
        <w:rPr>
          <w:rFonts w:eastAsia="宋体" w:cs="Times New Roman"/>
          <w:lang w:bidi="ar"/>
        </w:rPr>
        <w:t> </w:t>
      </w:r>
      <w:r>
        <w:rPr>
          <w:rFonts w:hint="eastAsia" w:eastAsia="宋体" w:cs="Times New Roman"/>
          <w:lang w:bidi="ar"/>
        </w:rPr>
        <w:t>第</w:t>
      </w:r>
      <w:r>
        <w:rPr>
          <w:rFonts w:eastAsia="宋体" w:cs="Times New Roman"/>
          <w:lang w:bidi="ar"/>
        </w:rPr>
        <w:t>3</w:t>
      </w:r>
      <w:r>
        <w:rPr>
          <w:rFonts w:hint="eastAsia" w:eastAsia="宋体" w:cs="Times New Roman"/>
          <w:lang w:bidi="ar"/>
        </w:rPr>
        <w:t>部分电磁式电压互感器的补充技术要求</w:t>
      </w:r>
    </w:p>
    <w:p>
      <w:pPr>
        <w:pStyle w:val="2"/>
        <w:adjustRightInd w:val="0"/>
        <w:spacing w:before="0" w:beforeLines="0"/>
        <w:rPr>
          <w:rFonts w:hint="eastAsia" w:ascii="黑体" w:hAnsi="宋体" w:eastAsia="黑体"/>
          <w:b w:val="0"/>
        </w:rPr>
      </w:pPr>
      <w:bookmarkStart w:id="22" w:name="_Toc342897942"/>
      <w:r>
        <w:rPr>
          <w:rFonts w:hint="eastAsia" w:ascii="黑体" w:hAnsi="宋体" w:eastAsia="黑体"/>
          <w:b w:val="0"/>
        </w:rPr>
        <w:t>使用条件</w:t>
      </w:r>
      <w:bookmarkEnd w:id="21"/>
      <w:bookmarkEnd w:id="22"/>
    </w:p>
    <w:p>
      <w:pPr>
        <w:pStyle w:val="17"/>
        <w:adjustRightInd w:val="0"/>
        <w:snapToGrid w:val="0"/>
        <w:spacing w:line="360" w:lineRule="auto"/>
        <w:rPr>
          <w:rFonts w:hint="eastAsia" w:eastAsia="宋体" w:cs="Times New Roman"/>
          <w:szCs w:val="21"/>
        </w:rPr>
      </w:pPr>
      <w:bookmarkStart w:id="23" w:name="_Toc279769036"/>
      <w:r>
        <w:rPr>
          <w:rFonts w:hint="eastAsia" w:eastAsia="宋体" w:cs="Times New Roman"/>
          <w:szCs w:val="21"/>
        </w:rPr>
        <w:t>本标书采购的10kV 干式电压互感器，其安装地点的实际外部条件见表4.1：设备外部条件一览表。投标方应对所提供的设备绝缘水平、温升等相关性能参数在工程实际外部条件下进行校验、核对，使所供设备满足实际外部条件要求及全工况运行要求。</w:t>
      </w:r>
    </w:p>
    <w:p>
      <w:pPr>
        <w:pStyle w:val="16"/>
        <w:ind w:firstLine="2310" w:firstLineChars="1100"/>
        <w:rPr>
          <w:rFonts w:hint="eastAsia"/>
          <w:szCs w:val="21"/>
        </w:rPr>
      </w:pPr>
      <w:r>
        <w:rPr>
          <w:rFonts w:hint="eastAsia" w:hAnsi="宋体"/>
          <w:szCs w:val="21"/>
        </w:rPr>
        <w:t xml:space="preserve">表4.1 </w:t>
      </w:r>
      <w:r>
        <w:rPr>
          <w:rFonts w:hAnsi="宋体"/>
          <w:szCs w:val="21"/>
        </w:rPr>
        <w:t xml:space="preserve"> </w:t>
      </w:r>
      <w:r>
        <w:rPr>
          <w:rFonts w:hint="eastAsia" w:hAnsi="宋体"/>
          <w:szCs w:val="21"/>
        </w:rPr>
        <w:t>设备外部条件一览表 （项目单位填写）</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44"/>
        <w:gridCol w:w="972"/>
        <w:gridCol w:w="318"/>
        <w:gridCol w:w="1482"/>
        <w:gridCol w:w="1078"/>
        <w:gridCol w:w="1450"/>
        <w:gridCol w:w="26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center"/>
          </w:tcPr>
          <w:p>
            <w:pPr>
              <w:rPr>
                <w:rFonts w:hint="eastAsia"/>
              </w:rPr>
            </w:pPr>
            <w:r>
              <w:rPr>
                <w:rFonts w:hint="eastAsia"/>
              </w:rPr>
              <w:t>序号</w:t>
            </w:r>
          </w:p>
        </w:tc>
        <w:tc>
          <w:tcPr>
            <w:tcW w:w="2772" w:type="dxa"/>
            <w:gridSpan w:val="3"/>
            <w:noWrap w:val="0"/>
            <w:vAlign w:val="center"/>
          </w:tcPr>
          <w:p>
            <w:pPr>
              <w:jc w:val="center"/>
              <w:rPr>
                <w:rFonts w:hint="eastAsia"/>
              </w:rPr>
            </w:pPr>
            <w:r>
              <w:rPr>
                <w:rFonts w:hint="eastAsia"/>
              </w:rPr>
              <w:t>名   称</w:t>
            </w:r>
          </w:p>
        </w:tc>
        <w:tc>
          <w:tcPr>
            <w:tcW w:w="1078" w:type="dxa"/>
            <w:noWrap w:val="0"/>
            <w:vAlign w:val="center"/>
          </w:tcPr>
          <w:p>
            <w:pPr>
              <w:jc w:val="center"/>
              <w:rPr>
                <w:rFonts w:hint="eastAsia"/>
              </w:rPr>
            </w:pPr>
            <w:r>
              <w:rPr>
                <w:rFonts w:hint="eastAsia"/>
              </w:rPr>
              <w:t>单位</w:t>
            </w:r>
          </w:p>
        </w:tc>
        <w:tc>
          <w:tcPr>
            <w:tcW w:w="1450" w:type="dxa"/>
            <w:noWrap w:val="0"/>
            <w:vAlign w:val="center"/>
          </w:tcPr>
          <w:p>
            <w:pPr>
              <w:ind w:firstLine="210" w:firstLineChars="100"/>
              <w:rPr>
                <w:rFonts w:hint="eastAsia"/>
              </w:rPr>
            </w:pPr>
            <w:r>
              <w:rPr>
                <w:rFonts w:hint="eastAsia"/>
              </w:rPr>
              <w:t>数值</w:t>
            </w:r>
          </w:p>
        </w:tc>
        <w:tc>
          <w:tcPr>
            <w:tcW w:w="2692" w:type="dxa"/>
            <w:noWrap w:val="0"/>
            <w:vAlign w:val="top"/>
          </w:tcPr>
          <w:p>
            <w:pPr>
              <w:rPr>
                <w:rFonts w:hint="eastAsia"/>
              </w:rPr>
            </w:pPr>
            <w:r>
              <w:rPr>
                <w:rFonts w:hint="eastAsia"/>
              </w:rPr>
              <w:t>备注（须说明本工程适用的是正常使用条件或是特殊使用条件）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vMerge w:val="restart"/>
            <w:noWrap w:val="0"/>
            <w:vAlign w:val="center"/>
          </w:tcPr>
          <w:p>
            <w:pPr>
              <w:jc w:val="center"/>
              <w:rPr>
                <w:rFonts w:hint="eastAsia"/>
              </w:rPr>
            </w:pPr>
            <w:r>
              <w:rPr>
                <w:rFonts w:hint="eastAsia"/>
              </w:rPr>
              <w:t>1</w:t>
            </w:r>
          </w:p>
        </w:tc>
        <w:tc>
          <w:tcPr>
            <w:tcW w:w="1290" w:type="dxa"/>
            <w:gridSpan w:val="2"/>
            <w:vMerge w:val="restart"/>
            <w:noWrap w:val="0"/>
            <w:vAlign w:val="center"/>
          </w:tcPr>
          <w:p>
            <w:pPr>
              <w:rPr>
                <w:rFonts w:hint="eastAsia"/>
              </w:rPr>
            </w:pPr>
            <w:r>
              <w:rPr>
                <w:rFonts w:hint="eastAsia"/>
              </w:rPr>
              <w:t>环境温度</w:t>
            </w:r>
          </w:p>
        </w:tc>
        <w:tc>
          <w:tcPr>
            <w:tcW w:w="1482" w:type="dxa"/>
            <w:noWrap w:val="0"/>
            <w:vAlign w:val="top"/>
          </w:tcPr>
          <w:p>
            <w:pPr>
              <w:rPr>
                <w:rFonts w:hint="eastAsia"/>
              </w:rPr>
            </w:pPr>
            <w:r>
              <w:rPr>
                <w:rFonts w:hint="eastAsia"/>
              </w:rPr>
              <w:t>最高日温度</w:t>
            </w:r>
          </w:p>
        </w:tc>
        <w:tc>
          <w:tcPr>
            <w:tcW w:w="1078" w:type="dxa"/>
            <w:vMerge w:val="restart"/>
            <w:noWrap w:val="0"/>
            <w:vAlign w:val="center"/>
          </w:tcPr>
          <w:p>
            <w:pPr>
              <w:jc w:val="center"/>
              <w:rPr>
                <w:rFonts w:hint="eastAsia"/>
              </w:rPr>
            </w:pPr>
            <w:r>
              <w:rPr>
                <w:rFonts w:hint="eastAsia"/>
              </w:rPr>
              <w:t>℃</w:t>
            </w:r>
          </w:p>
        </w:tc>
        <w:tc>
          <w:tcPr>
            <w:tcW w:w="1450" w:type="dxa"/>
            <w:noWrap w:val="0"/>
            <w:vAlign w:val="top"/>
          </w:tcPr>
          <w:p>
            <w:pPr>
              <w:rPr>
                <w:rFonts w:hint="eastAsia" w:hAnsi="宋体"/>
              </w:rPr>
            </w:pPr>
            <w:r>
              <w:rPr>
                <w:rFonts w:hint="eastAsia" w:hAnsi="宋体"/>
              </w:rPr>
              <w:t>40</w:t>
            </w:r>
          </w:p>
        </w:tc>
        <w:tc>
          <w:tcPr>
            <w:tcW w:w="2692" w:type="dxa"/>
            <w:noWrap w:val="0"/>
            <w:vAlign w:val="top"/>
          </w:tcPr>
          <w:p>
            <w:pPr>
              <w:rPr>
                <w:rFonts w:hint="eastAsia" w:hAnsi="宋体"/>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vMerge w:val="continue"/>
            <w:noWrap w:val="0"/>
            <w:vAlign w:val="top"/>
          </w:tcPr>
          <w:p>
            <w:pPr>
              <w:jc w:val="center"/>
              <w:rPr>
                <w:rFonts w:hint="eastAsia"/>
              </w:rPr>
            </w:pPr>
          </w:p>
        </w:tc>
        <w:tc>
          <w:tcPr>
            <w:tcW w:w="1290" w:type="dxa"/>
            <w:gridSpan w:val="2"/>
            <w:vMerge w:val="continue"/>
            <w:noWrap w:val="0"/>
            <w:vAlign w:val="top"/>
          </w:tcPr>
          <w:p>
            <w:pPr>
              <w:rPr>
                <w:rFonts w:hint="eastAsia"/>
              </w:rPr>
            </w:pPr>
          </w:p>
        </w:tc>
        <w:tc>
          <w:tcPr>
            <w:tcW w:w="1482" w:type="dxa"/>
            <w:noWrap w:val="0"/>
            <w:vAlign w:val="top"/>
          </w:tcPr>
          <w:p>
            <w:pPr>
              <w:rPr>
                <w:rFonts w:hint="eastAsia"/>
              </w:rPr>
            </w:pPr>
            <w:r>
              <w:rPr>
                <w:rFonts w:hint="eastAsia"/>
              </w:rPr>
              <w:t>最低日温度</w:t>
            </w:r>
          </w:p>
        </w:tc>
        <w:tc>
          <w:tcPr>
            <w:tcW w:w="1078" w:type="dxa"/>
            <w:vMerge w:val="continue"/>
            <w:noWrap w:val="0"/>
            <w:vAlign w:val="top"/>
          </w:tcPr>
          <w:p>
            <w:pPr>
              <w:rPr>
                <w:rFonts w:hint="eastAsia"/>
              </w:rPr>
            </w:pPr>
          </w:p>
        </w:tc>
        <w:tc>
          <w:tcPr>
            <w:tcW w:w="1450" w:type="dxa"/>
            <w:noWrap w:val="0"/>
            <w:vAlign w:val="top"/>
          </w:tcPr>
          <w:p>
            <w:pPr>
              <w:rPr>
                <w:rFonts w:hint="eastAsia"/>
              </w:rPr>
            </w:pPr>
            <w:r>
              <w:rPr>
                <w:rFonts w:hint="eastAsia"/>
              </w:rPr>
              <w:t>-5</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vMerge w:val="continue"/>
            <w:noWrap w:val="0"/>
            <w:vAlign w:val="top"/>
          </w:tcPr>
          <w:p>
            <w:pPr>
              <w:jc w:val="center"/>
              <w:rPr>
                <w:rFonts w:hint="eastAsia"/>
              </w:rPr>
            </w:pPr>
          </w:p>
        </w:tc>
        <w:tc>
          <w:tcPr>
            <w:tcW w:w="1290" w:type="dxa"/>
            <w:gridSpan w:val="2"/>
            <w:vMerge w:val="continue"/>
            <w:noWrap w:val="0"/>
            <w:vAlign w:val="top"/>
          </w:tcPr>
          <w:p>
            <w:pPr>
              <w:rPr>
                <w:rFonts w:hint="eastAsia"/>
              </w:rPr>
            </w:pPr>
          </w:p>
        </w:tc>
        <w:tc>
          <w:tcPr>
            <w:tcW w:w="1482" w:type="dxa"/>
            <w:noWrap w:val="0"/>
            <w:vAlign w:val="top"/>
          </w:tcPr>
          <w:p>
            <w:pPr>
              <w:rPr>
                <w:rFonts w:hint="eastAsia"/>
              </w:rPr>
            </w:pPr>
            <w:r>
              <w:rPr>
                <w:rFonts w:hint="eastAsia"/>
              </w:rPr>
              <w:t>最大日温差</w:t>
            </w:r>
          </w:p>
        </w:tc>
        <w:tc>
          <w:tcPr>
            <w:tcW w:w="1078" w:type="dxa"/>
            <w:vMerge w:val="continue"/>
            <w:noWrap w:val="0"/>
            <w:vAlign w:val="top"/>
          </w:tcPr>
          <w:p>
            <w:pPr>
              <w:rPr>
                <w:rFonts w:hint="eastAsia"/>
              </w:rPr>
            </w:pPr>
          </w:p>
        </w:tc>
        <w:tc>
          <w:tcPr>
            <w:tcW w:w="1450" w:type="dxa"/>
            <w:noWrap w:val="0"/>
            <w:vAlign w:val="top"/>
          </w:tcPr>
          <w:p>
            <w:pPr>
              <w:rPr>
                <w:rFonts w:hint="eastAsia"/>
              </w:rPr>
            </w:pPr>
            <w:r>
              <w:rPr>
                <w:rFonts w:hint="eastAsia"/>
              </w:rPr>
              <w:t>35</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rPr>
            </w:pPr>
            <w:r>
              <w:rPr>
                <w:rFonts w:hint="eastAsia"/>
              </w:rPr>
              <w:t>2</w:t>
            </w:r>
          </w:p>
        </w:tc>
        <w:tc>
          <w:tcPr>
            <w:tcW w:w="2772" w:type="dxa"/>
            <w:gridSpan w:val="3"/>
            <w:noWrap w:val="0"/>
            <w:vAlign w:val="top"/>
          </w:tcPr>
          <w:p>
            <w:pPr>
              <w:rPr>
                <w:rFonts w:hint="eastAsia"/>
              </w:rPr>
            </w:pPr>
            <w:r>
              <w:rPr>
                <w:rFonts w:hint="eastAsia"/>
              </w:rPr>
              <w:t>海拔</w:t>
            </w:r>
          </w:p>
        </w:tc>
        <w:tc>
          <w:tcPr>
            <w:tcW w:w="1078" w:type="dxa"/>
            <w:noWrap w:val="0"/>
            <w:vAlign w:val="top"/>
          </w:tcPr>
          <w:p>
            <w:pPr>
              <w:jc w:val="center"/>
              <w:rPr>
                <w:rFonts w:hint="eastAsia"/>
              </w:rPr>
            </w:pPr>
            <w:r>
              <w:rPr>
                <w:rFonts w:hint="eastAsia"/>
              </w:rPr>
              <w:t>m</w:t>
            </w:r>
          </w:p>
        </w:tc>
        <w:tc>
          <w:tcPr>
            <w:tcW w:w="1450" w:type="dxa"/>
            <w:noWrap w:val="0"/>
            <w:vAlign w:val="top"/>
          </w:tcPr>
          <w:p>
            <w:pPr>
              <w:rPr>
                <w:rFonts w:hint="eastAsia"/>
              </w:rPr>
            </w:pPr>
            <w:r>
              <w:rPr>
                <w:rFonts w:hint="eastAsia"/>
              </w:rPr>
              <w:t>≤1000</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rPr>
            </w:pPr>
            <w:r>
              <w:rPr>
                <w:rFonts w:hint="eastAsia"/>
              </w:rPr>
              <w:t>3</w:t>
            </w:r>
          </w:p>
        </w:tc>
        <w:tc>
          <w:tcPr>
            <w:tcW w:w="2772" w:type="dxa"/>
            <w:gridSpan w:val="3"/>
            <w:noWrap w:val="0"/>
            <w:vAlign w:val="top"/>
          </w:tcPr>
          <w:p>
            <w:pPr>
              <w:rPr>
                <w:rFonts w:hint="eastAsia"/>
              </w:rPr>
            </w:pPr>
            <w:r>
              <w:rPr>
                <w:rFonts w:hint="eastAsia"/>
              </w:rPr>
              <w:t>太阳辐射强度</w:t>
            </w:r>
          </w:p>
        </w:tc>
        <w:tc>
          <w:tcPr>
            <w:tcW w:w="1078" w:type="dxa"/>
            <w:noWrap w:val="0"/>
            <w:vAlign w:val="top"/>
          </w:tcPr>
          <w:p>
            <w:pPr>
              <w:jc w:val="center"/>
              <w:rPr>
                <w:rFonts w:hint="eastAsia"/>
                <w:vertAlign w:val="superscript"/>
              </w:rPr>
            </w:pPr>
            <w:r>
              <w:rPr>
                <w:rFonts w:hint="eastAsia"/>
              </w:rPr>
              <w:t>W/cm</w:t>
            </w:r>
            <w:r>
              <w:rPr>
                <w:rFonts w:hint="eastAsia"/>
                <w:vertAlign w:val="superscript"/>
              </w:rPr>
              <w:t>2</w:t>
            </w:r>
          </w:p>
        </w:tc>
        <w:tc>
          <w:tcPr>
            <w:tcW w:w="1450" w:type="dxa"/>
            <w:noWrap w:val="0"/>
            <w:vAlign w:val="top"/>
          </w:tcPr>
          <w:p>
            <w:pPr>
              <w:rPr>
                <w:rFonts w:hint="eastAsia"/>
              </w:rPr>
            </w:pPr>
            <w:r>
              <w:rPr>
                <w:rFonts w:hint="eastAsia"/>
              </w:rPr>
              <w:t>0.1</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rPr>
            </w:pPr>
            <w:r>
              <w:rPr>
                <w:rFonts w:hint="eastAsia"/>
              </w:rPr>
              <w:t>4</w:t>
            </w:r>
          </w:p>
        </w:tc>
        <w:tc>
          <w:tcPr>
            <w:tcW w:w="2772" w:type="dxa"/>
            <w:gridSpan w:val="3"/>
            <w:noWrap w:val="0"/>
            <w:vAlign w:val="top"/>
          </w:tcPr>
          <w:p>
            <w:pPr>
              <w:rPr>
                <w:rFonts w:hint="eastAsia"/>
              </w:rPr>
            </w:pPr>
            <w:r>
              <w:rPr>
                <w:rFonts w:hint="eastAsia"/>
              </w:rPr>
              <w:t>污秽等级</w:t>
            </w:r>
          </w:p>
        </w:tc>
        <w:tc>
          <w:tcPr>
            <w:tcW w:w="1078" w:type="dxa"/>
            <w:noWrap w:val="0"/>
            <w:vAlign w:val="top"/>
          </w:tcPr>
          <w:p>
            <w:pPr>
              <w:rPr>
                <w:rFonts w:hint="eastAsia"/>
              </w:rPr>
            </w:pPr>
          </w:p>
        </w:tc>
        <w:tc>
          <w:tcPr>
            <w:tcW w:w="1450" w:type="dxa"/>
            <w:noWrap w:val="0"/>
            <w:vAlign w:val="top"/>
          </w:tcPr>
          <w:p>
            <w:pPr>
              <w:rPr>
                <w:rFonts w:hint="eastAsia" w:eastAsia="宋体"/>
                <w:lang w:val="en-US" w:eastAsia="zh-CN"/>
              </w:rPr>
            </w:pPr>
            <w:r>
              <w:rPr>
                <w:rFonts w:hint="eastAsia" w:eastAsia="宋体"/>
                <w:lang w:val="en-US" w:eastAsia="zh-CN"/>
              </w:rPr>
              <w:t>c</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rPr>
            </w:pPr>
            <w:r>
              <w:rPr>
                <w:rFonts w:hint="eastAsia"/>
              </w:rPr>
              <w:t>5</w:t>
            </w:r>
          </w:p>
        </w:tc>
        <w:tc>
          <w:tcPr>
            <w:tcW w:w="2772" w:type="dxa"/>
            <w:gridSpan w:val="3"/>
            <w:noWrap w:val="0"/>
            <w:vAlign w:val="top"/>
          </w:tcPr>
          <w:p>
            <w:pPr>
              <w:rPr>
                <w:rFonts w:hint="eastAsia"/>
              </w:rPr>
            </w:pPr>
            <w:r>
              <w:rPr>
                <w:rFonts w:hint="eastAsia"/>
              </w:rPr>
              <w:t>覆冰厚度</w:t>
            </w:r>
          </w:p>
        </w:tc>
        <w:tc>
          <w:tcPr>
            <w:tcW w:w="1078" w:type="dxa"/>
            <w:noWrap w:val="0"/>
            <w:vAlign w:val="top"/>
          </w:tcPr>
          <w:p>
            <w:pPr>
              <w:jc w:val="center"/>
              <w:rPr>
                <w:rFonts w:hint="eastAsia"/>
              </w:rPr>
            </w:pPr>
            <w:r>
              <w:rPr>
                <w:rFonts w:hint="eastAsia"/>
              </w:rPr>
              <w:t>mm</w:t>
            </w:r>
          </w:p>
        </w:tc>
        <w:tc>
          <w:tcPr>
            <w:tcW w:w="1450" w:type="dxa"/>
            <w:noWrap w:val="0"/>
            <w:vAlign w:val="top"/>
          </w:tcPr>
          <w:p>
            <w:pPr>
              <w:rPr>
                <w:rFonts w:hint="eastAsia"/>
              </w:rPr>
            </w:pPr>
            <w:r>
              <w:t>0</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44" w:type="dxa"/>
            <w:noWrap w:val="0"/>
            <w:vAlign w:val="top"/>
          </w:tcPr>
          <w:p>
            <w:pPr>
              <w:jc w:val="center"/>
              <w:rPr>
                <w:rFonts w:hint="eastAsia"/>
              </w:rPr>
            </w:pPr>
            <w:r>
              <w:rPr>
                <w:rFonts w:hint="eastAsia"/>
              </w:rPr>
              <w:t>6</w:t>
            </w:r>
          </w:p>
        </w:tc>
        <w:tc>
          <w:tcPr>
            <w:tcW w:w="2772" w:type="dxa"/>
            <w:gridSpan w:val="3"/>
            <w:noWrap w:val="0"/>
            <w:vAlign w:val="top"/>
          </w:tcPr>
          <w:p>
            <w:pPr>
              <w:rPr>
                <w:rFonts w:hint="eastAsia"/>
              </w:rPr>
            </w:pPr>
            <w:r>
              <w:rPr>
                <w:rFonts w:hint="eastAsia"/>
              </w:rPr>
              <w:t>风速</w:t>
            </w:r>
          </w:p>
        </w:tc>
        <w:tc>
          <w:tcPr>
            <w:tcW w:w="1078" w:type="dxa"/>
            <w:noWrap w:val="0"/>
            <w:vAlign w:val="top"/>
          </w:tcPr>
          <w:p>
            <w:pPr>
              <w:jc w:val="center"/>
              <w:rPr>
                <w:rFonts w:hint="eastAsia"/>
              </w:rPr>
            </w:pPr>
            <w:r>
              <w:rPr>
                <w:rFonts w:hint="eastAsia"/>
              </w:rPr>
              <w:t>m/s</w:t>
            </w:r>
          </w:p>
        </w:tc>
        <w:tc>
          <w:tcPr>
            <w:tcW w:w="1450" w:type="dxa"/>
            <w:noWrap w:val="0"/>
            <w:vAlign w:val="top"/>
          </w:tcPr>
          <w:p>
            <w:r>
              <w:rPr>
                <w:rFonts w:hint="eastAsia"/>
              </w:rPr>
              <w:t>30</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vMerge w:val="restart"/>
            <w:noWrap w:val="0"/>
            <w:vAlign w:val="center"/>
          </w:tcPr>
          <w:p>
            <w:pPr>
              <w:jc w:val="center"/>
              <w:rPr>
                <w:rFonts w:hint="eastAsia"/>
              </w:rPr>
            </w:pPr>
            <w:r>
              <w:rPr>
                <w:rFonts w:hint="eastAsia"/>
              </w:rPr>
              <w:t>7</w:t>
            </w:r>
          </w:p>
        </w:tc>
        <w:tc>
          <w:tcPr>
            <w:tcW w:w="972" w:type="dxa"/>
            <w:vMerge w:val="restart"/>
            <w:noWrap w:val="0"/>
            <w:vAlign w:val="center"/>
          </w:tcPr>
          <w:p>
            <w:pPr>
              <w:rPr>
                <w:rFonts w:hint="eastAsia"/>
              </w:rPr>
            </w:pPr>
            <w:r>
              <w:rPr>
                <w:rFonts w:hint="eastAsia"/>
              </w:rPr>
              <w:t>相对湿度</w:t>
            </w:r>
          </w:p>
        </w:tc>
        <w:tc>
          <w:tcPr>
            <w:tcW w:w="1800" w:type="dxa"/>
            <w:gridSpan w:val="2"/>
            <w:noWrap w:val="0"/>
            <w:vAlign w:val="top"/>
          </w:tcPr>
          <w:p>
            <w:pPr>
              <w:rPr>
                <w:rFonts w:hint="eastAsia"/>
              </w:rPr>
            </w:pPr>
            <w:r>
              <w:rPr>
                <w:rFonts w:hint="eastAsia"/>
              </w:rPr>
              <w:t>最大日相对湿度</w:t>
            </w:r>
          </w:p>
        </w:tc>
        <w:tc>
          <w:tcPr>
            <w:tcW w:w="1078" w:type="dxa"/>
            <w:vMerge w:val="restart"/>
            <w:noWrap w:val="0"/>
            <w:vAlign w:val="center"/>
          </w:tcPr>
          <w:p>
            <w:pPr>
              <w:jc w:val="center"/>
              <w:rPr>
                <w:rFonts w:hint="eastAsia"/>
              </w:rPr>
            </w:pPr>
            <w:r>
              <w:rPr>
                <w:rFonts w:hint="eastAsia"/>
              </w:rPr>
              <w:t>%</w:t>
            </w:r>
          </w:p>
        </w:tc>
        <w:tc>
          <w:tcPr>
            <w:tcW w:w="1450" w:type="dxa"/>
            <w:noWrap w:val="0"/>
            <w:vAlign w:val="top"/>
          </w:tcPr>
          <w:p>
            <w:pPr>
              <w:rPr>
                <w:rFonts w:hint="eastAsia"/>
              </w:rPr>
            </w:pPr>
            <w:r>
              <w:t>90</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vMerge w:val="continue"/>
            <w:noWrap w:val="0"/>
            <w:vAlign w:val="top"/>
          </w:tcPr>
          <w:p>
            <w:pPr>
              <w:jc w:val="center"/>
              <w:rPr>
                <w:rFonts w:hint="eastAsia"/>
              </w:rPr>
            </w:pPr>
          </w:p>
        </w:tc>
        <w:tc>
          <w:tcPr>
            <w:tcW w:w="972" w:type="dxa"/>
            <w:vMerge w:val="continue"/>
            <w:noWrap w:val="0"/>
            <w:vAlign w:val="top"/>
          </w:tcPr>
          <w:p>
            <w:pPr>
              <w:rPr>
                <w:rFonts w:hint="eastAsia"/>
              </w:rPr>
            </w:pPr>
          </w:p>
        </w:tc>
        <w:tc>
          <w:tcPr>
            <w:tcW w:w="1800" w:type="dxa"/>
            <w:gridSpan w:val="2"/>
            <w:noWrap w:val="0"/>
            <w:vAlign w:val="top"/>
          </w:tcPr>
          <w:p>
            <w:pPr>
              <w:rPr>
                <w:rFonts w:hint="eastAsia"/>
              </w:rPr>
            </w:pPr>
            <w:r>
              <w:rPr>
                <w:rFonts w:hint="eastAsia"/>
              </w:rPr>
              <w:t>最大月平均相对湿度</w:t>
            </w:r>
          </w:p>
        </w:tc>
        <w:tc>
          <w:tcPr>
            <w:tcW w:w="1078" w:type="dxa"/>
            <w:vMerge w:val="continue"/>
            <w:noWrap w:val="0"/>
            <w:vAlign w:val="top"/>
          </w:tcPr>
          <w:p>
            <w:pPr>
              <w:rPr>
                <w:rFonts w:hint="eastAsia"/>
              </w:rPr>
            </w:pPr>
          </w:p>
        </w:tc>
        <w:tc>
          <w:tcPr>
            <w:tcW w:w="1450" w:type="dxa"/>
            <w:noWrap w:val="0"/>
            <w:vAlign w:val="top"/>
          </w:tcPr>
          <w:p>
            <w:pPr>
              <w:rPr>
                <w:rFonts w:hint="eastAsia"/>
              </w:rPr>
            </w:pPr>
            <w:r>
              <w:t>75</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4" w:hRule="atLeast"/>
          <w:jc w:val="center"/>
        </w:trPr>
        <w:tc>
          <w:tcPr>
            <w:tcW w:w="444" w:type="dxa"/>
            <w:noWrap w:val="0"/>
            <w:vAlign w:val="center"/>
          </w:tcPr>
          <w:p>
            <w:pPr>
              <w:jc w:val="center"/>
              <w:rPr>
                <w:rFonts w:hint="eastAsia"/>
              </w:rPr>
            </w:pPr>
            <w:r>
              <w:rPr>
                <w:rFonts w:hint="eastAsia"/>
              </w:rPr>
              <w:t>8</w:t>
            </w:r>
          </w:p>
        </w:tc>
        <w:tc>
          <w:tcPr>
            <w:tcW w:w="2772" w:type="dxa"/>
            <w:gridSpan w:val="3"/>
            <w:noWrap w:val="0"/>
            <w:vAlign w:val="top"/>
          </w:tcPr>
          <w:p>
            <w:pPr>
              <w:rPr>
                <w:rFonts w:hint="eastAsia"/>
              </w:rPr>
            </w:pPr>
            <w:r>
              <w:rPr>
                <w:rFonts w:hint="eastAsia"/>
              </w:rPr>
              <w:t>耐受地震能力（指水平加速度，安全系数不小于1.67。水平加速度应计及设备支架的动力放大系数1.2）</w:t>
            </w:r>
          </w:p>
        </w:tc>
        <w:tc>
          <w:tcPr>
            <w:tcW w:w="1078" w:type="dxa"/>
            <w:noWrap w:val="0"/>
            <w:vAlign w:val="center"/>
          </w:tcPr>
          <w:p>
            <w:pPr>
              <w:jc w:val="center"/>
              <w:rPr>
                <w:rFonts w:hint="eastAsia"/>
              </w:rPr>
            </w:pPr>
            <w:r>
              <w:rPr>
                <w:rFonts w:hint="eastAsia"/>
              </w:rPr>
              <w:t>m/s</w:t>
            </w:r>
            <w:r>
              <w:rPr>
                <w:rFonts w:hint="eastAsia"/>
                <w:vertAlign w:val="superscript"/>
              </w:rPr>
              <w:t>2</w:t>
            </w:r>
          </w:p>
        </w:tc>
        <w:tc>
          <w:tcPr>
            <w:tcW w:w="1450" w:type="dxa"/>
            <w:noWrap w:val="0"/>
            <w:vAlign w:val="top"/>
          </w:tcPr>
          <w:p>
            <w:pPr>
              <w:rPr>
                <w:rFonts w:hint="eastAsia"/>
              </w:rPr>
            </w:pPr>
            <w:r>
              <w:t>0.05</w:t>
            </w:r>
          </w:p>
        </w:tc>
        <w:tc>
          <w:tcPr>
            <w:tcW w:w="2692" w:type="dxa"/>
            <w:noWrap w:val="0"/>
            <w:vAlign w:val="top"/>
          </w:tcPr>
          <w:p>
            <w:pPr>
              <w:rPr>
                <w:rFonts w:hint="eastAsia"/>
              </w:rPr>
            </w:pPr>
            <w:r>
              <w:rPr>
                <w:rFonts w:hint="eastAsia"/>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444" w:type="dxa"/>
            <w:noWrap w:val="0"/>
            <w:vAlign w:val="center"/>
          </w:tcPr>
          <w:p>
            <w:pPr>
              <w:jc w:val="center"/>
              <w:rPr>
                <w:rFonts w:hint="eastAsia"/>
              </w:rPr>
            </w:pPr>
            <w:r>
              <w:rPr>
                <w:rFonts w:hint="eastAsia"/>
              </w:rPr>
              <w:t>9</w:t>
            </w:r>
          </w:p>
        </w:tc>
        <w:tc>
          <w:tcPr>
            <w:tcW w:w="2772" w:type="dxa"/>
            <w:gridSpan w:val="3"/>
            <w:noWrap w:val="0"/>
            <w:vAlign w:val="center"/>
          </w:tcPr>
          <w:p>
            <w:pPr>
              <w:rPr>
                <w:rFonts w:hint="eastAsia"/>
              </w:rPr>
            </w:pPr>
            <w:r>
              <w:rPr>
                <w:rFonts w:hint="eastAsia" w:ascii="宋体" w:hAnsi="宋体"/>
              </w:rPr>
              <w:t>系统标称电压：</w:t>
            </w:r>
          </w:p>
        </w:tc>
        <w:tc>
          <w:tcPr>
            <w:tcW w:w="1078" w:type="dxa"/>
            <w:noWrap w:val="0"/>
            <w:vAlign w:val="center"/>
          </w:tcPr>
          <w:p>
            <w:pPr>
              <w:jc w:val="center"/>
              <w:rPr>
                <w:rFonts w:hint="eastAsia"/>
              </w:rPr>
            </w:pPr>
            <w:r>
              <w:rPr>
                <w:rFonts w:hint="eastAsia"/>
              </w:rPr>
              <w:t>kV</w:t>
            </w:r>
          </w:p>
        </w:tc>
        <w:tc>
          <w:tcPr>
            <w:tcW w:w="1450" w:type="dxa"/>
            <w:noWrap w:val="0"/>
            <w:vAlign w:val="top"/>
          </w:tcPr>
          <w:p>
            <w:pPr>
              <w:adjustRightInd w:val="0"/>
              <w:snapToGrid w:val="0"/>
              <w:rPr>
                <w:rFonts w:hint="eastAsia"/>
              </w:rPr>
            </w:pPr>
            <w:r>
              <w:t>10</w:t>
            </w:r>
          </w:p>
        </w:tc>
        <w:tc>
          <w:tcPr>
            <w:tcW w:w="2692" w:type="dxa"/>
            <w:noWrap w:val="0"/>
            <w:vAlign w:val="top"/>
          </w:tcPr>
          <w:p>
            <w:pPr>
              <w:adjustRightInd w:val="0"/>
              <w:snapToGrid w:val="0"/>
              <w:ind w:firstLine="1080" w:firstLineChars="450"/>
              <w:rPr>
                <w:rFonts w:hint="eastAsia" w:ascii="宋体" w:hAnsi="宋体"/>
                <w:sz w:val="24"/>
              </w:rPr>
            </w:pPr>
            <w:r>
              <w:rPr>
                <w:rFonts w:hint="eastAsia" w:ascii="宋体" w:hAnsi="宋体"/>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9" w:hRule="atLeast"/>
          <w:jc w:val="center"/>
        </w:trPr>
        <w:tc>
          <w:tcPr>
            <w:tcW w:w="444" w:type="dxa"/>
            <w:noWrap w:val="0"/>
            <w:vAlign w:val="center"/>
          </w:tcPr>
          <w:p>
            <w:pPr>
              <w:jc w:val="center"/>
              <w:rPr>
                <w:rFonts w:hint="eastAsia"/>
              </w:rPr>
            </w:pPr>
            <w:r>
              <w:rPr>
                <w:rFonts w:hint="eastAsia"/>
              </w:rPr>
              <w:t>10</w:t>
            </w:r>
          </w:p>
        </w:tc>
        <w:tc>
          <w:tcPr>
            <w:tcW w:w="2772" w:type="dxa"/>
            <w:gridSpan w:val="3"/>
            <w:noWrap w:val="0"/>
            <w:vAlign w:val="center"/>
          </w:tcPr>
          <w:p>
            <w:pPr>
              <w:rPr>
                <w:rFonts w:hint="eastAsia"/>
              </w:rPr>
            </w:pPr>
            <w:r>
              <w:rPr>
                <w:rFonts w:hint="eastAsia" w:ascii="宋体" w:hAnsi="宋体"/>
              </w:rPr>
              <w:t>系统最高电压</w:t>
            </w:r>
          </w:p>
        </w:tc>
        <w:tc>
          <w:tcPr>
            <w:tcW w:w="1078" w:type="dxa"/>
            <w:noWrap w:val="0"/>
            <w:vAlign w:val="center"/>
          </w:tcPr>
          <w:p>
            <w:pPr>
              <w:jc w:val="center"/>
              <w:rPr>
                <w:rFonts w:hint="eastAsia"/>
              </w:rPr>
            </w:pPr>
            <w:r>
              <w:rPr>
                <w:rFonts w:hint="eastAsia"/>
              </w:rPr>
              <w:t>kV</w:t>
            </w:r>
          </w:p>
        </w:tc>
        <w:tc>
          <w:tcPr>
            <w:tcW w:w="1450" w:type="dxa"/>
            <w:noWrap w:val="0"/>
            <w:vAlign w:val="top"/>
          </w:tcPr>
          <w:p>
            <w:pPr>
              <w:adjustRightInd w:val="0"/>
              <w:snapToGrid w:val="0"/>
              <w:rPr>
                <w:rFonts w:hint="eastAsia" w:ascii="宋体" w:hAnsi="宋体"/>
              </w:rPr>
            </w:pPr>
            <w:r>
              <w:rPr>
                <w:rFonts w:ascii="宋体" w:hAnsi="宋体"/>
              </w:rPr>
              <w:t>12</w:t>
            </w:r>
          </w:p>
        </w:tc>
        <w:tc>
          <w:tcPr>
            <w:tcW w:w="2692" w:type="dxa"/>
            <w:noWrap w:val="0"/>
            <w:vAlign w:val="top"/>
          </w:tcPr>
          <w:p>
            <w:pPr>
              <w:adjustRightInd w:val="0"/>
              <w:snapToGrid w:val="0"/>
              <w:ind w:firstLine="1080" w:firstLineChars="450"/>
              <w:rPr>
                <w:rFonts w:hint="eastAsia" w:ascii="宋体" w:hAnsi="宋体"/>
              </w:rPr>
            </w:pPr>
            <w:r>
              <w:rPr>
                <w:rFonts w:hint="eastAsia" w:ascii="宋体" w:hAnsi="宋体"/>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444" w:type="dxa"/>
            <w:noWrap w:val="0"/>
            <w:vAlign w:val="center"/>
          </w:tcPr>
          <w:p>
            <w:pPr>
              <w:jc w:val="center"/>
              <w:rPr>
                <w:rFonts w:hint="eastAsia"/>
              </w:rPr>
            </w:pPr>
            <w:r>
              <w:rPr>
                <w:rFonts w:hint="eastAsia"/>
              </w:rPr>
              <w:t>11</w:t>
            </w:r>
          </w:p>
        </w:tc>
        <w:tc>
          <w:tcPr>
            <w:tcW w:w="2772" w:type="dxa"/>
            <w:gridSpan w:val="3"/>
            <w:noWrap w:val="0"/>
            <w:vAlign w:val="center"/>
          </w:tcPr>
          <w:p>
            <w:pPr>
              <w:rPr>
                <w:rFonts w:hint="eastAsia"/>
              </w:rPr>
            </w:pPr>
            <w:r>
              <w:rPr>
                <w:rFonts w:hint="eastAsia" w:ascii="宋体" w:hAnsi="宋体"/>
              </w:rPr>
              <w:t>系统额定频率</w:t>
            </w:r>
          </w:p>
        </w:tc>
        <w:tc>
          <w:tcPr>
            <w:tcW w:w="1078" w:type="dxa"/>
            <w:noWrap w:val="0"/>
            <w:vAlign w:val="center"/>
          </w:tcPr>
          <w:p>
            <w:pPr>
              <w:jc w:val="center"/>
              <w:rPr>
                <w:rFonts w:hint="eastAsia"/>
              </w:rPr>
            </w:pPr>
            <w:r>
              <w:rPr>
                <w:rFonts w:hint="eastAsia"/>
              </w:rPr>
              <w:t>Hz</w:t>
            </w:r>
          </w:p>
        </w:tc>
        <w:tc>
          <w:tcPr>
            <w:tcW w:w="1450" w:type="dxa"/>
            <w:noWrap w:val="0"/>
            <w:vAlign w:val="top"/>
          </w:tcPr>
          <w:p>
            <w:pPr>
              <w:adjustRightInd w:val="0"/>
              <w:snapToGrid w:val="0"/>
              <w:rPr>
                <w:rFonts w:hint="eastAsia" w:ascii="宋体" w:hAnsi="宋体"/>
              </w:rPr>
            </w:pPr>
            <w:r>
              <w:t>50</w:t>
            </w:r>
          </w:p>
        </w:tc>
        <w:tc>
          <w:tcPr>
            <w:tcW w:w="2692" w:type="dxa"/>
            <w:noWrap w:val="0"/>
            <w:vAlign w:val="top"/>
          </w:tcPr>
          <w:p>
            <w:pPr>
              <w:adjustRightInd w:val="0"/>
              <w:snapToGrid w:val="0"/>
              <w:ind w:firstLine="1080" w:firstLineChars="450"/>
              <w:rPr>
                <w:rFonts w:hint="eastAsia" w:ascii="宋体" w:hAnsi="宋体"/>
              </w:rPr>
            </w:pPr>
            <w:r>
              <w:rPr>
                <w:rFonts w:hint="eastAsia" w:ascii="宋体" w:hAnsi="宋体"/>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8" w:hRule="atLeast"/>
          <w:jc w:val="center"/>
        </w:trPr>
        <w:tc>
          <w:tcPr>
            <w:tcW w:w="444" w:type="dxa"/>
            <w:noWrap w:val="0"/>
            <w:vAlign w:val="center"/>
          </w:tcPr>
          <w:p>
            <w:pPr>
              <w:jc w:val="center"/>
              <w:rPr>
                <w:rFonts w:hint="eastAsia" w:eastAsia="宋体"/>
                <w:lang w:eastAsia="zh-CN"/>
              </w:rPr>
            </w:pPr>
            <w:r>
              <w:rPr>
                <w:rFonts w:hint="eastAsia"/>
              </w:rPr>
              <w:t>1</w:t>
            </w:r>
            <w:r>
              <w:rPr>
                <w:rFonts w:hint="eastAsia"/>
                <w:lang w:val="en-US" w:eastAsia="zh-CN"/>
              </w:rPr>
              <w:t>2</w:t>
            </w:r>
          </w:p>
        </w:tc>
        <w:tc>
          <w:tcPr>
            <w:tcW w:w="2772" w:type="dxa"/>
            <w:gridSpan w:val="3"/>
            <w:noWrap w:val="0"/>
            <w:vAlign w:val="center"/>
          </w:tcPr>
          <w:p>
            <w:pPr>
              <w:rPr>
                <w:rFonts w:hint="eastAsia"/>
              </w:rPr>
            </w:pPr>
            <w:r>
              <w:rPr>
                <w:rFonts w:hint="eastAsia"/>
              </w:rPr>
              <w:t>设备运输条件</w:t>
            </w:r>
          </w:p>
        </w:tc>
        <w:tc>
          <w:tcPr>
            <w:tcW w:w="1078" w:type="dxa"/>
            <w:noWrap w:val="0"/>
            <w:vAlign w:val="center"/>
          </w:tcPr>
          <w:p>
            <w:pPr>
              <w:jc w:val="center"/>
              <w:rPr>
                <w:rFonts w:hint="eastAsia"/>
              </w:rPr>
            </w:pPr>
          </w:p>
        </w:tc>
        <w:tc>
          <w:tcPr>
            <w:tcW w:w="1450" w:type="dxa"/>
            <w:noWrap w:val="0"/>
            <w:vAlign w:val="top"/>
          </w:tcPr>
          <w:p>
            <w:pPr>
              <w:rPr>
                <w:rFonts w:hint="eastAsia" w:eastAsia="宋体"/>
                <w:lang w:eastAsia="zh-CN"/>
              </w:rPr>
            </w:pPr>
            <w:r>
              <w:rPr>
                <w:rFonts w:hint="eastAsia"/>
                <w:lang w:eastAsia="zh-CN"/>
              </w:rPr>
              <w:t>参考上文</w:t>
            </w:r>
          </w:p>
        </w:tc>
        <w:tc>
          <w:tcPr>
            <w:tcW w:w="2692" w:type="dxa"/>
            <w:noWrap w:val="0"/>
            <w:vAlign w:val="top"/>
          </w:tcPr>
          <w:p>
            <w:pPr>
              <w:ind w:firstLine="1080" w:firstLineChars="450"/>
              <w:rPr>
                <w:rFonts w:hint="eastAsia"/>
              </w:rPr>
            </w:pPr>
            <w:r>
              <w:rPr>
                <w:rFonts w:hint="eastAsia" w:ascii="宋体" w:hAnsi="宋体"/>
                <w:sz w:val="24"/>
              </w:rPr>
              <w:t>/</w:t>
            </w:r>
          </w:p>
        </w:tc>
      </w:tr>
    </w:tbl>
    <w:p>
      <w:pPr>
        <w:snapToGrid w:val="0"/>
        <w:spacing w:line="360" w:lineRule="auto"/>
        <w:rPr>
          <w:rFonts w:hint="eastAsia"/>
          <w:szCs w:val="21"/>
        </w:rPr>
      </w:pPr>
    </w:p>
    <w:p>
      <w:pPr>
        <w:adjustRightInd w:val="0"/>
        <w:snapToGrid w:val="0"/>
        <w:spacing w:line="360" w:lineRule="auto"/>
        <w:outlineLvl w:val="1"/>
        <w:rPr>
          <w:rFonts w:hint="eastAsia" w:ascii="黑体" w:eastAsia="黑体"/>
        </w:rPr>
      </w:pPr>
      <w:bookmarkStart w:id="24" w:name="_Toc342897943"/>
      <w:r>
        <w:rPr>
          <w:rFonts w:hint="eastAsia" w:ascii="黑体" w:eastAsia="黑体"/>
        </w:rPr>
        <w:t>4.1 正常使用条件</w:t>
      </w:r>
      <w:bookmarkEnd w:id="23"/>
      <w:bookmarkEnd w:id="24"/>
    </w:p>
    <w:p>
      <w:pPr>
        <w:pStyle w:val="17"/>
        <w:tabs>
          <w:tab w:val="left" w:pos="2160"/>
        </w:tabs>
        <w:adjustRightInd w:val="0"/>
        <w:snapToGrid w:val="0"/>
        <w:spacing w:line="360" w:lineRule="auto"/>
        <w:rPr>
          <w:rFonts w:hint="eastAsia" w:eastAsia="宋体"/>
        </w:rPr>
      </w:pPr>
      <w:r>
        <w:rPr>
          <w:rFonts w:hint="eastAsia" w:eastAsia="宋体"/>
        </w:rPr>
        <w:t>1）海拔：</w:t>
      </w:r>
      <w:r>
        <w:rPr>
          <w:rFonts w:eastAsia="宋体"/>
        </w:rPr>
        <w:t>≤1000m</w:t>
      </w:r>
      <w:r>
        <w:rPr>
          <w:rFonts w:hint="eastAsia" w:eastAsia="宋体"/>
        </w:rPr>
        <w:t xml:space="preserve">； </w:t>
      </w:r>
    </w:p>
    <w:p>
      <w:pPr>
        <w:pStyle w:val="17"/>
        <w:tabs>
          <w:tab w:val="left" w:pos="2160"/>
        </w:tabs>
        <w:adjustRightInd w:val="0"/>
        <w:snapToGrid w:val="0"/>
        <w:spacing w:line="360" w:lineRule="auto"/>
        <w:rPr>
          <w:rFonts w:hint="eastAsia" w:eastAsia="宋体"/>
        </w:rPr>
      </w:pPr>
      <w:r>
        <w:rPr>
          <w:rFonts w:hint="eastAsia" w:eastAsia="宋体"/>
        </w:rPr>
        <w:t>2）环境温度</w:t>
      </w:r>
    </w:p>
    <w:p>
      <w:pPr>
        <w:pStyle w:val="17"/>
        <w:tabs>
          <w:tab w:val="left" w:pos="2160"/>
        </w:tabs>
        <w:adjustRightInd w:val="0"/>
        <w:snapToGrid w:val="0"/>
        <w:spacing w:line="360" w:lineRule="auto"/>
        <w:rPr>
          <w:rFonts w:hint="eastAsia" w:eastAsia="宋体"/>
        </w:rPr>
      </w:pPr>
      <w:r>
        <w:rPr>
          <w:rFonts w:eastAsia="宋体"/>
        </w:rPr>
        <w:t>最高温度</w:t>
      </w:r>
      <w:r>
        <w:rPr>
          <w:rFonts w:hint="eastAsia" w:eastAsia="宋体"/>
        </w:rPr>
        <w:t>： +</w:t>
      </w:r>
      <w:r>
        <w:rPr>
          <w:rFonts w:eastAsia="宋体"/>
        </w:rPr>
        <w:t>4</w:t>
      </w:r>
      <w:r>
        <w:rPr>
          <w:rFonts w:hint="eastAsia" w:eastAsia="宋体"/>
        </w:rPr>
        <w:t>0</w:t>
      </w:r>
      <w:r>
        <w:rPr>
          <w:rFonts w:eastAsia="宋体"/>
        </w:rPr>
        <w:t>℃</w:t>
      </w:r>
      <w:r>
        <w:rPr>
          <w:rFonts w:hint="eastAsia" w:eastAsia="宋体"/>
        </w:rPr>
        <w:t>；</w:t>
      </w:r>
    </w:p>
    <w:p>
      <w:pPr>
        <w:pStyle w:val="17"/>
        <w:tabs>
          <w:tab w:val="left" w:pos="2160"/>
        </w:tabs>
        <w:adjustRightInd w:val="0"/>
        <w:snapToGrid w:val="0"/>
        <w:spacing w:line="360" w:lineRule="auto"/>
        <w:rPr>
          <w:rFonts w:hint="eastAsia" w:eastAsia="宋体"/>
        </w:rPr>
      </w:pPr>
      <w:r>
        <w:rPr>
          <w:rFonts w:eastAsia="宋体"/>
        </w:rPr>
        <w:t>最</w:t>
      </w:r>
      <w:r>
        <w:rPr>
          <w:rFonts w:hint="eastAsia" w:eastAsia="宋体"/>
        </w:rPr>
        <w:t>热月平均</w:t>
      </w:r>
      <w:r>
        <w:rPr>
          <w:rFonts w:eastAsia="宋体"/>
        </w:rPr>
        <w:t>温度</w:t>
      </w:r>
      <w:r>
        <w:rPr>
          <w:rFonts w:hint="eastAsia" w:eastAsia="宋体"/>
        </w:rPr>
        <w:t>： +30</w:t>
      </w:r>
      <w:r>
        <w:rPr>
          <w:rFonts w:eastAsia="宋体"/>
        </w:rPr>
        <w:t>℃；</w:t>
      </w:r>
    </w:p>
    <w:p>
      <w:pPr>
        <w:pStyle w:val="17"/>
        <w:tabs>
          <w:tab w:val="left" w:pos="2160"/>
        </w:tabs>
        <w:adjustRightInd w:val="0"/>
        <w:snapToGrid w:val="0"/>
        <w:spacing w:line="360" w:lineRule="auto"/>
        <w:rPr>
          <w:rFonts w:hint="eastAsia" w:eastAsia="宋体"/>
        </w:rPr>
      </w:pPr>
      <w:r>
        <w:rPr>
          <w:rFonts w:eastAsia="宋体"/>
        </w:rPr>
        <w:t>最高</w:t>
      </w:r>
      <w:r>
        <w:rPr>
          <w:rFonts w:hint="eastAsia" w:eastAsia="宋体"/>
        </w:rPr>
        <w:t>年</w:t>
      </w:r>
      <w:r>
        <w:rPr>
          <w:rFonts w:eastAsia="宋体"/>
        </w:rPr>
        <w:t>平均温度：</w:t>
      </w:r>
      <w:r>
        <w:rPr>
          <w:rFonts w:hint="eastAsia" w:eastAsia="宋体"/>
        </w:rPr>
        <w:t xml:space="preserve"> +20</w:t>
      </w:r>
      <w:r>
        <w:rPr>
          <w:rFonts w:eastAsia="宋体"/>
        </w:rPr>
        <w:t>℃；</w:t>
      </w:r>
    </w:p>
    <w:p>
      <w:pPr>
        <w:pStyle w:val="17"/>
        <w:tabs>
          <w:tab w:val="left" w:pos="2160"/>
        </w:tabs>
        <w:adjustRightInd w:val="0"/>
        <w:snapToGrid w:val="0"/>
        <w:spacing w:line="360" w:lineRule="auto"/>
        <w:rPr>
          <w:rFonts w:hint="eastAsia" w:eastAsia="宋体"/>
        </w:rPr>
      </w:pPr>
      <w:r>
        <w:rPr>
          <w:rFonts w:eastAsia="宋体"/>
        </w:rPr>
        <w:t>最</w:t>
      </w:r>
      <w:r>
        <w:rPr>
          <w:rFonts w:hint="eastAsia" w:eastAsia="宋体"/>
        </w:rPr>
        <w:t>低气温： -5</w:t>
      </w:r>
      <w:r>
        <w:rPr>
          <w:rFonts w:eastAsia="宋体"/>
        </w:rPr>
        <w:t>℃；</w:t>
      </w:r>
      <w:r>
        <w:rPr>
          <w:rFonts w:hint="eastAsia" w:eastAsia="宋体"/>
        </w:rPr>
        <w:t>（户外）</w:t>
      </w:r>
    </w:p>
    <w:p>
      <w:pPr>
        <w:pStyle w:val="17"/>
        <w:tabs>
          <w:tab w:val="left" w:pos="2160"/>
        </w:tabs>
        <w:adjustRightInd w:val="0"/>
        <w:snapToGrid w:val="0"/>
        <w:spacing w:line="360" w:lineRule="auto"/>
        <w:rPr>
          <w:rFonts w:hint="eastAsia" w:eastAsia="宋体"/>
        </w:rPr>
      </w:pPr>
      <w:r>
        <w:rPr>
          <w:rFonts w:hint="eastAsia" w:eastAsia="宋体"/>
        </w:rPr>
        <w:t>3）太阳辐射强度：</w:t>
      </w:r>
      <w:r>
        <w:rPr>
          <w:rFonts w:eastAsia="宋体"/>
        </w:rPr>
        <w:t>0.1W/cm</w:t>
      </w:r>
      <w:r>
        <w:rPr>
          <w:rFonts w:eastAsia="宋体"/>
          <w:szCs w:val="21"/>
          <w:vertAlign w:val="superscript"/>
        </w:rPr>
        <w:t>2</w:t>
      </w:r>
      <w:r>
        <w:rPr>
          <w:rFonts w:eastAsia="宋体"/>
        </w:rPr>
        <w:t xml:space="preserve"> </w:t>
      </w:r>
      <w:r>
        <w:rPr>
          <w:rFonts w:hint="eastAsia" w:eastAsia="宋体"/>
        </w:rPr>
        <w:t xml:space="preserve"> </w:t>
      </w:r>
    </w:p>
    <w:p>
      <w:pPr>
        <w:pStyle w:val="17"/>
        <w:tabs>
          <w:tab w:val="left" w:pos="2160"/>
        </w:tabs>
        <w:adjustRightInd w:val="0"/>
        <w:snapToGrid w:val="0"/>
        <w:spacing w:line="360" w:lineRule="auto"/>
        <w:rPr>
          <w:rFonts w:hint="eastAsia" w:eastAsia="宋体"/>
        </w:rPr>
      </w:pPr>
      <w:r>
        <w:rPr>
          <w:rFonts w:hint="eastAsia" w:eastAsia="宋体"/>
        </w:rPr>
        <w:t>4）</w:t>
      </w:r>
      <w:r>
        <w:rPr>
          <w:rFonts w:eastAsia="宋体"/>
        </w:rPr>
        <w:t>耐地震能力</w:t>
      </w:r>
      <w:r>
        <w:rPr>
          <w:rFonts w:hint="eastAsia" w:eastAsia="宋体"/>
        </w:rPr>
        <w:t xml:space="preserve"> </w:t>
      </w:r>
    </w:p>
    <w:p>
      <w:pPr>
        <w:pStyle w:val="17"/>
        <w:tabs>
          <w:tab w:val="left" w:pos="2160"/>
        </w:tabs>
        <w:adjustRightInd w:val="0"/>
        <w:snapToGrid w:val="0"/>
        <w:spacing w:line="360" w:lineRule="auto"/>
        <w:rPr>
          <w:rFonts w:hint="eastAsia" w:eastAsia="宋体"/>
        </w:rPr>
      </w:pPr>
      <w:r>
        <w:rPr>
          <w:rFonts w:eastAsia="宋体"/>
        </w:rPr>
        <w:t>地面水平加速度</w:t>
      </w:r>
      <w:r>
        <w:rPr>
          <w:rFonts w:hint="eastAsia" w:eastAsia="宋体"/>
        </w:rPr>
        <w:t>3m/s</w:t>
      </w:r>
      <w:r>
        <w:rPr>
          <w:rFonts w:hint="eastAsia" w:eastAsia="宋体"/>
          <w:vertAlign w:val="superscript"/>
        </w:rPr>
        <w:t>2</w:t>
      </w:r>
      <w:r>
        <w:rPr>
          <w:rFonts w:eastAsia="宋体"/>
        </w:rPr>
        <w:t>；</w:t>
      </w:r>
      <w:r>
        <w:rPr>
          <w:rFonts w:hint="eastAsia" w:eastAsia="宋体"/>
        </w:rPr>
        <w:t xml:space="preserve"> </w:t>
      </w:r>
    </w:p>
    <w:p>
      <w:pPr>
        <w:pStyle w:val="17"/>
        <w:tabs>
          <w:tab w:val="left" w:pos="2160"/>
        </w:tabs>
        <w:adjustRightInd w:val="0"/>
        <w:snapToGrid w:val="0"/>
        <w:spacing w:line="360" w:lineRule="auto"/>
        <w:rPr>
          <w:rFonts w:hint="eastAsia" w:eastAsia="宋体"/>
        </w:rPr>
      </w:pPr>
      <w:r>
        <w:rPr>
          <w:rFonts w:eastAsia="宋体"/>
        </w:rPr>
        <w:t>地面垂直加速度</w:t>
      </w:r>
      <w:r>
        <w:rPr>
          <w:rFonts w:hint="eastAsia" w:eastAsia="宋体"/>
        </w:rPr>
        <w:t>1.5m/s</w:t>
      </w:r>
      <w:r>
        <w:rPr>
          <w:rFonts w:hint="eastAsia" w:eastAsia="宋体"/>
          <w:vertAlign w:val="superscript"/>
        </w:rPr>
        <w:t>2</w:t>
      </w:r>
      <w:r>
        <w:rPr>
          <w:rFonts w:eastAsia="宋体"/>
        </w:rPr>
        <w:t>。</w:t>
      </w:r>
    </w:p>
    <w:p>
      <w:pPr>
        <w:pStyle w:val="17"/>
        <w:tabs>
          <w:tab w:val="left" w:pos="2160"/>
        </w:tabs>
        <w:adjustRightInd w:val="0"/>
        <w:snapToGrid w:val="0"/>
        <w:spacing w:line="360" w:lineRule="auto"/>
        <w:rPr>
          <w:rFonts w:hint="eastAsia" w:eastAsia="宋体"/>
        </w:rPr>
      </w:pPr>
      <w:r>
        <w:rPr>
          <w:rFonts w:hint="eastAsia" w:eastAsia="宋体"/>
        </w:rPr>
        <w:t>5）湿度</w:t>
      </w:r>
    </w:p>
    <w:p>
      <w:pPr>
        <w:pStyle w:val="17"/>
        <w:tabs>
          <w:tab w:val="left" w:pos="2160"/>
        </w:tabs>
        <w:adjustRightInd w:val="0"/>
        <w:snapToGrid w:val="0"/>
        <w:spacing w:line="360" w:lineRule="auto"/>
        <w:rPr>
          <w:rFonts w:hint="eastAsia" w:eastAsia="宋体"/>
        </w:rPr>
      </w:pPr>
      <w:r>
        <w:rPr>
          <w:rFonts w:hint="eastAsia" w:eastAsia="宋体"/>
        </w:rPr>
        <w:t>日相对湿度平均值95%</w:t>
      </w:r>
    </w:p>
    <w:p>
      <w:pPr>
        <w:pStyle w:val="17"/>
        <w:tabs>
          <w:tab w:val="left" w:pos="2160"/>
        </w:tabs>
        <w:adjustRightInd w:val="0"/>
        <w:snapToGrid w:val="0"/>
        <w:spacing w:line="360" w:lineRule="auto"/>
        <w:rPr>
          <w:rFonts w:hint="eastAsia" w:eastAsia="宋体"/>
        </w:rPr>
      </w:pPr>
      <w:r>
        <w:rPr>
          <w:rFonts w:hint="eastAsia" w:eastAsia="宋体"/>
        </w:rPr>
        <w:t>月相对湿度平均值90%</w:t>
      </w:r>
    </w:p>
    <w:p>
      <w:pPr>
        <w:pStyle w:val="17"/>
        <w:tabs>
          <w:tab w:val="left" w:pos="2160"/>
        </w:tabs>
        <w:adjustRightInd w:val="0"/>
        <w:snapToGrid w:val="0"/>
        <w:spacing w:line="360" w:lineRule="auto"/>
        <w:rPr>
          <w:rFonts w:hint="eastAsia" w:eastAsia="宋体"/>
        </w:rPr>
      </w:pPr>
      <w:r>
        <w:rPr>
          <w:rFonts w:hint="eastAsia" w:eastAsia="宋体"/>
        </w:rPr>
        <w:t>6）污秽等级</w:t>
      </w:r>
    </w:p>
    <w:p>
      <w:pPr>
        <w:pStyle w:val="17"/>
        <w:tabs>
          <w:tab w:val="left" w:pos="2160"/>
        </w:tabs>
        <w:adjustRightInd w:val="0"/>
        <w:snapToGrid w:val="0"/>
        <w:spacing w:line="360" w:lineRule="auto"/>
        <w:rPr>
          <w:rFonts w:hint="eastAsia" w:eastAsia="宋体"/>
        </w:rPr>
      </w:pPr>
      <w:r>
        <w:rPr>
          <w:rFonts w:hint="eastAsia" w:eastAsia="宋体"/>
          <w:lang w:eastAsia="zh-CN"/>
        </w:rPr>
        <w:t>户外</w:t>
      </w:r>
      <w:r>
        <w:rPr>
          <w:rFonts w:hint="eastAsia" w:eastAsia="宋体"/>
        </w:rPr>
        <w:t>10kV设备，外绝缘按</w:t>
      </w:r>
      <w:r>
        <w:rPr>
          <w:rFonts w:hint="eastAsia" w:eastAsia="宋体"/>
          <w:lang w:val="en-US" w:eastAsia="zh-CN"/>
        </w:rPr>
        <w:t>c</w:t>
      </w:r>
      <w:r>
        <w:rPr>
          <w:rFonts w:hint="eastAsia" w:eastAsia="宋体"/>
        </w:rPr>
        <w:t>级设防。</w:t>
      </w:r>
    </w:p>
    <w:p>
      <w:pPr>
        <w:pStyle w:val="17"/>
        <w:tabs>
          <w:tab w:val="left" w:pos="2160"/>
        </w:tabs>
        <w:adjustRightInd w:val="0"/>
        <w:snapToGrid w:val="0"/>
        <w:spacing w:line="360" w:lineRule="auto"/>
        <w:rPr>
          <w:rFonts w:hint="eastAsia" w:eastAsia="宋体"/>
        </w:rPr>
      </w:pPr>
      <w:r>
        <w:rPr>
          <w:rFonts w:hint="eastAsia" w:eastAsia="宋体"/>
        </w:rPr>
        <w:t>7）风速</w:t>
      </w:r>
    </w:p>
    <w:p>
      <w:pPr>
        <w:pStyle w:val="17"/>
        <w:tabs>
          <w:tab w:val="left" w:pos="2160"/>
        </w:tabs>
        <w:adjustRightInd w:val="0"/>
        <w:snapToGrid w:val="0"/>
        <w:spacing w:line="360" w:lineRule="auto"/>
        <w:rPr>
          <w:rFonts w:hint="eastAsia" w:eastAsia="宋体"/>
        </w:rPr>
      </w:pPr>
      <w:r>
        <w:rPr>
          <w:rFonts w:hint="eastAsia" w:eastAsia="宋体"/>
        </w:rPr>
        <w:t>35m/s（离地面高10m处，持续10min的100年平均最大风速）。</w:t>
      </w:r>
    </w:p>
    <w:p>
      <w:pPr>
        <w:pStyle w:val="17"/>
        <w:tabs>
          <w:tab w:val="left" w:pos="2160"/>
        </w:tabs>
        <w:adjustRightInd w:val="0"/>
        <w:snapToGrid w:val="0"/>
        <w:spacing w:line="360" w:lineRule="auto"/>
        <w:rPr>
          <w:rFonts w:hint="eastAsia" w:eastAsia="宋体"/>
        </w:rPr>
      </w:pPr>
      <w:r>
        <w:rPr>
          <w:rFonts w:hint="eastAsia" w:eastAsia="宋体"/>
        </w:rPr>
        <w:t>8）覆冰厚度： 0mm</w:t>
      </w:r>
    </w:p>
    <w:p>
      <w:pPr>
        <w:pStyle w:val="17"/>
        <w:tabs>
          <w:tab w:val="left" w:pos="2160"/>
        </w:tabs>
        <w:adjustRightInd w:val="0"/>
        <w:snapToGrid w:val="0"/>
        <w:spacing w:line="360" w:lineRule="auto"/>
        <w:rPr>
          <w:rFonts w:hint="eastAsia" w:eastAsia="宋体"/>
          <w:lang w:eastAsia="zh-CN"/>
        </w:rPr>
      </w:pPr>
      <w:r>
        <w:rPr>
          <w:rFonts w:hint="eastAsia" w:eastAsia="宋体"/>
        </w:rPr>
        <w:t>9）安装环境：户</w:t>
      </w:r>
      <w:r>
        <w:rPr>
          <w:rFonts w:hint="eastAsia" w:eastAsia="宋体"/>
          <w:lang w:val="en-US" w:eastAsia="zh-CN"/>
        </w:rPr>
        <w:t>外</w:t>
      </w:r>
    </w:p>
    <w:p>
      <w:pPr>
        <w:adjustRightInd w:val="0"/>
        <w:snapToGrid w:val="0"/>
        <w:spacing w:line="360" w:lineRule="auto"/>
        <w:outlineLvl w:val="1"/>
        <w:rPr>
          <w:rFonts w:hint="eastAsia" w:ascii="黑体" w:eastAsia="黑体"/>
        </w:rPr>
      </w:pPr>
      <w:bookmarkStart w:id="25" w:name="_Toc342897944"/>
      <w:r>
        <w:rPr>
          <w:rFonts w:hint="eastAsia" w:ascii="黑体" w:eastAsia="黑体"/>
        </w:rPr>
        <w:t>4.2 特殊使用条件</w:t>
      </w:r>
      <w:bookmarkEnd w:id="25"/>
    </w:p>
    <w:p>
      <w:pPr>
        <w:adjustRightInd w:val="0"/>
        <w:snapToGrid w:val="0"/>
        <w:spacing w:line="360" w:lineRule="auto"/>
        <w:ind w:firstLine="420" w:firstLineChars="200"/>
      </w:pPr>
      <w:bookmarkStart w:id="26" w:name="_Toc277597169"/>
      <w:bookmarkStart w:id="27" w:name="_Toc276490903"/>
      <w:bookmarkStart w:id="28" w:name="_Toc276492375"/>
      <w:r>
        <w:rPr>
          <w:rFonts w:hint="eastAsia" w:ascii="宋体" w:hAnsi="宋体"/>
        </w:rPr>
        <w:t>凡不满足4.1条正常使用条件之外的特殊条件，如环境温度、海拔、污秽等级等条件项目单位应在表4.1中明确，且应在招标书的相应技术条款及表11 中对有关技术参数及要求加以修正、说明，并在提交需求计划及招标书时向物资部门特别明确。</w:t>
      </w:r>
    </w:p>
    <w:bookmarkEnd w:id="26"/>
    <w:p>
      <w:pPr>
        <w:pStyle w:val="17"/>
        <w:tabs>
          <w:tab w:val="left" w:pos="2160"/>
        </w:tabs>
        <w:adjustRightInd w:val="0"/>
        <w:snapToGrid w:val="0"/>
        <w:spacing w:line="360" w:lineRule="auto"/>
        <w:rPr>
          <w:rFonts w:hint="eastAsia" w:eastAsia="宋体"/>
        </w:rPr>
      </w:pPr>
      <w:r>
        <w:rPr>
          <w:rFonts w:hint="eastAsia" w:eastAsia="宋体"/>
        </w:rPr>
        <w:t>海拔高度的规定、外绝缘和温升在高海拔环境下的修正、污秽等级按如下规定。</w:t>
      </w:r>
    </w:p>
    <w:p>
      <w:pPr>
        <w:pStyle w:val="17"/>
        <w:tabs>
          <w:tab w:val="left" w:pos="2160"/>
        </w:tabs>
        <w:adjustRightInd w:val="0"/>
        <w:snapToGrid w:val="0"/>
        <w:spacing w:line="360" w:lineRule="auto"/>
        <w:rPr>
          <w:rFonts w:hint="eastAsia" w:eastAsia="宋体"/>
        </w:rPr>
      </w:pPr>
      <w:r>
        <w:rPr>
          <w:rFonts w:hint="eastAsia" w:eastAsia="宋体"/>
        </w:rPr>
        <w:t xml:space="preserve">1）海拔高度 </w:t>
      </w:r>
    </w:p>
    <w:p>
      <w:pPr>
        <w:pStyle w:val="17"/>
        <w:tabs>
          <w:tab w:val="left" w:pos="2160"/>
        </w:tabs>
        <w:adjustRightInd w:val="0"/>
        <w:snapToGrid w:val="0"/>
        <w:spacing w:line="360" w:lineRule="auto"/>
        <w:rPr>
          <w:rFonts w:hint="eastAsia" w:eastAsia="宋体"/>
        </w:rPr>
      </w:pPr>
      <w:r>
        <w:rPr>
          <w:rFonts w:hint="eastAsia" w:eastAsia="宋体"/>
        </w:rPr>
        <w:t>海拔高度高于1000m时，按可参照下列要求确定：</w:t>
      </w:r>
    </w:p>
    <w:p>
      <w:pPr>
        <w:pStyle w:val="17"/>
        <w:tabs>
          <w:tab w:val="left" w:pos="2160"/>
        </w:tabs>
        <w:adjustRightInd w:val="0"/>
        <w:snapToGrid w:val="0"/>
        <w:spacing w:line="360" w:lineRule="auto"/>
        <w:rPr>
          <w:rFonts w:hint="eastAsia" w:eastAsia="宋体"/>
        </w:rPr>
      </w:pPr>
      <w:r>
        <w:rPr>
          <w:rFonts w:hint="eastAsia" w:eastAsia="宋体"/>
        </w:rPr>
        <w:t>a.海拔在1000-2000m范围，设备外绝缘水平按2000m海拔修正；</w:t>
      </w:r>
    </w:p>
    <w:p>
      <w:pPr>
        <w:pStyle w:val="17"/>
        <w:tabs>
          <w:tab w:val="left" w:pos="2160"/>
        </w:tabs>
        <w:adjustRightInd w:val="0"/>
        <w:snapToGrid w:val="0"/>
        <w:spacing w:line="360" w:lineRule="auto"/>
        <w:rPr>
          <w:rFonts w:hint="eastAsia" w:eastAsia="宋体"/>
        </w:rPr>
      </w:pPr>
      <w:r>
        <w:rPr>
          <w:rFonts w:hint="eastAsia" w:eastAsia="宋体"/>
        </w:rPr>
        <w:t>b.海拔在2000-2500m范围，设备外绝缘水平按2500m海拔修正；</w:t>
      </w:r>
    </w:p>
    <w:p>
      <w:pPr>
        <w:pStyle w:val="17"/>
        <w:tabs>
          <w:tab w:val="left" w:pos="2160"/>
        </w:tabs>
        <w:adjustRightInd w:val="0"/>
        <w:snapToGrid w:val="0"/>
        <w:spacing w:line="360" w:lineRule="auto"/>
        <w:rPr>
          <w:rFonts w:hint="eastAsia" w:eastAsia="宋体"/>
        </w:rPr>
      </w:pPr>
      <w:r>
        <w:rPr>
          <w:rFonts w:hint="eastAsia" w:eastAsia="宋体"/>
        </w:rPr>
        <w:t>c.海拔在2500-3000m范围，设备外绝缘水平按3000m海拔修正；</w:t>
      </w:r>
    </w:p>
    <w:p>
      <w:pPr>
        <w:pStyle w:val="17"/>
        <w:tabs>
          <w:tab w:val="left" w:pos="2160"/>
        </w:tabs>
        <w:adjustRightInd w:val="0"/>
        <w:snapToGrid w:val="0"/>
        <w:spacing w:line="360" w:lineRule="auto"/>
        <w:rPr>
          <w:rFonts w:hint="eastAsia" w:eastAsia="宋体"/>
        </w:rPr>
      </w:pPr>
      <w:r>
        <w:rPr>
          <w:rFonts w:hint="eastAsia" w:eastAsia="宋体"/>
        </w:rPr>
        <w:t>d.海拔高于3000m，应考虑实际运行地点的环境，经专题研究后确定。</w:t>
      </w:r>
    </w:p>
    <w:p>
      <w:pPr>
        <w:pStyle w:val="17"/>
        <w:tabs>
          <w:tab w:val="left" w:pos="2160"/>
        </w:tabs>
        <w:adjustRightInd w:val="0"/>
        <w:snapToGrid w:val="0"/>
        <w:spacing w:line="360" w:lineRule="auto"/>
        <w:rPr>
          <w:rFonts w:hint="eastAsia" w:eastAsia="宋体"/>
        </w:rPr>
      </w:pPr>
      <w:r>
        <w:rPr>
          <w:rFonts w:hint="eastAsia" w:eastAsia="宋体"/>
        </w:rPr>
        <w:t>2）外绝缘</w:t>
      </w:r>
    </w:p>
    <w:p>
      <w:pPr>
        <w:pStyle w:val="17"/>
        <w:tabs>
          <w:tab w:val="left" w:pos="2160"/>
        </w:tabs>
        <w:adjustRightInd w:val="0"/>
        <w:snapToGrid w:val="0"/>
        <w:spacing w:line="360" w:lineRule="auto"/>
        <w:rPr>
          <w:rFonts w:hint="eastAsia" w:eastAsia="宋体"/>
        </w:rPr>
      </w:pPr>
      <w:r>
        <w:rPr>
          <w:rFonts w:hint="eastAsia" w:eastAsia="宋体"/>
        </w:rPr>
        <w:t>对于海拔高于1000m，但不超过4000m处的设备的外绝缘，海拔每升高100m，外绝缘强度约降低1%，在海拔不高于1000m的地点试验时，其试验电压应按本规定的额定耐受电压乘以海拔校正因数Ka 。</w:t>
      </w:r>
    </w:p>
    <w:p>
      <w:pPr>
        <w:pStyle w:val="17"/>
        <w:tabs>
          <w:tab w:val="left" w:pos="2160"/>
        </w:tabs>
        <w:adjustRightInd w:val="0"/>
        <w:snapToGrid w:val="0"/>
        <w:spacing w:line="360" w:lineRule="auto"/>
        <w:ind w:firstLine="0" w:firstLineChars="0"/>
        <w:jc w:val="center"/>
        <w:rPr>
          <w:rFonts w:hint="eastAsia" w:eastAsia="宋体"/>
        </w:rPr>
      </w:pPr>
      <w:r>
        <w:rPr>
          <w:rFonts w:eastAsia="宋体"/>
        </w:rPr>
        <w:object>
          <v:shape id="_x0000_i1025" o:spt="75" type="#_x0000_t75" style="height:31pt;width:96.95pt;" o:ole="t" filled="f" o:preferrelative="t" stroked="f" coordsize="21600,21600">
            <v:path/>
            <v:fill on="f" alignshape="1" focussize="0,0"/>
            <v:stroke on="f"/>
            <v:imagedata r:id="rId14" o:title=""/>
            <o:lock v:ext="edit" aspectratio="t"/>
            <w10:wrap type="none"/>
            <w10:anchorlock/>
          </v:shape>
          <o:OLEObject Type="Embed" ProgID="Equation.3" ShapeID="_x0000_i1025" DrawAspect="Content" ObjectID="_1468075725" r:id="rId13">
            <o:LockedField>false</o:LockedField>
          </o:OLEObject>
        </w:object>
      </w:r>
    </w:p>
    <w:p>
      <w:pPr>
        <w:pStyle w:val="17"/>
        <w:tabs>
          <w:tab w:val="left" w:pos="2160"/>
        </w:tabs>
        <w:adjustRightInd w:val="0"/>
        <w:snapToGrid w:val="0"/>
        <w:spacing w:line="360" w:lineRule="auto"/>
        <w:rPr>
          <w:rFonts w:hint="eastAsia" w:eastAsia="宋体"/>
        </w:rPr>
      </w:pPr>
      <w:r>
        <w:rPr>
          <w:rFonts w:hint="eastAsia" w:eastAsia="宋体"/>
        </w:rPr>
        <w:t xml:space="preserve"> 式中：H </w:t>
      </w:r>
      <w:r>
        <w:rPr>
          <w:rFonts w:eastAsia="宋体"/>
        </w:rPr>
        <w:t>–</w:t>
      </w:r>
      <w:r>
        <w:rPr>
          <w:rFonts w:hint="eastAsia" w:eastAsia="宋体"/>
        </w:rPr>
        <w:t xml:space="preserve"> 设备安装地点的海拔高度，m。 </w:t>
      </w:r>
    </w:p>
    <w:p>
      <w:pPr>
        <w:pStyle w:val="17"/>
        <w:tabs>
          <w:tab w:val="left" w:pos="2160"/>
        </w:tabs>
        <w:adjustRightInd w:val="0"/>
        <w:snapToGrid w:val="0"/>
        <w:spacing w:line="360" w:lineRule="auto"/>
        <w:rPr>
          <w:rFonts w:hint="eastAsia" w:eastAsia="宋体"/>
        </w:rPr>
      </w:pPr>
      <w:r>
        <w:rPr>
          <w:rFonts w:hint="eastAsia" w:eastAsia="宋体"/>
        </w:rPr>
        <w:t>3）污秽等级</w:t>
      </w:r>
    </w:p>
    <w:p>
      <w:pPr>
        <w:pStyle w:val="17"/>
        <w:tabs>
          <w:tab w:val="left" w:pos="2160"/>
        </w:tabs>
        <w:adjustRightInd w:val="0"/>
        <w:snapToGrid w:val="0"/>
        <w:spacing w:line="360" w:lineRule="auto"/>
        <w:rPr>
          <w:rFonts w:hint="eastAsia" w:eastAsia="宋体"/>
        </w:rPr>
      </w:pPr>
      <w:r>
        <w:rPr>
          <w:rFonts w:hint="eastAsia" w:eastAsia="宋体"/>
          <w:lang w:eastAsia="zh-CN"/>
        </w:rPr>
        <w:t>户外</w:t>
      </w:r>
      <w:r>
        <w:rPr>
          <w:rFonts w:hint="eastAsia" w:eastAsia="宋体"/>
        </w:rPr>
        <w:t>10kV设备，外绝缘按</w:t>
      </w:r>
      <w:r>
        <w:rPr>
          <w:rFonts w:hint="eastAsia" w:eastAsia="宋体"/>
          <w:lang w:val="en-US" w:eastAsia="zh-CN"/>
        </w:rPr>
        <w:t>c</w:t>
      </w:r>
      <w:r>
        <w:rPr>
          <w:rFonts w:hint="eastAsia" w:eastAsia="宋体"/>
        </w:rPr>
        <w:t>级设防。</w:t>
      </w:r>
    </w:p>
    <w:p>
      <w:pPr>
        <w:adjustRightInd w:val="0"/>
        <w:snapToGrid w:val="0"/>
        <w:spacing w:line="360" w:lineRule="auto"/>
        <w:jc w:val="center"/>
        <w:rPr>
          <w:rFonts w:hint="eastAsia"/>
          <w:sz w:val="18"/>
          <w:szCs w:val="18"/>
        </w:rPr>
      </w:pPr>
      <w:r>
        <w:rPr>
          <w:rFonts w:hint="eastAsia" w:hAnsi="宋体"/>
          <w:sz w:val="18"/>
          <w:szCs w:val="18"/>
        </w:rPr>
        <w:t>表</w:t>
      </w:r>
      <w:r>
        <w:rPr>
          <w:rFonts w:hint="eastAsia"/>
          <w:sz w:val="18"/>
          <w:szCs w:val="18"/>
        </w:rPr>
        <w:t xml:space="preserve">4.2 </w:t>
      </w:r>
      <w:r>
        <w:rPr>
          <w:rFonts w:hint="eastAsia" w:hAnsi="宋体"/>
          <w:sz w:val="18"/>
          <w:szCs w:val="18"/>
        </w:rPr>
        <w:t>爬电比距要求</w:t>
      </w:r>
    </w:p>
    <w:tbl>
      <w:tblPr>
        <w:tblStyle w:val="11"/>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140"/>
        <w:gridCol w:w="414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140" w:type="dxa"/>
            <w:noWrap w:val="0"/>
            <w:vAlign w:val="center"/>
          </w:tcPr>
          <w:p>
            <w:pPr>
              <w:pStyle w:val="16"/>
              <w:adjustRightInd w:val="0"/>
              <w:snapToGrid w:val="0"/>
              <w:ind w:firstLine="0" w:firstLineChars="0"/>
              <w:jc w:val="center"/>
              <w:rPr>
                <w:rFonts w:ascii="Times New Roman"/>
                <w:sz w:val="18"/>
                <w:szCs w:val="18"/>
              </w:rPr>
            </w:pPr>
            <w:r>
              <w:rPr>
                <w:rFonts w:ascii="Times New Roman"/>
                <w:sz w:val="18"/>
                <w:szCs w:val="18"/>
              </w:rPr>
              <w:t>污秽等级</w:t>
            </w:r>
          </w:p>
        </w:tc>
        <w:tc>
          <w:tcPr>
            <w:tcW w:w="4140" w:type="dxa"/>
            <w:noWrap w:val="0"/>
            <w:vAlign w:val="center"/>
          </w:tcPr>
          <w:p>
            <w:pPr>
              <w:pStyle w:val="16"/>
              <w:adjustRightInd w:val="0"/>
              <w:snapToGrid w:val="0"/>
              <w:ind w:firstLine="0" w:firstLineChars="0"/>
              <w:jc w:val="center"/>
              <w:rPr>
                <w:rFonts w:ascii="Times New Roman"/>
                <w:sz w:val="18"/>
                <w:szCs w:val="18"/>
              </w:rPr>
            </w:pPr>
            <w:r>
              <w:rPr>
                <w:rFonts w:ascii="Times New Roman"/>
                <w:sz w:val="18"/>
                <w:szCs w:val="18"/>
              </w:rPr>
              <w:t>相对低之间最小标称爬电比距（mm/kV)</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140" w:type="dxa"/>
            <w:noWrap w:val="0"/>
            <w:vAlign w:val="center"/>
          </w:tcPr>
          <w:p>
            <w:pPr>
              <w:pStyle w:val="16"/>
              <w:adjustRightInd w:val="0"/>
              <w:snapToGrid w:val="0"/>
              <w:ind w:firstLine="0" w:firstLineChars="0"/>
              <w:jc w:val="center"/>
              <w:rPr>
                <w:rFonts w:ascii="Times New Roman"/>
                <w:sz w:val="18"/>
                <w:szCs w:val="18"/>
              </w:rPr>
            </w:pPr>
            <w:r>
              <w:rPr>
                <w:rFonts w:hint="eastAsia" w:ascii="Times New Roman" w:hAnsi="宋体"/>
                <w:sz w:val="18"/>
                <w:szCs w:val="18"/>
              </w:rPr>
              <w:t>d</w:t>
            </w:r>
          </w:p>
        </w:tc>
        <w:tc>
          <w:tcPr>
            <w:tcW w:w="4140" w:type="dxa"/>
            <w:noWrap w:val="0"/>
            <w:vAlign w:val="center"/>
          </w:tcPr>
          <w:p>
            <w:pPr>
              <w:pStyle w:val="16"/>
              <w:adjustRightInd w:val="0"/>
              <w:snapToGrid w:val="0"/>
              <w:ind w:firstLine="0" w:firstLineChars="0"/>
              <w:jc w:val="center"/>
              <w:rPr>
                <w:rFonts w:ascii="Times New Roman"/>
                <w:sz w:val="18"/>
                <w:szCs w:val="18"/>
              </w:rPr>
            </w:pPr>
            <w:r>
              <w:rPr>
                <w:rFonts w:hint="eastAsia" w:ascii="Times New Roman"/>
                <w:sz w:val="18"/>
                <w:szCs w:val="18"/>
              </w:rPr>
              <w:t>25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140" w:type="dxa"/>
            <w:noWrap w:val="0"/>
            <w:vAlign w:val="center"/>
          </w:tcPr>
          <w:p>
            <w:pPr>
              <w:pStyle w:val="16"/>
              <w:adjustRightInd w:val="0"/>
              <w:snapToGrid w:val="0"/>
              <w:ind w:firstLine="0" w:firstLineChars="0"/>
              <w:jc w:val="center"/>
              <w:rPr>
                <w:rFonts w:ascii="Times New Roman"/>
                <w:sz w:val="18"/>
                <w:szCs w:val="18"/>
              </w:rPr>
            </w:pPr>
            <w:r>
              <w:rPr>
                <w:rFonts w:hint="eastAsia" w:ascii="Times New Roman" w:hAnsi="宋体"/>
                <w:sz w:val="18"/>
                <w:szCs w:val="18"/>
              </w:rPr>
              <w:t>e</w:t>
            </w:r>
          </w:p>
        </w:tc>
        <w:tc>
          <w:tcPr>
            <w:tcW w:w="4140" w:type="dxa"/>
            <w:noWrap w:val="0"/>
            <w:vAlign w:val="center"/>
          </w:tcPr>
          <w:p>
            <w:pPr>
              <w:pStyle w:val="16"/>
              <w:adjustRightInd w:val="0"/>
              <w:snapToGrid w:val="0"/>
              <w:ind w:firstLine="0" w:firstLineChars="0"/>
              <w:jc w:val="center"/>
              <w:rPr>
                <w:rFonts w:ascii="Times New Roman"/>
                <w:sz w:val="18"/>
                <w:szCs w:val="18"/>
              </w:rPr>
            </w:pPr>
            <w:r>
              <w:rPr>
                <w:rFonts w:ascii="Times New Roman"/>
                <w:sz w:val="18"/>
                <w:szCs w:val="18"/>
              </w:rPr>
              <w:t>31</w:t>
            </w:r>
          </w:p>
        </w:tc>
      </w:tr>
    </w:tbl>
    <w:p>
      <w:pPr>
        <w:pStyle w:val="2"/>
        <w:adjustRightInd w:val="0"/>
        <w:rPr>
          <w:rFonts w:hint="eastAsia" w:ascii="黑体" w:hAnsi="宋体" w:eastAsia="黑体"/>
          <w:b w:val="0"/>
        </w:rPr>
      </w:pPr>
      <w:r>
        <w:rPr>
          <w:rFonts w:hint="eastAsia" w:ascii="黑体" w:hAnsi="宋体" w:eastAsia="黑体"/>
          <w:b w:val="0"/>
        </w:rPr>
        <w:t xml:space="preserve"> </w:t>
      </w:r>
      <w:bookmarkStart w:id="29" w:name="_Toc342897945"/>
      <w:r>
        <w:rPr>
          <w:rFonts w:hint="eastAsia" w:ascii="黑体" w:hAnsi="宋体" w:eastAsia="黑体"/>
          <w:b w:val="0"/>
        </w:rPr>
        <w:t>技术</w:t>
      </w:r>
      <w:bookmarkEnd w:id="27"/>
      <w:bookmarkEnd w:id="28"/>
      <w:r>
        <w:rPr>
          <w:rFonts w:hint="eastAsia" w:ascii="黑体" w:hAnsi="宋体" w:eastAsia="黑体"/>
          <w:b w:val="0"/>
        </w:rPr>
        <w:t>要求</w:t>
      </w:r>
      <w:bookmarkEnd w:id="29"/>
    </w:p>
    <w:p>
      <w:pPr>
        <w:pStyle w:val="18"/>
        <w:ind w:firstLine="420" w:firstLineChars="200"/>
        <w:rPr>
          <w:rFonts w:hint="eastAsia"/>
        </w:rPr>
      </w:pPr>
      <w:bookmarkStart w:id="30" w:name="_Toc276492376"/>
      <w:r>
        <w:rPr>
          <w:rFonts w:hint="eastAsia"/>
        </w:rPr>
        <w:t>10</w:t>
      </w:r>
      <w:r>
        <w:t xml:space="preserve">kV </w:t>
      </w:r>
      <w:r>
        <w:rPr>
          <w:rFonts w:hint="eastAsia"/>
        </w:rPr>
        <w:t>干式电压互感器应优先采用设计制造经验成熟、结构简单、经受过运行考验的互感器。对互感器的密封性能和抗震强度应提出要求，防止运输和运行中渗漏。在保证电压互感器安全可靠的前提下，降低噪声和损耗以及节省投资也是互感器选用中应注意的重要问题。</w:t>
      </w:r>
    </w:p>
    <w:p>
      <w:pPr>
        <w:spacing w:line="360" w:lineRule="auto"/>
        <w:outlineLvl w:val="1"/>
        <w:rPr>
          <w:rFonts w:hint="eastAsia" w:ascii="黑体" w:hAnsi="宋体" w:eastAsia="黑体"/>
        </w:rPr>
      </w:pPr>
      <w:bookmarkStart w:id="31" w:name="_Toc342897946"/>
      <w:r>
        <w:rPr>
          <w:rFonts w:hint="eastAsia" w:ascii="黑体" w:hAnsi="宋体" w:eastAsia="黑体"/>
        </w:rPr>
        <w:t>5.1 基本参数</w:t>
      </w:r>
      <w:bookmarkEnd w:id="30"/>
      <w:bookmarkEnd w:id="31"/>
    </w:p>
    <w:bookmarkEnd w:id="0"/>
    <w:p>
      <w:pPr>
        <w:pStyle w:val="17"/>
        <w:tabs>
          <w:tab w:val="left" w:pos="2160"/>
        </w:tabs>
        <w:adjustRightInd w:val="0"/>
        <w:snapToGrid w:val="0"/>
        <w:spacing w:line="360" w:lineRule="auto"/>
        <w:rPr>
          <w:rFonts w:hint="eastAsia" w:eastAsia="宋体"/>
        </w:rPr>
      </w:pPr>
      <w:bookmarkStart w:id="32" w:name="_Toc276492383"/>
      <w:bookmarkStart w:id="33" w:name="_Toc276490904"/>
      <w:r>
        <w:rPr>
          <w:rFonts w:hint="eastAsia" w:eastAsia="宋体"/>
        </w:rPr>
        <w:t>1）</w:t>
      </w:r>
      <w:r>
        <w:rPr>
          <w:rFonts w:hint="eastAsia" w:ascii="宋体" w:hAnsi="宋体"/>
        </w:rPr>
        <w:t>★</w:t>
      </w:r>
      <w:r>
        <w:rPr>
          <w:rFonts w:hint="eastAsia" w:eastAsia="宋体"/>
        </w:rPr>
        <w:t>额定一次电压U</w:t>
      </w:r>
      <w:r>
        <w:rPr>
          <w:rFonts w:hint="eastAsia" w:eastAsia="宋体"/>
          <w:vertAlign w:val="subscript"/>
        </w:rPr>
        <w:t>1N</w:t>
      </w:r>
      <w:r>
        <w:rPr>
          <w:rFonts w:hint="eastAsia" w:eastAsia="宋体"/>
        </w:rPr>
        <w:t>：10</w:t>
      </w:r>
      <w:r>
        <w:rPr>
          <w:rFonts w:eastAsia="宋体"/>
        </w:rPr>
        <w:t>kV</w:t>
      </w:r>
    </w:p>
    <w:p>
      <w:pPr>
        <w:pStyle w:val="17"/>
        <w:tabs>
          <w:tab w:val="left" w:pos="2160"/>
        </w:tabs>
        <w:adjustRightInd w:val="0"/>
        <w:snapToGrid w:val="0"/>
        <w:spacing w:line="360" w:lineRule="auto"/>
        <w:rPr>
          <w:rFonts w:eastAsia="宋体"/>
        </w:rPr>
      </w:pPr>
      <w:r>
        <w:rPr>
          <w:rFonts w:hint="eastAsia" w:eastAsia="宋体"/>
        </w:rPr>
        <w:t>2）</w:t>
      </w:r>
      <w:r>
        <w:rPr>
          <w:rFonts w:hint="eastAsia" w:ascii="宋体" w:hAnsi="宋体"/>
        </w:rPr>
        <w:t>★</w:t>
      </w:r>
      <w:r>
        <w:rPr>
          <w:rFonts w:hint="eastAsia" w:eastAsia="宋体"/>
        </w:rPr>
        <w:t>设备最高电压U</w:t>
      </w:r>
      <w:r>
        <w:rPr>
          <w:rFonts w:hint="eastAsia" w:eastAsia="宋体"/>
          <w:vertAlign w:val="subscript"/>
        </w:rPr>
        <w:t>m</w:t>
      </w:r>
      <w:r>
        <w:rPr>
          <w:rFonts w:hint="eastAsia" w:eastAsia="宋体"/>
        </w:rPr>
        <w:t>：12kV</w:t>
      </w:r>
    </w:p>
    <w:p>
      <w:pPr>
        <w:pStyle w:val="17"/>
        <w:tabs>
          <w:tab w:val="left" w:pos="2160"/>
        </w:tabs>
        <w:adjustRightInd w:val="0"/>
        <w:snapToGrid w:val="0"/>
        <w:spacing w:line="360" w:lineRule="auto"/>
        <w:rPr>
          <w:rFonts w:hint="eastAsia" w:eastAsia="宋体"/>
        </w:rPr>
      </w:pPr>
      <w:r>
        <w:rPr>
          <w:rFonts w:hint="eastAsia" w:eastAsia="宋体"/>
        </w:rPr>
        <w:t>3）</w:t>
      </w:r>
      <w:r>
        <w:rPr>
          <w:rFonts w:hint="eastAsia" w:ascii="宋体" w:hAnsi="宋体"/>
        </w:rPr>
        <w:t>★</w:t>
      </w:r>
      <w:r>
        <w:rPr>
          <w:rFonts w:hint="eastAsia" w:eastAsia="宋体"/>
        </w:rPr>
        <w:t>额定二次电压U</w:t>
      </w:r>
      <w:r>
        <w:rPr>
          <w:rFonts w:hint="eastAsia" w:eastAsia="宋体"/>
          <w:vertAlign w:val="subscript"/>
        </w:rPr>
        <w:t>2N</w:t>
      </w:r>
      <w:r>
        <w:rPr>
          <w:rFonts w:hint="eastAsia" w:eastAsia="宋体"/>
        </w:rPr>
        <w:t>：0.1</w:t>
      </w:r>
      <w:r>
        <w:rPr>
          <w:rFonts w:eastAsia="宋体"/>
        </w:rPr>
        <w:t>kV</w:t>
      </w:r>
      <w:r>
        <w:rPr>
          <w:rFonts w:hint="eastAsia" w:eastAsia="宋体"/>
        </w:rPr>
        <w:t>、0.1/</w:t>
      </w:r>
      <w:r>
        <w:rPr>
          <w:rFonts w:eastAsia="宋体"/>
          <w:position w:val="-8"/>
        </w:rPr>
        <w:object>
          <v:shape id="_x0000_i1026" o:spt="75" type="#_x0000_t75" style="height:18pt;width:18pt;" o:ole="t" filled="f" o:preferrelative="t" stroked="f" coordsize="21600,21600">
            <v:path/>
            <v:fill on="f" alignshape="1" focussize="0,0"/>
            <v:stroke on="f"/>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eastAsia="宋体"/>
        </w:rPr>
        <w:t>kV</w:t>
      </w:r>
    </w:p>
    <w:p>
      <w:pPr>
        <w:pStyle w:val="17"/>
        <w:tabs>
          <w:tab w:val="left" w:pos="2160"/>
        </w:tabs>
        <w:adjustRightInd w:val="0"/>
        <w:snapToGrid w:val="0"/>
        <w:spacing w:line="360" w:lineRule="auto"/>
        <w:rPr>
          <w:rFonts w:hint="eastAsia" w:eastAsia="宋体"/>
        </w:rPr>
      </w:pPr>
      <w:r>
        <w:rPr>
          <w:rFonts w:hint="eastAsia" w:eastAsia="宋体"/>
        </w:rPr>
        <w:t>4）绝缘介质：干式</w:t>
      </w:r>
    </w:p>
    <w:p>
      <w:pPr>
        <w:pStyle w:val="17"/>
        <w:tabs>
          <w:tab w:val="left" w:pos="2160"/>
        </w:tabs>
        <w:adjustRightInd w:val="0"/>
        <w:snapToGrid w:val="0"/>
        <w:spacing w:line="360" w:lineRule="auto"/>
        <w:rPr>
          <w:rFonts w:hint="eastAsia" w:eastAsia="宋体"/>
          <w:lang w:eastAsia="zh-CN"/>
        </w:rPr>
      </w:pPr>
      <w:r>
        <w:rPr>
          <w:rFonts w:hint="eastAsia" w:eastAsia="宋体"/>
        </w:rPr>
        <w:t>5）外绝缘型式：</w:t>
      </w:r>
      <w:r>
        <w:rPr>
          <w:rFonts w:hint="eastAsia" w:eastAsia="宋体"/>
          <w:lang w:val="en-US" w:eastAsia="zh-CN"/>
        </w:rPr>
        <w:t>环氧树脂</w:t>
      </w:r>
    </w:p>
    <w:p>
      <w:pPr>
        <w:pStyle w:val="17"/>
        <w:tabs>
          <w:tab w:val="left" w:pos="2160"/>
        </w:tabs>
        <w:adjustRightInd w:val="0"/>
        <w:snapToGrid w:val="0"/>
        <w:spacing w:line="360" w:lineRule="auto"/>
        <w:rPr>
          <w:rFonts w:hint="eastAsia" w:eastAsia="宋体"/>
        </w:rPr>
      </w:pPr>
      <w:r>
        <w:rPr>
          <w:rFonts w:hint="eastAsia" w:eastAsia="宋体"/>
        </w:rPr>
        <w:t>6）设备类型：单相、</w:t>
      </w:r>
      <w:r>
        <w:rPr>
          <w:rFonts w:hint="eastAsia" w:eastAsia="宋体"/>
          <w:lang w:eastAsia="zh-CN"/>
        </w:rPr>
        <w:t>户外</w:t>
      </w:r>
      <w:r>
        <w:rPr>
          <w:rFonts w:hint="eastAsia" w:eastAsia="宋体"/>
        </w:rPr>
        <w:t xml:space="preserve">式电压互感器、电磁式 </w:t>
      </w:r>
    </w:p>
    <w:p>
      <w:pPr>
        <w:pStyle w:val="19"/>
        <w:numPr>
          <w:ilvl w:val="0"/>
          <w:numId w:val="0"/>
        </w:numPr>
        <w:adjustRightInd w:val="0"/>
        <w:spacing w:before="156" w:beforeLines="50"/>
        <w:rPr>
          <w:rFonts w:hint="eastAsia" w:ascii="Times New Roman" w:hAnsi="Times New Roman" w:eastAsia="黑体"/>
        </w:rPr>
      </w:pPr>
      <w:bookmarkStart w:id="34" w:name="_Toc276492378"/>
      <w:bookmarkStart w:id="35" w:name="_Toc276492377"/>
      <w:r>
        <w:rPr>
          <w:rFonts w:hint="eastAsia" w:ascii="Times New Roman" w:hAnsi="Times New Roman" w:eastAsia="黑体"/>
        </w:rPr>
        <w:t xml:space="preserve">5.1.1 </w:t>
      </w:r>
      <w:r>
        <w:rPr>
          <w:rFonts w:hint="eastAsia"/>
        </w:rPr>
        <w:t>★</w:t>
      </w:r>
      <w:r>
        <w:rPr>
          <w:rFonts w:hint="eastAsia" w:ascii="Times New Roman" w:hAnsi="Times New Roman" w:eastAsia="黑体"/>
        </w:rPr>
        <w:t>电压</w:t>
      </w:r>
      <w:bookmarkEnd w:id="34"/>
    </w:p>
    <w:p>
      <w:pPr>
        <w:adjustRightInd w:val="0"/>
        <w:snapToGrid w:val="0"/>
        <w:spacing w:line="360" w:lineRule="auto"/>
        <w:jc w:val="center"/>
        <w:rPr>
          <w:rFonts w:hint="eastAsia" w:hAnsi="宋体"/>
          <w:sz w:val="18"/>
          <w:szCs w:val="18"/>
        </w:rPr>
      </w:pPr>
      <w:r>
        <w:rPr>
          <w:rFonts w:hint="eastAsia" w:hAnsi="宋体"/>
          <w:sz w:val="18"/>
          <w:szCs w:val="18"/>
        </w:rPr>
        <w:t>表5.1 电压要求</w:t>
      </w:r>
    </w:p>
    <w:tbl>
      <w:tblPr>
        <w:tblStyle w:val="11"/>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760"/>
        <w:gridCol w:w="2760"/>
        <w:gridCol w:w="276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60" w:type="dxa"/>
            <w:noWrap w:val="0"/>
            <w:vAlign w:val="center"/>
          </w:tcPr>
          <w:p>
            <w:pPr>
              <w:adjustRightInd w:val="0"/>
              <w:snapToGrid w:val="0"/>
              <w:spacing w:line="360" w:lineRule="auto"/>
              <w:jc w:val="center"/>
              <w:rPr>
                <w:rFonts w:hint="eastAsia"/>
                <w:sz w:val="18"/>
                <w:szCs w:val="18"/>
              </w:rPr>
            </w:pPr>
            <w:r>
              <w:rPr>
                <w:rFonts w:hint="eastAsia"/>
                <w:sz w:val="18"/>
                <w:szCs w:val="18"/>
              </w:rPr>
              <w:t>额定一次电压U</w:t>
            </w:r>
            <w:r>
              <w:rPr>
                <w:rFonts w:hint="eastAsia"/>
                <w:sz w:val="18"/>
                <w:szCs w:val="18"/>
                <w:vertAlign w:val="subscript"/>
              </w:rPr>
              <w:t>1N</w:t>
            </w:r>
          </w:p>
        </w:tc>
        <w:tc>
          <w:tcPr>
            <w:tcW w:w="2760" w:type="dxa"/>
            <w:noWrap w:val="0"/>
            <w:vAlign w:val="center"/>
          </w:tcPr>
          <w:p>
            <w:pPr>
              <w:adjustRightInd w:val="0"/>
              <w:snapToGrid w:val="0"/>
              <w:spacing w:line="360" w:lineRule="auto"/>
              <w:jc w:val="center"/>
              <w:rPr>
                <w:rFonts w:hint="eastAsia"/>
                <w:sz w:val="18"/>
                <w:szCs w:val="18"/>
              </w:rPr>
            </w:pPr>
            <w:r>
              <w:rPr>
                <w:rFonts w:hint="eastAsia"/>
                <w:sz w:val="18"/>
                <w:szCs w:val="18"/>
              </w:rPr>
              <w:t>最高运行电压</w:t>
            </w:r>
          </w:p>
        </w:tc>
        <w:tc>
          <w:tcPr>
            <w:tcW w:w="2760" w:type="dxa"/>
            <w:noWrap w:val="0"/>
            <w:vAlign w:val="center"/>
          </w:tcPr>
          <w:p>
            <w:pPr>
              <w:adjustRightInd w:val="0"/>
              <w:snapToGrid w:val="0"/>
              <w:spacing w:line="360" w:lineRule="auto"/>
              <w:jc w:val="center"/>
              <w:rPr>
                <w:rFonts w:hint="eastAsia"/>
                <w:sz w:val="18"/>
                <w:szCs w:val="18"/>
              </w:rPr>
            </w:pPr>
            <w:r>
              <w:rPr>
                <w:rFonts w:hint="eastAsia"/>
                <w:sz w:val="18"/>
                <w:szCs w:val="18"/>
              </w:rPr>
              <w:t>额定二次电压U</w:t>
            </w:r>
            <w:r>
              <w:rPr>
                <w:rFonts w:hint="eastAsia"/>
                <w:sz w:val="18"/>
                <w:szCs w:val="18"/>
                <w:vertAlign w:val="subscript"/>
              </w:rPr>
              <w:t>2N</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760" w:type="dxa"/>
            <w:noWrap w:val="0"/>
            <w:vAlign w:val="center"/>
          </w:tcPr>
          <w:p>
            <w:pPr>
              <w:adjustRightInd w:val="0"/>
              <w:snapToGrid w:val="0"/>
              <w:spacing w:line="360" w:lineRule="auto"/>
              <w:jc w:val="center"/>
              <w:rPr>
                <w:rFonts w:hint="eastAsia"/>
                <w:sz w:val="18"/>
                <w:szCs w:val="18"/>
              </w:rPr>
            </w:pPr>
            <w:r>
              <w:rPr>
                <w:rFonts w:hint="eastAsia"/>
                <w:sz w:val="18"/>
                <w:szCs w:val="18"/>
              </w:rPr>
              <w:t>10kV</w:t>
            </w:r>
          </w:p>
        </w:tc>
        <w:tc>
          <w:tcPr>
            <w:tcW w:w="2760" w:type="dxa"/>
            <w:noWrap w:val="0"/>
            <w:vAlign w:val="center"/>
          </w:tcPr>
          <w:p>
            <w:pPr>
              <w:adjustRightInd w:val="0"/>
              <w:snapToGrid w:val="0"/>
              <w:spacing w:line="360" w:lineRule="auto"/>
              <w:jc w:val="center"/>
              <w:rPr>
                <w:rFonts w:hint="eastAsia"/>
                <w:sz w:val="18"/>
                <w:szCs w:val="18"/>
              </w:rPr>
            </w:pPr>
            <w:r>
              <w:rPr>
                <w:rFonts w:hint="eastAsia"/>
                <w:sz w:val="18"/>
                <w:szCs w:val="18"/>
              </w:rPr>
              <w:t>12kV</w:t>
            </w:r>
          </w:p>
        </w:tc>
        <w:tc>
          <w:tcPr>
            <w:tcW w:w="2760" w:type="dxa"/>
            <w:noWrap w:val="0"/>
            <w:vAlign w:val="center"/>
          </w:tcPr>
          <w:p>
            <w:pPr>
              <w:adjustRightInd w:val="0"/>
              <w:snapToGrid w:val="0"/>
              <w:spacing w:line="360" w:lineRule="auto"/>
              <w:jc w:val="center"/>
              <w:rPr>
                <w:rFonts w:hint="eastAsia"/>
                <w:sz w:val="18"/>
                <w:szCs w:val="18"/>
              </w:rPr>
            </w:pPr>
            <w:r>
              <w:rPr>
                <w:rFonts w:hint="eastAsia"/>
                <w:sz w:val="18"/>
                <w:szCs w:val="18"/>
              </w:rPr>
              <w:t>0.1</w:t>
            </w:r>
            <w:r>
              <w:rPr>
                <w:sz w:val="18"/>
                <w:szCs w:val="18"/>
              </w:rPr>
              <w:t>kV</w:t>
            </w:r>
            <w:r>
              <w:rPr>
                <w:rFonts w:hint="eastAsia"/>
                <w:sz w:val="18"/>
                <w:szCs w:val="18"/>
              </w:rPr>
              <w:t>、0.1/</w:t>
            </w:r>
            <w:r>
              <w:rPr>
                <w:position w:val="-8"/>
                <w:sz w:val="18"/>
                <w:szCs w:val="18"/>
              </w:rPr>
              <w:object>
                <v:shape id="_x0000_i1027" o:spt="75" type="#_x0000_t75" style="height:11.9pt;width:17.7pt;" o:ole="t" filled="f" o:preferrelative="t" stroked="f" coordsize="21600,21600">
                  <v:path/>
                  <v:fill on="f" alignshape="1" focussize="0,0"/>
                  <v:stroke on="f"/>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sz w:val="18"/>
                <w:szCs w:val="18"/>
              </w:rPr>
              <w:t>kV</w:t>
            </w:r>
          </w:p>
        </w:tc>
      </w:tr>
    </w:tbl>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 xml:space="preserve">5.1.2 </w:t>
      </w:r>
      <w:r>
        <w:rPr>
          <w:rFonts w:hint="eastAsia"/>
        </w:rPr>
        <w:t>★</w:t>
      </w:r>
      <w:r>
        <w:rPr>
          <w:rFonts w:hint="eastAsia" w:ascii="Times New Roman" w:hAnsi="Times New Roman" w:eastAsia="黑体"/>
        </w:rPr>
        <w:t>绝缘水平</w:t>
      </w:r>
      <w:bookmarkEnd w:id="35"/>
    </w:p>
    <w:p>
      <w:pPr>
        <w:pStyle w:val="17"/>
        <w:tabs>
          <w:tab w:val="left" w:pos="2160"/>
        </w:tabs>
        <w:adjustRightInd w:val="0"/>
        <w:snapToGrid w:val="0"/>
        <w:spacing w:line="360" w:lineRule="auto"/>
        <w:rPr>
          <w:rFonts w:hint="eastAsia" w:eastAsia="宋体"/>
        </w:rPr>
      </w:pPr>
      <w:r>
        <w:rPr>
          <w:rFonts w:hint="eastAsia" w:eastAsia="宋体"/>
        </w:rPr>
        <w:t>1）</w:t>
      </w:r>
      <w:r>
        <w:rPr>
          <w:rFonts w:eastAsia="宋体"/>
        </w:rPr>
        <w:t>电压互感器的高压端子绝缘水平和耐受电压</w:t>
      </w:r>
      <w:r>
        <w:rPr>
          <w:rFonts w:hint="eastAsia" w:eastAsia="宋体"/>
        </w:rPr>
        <w:t>值</w:t>
      </w:r>
      <w:r>
        <w:rPr>
          <w:rFonts w:eastAsia="宋体"/>
        </w:rPr>
        <w:t>按</w:t>
      </w:r>
      <w:r>
        <w:rPr>
          <w:rFonts w:hint="eastAsia" w:eastAsia="宋体"/>
        </w:rPr>
        <w:t>下表</w:t>
      </w:r>
      <w:r>
        <w:rPr>
          <w:rFonts w:eastAsia="宋体"/>
        </w:rPr>
        <w:t>选取。</w:t>
      </w:r>
    </w:p>
    <w:p>
      <w:pPr>
        <w:adjustRightInd w:val="0"/>
        <w:snapToGrid w:val="0"/>
        <w:spacing w:line="360" w:lineRule="auto"/>
        <w:jc w:val="center"/>
        <w:rPr>
          <w:rFonts w:hint="eastAsia" w:hAnsi="宋体"/>
          <w:sz w:val="18"/>
          <w:szCs w:val="18"/>
        </w:rPr>
      </w:pPr>
      <w:r>
        <w:rPr>
          <w:rFonts w:hint="eastAsia" w:hAnsi="宋体"/>
          <w:sz w:val="18"/>
          <w:szCs w:val="18"/>
        </w:rPr>
        <w:t>表5.2 绝缘水平要求</w:t>
      </w:r>
    </w:p>
    <w:tbl>
      <w:tblPr>
        <w:tblStyle w:val="11"/>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1656"/>
        <w:gridCol w:w="1656"/>
        <w:gridCol w:w="1656"/>
        <w:gridCol w:w="165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56" w:type="dxa"/>
            <w:noWrap w:val="0"/>
            <w:vAlign w:val="center"/>
          </w:tcPr>
          <w:p>
            <w:pPr>
              <w:pStyle w:val="16"/>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额定电压</w:t>
            </w:r>
          </w:p>
          <w:p>
            <w:pPr>
              <w:pStyle w:val="16"/>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w:t>
            </w:r>
            <w:r>
              <w:rPr>
                <w:rFonts w:hint="eastAsia" w:ascii="Times New Roman" w:hAnsi="宋体"/>
                <w:sz w:val="18"/>
                <w:szCs w:val="18"/>
              </w:rPr>
              <w:t>有效</w:t>
            </w:r>
            <w:r>
              <w:rPr>
                <w:rFonts w:ascii="Times New Roman" w:hAnsi="宋体"/>
                <w:sz w:val="18"/>
                <w:szCs w:val="18"/>
              </w:rPr>
              <w:t>值）</w:t>
            </w:r>
          </w:p>
        </w:tc>
        <w:tc>
          <w:tcPr>
            <w:tcW w:w="1656" w:type="dxa"/>
            <w:noWrap w:val="0"/>
            <w:vAlign w:val="center"/>
          </w:tcPr>
          <w:p>
            <w:pPr>
              <w:pStyle w:val="16"/>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最高运行电压</w:t>
            </w:r>
          </w:p>
          <w:p>
            <w:pPr>
              <w:pStyle w:val="16"/>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w:t>
            </w:r>
            <w:r>
              <w:rPr>
                <w:rFonts w:hint="eastAsia" w:ascii="Times New Roman" w:hAnsi="宋体"/>
                <w:sz w:val="18"/>
                <w:szCs w:val="18"/>
              </w:rPr>
              <w:t>有效</w:t>
            </w:r>
            <w:r>
              <w:rPr>
                <w:rFonts w:ascii="Times New Roman" w:hAnsi="宋体"/>
                <w:sz w:val="18"/>
                <w:szCs w:val="18"/>
              </w:rPr>
              <w:t>值）</w:t>
            </w:r>
          </w:p>
        </w:tc>
        <w:tc>
          <w:tcPr>
            <w:tcW w:w="1656" w:type="dxa"/>
            <w:noWrap w:val="0"/>
            <w:vAlign w:val="center"/>
          </w:tcPr>
          <w:p>
            <w:pPr>
              <w:pStyle w:val="16"/>
              <w:widowControl w:val="0"/>
              <w:adjustRightInd w:val="0"/>
              <w:snapToGrid w:val="0"/>
              <w:spacing w:line="360" w:lineRule="auto"/>
              <w:ind w:firstLine="0" w:firstLineChars="0"/>
              <w:jc w:val="center"/>
              <w:rPr>
                <w:rFonts w:hint="eastAsia" w:ascii="Times New Roman"/>
                <w:sz w:val="18"/>
                <w:szCs w:val="18"/>
              </w:rPr>
            </w:pPr>
            <w:r>
              <w:rPr>
                <w:rFonts w:ascii="Times New Roman" w:hAnsi="宋体"/>
                <w:sz w:val="18"/>
                <w:szCs w:val="18"/>
              </w:rPr>
              <w:t>工频耐受电压</w:t>
            </w:r>
          </w:p>
          <w:p>
            <w:pPr>
              <w:pStyle w:val="16"/>
              <w:widowControl w:val="0"/>
              <w:adjustRightInd w:val="0"/>
              <w:snapToGrid w:val="0"/>
              <w:spacing w:line="360" w:lineRule="auto"/>
              <w:ind w:firstLine="0" w:firstLineChars="0"/>
              <w:jc w:val="center"/>
              <w:rPr>
                <w:rFonts w:hint="eastAsia" w:ascii="Times New Roman"/>
                <w:sz w:val="18"/>
                <w:szCs w:val="18"/>
              </w:rPr>
            </w:pPr>
            <w:r>
              <w:rPr>
                <w:rFonts w:ascii="Times New Roman" w:hAnsi="宋体"/>
                <w:sz w:val="18"/>
                <w:szCs w:val="18"/>
              </w:rPr>
              <w:t>（</w:t>
            </w:r>
            <w:r>
              <w:rPr>
                <w:rFonts w:hint="eastAsia" w:ascii="Times New Roman" w:hAnsi="宋体"/>
                <w:sz w:val="18"/>
                <w:szCs w:val="18"/>
              </w:rPr>
              <w:t>有效</w:t>
            </w:r>
            <w:r>
              <w:rPr>
                <w:rFonts w:ascii="Times New Roman" w:hAnsi="宋体"/>
                <w:sz w:val="18"/>
                <w:szCs w:val="18"/>
              </w:rPr>
              <w:t>值</w:t>
            </w:r>
            <w:r>
              <w:rPr>
                <w:rFonts w:hint="eastAsia" w:ascii="Times New Roman" w:hAnsi="宋体"/>
                <w:sz w:val="18"/>
                <w:szCs w:val="18"/>
              </w:rPr>
              <w:t>）</w:t>
            </w:r>
          </w:p>
        </w:tc>
        <w:tc>
          <w:tcPr>
            <w:tcW w:w="1656" w:type="dxa"/>
            <w:noWrap w:val="0"/>
            <w:vAlign w:val="center"/>
          </w:tcPr>
          <w:p>
            <w:pPr>
              <w:pStyle w:val="16"/>
              <w:widowControl w:val="0"/>
              <w:adjustRightInd w:val="0"/>
              <w:snapToGrid w:val="0"/>
              <w:spacing w:line="360" w:lineRule="auto"/>
              <w:ind w:firstLine="0" w:firstLineChars="0"/>
              <w:jc w:val="center"/>
              <w:rPr>
                <w:rFonts w:ascii="Times New Roman"/>
                <w:sz w:val="18"/>
                <w:szCs w:val="18"/>
              </w:rPr>
            </w:pPr>
            <w:r>
              <w:rPr>
                <w:rFonts w:hint="eastAsia" w:ascii="Times New Roman" w:hAnsi="宋体"/>
                <w:sz w:val="18"/>
                <w:szCs w:val="18"/>
              </w:rPr>
              <w:t>额定</w:t>
            </w:r>
            <w:r>
              <w:rPr>
                <w:rFonts w:ascii="Times New Roman" w:hAnsi="宋体"/>
                <w:sz w:val="18"/>
                <w:szCs w:val="18"/>
              </w:rPr>
              <w:t>雷电</w:t>
            </w:r>
            <w:r>
              <w:rPr>
                <w:rFonts w:hint="eastAsia" w:ascii="Times New Roman" w:hAnsi="宋体"/>
                <w:sz w:val="18"/>
                <w:szCs w:val="18"/>
              </w:rPr>
              <w:t>全波</w:t>
            </w:r>
            <w:r>
              <w:rPr>
                <w:rFonts w:ascii="Times New Roman" w:hAnsi="宋体"/>
                <w:sz w:val="18"/>
                <w:szCs w:val="18"/>
              </w:rPr>
              <w:t>冲击耐受电压</w:t>
            </w:r>
          </w:p>
        </w:tc>
        <w:tc>
          <w:tcPr>
            <w:tcW w:w="1656" w:type="dxa"/>
            <w:noWrap w:val="0"/>
            <w:vAlign w:val="center"/>
          </w:tcPr>
          <w:p>
            <w:pPr>
              <w:pStyle w:val="16"/>
              <w:widowControl w:val="0"/>
              <w:adjustRightInd w:val="0"/>
              <w:snapToGrid w:val="0"/>
              <w:spacing w:line="360" w:lineRule="auto"/>
              <w:ind w:firstLine="0" w:firstLineChars="0"/>
              <w:jc w:val="center"/>
              <w:rPr>
                <w:rFonts w:ascii="Times New Roman"/>
                <w:sz w:val="18"/>
                <w:szCs w:val="18"/>
              </w:rPr>
            </w:pPr>
            <w:r>
              <w:rPr>
                <w:rFonts w:ascii="Times New Roman" w:hAnsi="宋体"/>
                <w:sz w:val="18"/>
                <w:szCs w:val="18"/>
              </w:rPr>
              <w:t>额定雷电截波冲击耐受电压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56" w:type="dxa"/>
            <w:noWrap w:val="0"/>
            <w:vAlign w:val="center"/>
          </w:tcPr>
          <w:p>
            <w:pPr>
              <w:pStyle w:val="16"/>
              <w:widowControl w:val="0"/>
              <w:adjustRightInd w:val="0"/>
              <w:snapToGrid w:val="0"/>
              <w:spacing w:line="360" w:lineRule="auto"/>
              <w:ind w:firstLine="0" w:firstLineChars="0"/>
              <w:jc w:val="center"/>
              <w:rPr>
                <w:rFonts w:hint="eastAsia" w:ascii="Times New Roman"/>
                <w:sz w:val="18"/>
                <w:szCs w:val="18"/>
              </w:rPr>
            </w:pPr>
            <w:r>
              <w:rPr>
                <w:rFonts w:hint="eastAsia" w:ascii="Times New Roman"/>
                <w:sz w:val="18"/>
                <w:szCs w:val="18"/>
              </w:rPr>
              <w:t>10</w:t>
            </w:r>
          </w:p>
        </w:tc>
        <w:tc>
          <w:tcPr>
            <w:tcW w:w="1656" w:type="dxa"/>
            <w:noWrap w:val="0"/>
            <w:vAlign w:val="center"/>
          </w:tcPr>
          <w:p>
            <w:pPr>
              <w:pStyle w:val="16"/>
              <w:widowControl w:val="0"/>
              <w:adjustRightInd w:val="0"/>
              <w:snapToGrid w:val="0"/>
              <w:spacing w:line="360" w:lineRule="auto"/>
              <w:ind w:firstLine="0" w:firstLineChars="0"/>
              <w:jc w:val="center"/>
              <w:rPr>
                <w:rFonts w:hint="eastAsia" w:ascii="Times New Roman"/>
                <w:sz w:val="18"/>
                <w:szCs w:val="18"/>
              </w:rPr>
            </w:pPr>
            <w:r>
              <w:rPr>
                <w:rFonts w:hint="eastAsia" w:ascii="Times New Roman"/>
                <w:sz w:val="18"/>
                <w:szCs w:val="18"/>
              </w:rPr>
              <w:t>12</w:t>
            </w:r>
          </w:p>
        </w:tc>
        <w:tc>
          <w:tcPr>
            <w:tcW w:w="1656" w:type="dxa"/>
            <w:noWrap w:val="0"/>
            <w:vAlign w:val="center"/>
          </w:tcPr>
          <w:p>
            <w:pPr>
              <w:pStyle w:val="16"/>
              <w:widowControl w:val="0"/>
              <w:adjustRightInd w:val="0"/>
              <w:snapToGrid w:val="0"/>
              <w:spacing w:line="360" w:lineRule="auto"/>
              <w:ind w:firstLine="0" w:firstLineChars="0"/>
              <w:jc w:val="center"/>
              <w:rPr>
                <w:rFonts w:hint="eastAsia" w:ascii="Times New Roman"/>
                <w:sz w:val="18"/>
                <w:szCs w:val="18"/>
              </w:rPr>
            </w:pPr>
            <w:r>
              <w:rPr>
                <w:rFonts w:hint="eastAsia" w:ascii="Times New Roman"/>
                <w:sz w:val="18"/>
                <w:szCs w:val="18"/>
              </w:rPr>
              <w:t>42</w:t>
            </w:r>
          </w:p>
        </w:tc>
        <w:tc>
          <w:tcPr>
            <w:tcW w:w="1656" w:type="dxa"/>
            <w:noWrap w:val="0"/>
            <w:vAlign w:val="center"/>
          </w:tcPr>
          <w:p>
            <w:pPr>
              <w:pStyle w:val="16"/>
              <w:widowControl w:val="0"/>
              <w:adjustRightInd w:val="0"/>
              <w:snapToGrid w:val="0"/>
              <w:spacing w:line="360" w:lineRule="auto"/>
              <w:ind w:firstLine="0" w:firstLineChars="0"/>
              <w:jc w:val="center"/>
              <w:rPr>
                <w:rFonts w:hint="eastAsia" w:ascii="Times New Roman"/>
                <w:sz w:val="18"/>
                <w:szCs w:val="18"/>
              </w:rPr>
            </w:pPr>
            <w:r>
              <w:rPr>
                <w:rFonts w:hint="eastAsia" w:ascii="Times New Roman"/>
                <w:sz w:val="18"/>
                <w:szCs w:val="18"/>
              </w:rPr>
              <w:t>75</w:t>
            </w:r>
          </w:p>
        </w:tc>
        <w:tc>
          <w:tcPr>
            <w:tcW w:w="1656" w:type="dxa"/>
            <w:noWrap w:val="0"/>
            <w:vAlign w:val="center"/>
          </w:tcPr>
          <w:p>
            <w:pPr>
              <w:pStyle w:val="16"/>
              <w:widowControl w:val="0"/>
              <w:adjustRightInd w:val="0"/>
              <w:snapToGrid w:val="0"/>
              <w:spacing w:line="360" w:lineRule="auto"/>
              <w:ind w:firstLine="0" w:firstLineChars="0"/>
              <w:jc w:val="center"/>
              <w:rPr>
                <w:rFonts w:hint="eastAsia" w:ascii="Times New Roman"/>
                <w:sz w:val="18"/>
                <w:szCs w:val="18"/>
              </w:rPr>
            </w:pPr>
            <w:r>
              <w:rPr>
                <w:rFonts w:hint="eastAsia" w:ascii="Times New Roman"/>
                <w:sz w:val="18"/>
                <w:szCs w:val="18"/>
              </w:rPr>
              <w:t>85</w:t>
            </w:r>
          </w:p>
        </w:tc>
      </w:tr>
    </w:tbl>
    <w:p>
      <w:pPr>
        <w:autoSpaceDE w:val="0"/>
        <w:autoSpaceDN w:val="0"/>
        <w:adjustRightInd w:val="0"/>
        <w:spacing w:line="360" w:lineRule="auto"/>
        <w:ind w:firstLine="360" w:firstLineChars="200"/>
        <w:jc w:val="left"/>
        <w:rPr>
          <w:rFonts w:hint="eastAsia" w:cs="宋体"/>
          <w:kern w:val="0"/>
          <w:sz w:val="18"/>
          <w:szCs w:val="18"/>
        </w:rPr>
      </w:pPr>
      <w:r>
        <w:rPr>
          <w:rFonts w:hint="eastAsia"/>
          <w:kern w:val="0"/>
          <w:sz w:val="18"/>
          <w:szCs w:val="18"/>
        </w:rPr>
        <w:t>注：高海拔地区需进行修正。</w:t>
      </w:r>
    </w:p>
    <w:p>
      <w:pPr>
        <w:pStyle w:val="17"/>
        <w:tabs>
          <w:tab w:val="left" w:pos="2160"/>
        </w:tabs>
        <w:adjustRightInd w:val="0"/>
        <w:snapToGrid w:val="0"/>
        <w:spacing w:line="360" w:lineRule="auto"/>
        <w:rPr>
          <w:rFonts w:hint="eastAsia" w:eastAsia="宋体"/>
        </w:rPr>
      </w:pPr>
      <w:r>
        <w:rPr>
          <w:rFonts w:hint="eastAsia" w:eastAsia="宋体"/>
        </w:rPr>
        <w:t>2）二次绕组及接地端子绝缘要求</w:t>
      </w:r>
    </w:p>
    <w:p>
      <w:pPr>
        <w:adjustRightInd w:val="0"/>
        <w:snapToGrid w:val="0"/>
        <w:spacing w:line="360" w:lineRule="auto"/>
        <w:ind w:firstLine="420" w:firstLineChars="200"/>
        <w:rPr>
          <w:rFonts w:hint="eastAsia" w:hAnsi="宋体"/>
        </w:rPr>
      </w:pPr>
      <w:r>
        <w:rPr>
          <w:rFonts w:hint="eastAsia" w:hAnsi="宋体"/>
        </w:rPr>
        <w:t>二次绕组绝缘的额定工频耐受电压为</w:t>
      </w:r>
      <w:r>
        <w:rPr>
          <w:rFonts w:hint="eastAsia"/>
        </w:rPr>
        <w:t>3kV</w:t>
      </w:r>
      <w:r>
        <w:rPr>
          <w:rFonts w:hAnsi="宋体"/>
        </w:rPr>
        <w:t>（方均根值）</w:t>
      </w:r>
      <w:r>
        <w:rPr>
          <w:rFonts w:hint="eastAsia" w:hAnsi="宋体"/>
        </w:rPr>
        <w:t>，当二次绕组分为两段或多段时，段间绝缘额定工频耐受电压应为</w:t>
      </w:r>
      <w:r>
        <w:rPr>
          <w:rFonts w:hint="eastAsia"/>
        </w:rPr>
        <w:t>3kV</w:t>
      </w:r>
      <w:r>
        <w:rPr>
          <w:rFonts w:hAnsi="宋体"/>
        </w:rPr>
        <w:t>（方均根值）</w:t>
      </w:r>
      <w:bookmarkStart w:id="36" w:name="_Toc276492379"/>
      <w:r>
        <w:rPr>
          <w:rFonts w:hint="eastAsia" w:hAnsi="宋体"/>
        </w:rPr>
        <w:t>，接地端子应能承受额定短时工频耐受电压应为</w:t>
      </w:r>
      <w:r>
        <w:rPr>
          <w:rFonts w:hint="eastAsia"/>
        </w:rPr>
        <w:t>5kV</w:t>
      </w:r>
      <w:r>
        <w:rPr>
          <w:rFonts w:hAnsi="宋体"/>
        </w:rPr>
        <w:t>（方均根值）</w:t>
      </w:r>
      <w:r>
        <w:rPr>
          <w:rFonts w:hint="eastAsia" w:hAnsi="宋体"/>
        </w:rPr>
        <w:t>。</w:t>
      </w:r>
    </w:p>
    <w:p>
      <w:pPr>
        <w:adjustRightInd w:val="0"/>
        <w:snapToGrid w:val="0"/>
        <w:spacing w:line="360" w:lineRule="auto"/>
        <w:ind w:firstLine="420" w:firstLineChars="200"/>
        <w:rPr>
          <w:rFonts w:hAnsi="宋体"/>
          <w:color w:val="FF0000"/>
        </w:rPr>
      </w:pPr>
      <w:r>
        <w:rPr>
          <w:rFonts w:hint="eastAsia"/>
          <w:color w:val="FF0000"/>
          <w:szCs w:val="20"/>
          <w:lang w:bidi="ar"/>
        </w:rPr>
        <w:t>二次绕组</w:t>
      </w:r>
      <w:r>
        <w:rPr>
          <w:color w:val="FF0000"/>
          <w:szCs w:val="20"/>
          <w:lang w:bidi="ar"/>
        </w:rPr>
        <w:t>1min</w:t>
      </w:r>
      <w:r>
        <w:rPr>
          <w:rFonts w:hint="eastAsia"/>
          <w:color w:val="FF0000"/>
          <w:szCs w:val="20"/>
          <w:lang w:bidi="ar"/>
        </w:rPr>
        <w:t>工频耐压</w:t>
      </w:r>
      <w:r>
        <w:rPr>
          <w:color w:val="FF0000"/>
          <w:szCs w:val="20"/>
          <w:lang w:bidi="ar"/>
        </w:rPr>
        <w:t>(kV)</w:t>
      </w:r>
      <w:r>
        <w:rPr>
          <w:rFonts w:hint="eastAsia"/>
          <w:color w:val="FF0000"/>
          <w:szCs w:val="20"/>
          <w:lang w:bidi="ar"/>
        </w:rPr>
        <w:t>为2kV</w:t>
      </w:r>
    </w:p>
    <w:bookmarkEnd w:id="36"/>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5.1.3 局部放电水平</w:t>
      </w:r>
    </w:p>
    <w:p>
      <w:pPr>
        <w:spacing w:line="360" w:lineRule="auto"/>
        <w:ind w:firstLine="435"/>
        <w:rPr>
          <w:rFonts w:hint="eastAsia" w:ascii="宋体" w:hAnsi="宋体"/>
          <w:szCs w:val="21"/>
        </w:rPr>
      </w:pPr>
      <w:r>
        <w:rPr>
          <w:rFonts w:hint="eastAsia" w:ascii="宋体" w:hAnsi="宋体"/>
          <w:szCs w:val="21"/>
        </w:rPr>
        <w:t>在下表规定的局部放电测量电压下，局部放电水平不应超过下表规定的限值。</w:t>
      </w:r>
    </w:p>
    <w:p>
      <w:pPr>
        <w:adjustRightInd w:val="0"/>
        <w:snapToGrid w:val="0"/>
        <w:spacing w:line="360" w:lineRule="auto"/>
        <w:jc w:val="center"/>
        <w:rPr>
          <w:rFonts w:hint="eastAsia" w:hAnsi="宋体"/>
          <w:sz w:val="18"/>
          <w:szCs w:val="18"/>
        </w:rPr>
      </w:pPr>
      <w:r>
        <w:rPr>
          <w:rFonts w:hint="eastAsia" w:hAnsi="宋体"/>
          <w:sz w:val="18"/>
          <w:szCs w:val="18"/>
        </w:rPr>
        <w:t>表5.3 局部放电水平要求</w:t>
      </w:r>
    </w:p>
    <w:tbl>
      <w:tblPr>
        <w:tblStyle w:val="11"/>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140"/>
        <w:gridCol w:w="414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4140" w:type="dxa"/>
            <w:noWrap w:val="0"/>
            <w:vAlign w:val="top"/>
          </w:tcPr>
          <w:p>
            <w:pPr>
              <w:spacing w:line="360" w:lineRule="auto"/>
              <w:jc w:val="center"/>
              <w:rPr>
                <w:sz w:val="18"/>
                <w:szCs w:val="18"/>
              </w:rPr>
            </w:pPr>
            <w:r>
              <w:rPr>
                <w:rFonts w:hAnsi="宋体"/>
                <w:sz w:val="18"/>
                <w:szCs w:val="18"/>
              </w:rPr>
              <w:t>局部放电测量电压</w:t>
            </w:r>
          </w:p>
        </w:tc>
        <w:tc>
          <w:tcPr>
            <w:tcW w:w="4140" w:type="dxa"/>
            <w:noWrap w:val="0"/>
            <w:vAlign w:val="top"/>
          </w:tcPr>
          <w:p>
            <w:pPr>
              <w:spacing w:line="360" w:lineRule="auto"/>
              <w:jc w:val="center"/>
              <w:rPr>
                <w:sz w:val="18"/>
                <w:szCs w:val="18"/>
              </w:rPr>
            </w:pPr>
            <w:r>
              <w:rPr>
                <w:rFonts w:hAnsi="宋体"/>
                <w:sz w:val="18"/>
                <w:szCs w:val="18"/>
              </w:rPr>
              <w:t>局部放电允许水平</w:t>
            </w:r>
            <w:r>
              <w:rPr>
                <w:sz w:val="18"/>
                <w:szCs w:val="18"/>
              </w:rPr>
              <w:t>(pC)</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4140" w:type="dxa"/>
            <w:noWrap w:val="0"/>
            <w:vAlign w:val="top"/>
          </w:tcPr>
          <w:p>
            <w:pPr>
              <w:spacing w:line="360" w:lineRule="auto"/>
              <w:jc w:val="center"/>
              <w:rPr>
                <w:sz w:val="18"/>
                <w:szCs w:val="18"/>
              </w:rPr>
            </w:pPr>
            <w:r>
              <w:rPr>
                <w:rFonts w:hint="eastAsia"/>
                <w:sz w:val="18"/>
                <w:szCs w:val="18"/>
              </w:rPr>
              <w:t>1.2</w:t>
            </w:r>
            <w:r>
              <w:rPr>
                <w:sz w:val="18"/>
                <w:szCs w:val="18"/>
              </w:rPr>
              <w:t>Um</w:t>
            </w:r>
          </w:p>
        </w:tc>
        <w:tc>
          <w:tcPr>
            <w:tcW w:w="4140" w:type="dxa"/>
            <w:noWrap w:val="0"/>
            <w:vAlign w:val="top"/>
          </w:tcPr>
          <w:p>
            <w:pPr>
              <w:spacing w:line="360" w:lineRule="auto"/>
              <w:jc w:val="center"/>
              <w:rPr>
                <w:sz w:val="18"/>
                <w:szCs w:val="18"/>
              </w:rPr>
            </w:pPr>
            <w:r>
              <w:rPr>
                <w:rFonts w:hint="eastAsia"/>
                <w:sz w:val="18"/>
                <w:szCs w:val="18"/>
              </w:rPr>
              <w:t>5</w:t>
            </w:r>
            <w:r>
              <w:rPr>
                <w:sz w:val="18"/>
                <w:szCs w:val="18"/>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4140" w:type="dxa"/>
            <w:noWrap w:val="0"/>
            <w:vAlign w:val="top"/>
          </w:tcPr>
          <w:p>
            <w:pPr>
              <w:spacing w:line="360" w:lineRule="auto"/>
              <w:jc w:val="center"/>
              <w:rPr>
                <w:sz w:val="18"/>
                <w:szCs w:val="18"/>
              </w:rPr>
            </w:pPr>
            <w:r>
              <w:rPr>
                <w:sz w:val="18"/>
                <w:szCs w:val="18"/>
              </w:rPr>
              <w:t>1.2Um/</w:t>
            </w:r>
            <w:r>
              <w:rPr>
                <w:position w:val="-8"/>
                <w:sz w:val="18"/>
                <w:szCs w:val="18"/>
              </w:rPr>
              <w:object>
                <v:shape id="_x0000_i1028" o:spt="75" type="#_x0000_t75" style="height:10.35pt;width:17.55pt;" o:ole="t" filled="f" o:preferrelative="t" stroked="f" coordsize="21600,21600">
                  <v:path/>
                  <v:fill on="f" alignshape="1" focussize="0,0"/>
                  <v:stroke on="f"/>
                  <v:imagedata r:id="rId20" o:title=""/>
                  <o:lock v:ext="edit" aspectratio="t"/>
                  <w10:wrap type="none"/>
                  <w10:anchorlock/>
                </v:shape>
                <o:OLEObject Type="Embed" ProgID="Equation.3" ShapeID="_x0000_i1028" DrawAspect="Content" ObjectID="_1468075728" r:id="rId19">
                  <o:LockedField>false</o:LockedField>
                </o:OLEObject>
              </w:object>
            </w:r>
          </w:p>
        </w:tc>
        <w:tc>
          <w:tcPr>
            <w:tcW w:w="4140" w:type="dxa"/>
            <w:noWrap w:val="0"/>
            <w:vAlign w:val="top"/>
          </w:tcPr>
          <w:p>
            <w:pPr>
              <w:spacing w:line="360" w:lineRule="auto"/>
              <w:jc w:val="center"/>
              <w:rPr>
                <w:sz w:val="18"/>
                <w:szCs w:val="18"/>
              </w:rPr>
            </w:pPr>
            <w:r>
              <w:rPr>
                <w:rFonts w:hint="eastAsia"/>
                <w:sz w:val="18"/>
                <w:szCs w:val="18"/>
              </w:rPr>
              <w:t>20</w:t>
            </w:r>
          </w:p>
        </w:tc>
      </w:tr>
    </w:tbl>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5.1.4 过电压倍数及其容许持续时间</w:t>
      </w:r>
    </w:p>
    <w:p>
      <w:pPr>
        <w:pStyle w:val="20"/>
        <w:numPr>
          <w:ilvl w:val="0"/>
          <w:numId w:val="0"/>
        </w:numPr>
        <w:spacing w:line="360" w:lineRule="auto"/>
        <w:ind w:firstLine="525" w:firstLineChars="250"/>
        <w:jc w:val="both"/>
        <w:rPr>
          <w:rFonts w:hint="eastAsia" w:ascii="宋体" w:hAnsi="宋体" w:eastAsia="宋体"/>
          <w:szCs w:val="21"/>
        </w:rPr>
      </w:pPr>
      <w:r>
        <w:rPr>
          <w:rFonts w:ascii="宋体" w:hAnsi="宋体" w:eastAsia="宋体"/>
          <w:szCs w:val="21"/>
        </w:rPr>
        <w:t>电压互感器过电压倍数及其容许持续时间要求</w:t>
      </w:r>
      <w:r>
        <w:rPr>
          <w:rFonts w:hint="eastAsia" w:ascii="宋体" w:hAnsi="宋体" w:eastAsia="宋体"/>
          <w:szCs w:val="21"/>
        </w:rPr>
        <w:t>如下表：</w:t>
      </w:r>
    </w:p>
    <w:p>
      <w:pPr>
        <w:adjustRightInd w:val="0"/>
        <w:snapToGrid w:val="0"/>
        <w:spacing w:line="360" w:lineRule="auto"/>
        <w:jc w:val="center"/>
        <w:rPr>
          <w:rFonts w:hint="eastAsia" w:hAnsi="宋体"/>
          <w:sz w:val="18"/>
          <w:szCs w:val="18"/>
        </w:rPr>
      </w:pPr>
      <w:r>
        <w:rPr>
          <w:rFonts w:hint="eastAsia" w:hAnsi="宋体"/>
          <w:sz w:val="18"/>
          <w:szCs w:val="18"/>
        </w:rPr>
        <w:t>表5.4 过电压倍数及容许持续时间要求</w:t>
      </w:r>
    </w:p>
    <w:tbl>
      <w:tblPr>
        <w:tblStyle w:val="11"/>
        <w:tblW w:w="0" w:type="auto"/>
        <w:tblInd w:w="2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2070"/>
        <w:gridCol w:w="2070"/>
        <w:gridCol w:w="2070"/>
        <w:gridCol w:w="20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2070" w:type="dxa"/>
            <w:noWrap w:val="0"/>
            <w:vAlign w:val="center"/>
          </w:tcPr>
          <w:p>
            <w:pPr>
              <w:spacing w:line="360" w:lineRule="auto"/>
              <w:jc w:val="center"/>
              <w:outlineLvl w:val="2"/>
              <w:rPr>
                <w:sz w:val="18"/>
                <w:szCs w:val="18"/>
              </w:rPr>
            </w:pPr>
            <w:r>
              <w:rPr>
                <w:rFonts w:hAnsi="宋体"/>
                <w:sz w:val="18"/>
                <w:szCs w:val="18"/>
              </w:rPr>
              <w:t>电压等级（</w:t>
            </w:r>
            <w:r>
              <w:rPr>
                <w:sz w:val="18"/>
                <w:szCs w:val="18"/>
              </w:rPr>
              <w:t>kV</w:t>
            </w:r>
            <w:r>
              <w:rPr>
                <w:rFonts w:hAnsi="宋体"/>
                <w:sz w:val="18"/>
                <w:szCs w:val="18"/>
              </w:rPr>
              <w:t>）</w:t>
            </w:r>
          </w:p>
        </w:tc>
        <w:tc>
          <w:tcPr>
            <w:tcW w:w="2070" w:type="dxa"/>
            <w:noWrap w:val="0"/>
            <w:vAlign w:val="center"/>
          </w:tcPr>
          <w:p>
            <w:pPr>
              <w:spacing w:line="360" w:lineRule="auto"/>
              <w:ind w:firstLine="180" w:firstLineChars="100"/>
              <w:jc w:val="center"/>
              <w:outlineLvl w:val="2"/>
              <w:rPr>
                <w:sz w:val="18"/>
                <w:szCs w:val="18"/>
              </w:rPr>
            </w:pPr>
            <w:r>
              <w:rPr>
                <w:rFonts w:hAnsi="宋体"/>
                <w:sz w:val="18"/>
                <w:szCs w:val="18"/>
              </w:rPr>
              <w:t>额定运行电压</w:t>
            </w:r>
          </w:p>
        </w:tc>
        <w:tc>
          <w:tcPr>
            <w:tcW w:w="2070" w:type="dxa"/>
            <w:noWrap w:val="0"/>
            <w:vAlign w:val="center"/>
          </w:tcPr>
          <w:p>
            <w:pPr>
              <w:spacing w:line="360" w:lineRule="auto"/>
              <w:jc w:val="center"/>
              <w:outlineLvl w:val="2"/>
              <w:rPr>
                <w:sz w:val="18"/>
                <w:szCs w:val="18"/>
              </w:rPr>
            </w:pPr>
            <w:r>
              <w:rPr>
                <w:rFonts w:hAnsi="宋体"/>
                <w:sz w:val="18"/>
                <w:szCs w:val="18"/>
              </w:rPr>
              <w:t>电压倍数</w:t>
            </w:r>
          </w:p>
        </w:tc>
        <w:tc>
          <w:tcPr>
            <w:tcW w:w="2070" w:type="dxa"/>
            <w:noWrap w:val="0"/>
            <w:vAlign w:val="center"/>
          </w:tcPr>
          <w:p>
            <w:pPr>
              <w:spacing w:line="360" w:lineRule="auto"/>
              <w:jc w:val="center"/>
              <w:outlineLvl w:val="2"/>
              <w:rPr>
                <w:sz w:val="18"/>
                <w:szCs w:val="18"/>
              </w:rPr>
            </w:pPr>
            <w:r>
              <w:rPr>
                <w:rFonts w:hAnsi="宋体"/>
                <w:sz w:val="18"/>
                <w:szCs w:val="18"/>
              </w:rPr>
              <w:t>容许持续时间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Pr>
        <w:tc>
          <w:tcPr>
            <w:tcW w:w="2070" w:type="dxa"/>
            <w:vMerge w:val="restart"/>
            <w:noWrap w:val="0"/>
            <w:vAlign w:val="center"/>
          </w:tcPr>
          <w:p>
            <w:pPr>
              <w:spacing w:line="360" w:lineRule="auto"/>
              <w:jc w:val="center"/>
              <w:outlineLvl w:val="2"/>
              <w:rPr>
                <w:rFonts w:hint="eastAsia"/>
                <w:sz w:val="18"/>
                <w:szCs w:val="18"/>
              </w:rPr>
            </w:pPr>
            <w:r>
              <w:rPr>
                <w:rFonts w:hint="eastAsia"/>
                <w:sz w:val="18"/>
                <w:szCs w:val="18"/>
              </w:rPr>
              <w:t>10</w:t>
            </w:r>
          </w:p>
        </w:tc>
        <w:tc>
          <w:tcPr>
            <w:tcW w:w="2070" w:type="dxa"/>
            <w:noWrap w:val="0"/>
            <w:vAlign w:val="center"/>
          </w:tcPr>
          <w:p>
            <w:pPr>
              <w:spacing w:line="360" w:lineRule="auto"/>
              <w:jc w:val="center"/>
              <w:outlineLvl w:val="2"/>
              <w:rPr>
                <w:sz w:val="18"/>
                <w:szCs w:val="18"/>
              </w:rPr>
            </w:pPr>
            <w:r>
              <w:rPr>
                <w:sz w:val="18"/>
                <w:szCs w:val="18"/>
              </w:rPr>
              <w:t>U</w:t>
            </w:r>
            <w:r>
              <w:rPr>
                <w:sz w:val="18"/>
                <w:szCs w:val="18"/>
                <w:vertAlign w:val="subscript"/>
              </w:rPr>
              <w:t>m</w:t>
            </w:r>
            <w:r>
              <w:rPr>
                <w:sz w:val="18"/>
                <w:szCs w:val="18"/>
              </w:rPr>
              <w:t xml:space="preserve"> /</w:t>
            </w:r>
            <w:r>
              <w:rPr>
                <w:position w:val="-8"/>
                <w:sz w:val="18"/>
                <w:szCs w:val="18"/>
              </w:rPr>
              <w:object>
                <v:shape id="_x0000_i1029" o:spt="75" type="#_x0000_t75" style="height:14.55pt;width:18pt;" o:ole="t" fillcolor="#6D6D6D" filled="f" stroked="f" coordsize="21600,21600">
                  <v:path/>
                  <v:fill on="f" alignshape="1" focussize="0,0"/>
                  <v:stroke on="f"/>
                  <v:imagedata r:id="rId22" o:title=""/>
                  <o:lock v:ext="edit" aspectratio="t"/>
                  <w10:wrap type="none"/>
                  <w10:anchorlock/>
                </v:shape>
                <o:OLEObject Type="Embed" ProgID="Equation.3" ShapeID="_x0000_i1029" DrawAspect="Content" ObjectID="_1468075729" r:id="rId21">
                  <o:LockedField>false</o:LockedField>
                </o:OLEObject>
              </w:object>
            </w:r>
            <w:r>
              <w:rPr>
                <w:sz w:val="18"/>
                <w:szCs w:val="18"/>
              </w:rPr>
              <w:t>kV</w:t>
            </w:r>
          </w:p>
        </w:tc>
        <w:tc>
          <w:tcPr>
            <w:tcW w:w="2070" w:type="dxa"/>
            <w:noWrap w:val="0"/>
            <w:vAlign w:val="center"/>
          </w:tcPr>
          <w:p>
            <w:pPr>
              <w:spacing w:line="360" w:lineRule="auto"/>
              <w:jc w:val="center"/>
              <w:outlineLvl w:val="2"/>
              <w:rPr>
                <w:sz w:val="18"/>
                <w:szCs w:val="18"/>
              </w:rPr>
            </w:pPr>
            <w:r>
              <w:rPr>
                <w:sz w:val="18"/>
                <w:szCs w:val="18"/>
              </w:rPr>
              <w:t>1.2</w:t>
            </w:r>
          </w:p>
        </w:tc>
        <w:tc>
          <w:tcPr>
            <w:tcW w:w="2070" w:type="dxa"/>
            <w:noWrap w:val="0"/>
            <w:vAlign w:val="center"/>
          </w:tcPr>
          <w:p>
            <w:pPr>
              <w:spacing w:line="360" w:lineRule="auto"/>
              <w:jc w:val="center"/>
              <w:outlineLvl w:val="2"/>
              <w:rPr>
                <w:sz w:val="18"/>
                <w:szCs w:val="18"/>
              </w:rPr>
            </w:pPr>
            <w:r>
              <w:rPr>
                <w:rFonts w:hAnsi="宋体"/>
                <w:sz w:val="18"/>
                <w:szCs w:val="18"/>
              </w:rPr>
              <w:t>连续</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Pr>
        <w:tc>
          <w:tcPr>
            <w:tcW w:w="2070" w:type="dxa"/>
            <w:vMerge w:val="continue"/>
            <w:noWrap w:val="0"/>
            <w:vAlign w:val="center"/>
          </w:tcPr>
          <w:p>
            <w:pPr>
              <w:spacing w:line="360" w:lineRule="auto"/>
              <w:jc w:val="center"/>
              <w:outlineLvl w:val="2"/>
              <w:rPr>
                <w:sz w:val="18"/>
                <w:szCs w:val="18"/>
              </w:rPr>
            </w:pPr>
          </w:p>
        </w:tc>
        <w:tc>
          <w:tcPr>
            <w:tcW w:w="2070" w:type="dxa"/>
            <w:noWrap w:val="0"/>
            <w:vAlign w:val="center"/>
          </w:tcPr>
          <w:p>
            <w:pPr>
              <w:spacing w:line="360" w:lineRule="auto"/>
              <w:jc w:val="center"/>
              <w:outlineLvl w:val="2"/>
              <w:rPr>
                <w:sz w:val="18"/>
                <w:szCs w:val="18"/>
              </w:rPr>
            </w:pPr>
            <w:r>
              <w:rPr>
                <w:sz w:val="18"/>
                <w:szCs w:val="18"/>
              </w:rPr>
              <w:t>U</w:t>
            </w:r>
            <w:r>
              <w:rPr>
                <w:sz w:val="18"/>
                <w:szCs w:val="18"/>
                <w:vertAlign w:val="subscript"/>
              </w:rPr>
              <w:t>m</w:t>
            </w:r>
            <w:r>
              <w:rPr>
                <w:sz w:val="18"/>
                <w:szCs w:val="18"/>
              </w:rPr>
              <w:t xml:space="preserve"> /</w:t>
            </w:r>
            <w:r>
              <w:rPr>
                <w:position w:val="-8"/>
                <w:sz w:val="18"/>
                <w:szCs w:val="18"/>
              </w:rPr>
              <w:object>
                <v:shape id="_x0000_i1030" o:spt="75" type="#_x0000_t75" style="height:14.55pt;width:18pt;" o:ole="t" fillcolor="#6D6D6D" filled="f" stroked="f" coordsize="21600,21600">
                  <v:path/>
                  <v:fill on="f" alignshape="1" focussize="0,0"/>
                  <v:stroke on="f"/>
                  <v:imagedata r:id="rId22" o:title=""/>
                  <o:lock v:ext="edit" aspectratio="t"/>
                  <w10:wrap type="none"/>
                  <w10:anchorlock/>
                </v:shape>
                <o:OLEObject Type="Embed" ProgID="Equation.3" ShapeID="_x0000_i1030" DrawAspect="Content" ObjectID="_1468075730" r:id="rId23">
                  <o:LockedField>false</o:LockedField>
                </o:OLEObject>
              </w:object>
            </w:r>
            <w:r>
              <w:rPr>
                <w:sz w:val="18"/>
                <w:szCs w:val="18"/>
              </w:rPr>
              <w:t>kV</w:t>
            </w:r>
          </w:p>
        </w:tc>
        <w:tc>
          <w:tcPr>
            <w:tcW w:w="2070" w:type="dxa"/>
            <w:noWrap w:val="0"/>
            <w:vAlign w:val="center"/>
          </w:tcPr>
          <w:p>
            <w:pPr>
              <w:spacing w:line="360" w:lineRule="auto"/>
              <w:jc w:val="center"/>
              <w:outlineLvl w:val="2"/>
              <w:rPr>
                <w:sz w:val="18"/>
                <w:szCs w:val="18"/>
              </w:rPr>
            </w:pPr>
            <w:r>
              <w:rPr>
                <w:sz w:val="18"/>
                <w:szCs w:val="18"/>
              </w:rPr>
              <w:t>1.</w:t>
            </w:r>
            <w:r>
              <w:rPr>
                <w:rFonts w:hint="eastAsia"/>
                <w:sz w:val="18"/>
                <w:szCs w:val="18"/>
              </w:rPr>
              <w:t>9</w:t>
            </w:r>
          </w:p>
        </w:tc>
        <w:tc>
          <w:tcPr>
            <w:tcW w:w="2070" w:type="dxa"/>
            <w:noWrap w:val="0"/>
            <w:vAlign w:val="center"/>
          </w:tcPr>
          <w:p>
            <w:pPr>
              <w:spacing w:line="360" w:lineRule="auto"/>
              <w:jc w:val="center"/>
              <w:outlineLvl w:val="2"/>
              <w:rPr>
                <w:rFonts w:hint="eastAsia"/>
                <w:sz w:val="18"/>
                <w:szCs w:val="18"/>
              </w:rPr>
            </w:pPr>
            <w:r>
              <w:rPr>
                <w:rFonts w:hint="eastAsia"/>
                <w:sz w:val="18"/>
                <w:szCs w:val="18"/>
              </w:rPr>
              <w:t>8h</w:t>
            </w:r>
          </w:p>
        </w:tc>
      </w:tr>
    </w:tbl>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5.1.5 二次绕组额定输出容量及准确级</w:t>
      </w:r>
    </w:p>
    <w:p>
      <w:pPr>
        <w:spacing w:line="360" w:lineRule="auto"/>
        <w:ind w:firstLine="420" w:firstLineChars="200"/>
        <w:rPr>
          <w:rFonts w:hint="eastAsia" w:ascii="宋体" w:hAnsi="宋体"/>
          <w:szCs w:val="21"/>
        </w:rPr>
      </w:pPr>
      <w:r>
        <w:rPr>
          <w:rFonts w:ascii="宋体" w:hAnsi="宋体"/>
          <w:szCs w:val="21"/>
        </w:rPr>
        <w:t>二次绕组额定输出容量及准确级如</w:t>
      </w:r>
      <w:r>
        <w:rPr>
          <w:rFonts w:hint="eastAsia" w:ascii="宋体" w:hAnsi="宋体"/>
          <w:szCs w:val="21"/>
        </w:rPr>
        <w:t>下表</w:t>
      </w:r>
      <w:r>
        <w:rPr>
          <w:rFonts w:ascii="宋体" w:hAnsi="宋体"/>
          <w:szCs w:val="21"/>
        </w:rPr>
        <w:t>所示，所有二次绕组同时承担额定负载时，都应满足准确度要求。</w:t>
      </w:r>
    </w:p>
    <w:p>
      <w:pPr>
        <w:adjustRightInd w:val="0"/>
        <w:snapToGrid w:val="0"/>
        <w:jc w:val="center"/>
        <w:rPr>
          <w:rFonts w:hint="eastAsia" w:hAnsi="宋体"/>
          <w:sz w:val="18"/>
          <w:szCs w:val="18"/>
        </w:rPr>
      </w:pPr>
      <w:r>
        <w:rPr>
          <w:rFonts w:hint="eastAsia" w:hAnsi="宋体"/>
          <w:sz w:val="18"/>
          <w:szCs w:val="18"/>
        </w:rPr>
        <w:t>表5.5 二次绕组额定输出容量及准确级要求</w:t>
      </w:r>
    </w:p>
    <w:tbl>
      <w:tblPr>
        <w:tblStyle w:val="11"/>
        <w:tblpPr w:leftFromText="180" w:rightFromText="180" w:vertAnchor="text" w:horzAnchor="margin" w:tblpX="108" w:tblpY="233"/>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67"/>
        <w:gridCol w:w="1467"/>
        <w:gridCol w:w="1467"/>
        <w:gridCol w:w="1467"/>
        <w:gridCol w:w="242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467" w:type="dxa"/>
            <w:noWrap w:val="0"/>
            <w:vAlign w:val="center"/>
          </w:tcPr>
          <w:p>
            <w:pPr>
              <w:spacing w:line="360" w:lineRule="auto"/>
              <w:jc w:val="center"/>
              <w:rPr>
                <w:sz w:val="18"/>
                <w:szCs w:val="18"/>
              </w:rPr>
            </w:pPr>
            <w:r>
              <w:rPr>
                <w:rFonts w:hAnsi="宋体"/>
                <w:sz w:val="18"/>
                <w:szCs w:val="18"/>
              </w:rPr>
              <w:t>电压等级</w:t>
            </w:r>
          </w:p>
          <w:p>
            <w:pPr>
              <w:spacing w:line="360" w:lineRule="auto"/>
              <w:jc w:val="center"/>
              <w:rPr>
                <w:sz w:val="18"/>
                <w:szCs w:val="18"/>
              </w:rPr>
            </w:pPr>
            <w:r>
              <w:rPr>
                <w:sz w:val="18"/>
                <w:szCs w:val="18"/>
              </w:rPr>
              <w:t>(kV)</w:t>
            </w:r>
          </w:p>
        </w:tc>
        <w:tc>
          <w:tcPr>
            <w:tcW w:w="1467" w:type="dxa"/>
            <w:noWrap w:val="0"/>
            <w:vAlign w:val="center"/>
          </w:tcPr>
          <w:p>
            <w:pPr>
              <w:spacing w:line="360" w:lineRule="auto"/>
              <w:jc w:val="center"/>
              <w:rPr>
                <w:sz w:val="18"/>
                <w:szCs w:val="18"/>
              </w:rPr>
            </w:pPr>
            <w:r>
              <w:rPr>
                <w:rFonts w:hAnsi="宋体"/>
                <w:sz w:val="18"/>
                <w:szCs w:val="18"/>
              </w:rPr>
              <w:t>二次绕组编号</w:t>
            </w:r>
          </w:p>
        </w:tc>
        <w:tc>
          <w:tcPr>
            <w:tcW w:w="1467" w:type="dxa"/>
            <w:noWrap w:val="0"/>
            <w:vAlign w:val="center"/>
          </w:tcPr>
          <w:p>
            <w:pPr>
              <w:spacing w:line="360" w:lineRule="auto"/>
              <w:jc w:val="center"/>
              <w:rPr>
                <w:sz w:val="18"/>
                <w:szCs w:val="18"/>
              </w:rPr>
            </w:pPr>
            <w:r>
              <w:rPr>
                <w:rFonts w:hAnsi="宋体"/>
                <w:sz w:val="18"/>
                <w:szCs w:val="18"/>
              </w:rPr>
              <w:t>二次额定电压</w:t>
            </w:r>
            <w:r>
              <w:rPr>
                <w:sz w:val="18"/>
                <w:szCs w:val="18"/>
              </w:rPr>
              <w:t>(V)</w:t>
            </w:r>
          </w:p>
        </w:tc>
        <w:tc>
          <w:tcPr>
            <w:tcW w:w="1467" w:type="dxa"/>
            <w:noWrap w:val="0"/>
            <w:vAlign w:val="center"/>
          </w:tcPr>
          <w:p>
            <w:pPr>
              <w:spacing w:line="360" w:lineRule="auto"/>
              <w:jc w:val="center"/>
              <w:rPr>
                <w:sz w:val="18"/>
                <w:szCs w:val="18"/>
              </w:rPr>
            </w:pPr>
            <w:r>
              <w:rPr>
                <w:rFonts w:hAnsi="宋体"/>
                <w:sz w:val="18"/>
                <w:szCs w:val="18"/>
              </w:rPr>
              <w:t>额定容量</w:t>
            </w:r>
          </w:p>
          <w:p>
            <w:pPr>
              <w:spacing w:line="360" w:lineRule="auto"/>
              <w:jc w:val="center"/>
              <w:rPr>
                <w:sz w:val="18"/>
                <w:szCs w:val="18"/>
              </w:rPr>
            </w:pPr>
            <w:r>
              <w:rPr>
                <w:sz w:val="18"/>
                <w:szCs w:val="18"/>
              </w:rPr>
              <w:t>( VA)</w:t>
            </w:r>
          </w:p>
        </w:tc>
        <w:tc>
          <w:tcPr>
            <w:tcW w:w="2429" w:type="dxa"/>
            <w:noWrap w:val="0"/>
            <w:vAlign w:val="center"/>
          </w:tcPr>
          <w:p>
            <w:pPr>
              <w:spacing w:line="360" w:lineRule="auto"/>
              <w:jc w:val="center"/>
              <w:rPr>
                <w:sz w:val="18"/>
                <w:szCs w:val="18"/>
              </w:rPr>
            </w:pPr>
            <w:r>
              <w:rPr>
                <w:rFonts w:hAnsi="宋体"/>
                <w:sz w:val="18"/>
                <w:szCs w:val="18"/>
              </w:rPr>
              <w:t>准确度</w:t>
            </w:r>
          </w:p>
          <w:p>
            <w:pPr>
              <w:spacing w:line="360" w:lineRule="auto"/>
              <w:rPr>
                <w:sz w:val="18"/>
                <w:szCs w:val="18"/>
              </w:rPr>
            </w:pPr>
            <w:r>
              <w:rPr>
                <w:sz w:val="18"/>
                <w:szCs w:val="18"/>
              </w:rPr>
              <w:t>(</w:t>
            </w:r>
            <w:r>
              <w:rPr>
                <w:rFonts w:hAnsi="宋体"/>
                <w:sz w:val="18"/>
                <w:szCs w:val="18"/>
              </w:rPr>
              <w:t>功率因数为</w:t>
            </w:r>
            <w:r>
              <w:rPr>
                <w:sz w:val="18"/>
                <w:szCs w:val="18"/>
              </w:rPr>
              <w:t>0.8(</w:t>
            </w:r>
            <w:r>
              <w:rPr>
                <w:rFonts w:hAnsi="宋体"/>
                <w:sz w:val="18"/>
                <w:szCs w:val="18"/>
              </w:rPr>
              <w:t>滞后</w:t>
            </w:r>
            <w:r>
              <w:rPr>
                <w:sz w:val="18"/>
                <w:szCs w:val="18"/>
              </w:rPr>
              <w:t>)</w:t>
            </w:r>
            <w:r>
              <w:rPr>
                <w:rFonts w:hAnsi="宋体"/>
                <w:sz w:val="18"/>
                <w:szCs w:val="18"/>
              </w:rPr>
              <w:t>时</w:t>
            </w:r>
            <w:r>
              <w:rPr>
                <w:sz w:val="18"/>
                <w:szCs w:val="18"/>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1467" w:type="dxa"/>
            <w:vMerge w:val="restart"/>
            <w:noWrap w:val="0"/>
            <w:vAlign w:val="center"/>
          </w:tcPr>
          <w:p>
            <w:pPr>
              <w:spacing w:line="360" w:lineRule="auto"/>
              <w:jc w:val="center"/>
              <w:rPr>
                <w:rFonts w:hint="eastAsia"/>
                <w:sz w:val="18"/>
                <w:szCs w:val="18"/>
              </w:rPr>
            </w:pPr>
            <w:r>
              <w:rPr>
                <w:rFonts w:hint="eastAsia"/>
                <w:sz w:val="18"/>
                <w:szCs w:val="18"/>
              </w:rPr>
              <w:t>10</w:t>
            </w:r>
            <w:r>
              <w:rPr>
                <w:sz w:val="18"/>
                <w:szCs w:val="18"/>
              </w:rPr>
              <w:t>kV</w:t>
            </w:r>
            <w:r>
              <w:rPr>
                <w:rFonts w:hAnsi="宋体"/>
                <w:sz w:val="18"/>
                <w:szCs w:val="18"/>
              </w:rPr>
              <w:t>母线型</w:t>
            </w:r>
          </w:p>
        </w:tc>
        <w:tc>
          <w:tcPr>
            <w:tcW w:w="1467" w:type="dxa"/>
            <w:noWrap w:val="0"/>
            <w:vAlign w:val="center"/>
          </w:tcPr>
          <w:p>
            <w:pPr>
              <w:spacing w:line="360" w:lineRule="auto"/>
              <w:jc w:val="center"/>
              <w:rPr>
                <w:sz w:val="18"/>
                <w:szCs w:val="18"/>
              </w:rPr>
            </w:pPr>
            <w:r>
              <w:rPr>
                <w:sz w:val="18"/>
                <w:szCs w:val="18"/>
              </w:rPr>
              <w:t>1</w:t>
            </w:r>
            <w:r>
              <w:rPr>
                <w:rFonts w:hAnsi="宋体"/>
                <w:sz w:val="18"/>
                <w:szCs w:val="18"/>
              </w:rPr>
              <w:t>号绕组</w:t>
            </w:r>
          </w:p>
        </w:tc>
        <w:tc>
          <w:tcPr>
            <w:tcW w:w="1467" w:type="dxa"/>
            <w:noWrap w:val="0"/>
            <w:vAlign w:val="center"/>
          </w:tcPr>
          <w:p>
            <w:pPr>
              <w:spacing w:line="360" w:lineRule="auto"/>
              <w:jc w:val="center"/>
              <w:rPr>
                <w:sz w:val="18"/>
                <w:szCs w:val="18"/>
              </w:rPr>
            </w:pPr>
            <w:r>
              <w:rPr>
                <w:sz w:val="18"/>
                <w:szCs w:val="18"/>
              </w:rPr>
              <w:t>100/</w:t>
            </w:r>
            <w:r>
              <w:rPr>
                <w:position w:val="-8"/>
                <w:sz w:val="18"/>
                <w:szCs w:val="18"/>
              </w:rPr>
              <w:object>
                <v:shape id="_x0000_i1031" o:spt="75" type="#_x0000_t75" style="height:14.55pt;width:18pt;" o:ole="t" fillcolor="#6D6D6D" filled="f" stroked="f" coordsize="21600,21600">
                  <v:path/>
                  <v:fill on="f" alignshape="1" focussize="0,0"/>
                  <v:stroke on="f"/>
                  <v:imagedata r:id="rId22" o:title=""/>
                  <o:lock v:ext="edit" aspectratio="t"/>
                  <w10:wrap type="none"/>
                  <w10:anchorlock/>
                </v:shape>
                <o:OLEObject Type="Embed" ProgID="Equation.3" ShapeID="_x0000_i1031" DrawAspect="Content" ObjectID="_1468075731" r:id="rId24">
                  <o:LockedField>false</o:LockedField>
                </o:OLEObject>
              </w:object>
            </w:r>
          </w:p>
        </w:tc>
        <w:tc>
          <w:tcPr>
            <w:tcW w:w="1467" w:type="dxa"/>
            <w:noWrap w:val="0"/>
            <w:vAlign w:val="center"/>
          </w:tcPr>
          <w:p>
            <w:pPr>
              <w:spacing w:line="360" w:lineRule="auto"/>
              <w:jc w:val="center"/>
              <w:rPr>
                <w:rFonts w:hint="default" w:eastAsia="宋体"/>
                <w:sz w:val="18"/>
                <w:szCs w:val="18"/>
                <w:lang w:val="en-US" w:eastAsia="zh-CN"/>
              </w:rPr>
            </w:pPr>
            <w:r>
              <w:rPr>
                <w:rFonts w:hint="eastAsia"/>
                <w:sz w:val="18"/>
                <w:szCs w:val="18"/>
                <w:lang w:val="en-US" w:eastAsia="zh-CN"/>
              </w:rPr>
              <w:t>60</w:t>
            </w:r>
          </w:p>
        </w:tc>
        <w:tc>
          <w:tcPr>
            <w:tcW w:w="2429" w:type="dxa"/>
            <w:noWrap w:val="0"/>
            <w:vAlign w:val="center"/>
          </w:tcPr>
          <w:p>
            <w:pPr>
              <w:spacing w:line="360" w:lineRule="auto"/>
              <w:jc w:val="center"/>
              <w:rPr>
                <w:sz w:val="18"/>
                <w:szCs w:val="18"/>
              </w:rPr>
            </w:pPr>
            <w:r>
              <w:rPr>
                <w:sz w:val="18"/>
                <w:szCs w:val="18"/>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06" w:hRule="atLeast"/>
        </w:trPr>
        <w:tc>
          <w:tcPr>
            <w:tcW w:w="1467" w:type="dxa"/>
            <w:vMerge w:val="continue"/>
            <w:noWrap w:val="0"/>
            <w:vAlign w:val="center"/>
          </w:tcPr>
          <w:p>
            <w:pPr>
              <w:spacing w:line="360" w:lineRule="auto"/>
              <w:jc w:val="center"/>
              <w:rPr>
                <w:sz w:val="18"/>
                <w:szCs w:val="18"/>
              </w:rPr>
            </w:pPr>
          </w:p>
        </w:tc>
        <w:tc>
          <w:tcPr>
            <w:tcW w:w="1467" w:type="dxa"/>
            <w:noWrap w:val="0"/>
            <w:vAlign w:val="center"/>
          </w:tcPr>
          <w:p>
            <w:pPr>
              <w:spacing w:line="360" w:lineRule="auto"/>
              <w:jc w:val="center"/>
              <w:rPr>
                <w:sz w:val="18"/>
                <w:szCs w:val="18"/>
              </w:rPr>
            </w:pPr>
            <w:r>
              <w:rPr>
                <w:rFonts w:hint="eastAsia" w:hAnsi="宋体"/>
                <w:sz w:val="18"/>
                <w:szCs w:val="18"/>
                <w:lang w:val="en-US" w:eastAsia="zh-CN"/>
              </w:rPr>
              <w:t>2</w:t>
            </w:r>
            <w:r>
              <w:rPr>
                <w:rFonts w:hAnsi="宋体"/>
                <w:sz w:val="18"/>
                <w:szCs w:val="18"/>
              </w:rPr>
              <w:t>号绕组</w:t>
            </w:r>
          </w:p>
        </w:tc>
        <w:tc>
          <w:tcPr>
            <w:tcW w:w="1467" w:type="dxa"/>
            <w:noWrap w:val="0"/>
            <w:vAlign w:val="center"/>
          </w:tcPr>
          <w:p>
            <w:pPr>
              <w:spacing w:line="360" w:lineRule="auto"/>
              <w:jc w:val="center"/>
              <w:rPr>
                <w:sz w:val="18"/>
                <w:szCs w:val="18"/>
              </w:rPr>
            </w:pPr>
            <w:r>
              <w:rPr>
                <w:sz w:val="18"/>
                <w:szCs w:val="18"/>
              </w:rPr>
              <w:t>100/</w:t>
            </w:r>
            <w:r>
              <w:rPr>
                <w:rFonts w:hint="eastAsia"/>
                <w:sz w:val="18"/>
                <w:szCs w:val="18"/>
              </w:rPr>
              <w:t>3</w:t>
            </w:r>
          </w:p>
        </w:tc>
        <w:tc>
          <w:tcPr>
            <w:tcW w:w="1467" w:type="dxa"/>
            <w:noWrap w:val="0"/>
            <w:vAlign w:val="center"/>
          </w:tcPr>
          <w:p>
            <w:pPr>
              <w:spacing w:line="360" w:lineRule="auto"/>
              <w:jc w:val="center"/>
              <w:rPr>
                <w:rFonts w:hint="default" w:eastAsia="宋体"/>
                <w:sz w:val="18"/>
                <w:szCs w:val="18"/>
                <w:lang w:val="en-US" w:eastAsia="zh-CN"/>
              </w:rPr>
            </w:pPr>
            <w:r>
              <w:rPr>
                <w:rFonts w:hint="eastAsia"/>
                <w:sz w:val="18"/>
                <w:szCs w:val="18"/>
                <w:lang w:val="en-US" w:eastAsia="zh-CN"/>
              </w:rPr>
              <w:t>150</w:t>
            </w:r>
          </w:p>
        </w:tc>
        <w:tc>
          <w:tcPr>
            <w:tcW w:w="2429" w:type="dxa"/>
            <w:noWrap w:val="0"/>
            <w:vAlign w:val="center"/>
          </w:tcPr>
          <w:p>
            <w:pPr>
              <w:spacing w:line="360" w:lineRule="auto"/>
              <w:jc w:val="center"/>
              <w:rPr>
                <w:sz w:val="18"/>
                <w:szCs w:val="18"/>
              </w:rPr>
            </w:pPr>
            <w:r>
              <w:rPr>
                <w:sz w:val="18"/>
                <w:szCs w:val="18"/>
              </w:rPr>
              <w:t>3P</w:t>
            </w:r>
          </w:p>
        </w:tc>
      </w:tr>
    </w:tbl>
    <w:p>
      <w:pPr>
        <w:spacing w:line="360" w:lineRule="auto"/>
        <w:rPr>
          <w:rFonts w:hint="eastAsia" w:hAnsi="宋体"/>
          <w:sz w:val="18"/>
          <w:szCs w:val="18"/>
        </w:rPr>
      </w:pPr>
      <w:r>
        <w:rPr>
          <w:rFonts w:hint="eastAsia" w:hAnsi="宋体"/>
          <w:sz w:val="18"/>
          <w:szCs w:val="18"/>
        </w:rPr>
        <w:t>备注：其中0.5级同时满足0.5级和3P级的精度要求</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5.1.6 电压误差（比差）和相位差限值</w:t>
      </w:r>
    </w:p>
    <w:p>
      <w:pPr>
        <w:pStyle w:val="20"/>
        <w:numPr>
          <w:ilvl w:val="0"/>
          <w:numId w:val="0"/>
        </w:numPr>
        <w:spacing w:line="360" w:lineRule="auto"/>
        <w:ind w:firstLine="420" w:firstLineChars="200"/>
        <w:jc w:val="both"/>
        <w:rPr>
          <w:rFonts w:hint="eastAsia" w:ascii="Times New Roman" w:eastAsia="宋体" w:cs="宋体"/>
          <w:kern w:val="2"/>
        </w:rPr>
      </w:pPr>
      <w:r>
        <w:rPr>
          <w:rFonts w:ascii="Times New Roman" w:eastAsia="宋体" w:cs="宋体"/>
          <w:kern w:val="2"/>
        </w:rPr>
        <w:t>电压误差和相位差限值</w:t>
      </w:r>
      <w:r>
        <w:rPr>
          <w:rFonts w:hint="eastAsia" w:ascii="Times New Roman" w:eastAsia="宋体" w:cs="宋体"/>
          <w:kern w:val="2"/>
        </w:rPr>
        <w:t>如下表所示。</w:t>
      </w:r>
    </w:p>
    <w:p>
      <w:pPr>
        <w:adjustRightInd w:val="0"/>
        <w:snapToGrid w:val="0"/>
        <w:spacing w:line="360" w:lineRule="auto"/>
        <w:jc w:val="center"/>
        <w:rPr>
          <w:rFonts w:hint="eastAsia" w:hAnsi="宋体"/>
          <w:sz w:val="18"/>
          <w:szCs w:val="18"/>
        </w:rPr>
      </w:pPr>
      <w:r>
        <w:rPr>
          <w:rFonts w:hint="eastAsia" w:hAnsi="宋体"/>
          <w:sz w:val="18"/>
          <w:szCs w:val="18"/>
        </w:rPr>
        <w:t>表5.6 电压误差和相位差限值要求</w:t>
      </w:r>
    </w:p>
    <w:tbl>
      <w:tblPr>
        <w:tblStyle w:val="11"/>
        <w:tblW w:w="0" w:type="auto"/>
        <w:tblInd w:w="2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434"/>
        <w:gridCol w:w="1518"/>
        <w:gridCol w:w="1995"/>
        <w:gridCol w:w="1680"/>
        <w:gridCol w:w="165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Pr>
        <w:tc>
          <w:tcPr>
            <w:tcW w:w="1434" w:type="dxa"/>
            <w:vMerge w:val="restart"/>
            <w:noWrap w:val="0"/>
            <w:vAlign w:val="center"/>
          </w:tcPr>
          <w:p>
            <w:pPr>
              <w:spacing w:after="60" w:line="360" w:lineRule="auto"/>
              <w:jc w:val="center"/>
              <w:rPr>
                <w:sz w:val="18"/>
                <w:szCs w:val="18"/>
              </w:rPr>
            </w:pPr>
            <w:r>
              <w:rPr>
                <w:rFonts w:hAnsi="宋体"/>
                <w:sz w:val="18"/>
                <w:szCs w:val="18"/>
              </w:rPr>
              <w:t>项目</w:t>
            </w:r>
          </w:p>
        </w:tc>
        <w:tc>
          <w:tcPr>
            <w:tcW w:w="1518" w:type="dxa"/>
            <w:vMerge w:val="restart"/>
            <w:noWrap w:val="0"/>
            <w:vAlign w:val="center"/>
          </w:tcPr>
          <w:p>
            <w:pPr>
              <w:spacing w:after="60" w:line="360" w:lineRule="auto"/>
              <w:jc w:val="center"/>
              <w:rPr>
                <w:sz w:val="18"/>
                <w:szCs w:val="18"/>
              </w:rPr>
            </w:pPr>
            <w:r>
              <w:rPr>
                <w:rFonts w:hAnsi="宋体"/>
                <w:sz w:val="18"/>
                <w:szCs w:val="18"/>
              </w:rPr>
              <w:t>等级</w:t>
            </w:r>
          </w:p>
        </w:tc>
        <w:tc>
          <w:tcPr>
            <w:tcW w:w="1995" w:type="dxa"/>
            <w:noWrap w:val="0"/>
            <w:vAlign w:val="center"/>
          </w:tcPr>
          <w:p>
            <w:pPr>
              <w:spacing w:after="60" w:line="360" w:lineRule="auto"/>
              <w:jc w:val="center"/>
              <w:rPr>
                <w:sz w:val="18"/>
                <w:szCs w:val="18"/>
              </w:rPr>
            </w:pPr>
            <w:r>
              <w:rPr>
                <w:rFonts w:hAnsi="宋体"/>
                <w:sz w:val="18"/>
                <w:szCs w:val="18"/>
              </w:rPr>
              <w:t>电压误差</w:t>
            </w:r>
          </w:p>
        </w:tc>
        <w:tc>
          <w:tcPr>
            <w:tcW w:w="3333" w:type="dxa"/>
            <w:gridSpan w:val="2"/>
            <w:noWrap w:val="0"/>
            <w:vAlign w:val="center"/>
          </w:tcPr>
          <w:p>
            <w:pPr>
              <w:spacing w:after="60" w:line="360" w:lineRule="auto"/>
              <w:jc w:val="center"/>
              <w:rPr>
                <w:sz w:val="18"/>
                <w:szCs w:val="18"/>
              </w:rPr>
            </w:pPr>
            <w:r>
              <w:rPr>
                <w:rFonts w:hAnsi="宋体"/>
                <w:sz w:val="18"/>
                <w:szCs w:val="18"/>
              </w:rPr>
              <w:t>相</w:t>
            </w:r>
            <w:r>
              <w:rPr>
                <w:sz w:val="18"/>
                <w:szCs w:val="18"/>
              </w:rPr>
              <w:t xml:space="preserve">  </w:t>
            </w:r>
            <w:r>
              <w:rPr>
                <w:rFonts w:hAnsi="宋体"/>
                <w:sz w:val="18"/>
                <w:szCs w:val="18"/>
              </w:rPr>
              <w:t>位</w:t>
            </w:r>
            <w:r>
              <w:rPr>
                <w:sz w:val="18"/>
                <w:szCs w:val="18"/>
              </w:rPr>
              <w:t xml:space="preserve">  </w:t>
            </w:r>
            <w:r>
              <w:rPr>
                <w:rFonts w:hAnsi="宋体"/>
                <w:sz w:val="18"/>
                <w:szCs w:val="18"/>
              </w:rPr>
              <w:t>移</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43" w:hRule="atLeast"/>
        </w:trPr>
        <w:tc>
          <w:tcPr>
            <w:tcW w:w="1434" w:type="dxa"/>
            <w:vMerge w:val="continue"/>
            <w:noWrap w:val="0"/>
            <w:vAlign w:val="center"/>
          </w:tcPr>
          <w:p>
            <w:pPr>
              <w:spacing w:after="60" w:line="360" w:lineRule="auto"/>
              <w:jc w:val="center"/>
              <w:rPr>
                <w:sz w:val="18"/>
                <w:szCs w:val="18"/>
              </w:rPr>
            </w:pPr>
          </w:p>
        </w:tc>
        <w:tc>
          <w:tcPr>
            <w:tcW w:w="1518" w:type="dxa"/>
            <w:vMerge w:val="continue"/>
            <w:noWrap w:val="0"/>
            <w:vAlign w:val="center"/>
          </w:tcPr>
          <w:p>
            <w:pPr>
              <w:spacing w:after="60" w:line="360" w:lineRule="auto"/>
              <w:jc w:val="center"/>
              <w:rPr>
                <w:sz w:val="18"/>
                <w:szCs w:val="18"/>
              </w:rPr>
            </w:pPr>
          </w:p>
        </w:tc>
        <w:tc>
          <w:tcPr>
            <w:tcW w:w="1995" w:type="dxa"/>
            <w:noWrap w:val="0"/>
            <w:vAlign w:val="center"/>
          </w:tcPr>
          <w:p>
            <w:pPr>
              <w:spacing w:after="60" w:line="360" w:lineRule="auto"/>
              <w:jc w:val="center"/>
              <w:rPr>
                <w:sz w:val="18"/>
                <w:szCs w:val="18"/>
              </w:rPr>
            </w:pPr>
            <w:r>
              <w:rPr>
                <w:sz w:val="18"/>
                <w:szCs w:val="18"/>
              </w:rPr>
              <w:t>(</w:t>
            </w:r>
            <w:r>
              <w:rPr>
                <w:rFonts w:hAnsi="宋体"/>
                <w:sz w:val="18"/>
                <w:szCs w:val="18"/>
              </w:rPr>
              <w:t>比率</w:t>
            </w:r>
            <w:r>
              <w:rPr>
                <w:sz w:val="18"/>
                <w:szCs w:val="18"/>
              </w:rPr>
              <w:t>±%)</w:t>
            </w:r>
          </w:p>
        </w:tc>
        <w:tc>
          <w:tcPr>
            <w:tcW w:w="1680" w:type="dxa"/>
            <w:noWrap w:val="0"/>
            <w:vAlign w:val="center"/>
          </w:tcPr>
          <w:p>
            <w:pPr>
              <w:spacing w:after="60" w:line="360" w:lineRule="auto"/>
              <w:jc w:val="center"/>
              <w:rPr>
                <w:sz w:val="18"/>
                <w:szCs w:val="18"/>
              </w:rPr>
            </w:pPr>
            <w:r>
              <w:rPr>
                <w:sz w:val="18"/>
                <w:szCs w:val="18"/>
              </w:rPr>
              <w:t>±</w:t>
            </w:r>
            <w:r>
              <w:rPr>
                <w:rFonts w:hAnsi="宋体"/>
                <w:sz w:val="18"/>
                <w:szCs w:val="18"/>
              </w:rPr>
              <w:t>分</w:t>
            </w:r>
          </w:p>
        </w:tc>
        <w:tc>
          <w:tcPr>
            <w:tcW w:w="1653" w:type="dxa"/>
            <w:noWrap w:val="0"/>
            <w:vAlign w:val="center"/>
          </w:tcPr>
          <w:p>
            <w:pPr>
              <w:spacing w:after="60" w:line="360" w:lineRule="auto"/>
              <w:jc w:val="center"/>
              <w:rPr>
                <w:sz w:val="18"/>
                <w:szCs w:val="18"/>
              </w:rPr>
            </w:pPr>
            <w:r>
              <w:rPr>
                <w:sz w:val="18"/>
                <w:szCs w:val="18"/>
              </w:rPr>
              <w:t>±</w:t>
            </w:r>
            <w:r>
              <w:rPr>
                <w:rFonts w:hAnsi="宋体"/>
                <w:sz w:val="18"/>
                <w:szCs w:val="18"/>
              </w:rPr>
              <w:t>厘弧度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434" w:type="dxa"/>
            <w:noWrap w:val="0"/>
            <w:vAlign w:val="center"/>
          </w:tcPr>
          <w:p>
            <w:pPr>
              <w:spacing w:after="60" w:line="360" w:lineRule="auto"/>
              <w:jc w:val="center"/>
              <w:rPr>
                <w:sz w:val="18"/>
                <w:szCs w:val="18"/>
              </w:rPr>
            </w:pPr>
            <w:r>
              <w:rPr>
                <w:rFonts w:hAnsi="宋体"/>
                <w:sz w:val="18"/>
                <w:szCs w:val="18"/>
              </w:rPr>
              <w:t>测</w:t>
            </w:r>
            <w:r>
              <w:rPr>
                <w:sz w:val="18"/>
                <w:szCs w:val="18"/>
              </w:rPr>
              <w:t xml:space="preserve">  </w:t>
            </w:r>
            <w:r>
              <w:rPr>
                <w:rFonts w:hAnsi="宋体"/>
                <w:sz w:val="18"/>
                <w:szCs w:val="18"/>
              </w:rPr>
              <w:t>量</w:t>
            </w:r>
          </w:p>
        </w:tc>
        <w:tc>
          <w:tcPr>
            <w:tcW w:w="1518" w:type="dxa"/>
            <w:noWrap w:val="0"/>
            <w:vAlign w:val="center"/>
          </w:tcPr>
          <w:p>
            <w:pPr>
              <w:spacing w:after="60" w:line="360" w:lineRule="auto"/>
              <w:jc w:val="center"/>
              <w:rPr>
                <w:sz w:val="18"/>
                <w:szCs w:val="18"/>
              </w:rPr>
            </w:pPr>
            <w:r>
              <w:rPr>
                <w:sz w:val="18"/>
                <w:szCs w:val="18"/>
              </w:rPr>
              <w:t>0.2</w:t>
            </w:r>
          </w:p>
        </w:tc>
        <w:tc>
          <w:tcPr>
            <w:tcW w:w="1995" w:type="dxa"/>
            <w:noWrap w:val="0"/>
            <w:vAlign w:val="center"/>
          </w:tcPr>
          <w:p>
            <w:pPr>
              <w:spacing w:after="60" w:line="360" w:lineRule="auto"/>
              <w:jc w:val="center"/>
              <w:rPr>
                <w:sz w:val="18"/>
                <w:szCs w:val="18"/>
              </w:rPr>
            </w:pPr>
            <w:r>
              <w:rPr>
                <w:sz w:val="18"/>
                <w:szCs w:val="18"/>
              </w:rPr>
              <w:t>0.2</w:t>
            </w:r>
          </w:p>
        </w:tc>
        <w:tc>
          <w:tcPr>
            <w:tcW w:w="1680" w:type="dxa"/>
            <w:noWrap w:val="0"/>
            <w:vAlign w:val="center"/>
          </w:tcPr>
          <w:p>
            <w:pPr>
              <w:spacing w:after="60" w:line="360" w:lineRule="auto"/>
              <w:jc w:val="center"/>
              <w:rPr>
                <w:sz w:val="18"/>
                <w:szCs w:val="18"/>
              </w:rPr>
            </w:pPr>
            <w:r>
              <w:rPr>
                <w:sz w:val="18"/>
                <w:szCs w:val="18"/>
              </w:rPr>
              <w:t>10</w:t>
            </w:r>
          </w:p>
        </w:tc>
        <w:tc>
          <w:tcPr>
            <w:tcW w:w="1653" w:type="dxa"/>
            <w:noWrap w:val="0"/>
            <w:vAlign w:val="center"/>
          </w:tcPr>
          <w:p>
            <w:pPr>
              <w:spacing w:after="60" w:line="360" w:lineRule="auto"/>
              <w:jc w:val="center"/>
              <w:rPr>
                <w:sz w:val="18"/>
                <w:szCs w:val="18"/>
              </w:rPr>
            </w:pPr>
            <w:r>
              <w:rPr>
                <w:sz w:val="18"/>
                <w:szCs w:val="18"/>
              </w:rPr>
              <w:t>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434" w:type="dxa"/>
            <w:noWrap w:val="0"/>
            <w:vAlign w:val="center"/>
          </w:tcPr>
          <w:p>
            <w:pPr>
              <w:spacing w:after="60" w:line="360" w:lineRule="auto"/>
              <w:jc w:val="center"/>
              <w:rPr>
                <w:sz w:val="18"/>
                <w:szCs w:val="18"/>
              </w:rPr>
            </w:pPr>
            <w:r>
              <w:rPr>
                <w:rFonts w:hAnsi="宋体"/>
                <w:sz w:val="18"/>
                <w:szCs w:val="18"/>
              </w:rPr>
              <w:t>测</w:t>
            </w:r>
            <w:r>
              <w:rPr>
                <w:sz w:val="18"/>
                <w:szCs w:val="18"/>
              </w:rPr>
              <w:t xml:space="preserve">  </w:t>
            </w:r>
            <w:r>
              <w:rPr>
                <w:rFonts w:hAnsi="宋体"/>
                <w:sz w:val="18"/>
                <w:szCs w:val="18"/>
              </w:rPr>
              <w:t>量</w:t>
            </w:r>
          </w:p>
        </w:tc>
        <w:tc>
          <w:tcPr>
            <w:tcW w:w="1518" w:type="dxa"/>
            <w:noWrap w:val="0"/>
            <w:vAlign w:val="center"/>
          </w:tcPr>
          <w:p>
            <w:pPr>
              <w:spacing w:after="60" w:line="360" w:lineRule="auto"/>
              <w:jc w:val="center"/>
              <w:rPr>
                <w:sz w:val="18"/>
                <w:szCs w:val="18"/>
              </w:rPr>
            </w:pPr>
            <w:r>
              <w:rPr>
                <w:sz w:val="18"/>
                <w:szCs w:val="18"/>
              </w:rPr>
              <w:t>0.5</w:t>
            </w:r>
          </w:p>
        </w:tc>
        <w:tc>
          <w:tcPr>
            <w:tcW w:w="1995" w:type="dxa"/>
            <w:noWrap w:val="0"/>
            <w:vAlign w:val="center"/>
          </w:tcPr>
          <w:p>
            <w:pPr>
              <w:spacing w:after="60" w:line="360" w:lineRule="auto"/>
              <w:jc w:val="center"/>
              <w:rPr>
                <w:sz w:val="18"/>
                <w:szCs w:val="18"/>
              </w:rPr>
            </w:pPr>
            <w:r>
              <w:rPr>
                <w:sz w:val="18"/>
                <w:szCs w:val="18"/>
              </w:rPr>
              <w:t>0.5</w:t>
            </w:r>
          </w:p>
        </w:tc>
        <w:tc>
          <w:tcPr>
            <w:tcW w:w="1680" w:type="dxa"/>
            <w:noWrap w:val="0"/>
            <w:vAlign w:val="center"/>
          </w:tcPr>
          <w:p>
            <w:pPr>
              <w:spacing w:after="60" w:line="360" w:lineRule="auto"/>
              <w:jc w:val="center"/>
              <w:rPr>
                <w:sz w:val="18"/>
                <w:szCs w:val="18"/>
              </w:rPr>
            </w:pPr>
            <w:r>
              <w:rPr>
                <w:sz w:val="18"/>
                <w:szCs w:val="18"/>
              </w:rPr>
              <w:t>20</w:t>
            </w:r>
          </w:p>
        </w:tc>
        <w:tc>
          <w:tcPr>
            <w:tcW w:w="1653" w:type="dxa"/>
            <w:noWrap w:val="0"/>
            <w:vAlign w:val="center"/>
          </w:tcPr>
          <w:p>
            <w:pPr>
              <w:spacing w:after="60" w:line="360" w:lineRule="auto"/>
              <w:jc w:val="center"/>
              <w:rPr>
                <w:sz w:val="18"/>
                <w:szCs w:val="18"/>
              </w:rPr>
            </w:pPr>
            <w:r>
              <w:rPr>
                <w:sz w:val="18"/>
                <w:szCs w:val="18"/>
              </w:rPr>
              <w:t>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1434" w:type="dxa"/>
            <w:noWrap w:val="0"/>
            <w:vAlign w:val="center"/>
          </w:tcPr>
          <w:p>
            <w:pPr>
              <w:spacing w:after="60" w:line="360" w:lineRule="auto"/>
              <w:jc w:val="center"/>
              <w:rPr>
                <w:sz w:val="18"/>
                <w:szCs w:val="18"/>
              </w:rPr>
            </w:pPr>
            <w:r>
              <w:rPr>
                <w:rFonts w:hAnsi="宋体"/>
                <w:sz w:val="18"/>
                <w:szCs w:val="18"/>
              </w:rPr>
              <w:t>保</w:t>
            </w:r>
            <w:r>
              <w:rPr>
                <w:sz w:val="18"/>
                <w:szCs w:val="18"/>
              </w:rPr>
              <w:t xml:space="preserve">  </w:t>
            </w:r>
            <w:r>
              <w:rPr>
                <w:rFonts w:hAnsi="宋体"/>
                <w:sz w:val="18"/>
                <w:szCs w:val="18"/>
              </w:rPr>
              <w:t>护</w:t>
            </w:r>
          </w:p>
        </w:tc>
        <w:tc>
          <w:tcPr>
            <w:tcW w:w="1518" w:type="dxa"/>
            <w:noWrap w:val="0"/>
            <w:vAlign w:val="center"/>
          </w:tcPr>
          <w:p>
            <w:pPr>
              <w:spacing w:after="60" w:line="360" w:lineRule="auto"/>
              <w:jc w:val="center"/>
              <w:rPr>
                <w:sz w:val="18"/>
                <w:szCs w:val="18"/>
              </w:rPr>
            </w:pPr>
            <w:r>
              <w:rPr>
                <w:sz w:val="18"/>
                <w:szCs w:val="18"/>
              </w:rPr>
              <w:t>3P</w:t>
            </w:r>
          </w:p>
        </w:tc>
        <w:tc>
          <w:tcPr>
            <w:tcW w:w="1995" w:type="dxa"/>
            <w:noWrap w:val="0"/>
            <w:vAlign w:val="center"/>
          </w:tcPr>
          <w:p>
            <w:pPr>
              <w:spacing w:after="60" w:line="360" w:lineRule="auto"/>
              <w:jc w:val="center"/>
              <w:rPr>
                <w:sz w:val="18"/>
                <w:szCs w:val="18"/>
              </w:rPr>
            </w:pPr>
            <w:r>
              <w:rPr>
                <w:sz w:val="18"/>
                <w:szCs w:val="18"/>
              </w:rPr>
              <w:t>3.0</w:t>
            </w:r>
          </w:p>
        </w:tc>
        <w:tc>
          <w:tcPr>
            <w:tcW w:w="1680" w:type="dxa"/>
            <w:noWrap w:val="0"/>
            <w:vAlign w:val="center"/>
          </w:tcPr>
          <w:p>
            <w:pPr>
              <w:spacing w:after="60" w:line="360" w:lineRule="auto"/>
              <w:jc w:val="center"/>
              <w:rPr>
                <w:sz w:val="18"/>
                <w:szCs w:val="18"/>
              </w:rPr>
            </w:pPr>
            <w:r>
              <w:rPr>
                <w:sz w:val="18"/>
                <w:szCs w:val="18"/>
              </w:rPr>
              <w:t>120</w:t>
            </w:r>
          </w:p>
        </w:tc>
        <w:tc>
          <w:tcPr>
            <w:tcW w:w="1653" w:type="dxa"/>
            <w:noWrap w:val="0"/>
            <w:vAlign w:val="center"/>
          </w:tcPr>
          <w:p>
            <w:pPr>
              <w:spacing w:after="60" w:line="360" w:lineRule="auto"/>
              <w:jc w:val="center"/>
              <w:rPr>
                <w:sz w:val="18"/>
                <w:szCs w:val="18"/>
              </w:rPr>
            </w:pPr>
            <w:r>
              <w:rPr>
                <w:sz w:val="18"/>
                <w:szCs w:val="18"/>
              </w:rPr>
              <w:t>3.5</w:t>
            </w:r>
          </w:p>
        </w:tc>
      </w:tr>
    </w:tbl>
    <w:p>
      <w:pPr>
        <w:adjustRightInd w:val="0"/>
        <w:snapToGrid w:val="0"/>
        <w:spacing w:line="360" w:lineRule="auto"/>
        <w:ind w:firstLine="420" w:firstLineChars="200"/>
        <w:rPr>
          <w:color w:val="FF0000"/>
        </w:rPr>
      </w:pPr>
      <w:r>
        <w:rPr>
          <w:rFonts w:hint="eastAsia" w:cs="宋体"/>
          <w:color w:val="FF0000"/>
          <w:szCs w:val="20"/>
          <w:lang w:bidi="ar"/>
        </w:rPr>
        <w:t>采用低磁密的电磁式电压互感器。在</w:t>
      </w:r>
      <w:r>
        <w:rPr>
          <w:color w:val="FF0000"/>
          <w:szCs w:val="20"/>
          <w:lang w:bidi="ar"/>
        </w:rPr>
        <w:t>1.9Um/</w:t>
      </w:r>
      <w:r>
        <w:rPr>
          <w:color w:val="FF0000"/>
          <w:szCs w:val="20"/>
          <w:lang w:bidi="ar"/>
        </w:rPr>
        <w:object>
          <v:shape id="_x0000_i1032" o:spt="75" type="#_x0000_t75" style="height:18pt;width:18pt;" o:ole="t" filled="f" o:preferrelative="t" stroked="f" coordsize="21600,21600">
            <v:path/>
            <v:fill on="f" focussize="0,0"/>
            <v:stroke on="f"/>
            <v:imagedata r:id="rId26" o:title=""/>
            <o:lock v:ext="edit" aspectratio="t"/>
            <w10:wrap type="none"/>
            <w10:anchorlock/>
          </v:shape>
          <o:OLEObject Type="Embed" ProgID="Equation.DSMT4" ShapeID="_x0000_i1032" DrawAspect="Content" ObjectID="_1468075732" r:id="rId25">
            <o:LockedField>false</o:LockedField>
          </o:OLEObject>
        </w:object>
      </w:r>
      <w:r>
        <w:rPr>
          <w:rFonts w:hint="eastAsia" w:cs="宋体"/>
          <w:color w:val="FF0000"/>
          <w:szCs w:val="20"/>
          <w:lang w:bidi="ar"/>
        </w:rPr>
        <w:t>试验电压下，空载电流不应大于</w:t>
      </w:r>
      <w:r>
        <w:rPr>
          <w:color w:val="FF0000"/>
          <w:szCs w:val="20"/>
          <w:lang w:bidi="ar"/>
        </w:rPr>
        <w:t>10mA</w:t>
      </w:r>
      <w:r>
        <w:rPr>
          <w:rFonts w:hint="eastAsia" w:cs="宋体"/>
          <w:color w:val="FF0000"/>
          <w:szCs w:val="20"/>
          <w:lang w:bidi="ar"/>
        </w:rPr>
        <w:t>；若从二次绕组加压试验，同时测量二次绕组工频空载电流，折算到一次绕组空载电流不应大于</w:t>
      </w:r>
      <w:r>
        <w:rPr>
          <w:color w:val="FF0000"/>
          <w:szCs w:val="20"/>
          <w:lang w:bidi="ar"/>
        </w:rPr>
        <w:t>10mA</w:t>
      </w:r>
      <w:r>
        <w:rPr>
          <w:rFonts w:hint="eastAsia" w:cs="宋体"/>
          <w:color w:val="FF0000"/>
          <w:szCs w:val="20"/>
          <w:lang w:bidi="ar"/>
        </w:rPr>
        <w:t>。交接时的增量不应大于出厂试验值的</w:t>
      </w:r>
      <w:r>
        <w:rPr>
          <w:color w:val="FF0000"/>
          <w:szCs w:val="20"/>
          <w:lang w:bidi="ar"/>
        </w:rPr>
        <w:t>5</w:t>
      </w:r>
      <w:r>
        <w:rPr>
          <w:rFonts w:hint="eastAsia" w:cs="宋体"/>
          <w:color w:val="FF0000"/>
          <w:szCs w:val="20"/>
          <w:lang w:bidi="ar"/>
        </w:rPr>
        <w:t>％。且满足</w:t>
      </w:r>
      <w:r>
        <w:rPr>
          <w:color w:val="FF0000"/>
          <w:szCs w:val="20"/>
          <w:lang w:bidi="ar"/>
        </w:rPr>
        <w:t>1.9Um/</w:t>
      </w:r>
      <w:r>
        <w:rPr>
          <w:color w:val="FF0000"/>
          <w:szCs w:val="20"/>
          <w:lang w:bidi="ar"/>
        </w:rPr>
        <w:object>
          <v:shape id="_x0000_i1033" o:spt="75" type="#_x0000_t75" style="height:18pt;width:18pt;" o:ole="t" filled="f" o:preferrelative="t" stroked="f" coordsize="21600,21600">
            <v:path/>
            <v:fill on="f" focussize="0,0"/>
            <v:stroke on="f"/>
            <v:imagedata r:id="rId26" o:title=""/>
            <o:lock v:ext="edit" aspectratio="t"/>
            <w10:wrap type="none"/>
            <w10:anchorlock/>
          </v:shape>
          <o:OLEObject Type="Embed" ProgID="Equation.DSMT4" ShapeID="_x0000_i1033" DrawAspect="Content" ObjectID="_1468075733" r:id="rId27">
            <o:LockedField>false</o:LockedField>
          </o:OLEObject>
        </w:object>
      </w:r>
      <w:r>
        <w:rPr>
          <w:rFonts w:hint="eastAsia" w:cs="宋体"/>
          <w:color w:val="FF0000"/>
          <w:szCs w:val="20"/>
          <w:lang w:bidi="ar"/>
        </w:rPr>
        <w:t>电压下的空载电流不大于额定电压下的空载电流的</w:t>
      </w:r>
      <w:r>
        <w:rPr>
          <w:color w:val="FF0000"/>
          <w:szCs w:val="20"/>
          <w:lang w:bidi="ar"/>
        </w:rPr>
        <w:t>10</w:t>
      </w:r>
      <w:r>
        <w:rPr>
          <w:rFonts w:hint="eastAsia" w:cs="宋体"/>
          <w:color w:val="FF0000"/>
          <w:szCs w:val="20"/>
          <w:lang w:bidi="ar"/>
        </w:rPr>
        <w:t>倍，三相互差不大于</w:t>
      </w:r>
      <w:r>
        <w:rPr>
          <w:color w:val="FF0000"/>
          <w:szCs w:val="20"/>
          <w:lang w:bidi="ar"/>
        </w:rPr>
        <w:t>50%</w:t>
      </w:r>
      <w:r>
        <w:rPr>
          <w:rFonts w:hint="eastAsia" w:cs="宋体"/>
          <w:color w:val="FF0000"/>
          <w:szCs w:val="20"/>
          <w:lang w:bidi="ar"/>
        </w:rPr>
        <w:t>的标准。</w:t>
      </w:r>
    </w:p>
    <w:p>
      <w:pPr>
        <w:adjustRightInd w:val="0"/>
        <w:snapToGrid w:val="0"/>
        <w:spacing w:line="360" w:lineRule="auto"/>
        <w:ind w:firstLine="420" w:firstLineChars="200"/>
        <w:rPr>
          <w:rFonts w:hint="eastAsia" w:cs="宋体"/>
          <w:color w:val="FF0000"/>
          <w:szCs w:val="20"/>
          <w:lang w:bidi="ar"/>
        </w:rPr>
      </w:pPr>
      <w:r>
        <w:rPr>
          <w:rFonts w:hint="eastAsia" w:cs="宋体"/>
          <w:color w:val="FF0000"/>
          <w:szCs w:val="20"/>
          <w:lang w:bidi="ar"/>
        </w:rPr>
        <w:t>测量用电压互感器在</w:t>
      </w:r>
      <w:r>
        <w:rPr>
          <w:rFonts w:cs="宋体"/>
          <w:color w:val="FF0000"/>
          <w:szCs w:val="20"/>
          <w:lang w:bidi="ar"/>
        </w:rPr>
        <w:t>80</w:t>
      </w:r>
      <w:r>
        <w:rPr>
          <w:rFonts w:hint="eastAsia" w:cs="宋体"/>
          <w:color w:val="FF0000"/>
          <w:szCs w:val="20"/>
          <w:lang w:bidi="ar"/>
        </w:rPr>
        <w:t>％～</w:t>
      </w:r>
      <w:r>
        <w:rPr>
          <w:rFonts w:cs="宋体"/>
          <w:color w:val="FF0000"/>
          <w:szCs w:val="20"/>
          <w:lang w:bidi="ar"/>
        </w:rPr>
        <w:t>120</w:t>
      </w:r>
      <w:r>
        <w:rPr>
          <w:rFonts w:hint="eastAsia" w:cs="宋体"/>
          <w:color w:val="FF0000"/>
          <w:szCs w:val="20"/>
          <w:lang w:bidi="ar"/>
        </w:rPr>
        <w:t>％额定电压下，在</w:t>
      </w:r>
      <w:r>
        <w:rPr>
          <w:rFonts w:cs="宋体"/>
          <w:color w:val="FF0000"/>
          <w:szCs w:val="20"/>
          <w:lang w:bidi="ar"/>
        </w:rPr>
        <w:t>25</w:t>
      </w:r>
      <w:r>
        <w:rPr>
          <w:rFonts w:hint="eastAsia" w:cs="宋体"/>
          <w:color w:val="FF0000"/>
          <w:szCs w:val="20"/>
          <w:lang w:bidi="ar"/>
        </w:rPr>
        <w:t>％～</w:t>
      </w:r>
      <w:r>
        <w:rPr>
          <w:rFonts w:cs="宋体"/>
          <w:color w:val="FF0000"/>
          <w:szCs w:val="20"/>
          <w:lang w:bidi="ar"/>
        </w:rPr>
        <w:t>100</w:t>
      </w:r>
      <w:r>
        <w:rPr>
          <w:rFonts w:hint="eastAsia" w:cs="宋体"/>
          <w:color w:val="FF0000"/>
          <w:szCs w:val="20"/>
          <w:lang w:bidi="ar"/>
        </w:rPr>
        <w:t>％任意负载点，功率因数</w:t>
      </w:r>
      <w:r>
        <w:rPr>
          <w:rFonts w:cs="宋体"/>
          <w:color w:val="FF0000"/>
          <w:szCs w:val="20"/>
          <w:lang w:bidi="ar"/>
        </w:rPr>
        <w:t>Cosф=0.8</w:t>
      </w:r>
      <w:r>
        <w:rPr>
          <w:rFonts w:hint="eastAsia" w:cs="宋体"/>
          <w:color w:val="FF0000"/>
          <w:szCs w:val="20"/>
          <w:lang w:bidi="ar"/>
        </w:rPr>
        <w:t>～</w:t>
      </w:r>
      <w:r>
        <w:rPr>
          <w:rFonts w:cs="宋体"/>
          <w:color w:val="FF0000"/>
          <w:szCs w:val="20"/>
          <w:lang w:bidi="ar"/>
        </w:rPr>
        <w:t>1.0</w:t>
      </w:r>
      <w:r>
        <w:rPr>
          <w:rFonts w:hint="eastAsia" w:cs="宋体"/>
          <w:color w:val="FF0000"/>
          <w:szCs w:val="20"/>
          <w:lang w:bidi="ar"/>
        </w:rPr>
        <w:t>范围内，误差均应满足《测量用电压互感器检定规程》（</w:t>
      </w:r>
      <w:r>
        <w:rPr>
          <w:rFonts w:cs="宋体"/>
          <w:color w:val="FF0000"/>
          <w:szCs w:val="20"/>
          <w:lang w:bidi="ar"/>
        </w:rPr>
        <w:t>JJG 314-2010</w:t>
      </w:r>
      <w:r>
        <w:rPr>
          <w:rFonts w:hint="eastAsia" w:cs="宋体"/>
          <w:color w:val="FF0000"/>
          <w:szCs w:val="20"/>
          <w:lang w:bidi="ar"/>
        </w:rPr>
        <w:t>）“误差限值”的要求。特别强调，在二次负载为</w:t>
      </w:r>
      <w:r>
        <w:rPr>
          <w:rFonts w:cs="宋体"/>
          <w:color w:val="FF0000"/>
          <w:szCs w:val="20"/>
          <w:lang w:bidi="ar"/>
        </w:rPr>
        <w:t>0VA</w:t>
      </w:r>
      <w:r>
        <w:rPr>
          <w:rFonts w:hint="eastAsia" w:cs="宋体"/>
          <w:color w:val="FF0000"/>
          <w:szCs w:val="20"/>
          <w:lang w:bidi="ar"/>
        </w:rPr>
        <w:t>、</w:t>
      </w:r>
      <w:r>
        <w:rPr>
          <w:rFonts w:cs="宋体"/>
          <w:color w:val="FF0000"/>
          <w:szCs w:val="20"/>
          <w:lang w:bidi="ar"/>
        </w:rPr>
        <w:t>Cosф=1.0</w:t>
      </w:r>
      <w:r>
        <w:rPr>
          <w:rFonts w:hint="eastAsia" w:cs="宋体"/>
          <w:color w:val="FF0000"/>
          <w:szCs w:val="20"/>
          <w:lang w:bidi="ar"/>
        </w:rPr>
        <w:t>下，误差应控制在《测量用电压互感器检定规程》（</w:t>
      </w:r>
      <w:r>
        <w:rPr>
          <w:rFonts w:cs="宋体"/>
          <w:color w:val="FF0000"/>
          <w:szCs w:val="20"/>
          <w:lang w:bidi="ar"/>
        </w:rPr>
        <w:t>JJG 314-2010</w:t>
      </w:r>
      <w:r>
        <w:rPr>
          <w:rFonts w:hint="eastAsia" w:cs="宋体"/>
          <w:color w:val="FF0000"/>
          <w:szCs w:val="20"/>
          <w:lang w:bidi="ar"/>
        </w:rPr>
        <w:t>）所规定的额定功率因数下误差限值的</w:t>
      </w:r>
      <w:r>
        <w:rPr>
          <w:rFonts w:cs="宋体"/>
          <w:color w:val="FF0000"/>
          <w:szCs w:val="20"/>
          <w:lang w:bidi="ar"/>
        </w:rPr>
        <w:t>60</w:t>
      </w:r>
      <w:r>
        <w:rPr>
          <w:rFonts w:hint="eastAsia" w:cs="宋体"/>
          <w:color w:val="FF0000"/>
          <w:szCs w:val="20"/>
          <w:lang w:bidi="ar"/>
        </w:rPr>
        <w:t>％范围内。</w:t>
      </w:r>
    </w:p>
    <w:p>
      <w:pPr>
        <w:adjustRightInd w:val="0"/>
        <w:snapToGrid w:val="0"/>
        <w:spacing w:line="360" w:lineRule="auto"/>
        <w:ind w:firstLine="420" w:firstLineChars="200"/>
        <w:rPr>
          <w:rFonts w:hint="eastAsia" w:cs="宋体"/>
          <w:color w:val="FF0000"/>
          <w:szCs w:val="20"/>
          <w:lang w:bidi="ar"/>
        </w:rPr>
      </w:pPr>
      <w:r>
        <w:rPr>
          <w:rFonts w:hint="eastAsia" w:cs="宋体"/>
          <w:color w:val="FF0000"/>
          <w:szCs w:val="20"/>
          <w:lang w:bidi="ar"/>
        </w:rPr>
        <w:t>各组电压互感器相序排列应确保一致，电压互感器一次设计相位应与二次端子标示相符。电压互感器的一次绕组接地端应与二次分开。</w:t>
      </w:r>
    </w:p>
    <w:p>
      <w:pPr>
        <w:pStyle w:val="19"/>
        <w:numPr>
          <w:ilvl w:val="0"/>
          <w:numId w:val="0"/>
        </w:numPr>
        <w:adjustRightInd w:val="0"/>
        <w:spacing w:before="156" w:beforeLines="50"/>
        <w:rPr>
          <w:rFonts w:ascii="Times New Roman" w:hAnsi="Times New Roman" w:eastAsia="黑体"/>
        </w:rPr>
      </w:pPr>
      <w:r>
        <w:rPr>
          <w:rFonts w:hint="eastAsia" w:ascii="Times New Roman" w:hAnsi="Times New Roman" w:eastAsia="黑体"/>
        </w:rPr>
        <w:t>5</w:t>
      </w:r>
      <w:r>
        <w:rPr>
          <w:rFonts w:ascii="Times New Roman" w:hAnsi="Times New Roman" w:eastAsia="黑体"/>
        </w:rPr>
        <w:t xml:space="preserve">.1.6 </w:t>
      </w:r>
      <w:r>
        <w:rPr>
          <w:rFonts w:hint="eastAsia" w:ascii="Times New Roman" w:hAnsi="Times New Roman" w:eastAsia="黑体"/>
        </w:rPr>
        <w:t>误差限值</w:t>
      </w:r>
    </w:p>
    <w:p>
      <w:pPr>
        <w:pStyle w:val="5"/>
        <w:rPr>
          <w:rFonts w:ascii="宋体" w:hAnsi="宋体"/>
          <w:color w:val="FF0000"/>
          <w:szCs w:val="21"/>
        </w:rPr>
      </w:pPr>
      <w:r>
        <w:rPr>
          <w:rFonts w:ascii="宋体" w:hAnsi="宋体"/>
          <w:color w:val="FF0000"/>
          <w:szCs w:val="21"/>
        </w:rPr>
        <w:t>电压互感器一次电压范围为80%~115%Un时，其在额定负荷范围内允许的误差限见表3。</w:t>
      </w:r>
    </w:p>
    <w:p>
      <w:pPr>
        <w:jc w:val="center"/>
        <w:rPr>
          <w:rFonts w:ascii="宋体" w:hAnsi="宋体"/>
          <w:bCs/>
          <w:color w:val="FF0000"/>
          <w:szCs w:val="21"/>
        </w:rPr>
      </w:pPr>
      <w:r>
        <w:rPr>
          <w:rFonts w:ascii="宋体" w:hAnsi="宋体"/>
          <w:bCs/>
          <w:color w:val="FF0000"/>
          <w:szCs w:val="21"/>
        </w:rPr>
        <w:t>表5.6  电压互感器允许的误差限</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692"/>
        <w:gridCol w:w="967"/>
        <w:gridCol w:w="969"/>
        <w:gridCol w:w="969"/>
        <w:gridCol w:w="969"/>
        <w:gridCol w:w="967"/>
        <w:gridCol w:w="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1023" w:type="dxa"/>
            <w:vMerge w:val="restart"/>
            <w:noWrap w:val="0"/>
            <w:vAlign w:val="center"/>
          </w:tcPr>
          <w:p>
            <w:pPr>
              <w:jc w:val="center"/>
              <w:rPr>
                <w:rFonts w:ascii="宋体" w:hAnsi="Arial" w:cs="Arial"/>
                <w:bCs/>
                <w:color w:val="FF0000"/>
                <w:szCs w:val="18"/>
              </w:rPr>
            </w:pPr>
            <w:r>
              <w:rPr>
                <w:rFonts w:ascii="宋体" w:hAnsi="Arial" w:cs="Arial"/>
                <w:bCs/>
                <w:color w:val="FF0000"/>
                <w:szCs w:val="18"/>
              </w:rPr>
              <w:t>等 级</w:t>
            </w:r>
          </w:p>
        </w:tc>
        <w:tc>
          <w:tcPr>
            <w:tcW w:w="1692" w:type="dxa"/>
            <w:vMerge w:val="restart"/>
            <w:noWrap w:val="0"/>
            <w:vAlign w:val="center"/>
          </w:tcPr>
          <w:p>
            <w:pPr>
              <w:jc w:val="center"/>
              <w:rPr>
                <w:rFonts w:ascii="宋体" w:hAnsi="Arial" w:cs="Arial"/>
                <w:bCs/>
                <w:color w:val="FF0000"/>
                <w:szCs w:val="18"/>
              </w:rPr>
            </w:pPr>
            <w:r>
              <w:rPr>
                <w:rFonts w:ascii="宋体" w:hAnsi="Arial" w:cs="Arial"/>
                <w:bCs/>
                <w:color w:val="FF0000"/>
                <w:szCs w:val="18"/>
              </w:rPr>
              <w:t>负  荷</w:t>
            </w:r>
          </w:p>
        </w:tc>
        <w:tc>
          <w:tcPr>
            <w:tcW w:w="2905" w:type="dxa"/>
            <w:gridSpan w:val="3"/>
            <w:noWrap w:val="0"/>
            <w:vAlign w:val="center"/>
          </w:tcPr>
          <w:p>
            <w:pPr>
              <w:jc w:val="center"/>
              <w:rPr>
                <w:rFonts w:ascii="宋体" w:hAnsi="Arial" w:cs="Arial"/>
                <w:bCs/>
                <w:color w:val="FF0000"/>
                <w:szCs w:val="18"/>
              </w:rPr>
            </w:pPr>
            <w:r>
              <w:rPr>
                <w:rFonts w:ascii="宋体" w:hAnsi="Arial" w:cs="Arial"/>
                <w:bCs/>
                <w:color w:val="FF0000"/>
                <w:szCs w:val="18"/>
              </w:rPr>
              <w:t>比值差，±%</w:t>
            </w:r>
          </w:p>
          <w:p>
            <w:pPr>
              <w:jc w:val="center"/>
              <w:rPr>
                <w:rFonts w:ascii="宋体" w:hAnsi="Arial" w:cs="Arial"/>
                <w:bCs/>
                <w:color w:val="FF0000"/>
                <w:szCs w:val="18"/>
              </w:rPr>
            </w:pPr>
            <w:r>
              <w:rPr>
                <w:rFonts w:ascii="宋体" w:hAnsi="Arial" w:cs="Arial"/>
                <w:bCs/>
                <w:color w:val="FF0000"/>
                <w:szCs w:val="18"/>
              </w:rPr>
              <w:t>（在下列额定电压百分数时）</w:t>
            </w:r>
          </w:p>
        </w:tc>
        <w:tc>
          <w:tcPr>
            <w:tcW w:w="2908" w:type="dxa"/>
            <w:gridSpan w:val="3"/>
            <w:noWrap w:val="0"/>
            <w:vAlign w:val="center"/>
          </w:tcPr>
          <w:p>
            <w:pPr>
              <w:jc w:val="center"/>
              <w:rPr>
                <w:rFonts w:ascii="宋体" w:hAnsi="Arial" w:cs="Arial"/>
                <w:bCs/>
                <w:color w:val="FF0000"/>
                <w:szCs w:val="18"/>
              </w:rPr>
            </w:pPr>
            <w:r>
              <w:rPr>
                <w:rFonts w:ascii="宋体" w:hAnsi="Arial" w:cs="Arial"/>
                <w:bCs/>
                <w:color w:val="FF0000"/>
                <w:szCs w:val="18"/>
              </w:rPr>
              <w:t>相位差，±′</w:t>
            </w:r>
          </w:p>
          <w:p>
            <w:pPr>
              <w:jc w:val="center"/>
              <w:rPr>
                <w:rFonts w:ascii="宋体" w:hAnsi="Arial" w:cs="Arial"/>
                <w:bCs/>
                <w:color w:val="FF0000"/>
                <w:szCs w:val="18"/>
              </w:rPr>
            </w:pPr>
            <w:r>
              <w:rPr>
                <w:rFonts w:ascii="宋体" w:hAnsi="Arial" w:cs="Arial"/>
                <w:bCs/>
                <w:color w:val="FF0000"/>
                <w:szCs w:val="18"/>
              </w:rPr>
              <w:t>（在下列额定电压百分数时）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1023" w:type="dxa"/>
            <w:vMerge w:val="continue"/>
            <w:noWrap w:val="0"/>
            <w:vAlign w:val="center"/>
          </w:tcPr>
          <w:p>
            <w:pPr>
              <w:jc w:val="center"/>
              <w:rPr>
                <w:rFonts w:ascii="宋体" w:hAnsi="Arial" w:cs="Arial"/>
                <w:bCs/>
                <w:color w:val="FF0000"/>
                <w:szCs w:val="18"/>
              </w:rPr>
            </w:pPr>
          </w:p>
        </w:tc>
        <w:tc>
          <w:tcPr>
            <w:tcW w:w="1692" w:type="dxa"/>
            <w:vMerge w:val="continue"/>
            <w:noWrap w:val="0"/>
            <w:vAlign w:val="center"/>
          </w:tcPr>
          <w:p>
            <w:pPr>
              <w:jc w:val="center"/>
              <w:rPr>
                <w:rFonts w:ascii="宋体" w:hAnsi="Arial" w:cs="Arial"/>
                <w:bCs/>
                <w:color w:val="FF0000"/>
                <w:szCs w:val="18"/>
              </w:rPr>
            </w:pPr>
          </w:p>
        </w:tc>
        <w:tc>
          <w:tcPr>
            <w:tcW w:w="967" w:type="dxa"/>
            <w:noWrap w:val="0"/>
            <w:vAlign w:val="center"/>
          </w:tcPr>
          <w:p>
            <w:pPr>
              <w:jc w:val="center"/>
              <w:rPr>
                <w:rFonts w:ascii="宋体" w:hAnsi="Arial" w:cs="Arial"/>
                <w:bCs/>
                <w:color w:val="FF0000"/>
                <w:szCs w:val="18"/>
              </w:rPr>
            </w:pPr>
            <w:r>
              <w:rPr>
                <w:rFonts w:ascii="宋体" w:hAnsi="Arial" w:cs="Arial"/>
                <w:bCs/>
                <w:color w:val="FF0000"/>
                <w:szCs w:val="18"/>
              </w:rPr>
              <w:t>80</w:t>
            </w:r>
          </w:p>
        </w:tc>
        <w:tc>
          <w:tcPr>
            <w:tcW w:w="969" w:type="dxa"/>
            <w:noWrap w:val="0"/>
            <w:vAlign w:val="center"/>
          </w:tcPr>
          <w:p>
            <w:pPr>
              <w:jc w:val="center"/>
              <w:rPr>
                <w:rFonts w:ascii="宋体" w:hAnsi="Arial" w:cs="Arial"/>
                <w:bCs/>
                <w:color w:val="FF0000"/>
                <w:szCs w:val="18"/>
              </w:rPr>
            </w:pPr>
            <w:r>
              <w:rPr>
                <w:rFonts w:ascii="宋体" w:hAnsi="Arial" w:cs="Arial"/>
                <w:bCs/>
                <w:color w:val="FF0000"/>
                <w:szCs w:val="18"/>
              </w:rPr>
              <w:t>100</w:t>
            </w:r>
          </w:p>
        </w:tc>
        <w:tc>
          <w:tcPr>
            <w:tcW w:w="969" w:type="dxa"/>
            <w:noWrap w:val="0"/>
            <w:vAlign w:val="center"/>
          </w:tcPr>
          <w:p>
            <w:pPr>
              <w:jc w:val="center"/>
              <w:rPr>
                <w:rFonts w:ascii="宋体" w:hAnsi="Arial" w:cs="Arial"/>
                <w:bCs/>
                <w:color w:val="FF0000"/>
                <w:szCs w:val="18"/>
              </w:rPr>
            </w:pPr>
            <w:r>
              <w:rPr>
                <w:rFonts w:ascii="宋体" w:hAnsi="Arial" w:cs="Arial"/>
                <w:bCs/>
                <w:color w:val="FF0000"/>
                <w:szCs w:val="18"/>
              </w:rPr>
              <w:t>115</w:t>
            </w:r>
          </w:p>
        </w:tc>
        <w:tc>
          <w:tcPr>
            <w:tcW w:w="969" w:type="dxa"/>
            <w:noWrap w:val="0"/>
            <w:vAlign w:val="center"/>
          </w:tcPr>
          <w:p>
            <w:pPr>
              <w:jc w:val="center"/>
              <w:rPr>
                <w:rFonts w:ascii="宋体" w:hAnsi="Arial" w:cs="Arial"/>
                <w:bCs/>
                <w:color w:val="FF0000"/>
                <w:szCs w:val="18"/>
              </w:rPr>
            </w:pPr>
            <w:r>
              <w:rPr>
                <w:rFonts w:ascii="宋体" w:hAnsi="Arial" w:cs="Arial"/>
                <w:bCs/>
                <w:color w:val="FF0000"/>
                <w:szCs w:val="18"/>
              </w:rPr>
              <w:t>80</w:t>
            </w:r>
          </w:p>
        </w:tc>
        <w:tc>
          <w:tcPr>
            <w:tcW w:w="967" w:type="dxa"/>
            <w:noWrap w:val="0"/>
            <w:vAlign w:val="center"/>
          </w:tcPr>
          <w:p>
            <w:pPr>
              <w:jc w:val="center"/>
              <w:rPr>
                <w:rFonts w:ascii="宋体" w:hAnsi="Arial" w:cs="Arial"/>
                <w:bCs/>
                <w:color w:val="FF0000"/>
                <w:szCs w:val="18"/>
              </w:rPr>
            </w:pPr>
            <w:r>
              <w:rPr>
                <w:rFonts w:ascii="宋体" w:hAnsi="Arial" w:cs="Arial"/>
                <w:bCs/>
                <w:color w:val="FF0000"/>
                <w:szCs w:val="18"/>
              </w:rPr>
              <w:t>100</w:t>
            </w:r>
          </w:p>
        </w:tc>
        <w:tc>
          <w:tcPr>
            <w:tcW w:w="972" w:type="dxa"/>
            <w:noWrap w:val="0"/>
            <w:vAlign w:val="center"/>
          </w:tcPr>
          <w:p>
            <w:pPr>
              <w:jc w:val="center"/>
              <w:rPr>
                <w:rFonts w:ascii="宋体" w:hAnsi="Arial" w:cs="Arial"/>
                <w:bCs/>
                <w:color w:val="FF0000"/>
                <w:szCs w:val="18"/>
              </w:rPr>
            </w:pPr>
            <w:r>
              <w:rPr>
                <w:rFonts w:ascii="宋体" w:hAnsi="Arial" w:cs="Arial"/>
                <w:bCs/>
                <w:color w:val="FF0000"/>
                <w:szCs w:val="18"/>
              </w:rPr>
              <w:t>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1023" w:type="dxa"/>
            <w:noWrap w:val="0"/>
            <w:vAlign w:val="center"/>
          </w:tcPr>
          <w:p>
            <w:pPr>
              <w:jc w:val="center"/>
              <w:rPr>
                <w:rFonts w:ascii="宋体" w:hAnsi="Arial" w:cs="Arial"/>
                <w:bCs/>
                <w:color w:val="FF0000"/>
                <w:szCs w:val="18"/>
              </w:rPr>
            </w:pPr>
            <w:r>
              <w:rPr>
                <w:rFonts w:ascii="宋体" w:hAnsi="Arial" w:cs="Arial"/>
                <w:bCs/>
                <w:color w:val="FF0000"/>
                <w:szCs w:val="18"/>
              </w:rPr>
              <w:t>0.2</w:t>
            </w:r>
          </w:p>
        </w:tc>
        <w:tc>
          <w:tcPr>
            <w:tcW w:w="1692" w:type="dxa"/>
            <w:noWrap w:val="0"/>
            <w:vAlign w:val="center"/>
          </w:tcPr>
          <w:p>
            <w:pPr>
              <w:jc w:val="center"/>
              <w:rPr>
                <w:rFonts w:ascii="宋体" w:hAnsi="Arial" w:cs="Arial"/>
                <w:bCs/>
                <w:color w:val="FF0000"/>
                <w:szCs w:val="18"/>
              </w:rPr>
            </w:pPr>
            <w:r>
              <w:rPr>
                <w:rFonts w:ascii="宋体" w:hAnsi="Arial" w:cs="Arial"/>
                <w:bCs/>
                <w:color w:val="FF0000"/>
                <w:szCs w:val="18"/>
              </w:rPr>
              <w:t>额定值和下限值</w:t>
            </w:r>
          </w:p>
        </w:tc>
        <w:tc>
          <w:tcPr>
            <w:tcW w:w="967" w:type="dxa"/>
            <w:noWrap w:val="0"/>
            <w:vAlign w:val="center"/>
          </w:tcPr>
          <w:p>
            <w:pPr>
              <w:jc w:val="center"/>
              <w:rPr>
                <w:rFonts w:ascii="宋体" w:hAnsi="Arial" w:cs="Arial"/>
                <w:bCs/>
                <w:color w:val="FF0000"/>
                <w:szCs w:val="18"/>
              </w:rPr>
            </w:pPr>
            <w:r>
              <w:rPr>
                <w:rFonts w:ascii="宋体" w:hAnsi="Arial" w:cs="Arial"/>
                <w:bCs/>
                <w:color w:val="FF0000"/>
                <w:szCs w:val="18"/>
              </w:rPr>
              <w:t>0.16</w:t>
            </w:r>
          </w:p>
        </w:tc>
        <w:tc>
          <w:tcPr>
            <w:tcW w:w="969" w:type="dxa"/>
            <w:noWrap w:val="0"/>
            <w:vAlign w:val="center"/>
          </w:tcPr>
          <w:p>
            <w:pPr>
              <w:jc w:val="center"/>
              <w:rPr>
                <w:rFonts w:ascii="宋体" w:hAnsi="Arial" w:cs="Arial"/>
                <w:bCs/>
                <w:color w:val="FF0000"/>
                <w:szCs w:val="18"/>
              </w:rPr>
            </w:pPr>
            <w:r>
              <w:rPr>
                <w:rFonts w:ascii="宋体" w:hAnsi="Arial" w:cs="Arial"/>
                <w:bCs/>
                <w:color w:val="FF0000"/>
                <w:szCs w:val="18"/>
              </w:rPr>
              <w:t>0.16</w:t>
            </w:r>
          </w:p>
        </w:tc>
        <w:tc>
          <w:tcPr>
            <w:tcW w:w="969" w:type="dxa"/>
            <w:noWrap w:val="0"/>
            <w:vAlign w:val="center"/>
          </w:tcPr>
          <w:p>
            <w:pPr>
              <w:jc w:val="center"/>
              <w:rPr>
                <w:rFonts w:ascii="宋体" w:hAnsi="Arial" w:cs="Arial"/>
                <w:bCs/>
                <w:color w:val="FF0000"/>
                <w:szCs w:val="18"/>
              </w:rPr>
            </w:pPr>
            <w:r>
              <w:rPr>
                <w:rFonts w:ascii="宋体" w:hAnsi="Arial" w:cs="Arial"/>
                <w:bCs/>
                <w:color w:val="FF0000"/>
                <w:szCs w:val="18"/>
              </w:rPr>
              <w:t>0.16</w:t>
            </w:r>
          </w:p>
        </w:tc>
        <w:tc>
          <w:tcPr>
            <w:tcW w:w="969" w:type="dxa"/>
            <w:noWrap w:val="0"/>
            <w:vAlign w:val="center"/>
          </w:tcPr>
          <w:p>
            <w:pPr>
              <w:jc w:val="center"/>
              <w:rPr>
                <w:rFonts w:ascii="宋体" w:hAnsi="Arial" w:cs="Arial"/>
                <w:bCs/>
                <w:color w:val="FF0000"/>
                <w:szCs w:val="18"/>
              </w:rPr>
            </w:pPr>
            <w:r>
              <w:rPr>
                <w:rFonts w:ascii="宋体" w:hAnsi="Arial" w:cs="Arial"/>
                <w:bCs/>
                <w:color w:val="FF0000"/>
                <w:szCs w:val="18"/>
              </w:rPr>
              <w:t>8</w:t>
            </w:r>
          </w:p>
        </w:tc>
        <w:tc>
          <w:tcPr>
            <w:tcW w:w="967" w:type="dxa"/>
            <w:noWrap w:val="0"/>
            <w:vAlign w:val="center"/>
          </w:tcPr>
          <w:p>
            <w:pPr>
              <w:jc w:val="center"/>
              <w:rPr>
                <w:rFonts w:ascii="宋体" w:hAnsi="Arial" w:cs="Arial"/>
                <w:bCs/>
                <w:color w:val="FF0000"/>
                <w:szCs w:val="18"/>
              </w:rPr>
            </w:pPr>
            <w:r>
              <w:rPr>
                <w:rFonts w:ascii="宋体" w:hAnsi="Arial" w:cs="Arial"/>
                <w:bCs/>
                <w:color w:val="FF0000"/>
                <w:szCs w:val="18"/>
              </w:rPr>
              <w:t>8</w:t>
            </w:r>
          </w:p>
        </w:tc>
        <w:tc>
          <w:tcPr>
            <w:tcW w:w="972" w:type="dxa"/>
            <w:noWrap w:val="0"/>
            <w:vAlign w:val="center"/>
          </w:tcPr>
          <w:p>
            <w:pPr>
              <w:jc w:val="center"/>
              <w:rPr>
                <w:rFonts w:ascii="宋体" w:hAnsi="Arial" w:cs="Arial"/>
                <w:bCs/>
                <w:color w:val="FF0000"/>
                <w:szCs w:val="18"/>
              </w:rPr>
            </w:pPr>
            <w:r>
              <w:rPr>
                <w:rFonts w:ascii="宋体" w:hAnsi="Arial" w:cs="Arial"/>
                <w:bCs/>
                <w:color w:val="FF0000"/>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trPr>
        <w:tc>
          <w:tcPr>
            <w:tcW w:w="8528" w:type="dxa"/>
            <w:gridSpan w:val="8"/>
            <w:noWrap w:val="0"/>
            <w:vAlign w:val="center"/>
          </w:tcPr>
          <w:p>
            <w:pPr>
              <w:ind w:left="420" w:hanging="420" w:hangingChars="200"/>
              <w:rPr>
                <w:rFonts w:ascii="宋体" w:hAnsi="Arial" w:cs="Arial"/>
                <w:bCs/>
                <w:color w:val="FF0000"/>
                <w:szCs w:val="18"/>
              </w:rPr>
            </w:pPr>
            <w:r>
              <w:rPr>
                <w:rFonts w:ascii="宋体" w:hAnsi="Arial" w:cs="Arial"/>
                <w:color w:val="FF0000"/>
                <w:szCs w:val="18"/>
              </w:rPr>
              <w:t>注：负荷的下限值一律为2.5VA。</w:t>
            </w:r>
          </w:p>
        </w:tc>
      </w:tr>
    </w:tbl>
    <w:p>
      <w:pPr>
        <w:pStyle w:val="5"/>
        <w:rPr>
          <w:rFonts w:hint="eastAsia" w:eastAsia="黑体"/>
          <w:color w:val="FF0000"/>
        </w:rPr>
      </w:pPr>
      <w:r>
        <w:rPr>
          <w:rFonts w:ascii="宋体" w:hAnsi="宋体"/>
          <w:color w:val="FF0000"/>
          <w:szCs w:val="21"/>
        </w:rPr>
        <w:t>电压互感器在100%Un时重复测量6次以上，其比值差和相位差的实验标准差应≤1个修约间隔。（注：修约间隔——0.2级电压互感器的修约间隔为：比值差 0.02%；相位差 1′。）</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5.1.7 温升限值</w:t>
      </w:r>
    </w:p>
    <w:p>
      <w:pPr>
        <w:spacing w:line="360" w:lineRule="auto"/>
        <w:ind w:firstLine="420" w:firstLineChars="200"/>
        <w:rPr>
          <w:rFonts w:hint="eastAsia" w:cs="宋体"/>
          <w:szCs w:val="20"/>
        </w:rPr>
      </w:pPr>
      <w:r>
        <w:rPr>
          <w:rFonts w:cs="宋体"/>
          <w:szCs w:val="20"/>
        </w:rPr>
        <w:t>在额定电压、额定频率和最大额定负荷下，cosΦ=1时，所有绕组的温升均不允许超过50K。</w:t>
      </w:r>
    </w:p>
    <w:p>
      <w:pPr>
        <w:autoSpaceDE w:val="0"/>
        <w:autoSpaceDN w:val="0"/>
        <w:adjustRightInd w:val="0"/>
        <w:spacing w:line="360" w:lineRule="auto"/>
        <w:ind w:firstLine="360" w:firstLineChars="200"/>
        <w:jc w:val="left"/>
        <w:rPr>
          <w:rFonts w:hint="eastAsia" w:cs="宋体"/>
          <w:kern w:val="0"/>
          <w:sz w:val="18"/>
          <w:szCs w:val="18"/>
        </w:rPr>
      </w:pPr>
      <w:r>
        <w:rPr>
          <w:rFonts w:hint="eastAsia"/>
          <w:kern w:val="0"/>
          <w:sz w:val="18"/>
          <w:szCs w:val="18"/>
        </w:rPr>
        <w:t>注：高海拔地区需进行修正。</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5.1.8 短路承受能力</w:t>
      </w:r>
    </w:p>
    <w:p>
      <w:pPr>
        <w:spacing w:line="360" w:lineRule="auto"/>
        <w:ind w:firstLine="420" w:firstLineChars="200"/>
        <w:rPr>
          <w:rFonts w:cs="宋体"/>
          <w:szCs w:val="20"/>
        </w:rPr>
      </w:pPr>
      <w:r>
        <w:rPr>
          <w:rFonts w:cs="宋体"/>
          <w:szCs w:val="20"/>
        </w:rPr>
        <w:t>当互感器在额定电压励磁时，应能承受1</w:t>
      </w:r>
      <w:r>
        <w:rPr>
          <w:rFonts w:hint="eastAsia" w:cs="宋体"/>
          <w:szCs w:val="20"/>
        </w:rPr>
        <w:t>秒</w:t>
      </w:r>
      <w:r>
        <w:rPr>
          <w:rFonts w:cs="宋体"/>
          <w:szCs w:val="20"/>
        </w:rPr>
        <w:t>短路的机械效应和热效应而无损伤。</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5.1.9 无线电干扰电压（RIV）要求</w:t>
      </w:r>
    </w:p>
    <w:p>
      <w:pPr>
        <w:spacing w:line="360" w:lineRule="auto"/>
        <w:ind w:firstLine="420" w:firstLineChars="200"/>
        <w:rPr>
          <w:rFonts w:hint="eastAsia" w:hAnsi="宋体"/>
          <w:szCs w:val="21"/>
        </w:rPr>
      </w:pPr>
      <w:r>
        <w:rPr>
          <w:rFonts w:hint="eastAsia" w:hAnsi="宋体"/>
          <w:szCs w:val="21"/>
        </w:rPr>
        <w:t>要求在1.1Um/</w:t>
      </w:r>
      <w:r>
        <w:rPr>
          <w:rFonts w:hAnsi="宋体"/>
          <w:position w:val="-8"/>
          <w:szCs w:val="21"/>
        </w:rPr>
        <w:object>
          <v:shape id="_x0000_i1034" o:spt="75" type="#_x0000_t75" style="height:14.55pt;width:18pt;" o:ole="t" fillcolor="#6D6D6D" filled="f" o:preferrelative="t" stroked="f" coordsize="21600,21600">
            <v:path/>
            <v:fill on="f" alignshape="1" focussize="0,0"/>
            <v:stroke on="f"/>
            <v:imagedata r:id="rId29" o:title=""/>
            <o:lock v:ext="edit" aspectratio="t"/>
            <w10:wrap type="none"/>
            <w10:anchorlock/>
          </v:shape>
          <o:OLEObject Type="Embed" ProgID="Equation.3" ShapeID="_x0000_i1034" DrawAspect="Content" ObjectID="_1468075734" r:id="rId28">
            <o:LockedField>false</o:LockedField>
          </o:OLEObject>
        </w:object>
      </w:r>
      <w:r>
        <w:rPr>
          <w:rFonts w:hint="eastAsia" w:hAnsi="宋体"/>
          <w:szCs w:val="21"/>
        </w:rPr>
        <w:t>电压下测量的无线电干扰电压值应不大于500μV。</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5.1.10 传递过电压</w:t>
      </w:r>
    </w:p>
    <w:p>
      <w:pPr>
        <w:spacing w:line="360" w:lineRule="auto"/>
        <w:ind w:firstLine="420" w:firstLineChars="200"/>
        <w:rPr>
          <w:rFonts w:hint="eastAsia" w:hAnsi="宋体"/>
          <w:szCs w:val="21"/>
        </w:rPr>
      </w:pPr>
      <w:r>
        <w:rPr>
          <w:rFonts w:hint="eastAsia" w:hAnsi="宋体"/>
          <w:szCs w:val="21"/>
        </w:rPr>
        <w:t>由一次传递到二次的过电压值应符合GB1207-2006的要求。</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5.1.11 暂态响应</w:t>
      </w:r>
    </w:p>
    <w:p>
      <w:pPr>
        <w:spacing w:line="360" w:lineRule="auto"/>
        <w:ind w:firstLine="420" w:firstLineChars="200"/>
        <w:rPr>
          <w:rFonts w:hint="eastAsia" w:hAnsi="宋体"/>
          <w:szCs w:val="21"/>
        </w:rPr>
      </w:pPr>
      <w:r>
        <w:rPr>
          <w:rFonts w:hAnsi="宋体"/>
          <w:szCs w:val="21"/>
        </w:rPr>
        <w:t>当电压互感器担负功率因数为</w:t>
      </w:r>
      <w:r>
        <w:rPr>
          <w:szCs w:val="21"/>
        </w:rPr>
        <w:t>0.8(</w:t>
      </w:r>
      <w:r>
        <w:rPr>
          <w:rFonts w:hAnsi="宋体"/>
          <w:szCs w:val="21"/>
        </w:rPr>
        <w:t>滞后</w:t>
      </w:r>
      <w:r>
        <w:rPr>
          <w:szCs w:val="21"/>
        </w:rPr>
        <w:t>)</w:t>
      </w:r>
      <w:r>
        <w:rPr>
          <w:rFonts w:hAnsi="宋体"/>
          <w:szCs w:val="21"/>
        </w:rPr>
        <w:t>的负载达</w:t>
      </w:r>
      <w:r>
        <w:rPr>
          <w:szCs w:val="21"/>
        </w:rPr>
        <w:t>25</w:t>
      </w:r>
      <w:r>
        <w:rPr>
          <w:rFonts w:hint="eastAsia" w:hAnsi="宋体"/>
          <w:szCs w:val="21"/>
        </w:rPr>
        <w:t>－</w:t>
      </w:r>
      <w:r>
        <w:rPr>
          <w:szCs w:val="21"/>
        </w:rPr>
        <w:t>100%</w:t>
      </w:r>
      <w:r>
        <w:rPr>
          <w:rFonts w:hAnsi="宋体"/>
          <w:szCs w:val="21"/>
        </w:rPr>
        <w:t>时，高压端在额定电压下发生对接地端子短路后，二次侧输出电压将衰减，并在额定频率一</w:t>
      </w:r>
      <w:r>
        <w:rPr>
          <w:rFonts w:hint="eastAsia" w:hAnsi="宋体"/>
          <w:szCs w:val="21"/>
        </w:rPr>
        <w:t>个</w:t>
      </w:r>
      <w:r>
        <w:rPr>
          <w:rFonts w:hAnsi="宋体"/>
          <w:szCs w:val="21"/>
        </w:rPr>
        <w:t>周波之内达到小于短路前电压峰值的</w:t>
      </w:r>
      <w:r>
        <w:rPr>
          <w:szCs w:val="21"/>
        </w:rPr>
        <w:t>10%</w:t>
      </w:r>
      <w:r>
        <w:rPr>
          <w:rFonts w:hAnsi="宋体"/>
          <w:szCs w:val="21"/>
        </w:rPr>
        <w:t>。</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5.1.12 励磁特性要求</w:t>
      </w:r>
    </w:p>
    <w:p>
      <w:pPr>
        <w:pStyle w:val="16"/>
        <w:adjustRightInd w:val="0"/>
        <w:snapToGrid w:val="0"/>
        <w:spacing w:line="360" w:lineRule="auto"/>
        <w:ind w:firstLine="420"/>
        <w:rPr>
          <w:rFonts w:hint="eastAsia" w:ascii="Times New Roman" w:hAnsi="宋体"/>
          <w:szCs w:val="21"/>
        </w:rPr>
      </w:pPr>
      <w:r>
        <w:rPr>
          <w:rFonts w:hint="eastAsia" w:ascii="Times New Roman" w:hAnsi="宋体"/>
          <w:szCs w:val="21"/>
        </w:rPr>
        <w:t>对电磁式电压互感器应校核励磁特性曲线。对于额定电压测量点（</w:t>
      </w:r>
      <w:r>
        <w:rPr>
          <w:rFonts w:hint="eastAsia" w:ascii="Times New Roman"/>
          <w:szCs w:val="21"/>
        </w:rPr>
        <w:t>100%</w:t>
      </w:r>
      <w:r>
        <w:rPr>
          <w:rFonts w:hint="eastAsia" w:ascii="Times New Roman" w:hAnsi="宋体"/>
          <w:szCs w:val="21"/>
        </w:rPr>
        <w:t>），励磁电流不宜大于其出厂试验报告和型式试验报告测量值的</w:t>
      </w:r>
      <w:r>
        <w:rPr>
          <w:rFonts w:hint="eastAsia" w:ascii="Times New Roman"/>
          <w:szCs w:val="21"/>
        </w:rPr>
        <w:t>30%</w:t>
      </w:r>
      <w:r>
        <w:rPr>
          <w:rFonts w:hint="eastAsia" w:ascii="Times New Roman" w:hAnsi="宋体"/>
          <w:szCs w:val="21"/>
        </w:rPr>
        <w:t>，同批同型号、同规格电压互感器此点的励磁电流不宜相差</w:t>
      </w:r>
      <w:r>
        <w:rPr>
          <w:rFonts w:hint="eastAsia" w:ascii="Times New Roman"/>
          <w:szCs w:val="21"/>
        </w:rPr>
        <w:t>30%</w:t>
      </w:r>
      <w:r>
        <w:rPr>
          <w:rFonts w:hint="eastAsia" w:ascii="Times New Roman" w:hAnsi="宋体"/>
          <w:szCs w:val="21"/>
        </w:rPr>
        <w:t>。</w:t>
      </w:r>
    </w:p>
    <w:p>
      <w:pPr>
        <w:pStyle w:val="16"/>
        <w:adjustRightInd w:val="0"/>
        <w:snapToGrid w:val="0"/>
        <w:spacing w:line="360" w:lineRule="auto"/>
        <w:ind w:firstLine="420"/>
        <w:rPr>
          <w:rFonts w:hint="eastAsia" w:ascii="Times New Roman" w:hAnsi="宋体"/>
          <w:color w:val="FF0000"/>
          <w:szCs w:val="21"/>
        </w:rPr>
      </w:pPr>
      <w:r>
        <w:rPr>
          <w:rFonts w:hint="eastAsia" w:ascii="Times New Roman"/>
          <w:color w:val="FF0000"/>
          <w:kern w:val="2"/>
          <w:lang w:bidi="ar"/>
        </w:rPr>
        <w:t>额定电压下三相的励磁特性差异不大于</w:t>
      </w:r>
      <w:r>
        <w:rPr>
          <w:rFonts w:ascii="Times New Roman"/>
          <w:color w:val="FF0000"/>
          <w:kern w:val="2"/>
          <w:lang w:bidi="ar"/>
        </w:rPr>
        <w:t>10%</w:t>
      </w:r>
      <w:r>
        <w:rPr>
          <w:rFonts w:hint="eastAsia" w:ascii="Times New Roman"/>
          <w:color w:val="FF0000"/>
          <w:kern w:val="2"/>
          <w:lang w:bidi="ar"/>
        </w:rPr>
        <w:t>。</w:t>
      </w:r>
    </w:p>
    <w:p>
      <w:pPr>
        <w:pStyle w:val="3"/>
        <w:numPr>
          <w:ilvl w:val="0"/>
          <w:numId w:val="0"/>
        </w:numPr>
        <w:spacing w:before="156" w:beforeLines="50"/>
        <w:rPr>
          <w:rFonts w:hint="eastAsia" w:ascii="黑体" w:eastAsia="黑体"/>
        </w:rPr>
      </w:pPr>
      <w:bookmarkStart w:id="37" w:name="_Toc342897947"/>
      <w:r>
        <w:rPr>
          <w:rFonts w:hint="eastAsia" w:ascii="黑体" w:eastAsia="黑体"/>
        </w:rPr>
        <w:t>5.2设计与结构要求</w:t>
      </w:r>
      <w:bookmarkEnd w:id="32"/>
      <w:bookmarkEnd w:id="33"/>
      <w:bookmarkEnd w:id="37"/>
    </w:p>
    <w:p>
      <w:pPr>
        <w:pStyle w:val="16"/>
        <w:adjustRightInd w:val="0"/>
        <w:snapToGrid w:val="0"/>
        <w:spacing w:line="360" w:lineRule="auto"/>
        <w:ind w:firstLine="0" w:firstLineChars="0"/>
        <w:rPr>
          <w:rFonts w:hint="eastAsia" w:ascii="Times New Roman"/>
          <w:szCs w:val="21"/>
        </w:rPr>
      </w:pPr>
      <w:bookmarkStart w:id="38" w:name="_Toc276492385"/>
      <w:r>
        <w:rPr>
          <w:rFonts w:hint="eastAsia" w:ascii="Times New Roman"/>
          <w:szCs w:val="21"/>
        </w:rPr>
        <w:t xml:space="preserve">    </w:t>
      </w:r>
      <w:r>
        <w:rPr>
          <w:rFonts w:hint="eastAsia" w:ascii="Times New Roman" w:hAnsi="宋体"/>
          <w:szCs w:val="21"/>
        </w:rPr>
        <w:t>互感器的各零、部件装配应牢固无松动，位置端正，无歪扭倾斜现象。铭牌及一、二次接线端子应标识正确，清晰。互感器所有暴露在空气中的金属件应有包覆有良好防腐蚀性能的漆层或镀层。</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5.2.5 接线端子及二次端子盒</w:t>
      </w:r>
    </w:p>
    <w:p>
      <w:pPr>
        <w:pStyle w:val="16"/>
        <w:spacing w:line="360" w:lineRule="auto"/>
        <w:ind w:firstLine="0" w:firstLineChars="0"/>
        <w:rPr>
          <w:rFonts w:hint="eastAsia" w:ascii="Times New Roman" w:hAnsi="宋体"/>
          <w:kern w:val="2"/>
          <w:szCs w:val="21"/>
        </w:rPr>
      </w:pPr>
      <w:r>
        <w:rPr>
          <w:rFonts w:hint="eastAsia" w:ascii="Times New Roman" w:hAnsi="宋体"/>
          <w:kern w:val="2"/>
          <w:szCs w:val="21"/>
        </w:rPr>
        <w:t>5.2.5.1 一次接线端子</w:t>
      </w:r>
    </w:p>
    <w:p>
      <w:pPr>
        <w:pStyle w:val="16"/>
        <w:spacing w:line="360" w:lineRule="auto"/>
        <w:ind w:firstLine="420"/>
        <w:rPr>
          <w:rFonts w:ascii="Times New Roman"/>
          <w:szCs w:val="21"/>
        </w:rPr>
      </w:pPr>
      <w:r>
        <w:rPr>
          <w:rFonts w:hint="eastAsia" w:ascii="Times New Roman"/>
          <w:szCs w:val="21"/>
        </w:rPr>
        <w:t>1）</w:t>
      </w:r>
      <w:r>
        <w:rPr>
          <w:rFonts w:ascii="Times New Roman" w:hAnsi="宋体"/>
          <w:szCs w:val="21"/>
        </w:rPr>
        <w:t>接线端子盒与单台互感器组成一体，厂方应供给连接母线用的全部紧固件（螺栓、螺帽及防松垫圈）一次接线端子应铜或铜合金制成及，并报覆有可靠的防锈镀层和防松措施。一次出线端子及紧固零件应有可靠的防锈镀锡层。</w:t>
      </w:r>
    </w:p>
    <w:p>
      <w:pPr>
        <w:spacing w:line="360" w:lineRule="auto"/>
        <w:ind w:firstLine="420" w:firstLineChars="200"/>
        <w:rPr>
          <w:rFonts w:hint="eastAsia"/>
          <w:szCs w:val="21"/>
        </w:rPr>
      </w:pPr>
      <w:r>
        <w:rPr>
          <w:rFonts w:hint="eastAsia"/>
          <w:szCs w:val="21"/>
        </w:rPr>
        <w:t>2）</w:t>
      </w:r>
      <w:r>
        <w:rPr>
          <w:rFonts w:hAnsi="宋体"/>
          <w:szCs w:val="21"/>
        </w:rPr>
        <w:t>一次接线端子应采用单片平板式接线板</w:t>
      </w:r>
      <w:r>
        <w:rPr>
          <w:szCs w:val="21"/>
        </w:rPr>
        <w:t xml:space="preserve">, </w:t>
      </w:r>
      <w:r>
        <w:rPr>
          <w:rFonts w:hAnsi="宋体"/>
          <w:szCs w:val="21"/>
        </w:rPr>
        <w:t>应设计为防电晕式。若采用高强螺栓连接，应提供紧固扭矩的要求。厂方须在图纸中标明接线板的材料及结构形式、厚度。接线板应能承受技术规范的机械强度要求，接线板具体细节应在图纸中加以说明</w:t>
      </w:r>
      <w:r>
        <w:rPr>
          <w:rFonts w:hint="eastAsia" w:hAnsi="宋体"/>
          <w:szCs w:val="21"/>
        </w:rPr>
        <w:t>。</w:t>
      </w:r>
    </w:p>
    <w:p>
      <w:pPr>
        <w:autoSpaceDE w:val="0"/>
        <w:autoSpaceDN w:val="0"/>
        <w:adjustRightInd w:val="0"/>
        <w:spacing w:line="360" w:lineRule="auto"/>
        <w:ind w:firstLine="420" w:firstLineChars="200"/>
        <w:jc w:val="left"/>
        <w:rPr>
          <w:rFonts w:hint="eastAsia" w:eastAsia="黑体" w:cs="黑体"/>
          <w:kern w:val="0"/>
          <w:szCs w:val="21"/>
        </w:rPr>
      </w:pPr>
      <w:r>
        <w:rPr>
          <w:rFonts w:hint="eastAsia"/>
          <w:szCs w:val="21"/>
        </w:rPr>
        <w:t>3</w:t>
      </w:r>
      <w:r>
        <w:rPr>
          <w:rFonts w:hint="eastAsia" w:hAnsi="宋体"/>
          <w:szCs w:val="21"/>
        </w:rPr>
        <w:t>）静态机械载荷</w:t>
      </w:r>
      <w:r>
        <w:rPr>
          <w:szCs w:val="21"/>
        </w:rPr>
        <w:t xml:space="preserve"> </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每台互感器一次回路应配有连接钢芯铝绞线的平板型端子板，允许作用于其上的静态机械载荷应满足下表的要求。规定的试验载荷是指施加于一次绕组端子任意方向的载荷。</w:t>
      </w:r>
    </w:p>
    <w:p>
      <w:pPr>
        <w:adjustRightInd w:val="0"/>
        <w:snapToGrid w:val="0"/>
        <w:spacing w:line="360" w:lineRule="auto"/>
        <w:jc w:val="center"/>
        <w:rPr>
          <w:rFonts w:hint="eastAsia" w:hAnsi="宋体"/>
          <w:sz w:val="18"/>
          <w:szCs w:val="18"/>
        </w:rPr>
      </w:pPr>
      <w:r>
        <w:rPr>
          <w:rFonts w:hint="eastAsia" w:hAnsi="宋体"/>
          <w:sz w:val="18"/>
          <w:szCs w:val="18"/>
        </w:rPr>
        <w:t>表5.7 静态机械载荷要求</w:t>
      </w:r>
    </w:p>
    <w:tbl>
      <w:tblPr>
        <w:tblStyle w:val="11"/>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4140"/>
        <w:gridCol w:w="414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4" w:hRule="atLeast"/>
        </w:trPr>
        <w:tc>
          <w:tcPr>
            <w:tcW w:w="4140" w:type="dxa"/>
            <w:noWrap w:val="0"/>
            <w:vAlign w:val="center"/>
          </w:tcPr>
          <w:p>
            <w:pPr>
              <w:pStyle w:val="21"/>
              <w:jc w:val="center"/>
              <w:rPr>
                <w:rFonts w:ascii="Times New Roman"/>
                <w:color w:val="auto"/>
                <w:sz w:val="18"/>
                <w:szCs w:val="18"/>
              </w:rPr>
            </w:pPr>
            <w:r>
              <w:rPr>
                <w:rFonts w:hint="eastAsia" w:ascii="Times New Roman"/>
                <w:color w:val="auto"/>
                <w:sz w:val="18"/>
                <w:szCs w:val="18"/>
              </w:rPr>
              <w:t>设备最高电压（</w:t>
            </w:r>
            <w:r>
              <w:rPr>
                <w:rFonts w:ascii="Times New Roman"/>
                <w:color w:val="auto"/>
                <w:sz w:val="18"/>
                <w:szCs w:val="18"/>
              </w:rPr>
              <w:t>kV</w:t>
            </w:r>
            <w:r>
              <w:rPr>
                <w:rFonts w:hint="eastAsia" w:ascii="Times New Roman"/>
                <w:color w:val="auto"/>
                <w:sz w:val="18"/>
                <w:szCs w:val="18"/>
              </w:rPr>
              <w:t>）</w:t>
            </w:r>
          </w:p>
        </w:tc>
        <w:tc>
          <w:tcPr>
            <w:tcW w:w="4140" w:type="dxa"/>
            <w:noWrap w:val="0"/>
            <w:vAlign w:val="center"/>
          </w:tcPr>
          <w:p>
            <w:pPr>
              <w:pStyle w:val="21"/>
              <w:jc w:val="center"/>
              <w:rPr>
                <w:rFonts w:ascii="Times New Roman"/>
                <w:color w:val="auto"/>
                <w:sz w:val="18"/>
                <w:szCs w:val="18"/>
              </w:rPr>
            </w:pPr>
            <w:r>
              <w:rPr>
                <w:rFonts w:hint="eastAsia" w:ascii="Times New Roman"/>
                <w:color w:val="auto"/>
                <w:sz w:val="18"/>
                <w:szCs w:val="18"/>
              </w:rPr>
              <w:t>静态承受载荷</w:t>
            </w:r>
            <w:r>
              <w:rPr>
                <w:rFonts w:ascii="Times New Roman"/>
                <w:color w:val="auto"/>
                <w:sz w:val="18"/>
                <w:szCs w:val="18"/>
              </w:rPr>
              <w:t>(N)</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5" w:hRule="atLeast"/>
        </w:trPr>
        <w:tc>
          <w:tcPr>
            <w:tcW w:w="4140" w:type="dxa"/>
            <w:noWrap w:val="0"/>
            <w:vAlign w:val="center"/>
          </w:tcPr>
          <w:p>
            <w:pPr>
              <w:pStyle w:val="21"/>
              <w:jc w:val="center"/>
              <w:rPr>
                <w:rFonts w:hint="eastAsia" w:ascii="Times New Roman"/>
                <w:color w:val="auto"/>
                <w:sz w:val="18"/>
                <w:szCs w:val="18"/>
              </w:rPr>
            </w:pPr>
            <w:r>
              <w:rPr>
                <w:rFonts w:hint="eastAsia" w:ascii="Times New Roman"/>
                <w:color w:val="auto"/>
                <w:sz w:val="18"/>
                <w:szCs w:val="18"/>
              </w:rPr>
              <w:t>12</w:t>
            </w:r>
          </w:p>
        </w:tc>
        <w:tc>
          <w:tcPr>
            <w:tcW w:w="4140" w:type="dxa"/>
            <w:noWrap w:val="0"/>
            <w:vAlign w:val="center"/>
          </w:tcPr>
          <w:p>
            <w:pPr>
              <w:pStyle w:val="21"/>
              <w:jc w:val="center"/>
              <w:rPr>
                <w:rFonts w:hint="eastAsia" w:ascii="Times New Roman"/>
                <w:color w:val="auto"/>
                <w:sz w:val="18"/>
                <w:szCs w:val="18"/>
              </w:rPr>
            </w:pPr>
            <w:r>
              <w:rPr>
                <w:rFonts w:hint="eastAsia" w:ascii="Times New Roman"/>
                <w:color w:val="auto"/>
                <w:sz w:val="18"/>
                <w:szCs w:val="18"/>
              </w:rPr>
              <w:t>1500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8280" w:type="dxa"/>
            <w:gridSpan w:val="2"/>
            <w:noWrap w:val="0"/>
            <w:vAlign w:val="center"/>
          </w:tcPr>
          <w:p>
            <w:pPr>
              <w:pStyle w:val="21"/>
              <w:rPr>
                <w:rFonts w:hint="eastAsia" w:ascii="Times New Roman"/>
                <w:color w:val="auto"/>
                <w:sz w:val="18"/>
                <w:szCs w:val="18"/>
              </w:rPr>
            </w:pPr>
            <w:r>
              <w:rPr>
                <w:rFonts w:hint="eastAsia" w:ascii="Times New Roman"/>
                <w:color w:val="auto"/>
                <w:sz w:val="18"/>
                <w:szCs w:val="18"/>
              </w:rPr>
              <w:t>注</w:t>
            </w:r>
            <w:r>
              <w:rPr>
                <w:rFonts w:ascii="Times New Roman"/>
                <w:color w:val="auto"/>
                <w:sz w:val="18"/>
                <w:szCs w:val="18"/>
              </w:rPr>
              <w:t xml:space="preserve">1 </w:t>
            </w:r>
            <w:r>
              <w:rPr>
                <w:rFonts w:hint="eastAsia" w:ascii="Times New Roman"/>
                <w:color w:val="auto"/>
                <w:sz w:val="18"/>
                <w:szCs w:val="18"/>
              </w:rPr>
              <w:t>：在日常运行条件下，起作用的载荷总和应不超过规定的承受试验载荷</w:t>
            </w:r>
            <w:r>
              <w:rPr>
                <w:rFonts w:ascii="Times New Roman"/>
                <w:color w:val="auto"/>
                <w:sz w:val="18"/>
                <w:szCs w:val="18"/>
              </w:rPr>
              <w:t>50%</w:t>
            </w:r>
            <w:r>
              <w:rPr>
                <w:rFonts w:hint="eastAsia" w:ascii="Times New Roman"/>
                <w:color w:val="auto"/>
                <w:sz w:val="18"/>
                <w:szCs w:val="18"/>
              </w:rPr>
              <w:t>。</w:t>
            </w:r>
          </w:p>
          <w:p>
            <w:pPr>
              <w:pStyle w:val="21"/>
              <w:jc w:val="both"/>
              <w:rPr>
                <w:rFonts w:ascii="Times New Roman"/>
                <w:color w:val="auto"/>
                <w:sz w:val="18"/>
                <w:szCs w:val="18"/>
              </w:rPr>
            </w:pPr>
            <w:r>
              <w:rPr>
                <w:rFonts w:hint="eastAsia" w:ascii="Times New Roman"/>
                <w:color w:val="auto"/>
                <w:sz w:val="18"/>
                <w:szCs w:val="18"/>
              </w:rPr>
              <w:t>注2：在某些应用中，可能需要防止一次端子旋转的阻力，试验时施加的力距，按实际情况由运行单位提出。</w:t>
            </w:r>
          </w:p>
        </w:tc>
      </w:tr>
    </w:tbl>
    <w:p>
      <w:pPr>
        <w:pStyle w:val="16"/>
        <w:spacing w:line="360" w:lineRule="auto"/>
        <w:ind w:firstLine="0" w:firstLineChars="0"/>
        <w:rPr>
          <w:rFonts w:hint="eastAsia" w:ascii="Times New Roman" w:hAnsi="宋体"/>
          <w:kern w:val="2"/>
          <w:szCs w:val="21"/>
        </w:rPr>
      </w:pPr>
      <w:r>
        <w:rPr>
          <w:rFonts w:hint="eastAsia" w:ascii="Times New Roman" w:hAnsi="宋体"/>
          <w:kern w:val="2"/>
          <w:szCs w:val="21"/>
        </w:rPr>
        <w:t>5.2.5.2 二次接线端子</w:t>
      </w:r>
    </w:p>
    <w:p>
      <w:pPr>
        <w:autoSpaceDE w:val="0"/>
        <w:autoSpaceDN w:val="0"/>
        <w:adjustRightInd w:val="0"/>
        <w:spacing w:line="360" w:lineRule="auto"/>
        <w:ind w:firstLine="420" w:firstLineChars="200"/>
        <w:jc w:val="left"/>
        <w:rPr>
          <w:rFonts w:hint="eastAsia"/>
          <w:szCs w:val="21"/>
        </w:rPr>
      </w:pPr>
      <w:r>
        <w:rPr>
          <w:rFonts w:hint="eastAsia"/>
          <w:szCs w:val="21"/>
        </w:rPr>
        <w:t>1）</w:t>
      </w:r>
      <w:r>
        <w:rPr>
          <w:szCs w:val="21"/>
        </w:rPr>
        <w:t>互感器的二次回路全部引接至接线端子盒，引线截面至少为</w:t>
      </w:r>
      <w:r>
        <w:rPr>
          <w:rFonts w:hint="eastAsia"/>
          <w:szCs w:val="21"/>
        </w:rPr>
        <w:t>6</w:t>
      </w:r>
      <w:r>
        <w:rPr>
          <w:szCs w:val="21"/>
        </w:rPr>
        <w:t>mm</w:t>
      </w:r>
      <w:r>
        <w:rPr>
          <w:szCs w:val="21"/>
          <w:vertAlign w:val="superscript"/>
        </w:rPr>
        <w:t>2</w:t>
      </w:r>
      <w:r>
        <w:rPr>
          <w:szCs w:val="21"/>
        </w:rPr>
        <w:t>。</w:t>
      </w:r>
    </w:p>
    <w:p>
      <w:pPr>
        <w:pStyle w:val="18"/>
      </w:pPr>
      <w:r>
        <w:rPr>
          <w:rFonts w:hint="eastAsia"/>
        </w:rPr>
        <w:t>2）</w:t>
      </w:r>
      <w:r>
        <w:t>端子盒应为不生锈的金属材料，</w:t>
      </w:r>
      <w:r>
        <w:rPr>
          <w:rFonts w:hint="eastAsia" w:ascii="宋体" w:hAnsi="宋体"/>
        </w:rPr>
        <w:t>固定</w:t>
      </w:r>
      <w:r>
        <w:t>端子盒</w:t>
      </w:r>
      <w:r>
        <w:rPr>
          <w:rFonts w:hint="eastAsia" w:ascii="宋体" w:hAnsi="宋体"/>
        </w:rPr>
        <w:t>的盖子螺丝</w:t>
      </w:r>
      <w:r>
        <w:t>应为不生锈的金属材料</w:t>
      </w:r>
      <w:r>
        <w:rPr>
          <w:rFonts w:hint="eastAsia" w:ascii="宋体" w:hAnsi="宋体"/>
        </w:rPr>
        <w:t>，</w:t>
      </w:r>
      <w:r>
        <w:t>端子应防腐蚀防潮和阻燃，防护等级IP</w:t>
      </w:r>
      <w:r>
        <w:rPr>
          <w:rFonts w:hint="eastAsia"/>
        </w:rPr>
        <w:t>55</w:t>
      </w:r>
      <w:r>
        <w:t>。端子盒应便于外部电缆的引入，其开孔应能接入外径为45mm 的电缆，配密封电缆护套，并有足够的空间。</w:t>
      </w:r>
    </w:p>
    <w:p>
      <w:pPr>
        <w:autoSpaceDE w:val="0"/>
        <w:autoSpaceDN w:val="0"/>
        <w:adjustRightInd w:val="0"/>
        <w:spacing w:line="360" w:lineRule="auto"/>
        <w:ind w:firstLine="420" w:firstLineChars="200"/>
        <w:jc w:val="left"/>
        <w:rPr>
          <w:szCs w:val="21"/>
        </w:rPr>
      </w:pPr>
      <w:r>
        <w:rPr>
          <w:rFonts w:hint="eastAsia"/>
          <w:szCs w:val="21"/>
        </w:rPr>
        <w:t>3）</w:t>
      </w:r>
      <w:r>
        <w:rPr>
          <w:szCs w:val="21"/>
        </w:rPr>
        <w:t>端子盒内的端子和导线, 应能耐受70℃高温。</w:t>
      </w:r>
    </w:p>
    <w:p>
      <w:pPr>
        <w:autoSpaceDE w:val="0"/>
        <w:autoSpaceDN w:val="0"/>
        <w:adjustRightInd w:val="0"/>
        <w:spacing w:line="360" w:lineRule="auto"/>
        <w:ind w:firstLine="420" w:firstLineChars="200"/>
        <w:jc w:val="left"/>
        <w:rPr>
          <w:szCs w:val="21"/>
        </w:rPr>
      </w:pPr>
      <w:r>
        <w:rPr>
          <w:rFonts w:hint="eastAsia"/>
          <w:szCs w:val="21"/>
        </w:rPr>
        <w:t>4）</w:t>
      </w:r>
      <w:r>
        <w:rPr>
          <w:szCs w:val="21"/>
        </w:rPr>
        <w:t>端子排应为在端子与端子之间具有1000V绝缘隔层的模块式结构。每个端子应有标记片, 应配备带有绝缘套的压接式端接头。在同一个端子上, 不应与两根及以上引接线连接。每个端子应可以接入截面4mm</w:t>
      </w:r>
      <w:r>
        <w:rPr>
          <w:szCs w:val="21"/>
          <w:vertAlign w:val="superscript"/>
        </w:rPr>
        <w:t>2</w:t>
      </w:r>
      <w:r>
        <w:rPr>
          <w:szCs w:val="21"/>
        </w:rPr>
        <w:t>的电缆芯。二次出线端子螺杆直径不得小于6mm，应用铜或铜合金制成，并有可靠的防锈层。二次出线端子板防潮性能良好并具有防螺杆旋转措施。</w:t>
      </w:r>
    </w:p>
    <w:p>
      <w:pPr>
        <w:autoSpaceDE w:val="0"/>
        <w:autoSpaceDN w:val="0"/>
        <w:adjustRightInd w:val="0"/>
        <w:spacing w:line="360" w:lineRule="auto"/>
        <w:ind w:firstLine="420" w:firstLineChars="200"/>
        <w:jc w:val="left"/>
        <w:rPr>
          <w:szCs w:val="21"/>
        </w:rPr>
      </w:pPr>
      <w:r>
        <w:rPr>
          <w:rFonts w:hint="eastAsia"/>
          <w:szCs w:val="21"/>
        </w:rPr>
        <w:t>5）</w:t>
      </w:r>
      <w:r>
        <w:rPr>
          <w:szCs w:val="21"/>
        </w:rPr>
        <w:t>应防止端子连接件紧固部分的螺栓与螺母由于振动或发热而引起松动。</w:t>
      </w:r>
    </w:p>
    <w:p>
      <w:pPr>
        <w:autoSpaceDE w:val="0"/>
        <w:autoSpaceDN w:val="0"/>
        <w:adjustRightInd w:val="0"/>
        <w:spacing w:line="360" w:lineRule="auto"/>
        <w:ind w:firstLine="420" w:firstLineChars="200"/>
        <w:jc w:val="left"/>
        <w:rPr>
          <w:szCs w:val="21"/>
        </w:rPr>
      </w:pPr>
      <w:r>
        <w:rPr>
          <w:rFonts w:hint="eastAsia"/>
          <w:szCs w:val="21"/>
        </w:rPr>
        <w:t>6）</w:t>
      </w:r>
      <w:r>
        <w:rPr>
          <w:szCs w:val="21"/>
        </w:rPr>
        <w:t>所有端子及紧固件应有良好的防锈镀层，足够的机械强度和保持良好的接触面。</w:t>
      </w:r>
    </w:p>
    <w:p>
      <w:pPr>
        <w:autoSpaceDE w:val="0"/>
        <w:autoSpaceDN w:val="0"/>
        <w:adjustRightInd w:val="0"/>
        <w:spacing w:line="360" w:lineRule="auto"/>
        <w:ind w:firstLine="420" w:firstLineChars="200"/>
        <w:jc w:val="left"/>
        <w:rPr>
          <w:rFonts w:hint="eastAsia"/>
          <w:szCs w:val="21"/>
        </w:rPr>
      </w:pPr>
      <w:r>
        <w:rPr>
          <w:rFonts w:hint="eastAsia"/>
          <w:szCs w:val="21"/>
        </w:rPr>
        <w:t>7）接线端子盒应为整体浇注型。</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5.2.6 接地端子</w:t>
      </w:r>
    </w:p>
    <w:bookmarkEnd w:id="38"/>
    <w:p>
      <w:pPr>
        <w:autoSpaceDE w:val="0"/>
        <w:autoSpaceDN w:val="0"/>
        <w:adjustRightInd w:val="0"/>
        <w:spacing w:line="360" w:lineRule="auto"/>
        <w:ind w:firstLine="420" w:firstLineChars="200"/>
        <w:jc w:val="left"/>
        <w:rPr>
          <w:rFonts w:hint="eastAsia" w:cs="宋体"/>
          <w:szCs w:val="21"/>
        </w:rPr>
      </w:pPr>
      <w:r>
        <w:rPr>
          <w:rFonts w:cs="宋体"/>
          <w:szCs w:val="21"/>
        </w:rPr>
        <w:t>每相互感器应配备表面镀锡的铜接地端子, 并配有与接地线连接用的接地螺钉，</w:t>
      </w:r>
      <w:r>
        <w:rPr>
          <w:rFonts w:hint="eastAsia" w:cs="宋体"/>
          <w:szCs w:val="21"/>
        </w:rPr>
        <w:t>其直径应不小于8mm，</w:t>
      </w:r>
      <w:r>
        <w:rPr>
          <w:rFonts w:cs="宋体"/>
          <w:szCs w:val="21"/>
        </w:rPr>
        <w:t>附近标有明显的接地符号“</w:t>
      </w:r>
      <w:r>
        <w:rPr>
          <w:rFonts w:cs="宋体"/>
          <w:szCs w:val="21"/>
        </w:rPr>
        <w:fldChar w:fldCharType="begin"/>
      </w:r>
      <w:r>
        <w:rPr>
          <w:rFonts w:cs="宋体"/>
          <w:szCs w:val="21"/>
        </w:rPr>
        <w:instrText xml:space="preserve"> eq \o(\s\do-4(</w:instrText>
      </w:r>
      <w:r>
        <w:rPr>
          <w:rFonts w:hint="eastAsia" w:cs="宋体"/>
          <w:szCs w:val="21"/>
        </w:rPr>
        <w:instrText xml:space="preserve">⊥</w:instrText>
      </w:r>
      <w:r>
        <w:rPr>
          <w:rFonts w:cs="宋体"/>
          <w:szCs w:val="21"/>
        </w:rPr>
        <w:instrText xml:space="preserve">),\s\do 5(＝))</w:instrText>
      </w:r>
      <w:r>
        <w:rPr>
          <w:rFonts w:cs="宋体"/>
          <w:szCs w:val="21"/>
        </w:rPr>
        <w:fldChar w:fldCharType="end"/>
      </w:r>
      <w:r>
        <w:rPr>
          <w:rFonts w:cs="宋体"/>
          <w:szCs w:val="21"/>
        </w:rPr>
        <w:t>”或“</w:t>
      </w:r>
      <w:r>
        <w:rPr>
          <w:rFonts w:hint="eastAsia" w:cs="宋体"/>
          <w:szCs w:val="21"/>
        </w:rPr>
        <w:t>接</w:t>
      </w:r>
      <w:r>
        <w:rPr>
          <w:rFonts w:cs="宋体"/>
          <w:szCs w:val="21"/>
        </w:rPr>
        <w:t>地”字样</w:t>
      </w:r>
      <w:r>
        <w:rPr>
          <w:rFonts w:hint="eastAsia" w:cs="宋体"/>
          <w:szCs w:val="21"/>
        </w:rPr>
        <w:t>，接地零件应采用不锈钢材料或具有可靠的防锈镀层。</w:t>
      </w:r>
    </w:p>
    <w:p>
      <w:pPr>
        <w:pStyle w:val="19"/>
        <w:numPr>
          <w:ilvl w:val="0"/>
          <w:numId w:val="0"/>
        </w:numPr>
        <w:adjustRightInd w:val="0"/>
        <w:spacing w:before="156" w:beforeLines="50"/>
        <w:rPr>
          <w:rFonts w:ascii="Times New Roman" w:hAnsi="Times New Roman" w:eastAsia="黑体"/>
        </w:rPr>
      </w:pPr>
      <w:r>
        <w:rPr>
          <w:rFonts w:hint="eastAsia" w:ascii="Times New Roman" w:hAnsi="Times New Roman" w:eastAsia="黑体"/>
        </w:rPr>
        <w:t>5</w:t>
      </w:r>
      <w:r>
        <w:rPr>
          <w:rFonts w:ascii="Times New Roman" w:hAnsi="Times New Roman" w:eastAsia="黑体"/>
        </w:rPr>
        <w:t>.</w:t>
      </w:r>
      <w:r>
        <w:rPr>
          <w:rFonts w:hint="eastAsia" w:ascii="Times New Roman" w:hAnsi="Times New Roman" w:eastAsia="黑体"/>
        </w:rPr>
        <w:t>2.7 接线板</w:t>
      </w:r>
    </w:p>
    <w:p>
      <w:pPr>
        <w:spacing w:line="360" w:lineRule="auto"/>
        <w:ind w:firstLine="420" w:firstLineChars="200"/>
        <w:rPr>
          <w:rFonts w:hint="eastAsia"/>
          <w:szCs w:val="21"/>
        </w:rPr>
      </w:pPr>
      <w:r>
        <w:rPr>
          <w:szCs w:val="21"/>
        </w:rPr>
        <w:t>1</w:t>
      </w:r>
      <w:r>
        <w:rPr>
          <w:rFonts w:hint="eastAsia"/>
          <w:szCs w:val="21"/>
        </w:rPr>
        <w:t>）所有设备均应配备单片平板式接线板</w:t>
      </w:r>
      <w:r>
        <w:rPr>
          <w:szCs w:val="21"/>
        </w:rPr>
        <w:t>,满足每一设备或自身回路的额定电流。</w:t>
      </w:r>
    </w:p>
    <w:p>
      <w:pPr>
        <w:spacing w:line="360" w:lineRule="auto"/>
        <w:ind w:firstLine="420" w:firstLineChars="200"/>
        <w:rPr>
          <w:szCs w:val="21"/>
        </w:rPr>
      </w:pPr>
      <w:r>
        <w:rPr>
          <w:rFonts w:hint="eastAsia"/>
          <w:szCs w:val="21"/>
        </w:rPr>
        <w:t>2）应设计为防电晕式</w:t>
      </w:r>
      <w:r>
        <w:rPr>
          <w:szCs w:val="21"/>
        </w:rPr>
        <w:t>,</w:t>
      </w:r>
      <w:r>
        <w:rPr>
          <w:rFonts w:hint="eastAsia"/>
          <w:szCs w:val="21"/>
        </w:rPr>
        <w:t>水平安装。提供不锈钢螺栓、螺帽及防松垫圈。若采用高强螺栓连接，应提供紧固扭矩的要求。厂方须在图纸中标明接线板的材料及结构形式、厚度。接线板应能承受技术规范的机械强度要求。</w:t>
      </w:r>
      <w:r>
        <w:rPr>
          <w:szCs w:val="21"/>
        </w:rPr>
        <w:t xml:space="preserve"> </w:t>
      </w:r>
    </w:p>
    <w:p>
      <w:pPr>
        <w:spacing w:line="360" w:lineRule="auto"/>
        <w:ind w:firstLine="420" w:firstLineChars="200"/>
        <w:rPr>
          <w:rFonts w:hint="eastAsia"/>
          <w:szCs w:val="21"/>
        </w:rPr>
      </w:pPr>
      <w:r>
        <w:rPr>
          <w:rFonts w:hint="eastAsia"/>
          <w:szCs w:val="21"/>
        </w:rPr>
        <w:t>3）端子板接线板横断面和接触面的长期允许电流不应小于额定电流的</w:t>
      </w:r>
      <w:r>
        <w:rPr>
          <w:szCs w:val="21"/>
        </w:rPr>
        <w:t xml:space="preserve">1.3 </w:t>
      </w:r>
      <w:r>
        <w:rPr>
          <w:rFonts w:hint="eastAsia"/>
          <w:szCs w:val="21"/>
        </w:rPr>
        <w:t>倍。端子板与连接线的连接部位的接触电阻应尽可能小，温升不应超过</w:t>
      </w:r>
      <w:r>
        <w:rPr>
          <w:szCs w:val="21"/>
        </w:rPr>
        <w:t>DL/T593</w:t>
      </w:r>
      <w:r>
        <w:rPr>
          <w:rFonts w:hint="eastAsia"/>
          <w:szCs w:val="21"/>
        </w:rPr>
        <w:t>标准规定的温升极限，并提供该试验下的连接方式。</w:t>
      </w:r>
    </w:p>
    <w:p>
      <w:pPr>
        <w:pStyle w:val="19"/>
        <w:numPr>
          <w:ilvl w:val="0"/>
          <w:numId w:val="0"/>
        </w:numPr>
        <w:adjustRightInd w:val="0"/>
        <w:spacing w:before="156" w:beforeLines="50"/>
        <w:rPr>
          <w:rFonts w:hint="eastAsia" w:ascii="Times New Roman" w:hAnsi="Times New Roman" w:eastAsia="黑体"/>
        </w:rPr>
      </w:pPr>
      <w:bookmarkStart w:id="39" w:name="_Toc276492392"/>
      <w:r>
        <w:rPr>
          <w:rFonts w:hint="eastAsia" w:ascii="Times New Roman" w:hAnsi="Times New Roman" w:eastAsia="黑体"/>
        </w:rPr>
        <w:t>5.2.8 对材料及工艺的要求</w:t>
      </w:r>
      <w:bookmarkEnd w:id="39"/>
    </w:p>
    <w:p>
      <w:pPr>
        <w:pStyle w:val="16"/>
        <w:adjustRightInd w:val="0"/>
        <w:snapToGrid w:val="0"/>
        <w:spacing w:line="360" w:lineRule="auto"/>
        <w:ind w:firstLine="420"/>
        <w:rPr>
          <w:rFonts w:hint="eastAsia" w:ascii="Times New Roman"/>
          <w:kern w:val="2"/>
          <w:szCs w:val="21"/>
        </w:rPr>
      </w:pPr>
      <w:r>
        <w:rPr>
          <w:rFonts w:hint="eastAsia" w:ascii="Times New Roman"/>
          <w:kern w:val="2"/>
          <w:szCs w:val="21"/>
        </w:rPr>
        <w:t>设备、部件制造中所用的材料应该是新的、优质的、无缺陷的和无损伤的。其种类、成份、物理性能应按照最佳的工程实践, 并适合相应的设备、部件的用途。材料应符合本条件书所列的类型、技术规范和等级或与之等效。材料的详细规范,包括等级、牌号、类别均应在厂家提供审查的详图中表示出来。</w:t>
      </w:r>
    </w:p>
    <w:p>
      <w:pPr>
        <w:pStyle w:val="16"/>
        <w:adjustRightInd w:val="0"/>
        <w:snapToGrid w:val="0"/>
        <w:spacing w:line="360" w:lineRule="auto"/>
        <w:ind w:firstLine="420"/>
        <w:rPr>
          <w:rFonts w:hint="eastAsia" w:ascii="Times New Roman"/>
          <w:kern w:val="2"/>
          <w:szCs w:val="21"/>
        </w:rPr>
      </w:pPr>
      <w:r>
        <w:rPr>
          <w:rFonts w:hint="eastAsia" w:ascii="Times New Roman"/>
          <w:kern w:val="2"/>
          <w:szCs w:val="21"/>
        </w:rPr>
        <w:t>所有零部件应符合规定尺寸并遵照核准图纸加工并具有互换性。所有结合面、基准面和金属部件应精加工。所有铸件在有螺帽处要经加工整平。图纸上要标明规定加工等级的代号。所有螺栓、螺帽和管件螺纹应符合“国际标准化组织”关于这方面的最新标准, 并完全符合国际计量规格的规定, 厂家不得任意降低标准。试验必须按照美国材料试验协会(ASTM)标准或其他经招标方同意的标准进行。各项试验的结果应按材料试验技术条件中所规定的格式提出。</w:t>
      </w:r>
    </w:p>
    <w:p>
      <w:pPr>
        <w:pStyle w:val="19"/>
        <w:numPr>
          <w:ilvl w:val="0"/>
          <w:numId w:val="0"/>
        </w:numPr>
        <w:adjustRightInd w:val="0"/>
        <w:spacing w:before="156" w:beforeLines="50"/>
        <w:rPr>
          <w:rFonts w:hint="eastAsia" w:ascii="Times New Roman" w:hAnsi="Times New Roman" w:eastAsia="黑体"/>
        </w:rPr>
      </w:pPr>
      <w:bookmarkStart w:id="40" w:name="_Toc276492394"/>
      <w:r>
        <w:rPr>
          <w:rFonts w:hint="eastAsia" w:ascii="Times New Roman" w:hAnsi="Times New Roman" w:eastAsia="黑体"/>
        </w:rPr>
        <w:t>5.2.9 铸件要求</w:t>
      </w:r>
      <w:bookmarkEnd w:id="40"/>
    </w:p>
    <w:p>
      <w:pPr>
        <w:pStyle w:val="16"/>
        <w:adjustRightInd w:val="0"/>
        <w:snapToGrid w:val="0"/>
        <w:spacing w:line="360" w:lineRule="auto"/>
        <w:ind w:firstLine="359" w:firstLineChars="171"/>
        <w:rPr>
          <w:rFonts w:hint="eastAsia" w:ascii="Times New Roman"/>
          <w:kern w:val="2"/>
          <w:szCs w:val="21"/>
        </w:rPr>
      </w:pPr>
      <w:r>
        <w:rPr>
          <w:rFonts w:hint="eastAsia" w:ascii="Times New Roman"/>
          <w:kern w:val="2"/>
          <w:szCs w:val="21"/>
        </w:rPr>
        <w:t>铸件要符合模型、外形工整、质量均匀、形态一致, 并经X光探伤证明无气孔砂眼、夹渣、缩孔、裂纹和其他缺陷, 并应依其用途充分处理干净。</w:t>
      </w:r>
    </w:p>
    <w:p>
      <w:pPr>
        <w:pStyle w:val="16"/>
        <w:adjustRightInd w:val="0"/>
        <w:snapToGrid w:val="0"/>
        <w:spacing w:line="360" w:lineRule="auto"/>
        <w:ind w:firstLine="359" w:firstLineChars="171"/>
        <w:rPr>
          <w:rFonts w:hint="eastAsia" w:ascii="Times New Roman"/>
          <w:kern w:val="2"/>
          <w:szCs w:val="21"/>
        </w:rPr>
      </w:pPr>
      <w:r>
        <w:rPr>
          <w:rFonts w:hint="eastAsia" w:ascii="Times New Roman"/>
          <w:kern w:val="2"/>
          <w:szCs w:val="21"/>
        </w:rPr>
        <w:t>铸件上的重大缺陷不得进行修理、填堵和施焊。在铸件关键部位出现过量的杂质或合金分凝即应予报废, 在变换截面的地方应配置构造上容许的最大限度的加强筋。</w:t>
      </w:r>
    </w:p>
    <w:p>
      <w:pPr>
        <w:pStyle w:val="19"/>
        <w:numPr>
          <w:ilvl w:val="0"/>
          <w:numId w:val="0"/>
        </w:numPr>
        <w:adjustRightInd w:val="0"/>
        <w:spacing w:before="156" w:beforeLines="50"/>
        <w:rPr>
          <w:rFonts w:hint="eastAsia" w:ascii="Times New Roman" w:hAnsi="Times New Roman" w:eastAsia="黑体"/>
        </w:rPr>
      </w:pPr>
      <w:bookmarkStart w:id="41" w:name="_Toc276492397"/>
      <w:r>
        <w:rPr>
          <w:rFonts w:hint="eastAsia" w:ascii="Times New Roman" w:hAnsi="Times New Roman" w:eastAsia="黑体"/>
        </w:rPr>
        <w:t>5.2.10 油漆与防锈的要求</w:t>
      </w:r>
      <w:bookmarkEnd w:id="41"/>
    </w:p>
    <w:p>
      <w:pPr>
        <w:pStyle w:val="16"/>
        <w:adjustRightInd w:val="0"/>
        <w:snapToGrid w:val="0"/>
        <w:spacing w:line="360" w:lineRule="auto"/>
        <w:ind w:firstLine="359" w:firstLineChars="171"/>
        <w:rPr>
          <w:rFonts w:hint="eastAsia" w:ascii="Times New Roman"/>
          <w:kern w:val="2"/>
          <w:szCs w:val="21"/>
        </w:rPr>
      </w:pPr>
      <w:r>
        <w:rPr>
          <w:rFonts w:hint="eastAsia" w:ascii="Times New Roman"/>
          <w:kern w:val="2"/>
          <w:szCs w:val="21"/>
        </w:rPr>
        <w:t>1）按本招标书技术文件提供的任何设备, 除有色金属、电镀钢件、抛光或机械加工的表面以外, 所有的金属外露部分, 均应作表面的除锈处理。</w:t>
      </w:r>
    </w:p>
    <w:p>
      <w:pPr>
        <w:pStyle w:val="16"/>
        <w:adjustRightInd w:val="0"/>
        <w:snapToGrid w:val="0"/>
        <w:spacing w:line="360" w:lineRule="auto"/>
        <w:ind w:firstLine="359" w:firstLineChars="171"/>
        <w:rPr>
          <w:rFonts w:hint="eastAsia" w:ascii="Times New Roman"/>
          <w:kern w:val="2"/>
          <w:szCs w:val="21"/>
        </w:rPr>
      </w:pPr>
      <w:r>
        <w:rPr>
          <w:rFonts w:hint="eastAsia" w:ascii="Times New Roman"/>
          <w:kern w:val="2"/>
          <w:szCs w:val="21"/>
        </w:rPr>
        <w:t>2）除锈处理后应即喷涂一层防锈底漆。</w:t>
      </w:r>
    </w:p>
    <w:p>
      <w:pPr>
        <w:pStyle w:val="16"/>
        <w:adjustRightInd w:val="0"/>
        <w:snapToGrid w:val="0"/>
        <w:spacing w:line="360" w:lineRule="auto"/>
        <w:ind w:firstLine="359" w:firstLineChars="171"/>
        <w:rPr>
          <w:rFonts w:hint="eastAsia" w:ascii="Times New Roman"/>
          <w:kern w:val="2"/>
          <w:szCs w:val="21"/>
        </w:rPr>
      </w:pPr>
      <w:r>
        <w:rPr>
          <w:rFonts w:hint="eastAsia" w:ascii="Times New Roman"/>
          <w:kern w:val="2"/>
          <w:szCs w:val="21"/>
        </w:rPr>
        <w:t>3）所使用的底漆和光漆的材料与型号, 可根据制造厂的标准。光漆应与底漆协调。并具备优良的的耐用性。</w:t>
      </w:r>
    </w:p>
    <w:p>
      <w:pPr>
        <w:pStyle w:val="16"/>
        <w:adjustRightInd w:val="0"/>
        <w:snapToGrid w:val="0"/>
        <w:spacing w:line="360" w:lineRule="auto"/>
        <w:ind w:firstLine="359" w:firstLineChars="171"/>
        <w:rPr>
          <w:rFonts w:hint="eastAsia" w:ascii="Times New Roman"/>
          <w:kern w:val="2"/>
          <w:szCs w:val="21"/>
        </w:rPr>
      </w:pPr>
      <w:r>
        <w:rPr>
          <w:rFonts w:hint="eastAsia" w:ascii="Times New Roman"/>
          <w:kern w:val="2"/>
          <w:szCs w:val="21"/>
        </w:rPr>
        <w:t>4）所有的外表面至少应喷涂一层底漆及二层瓷漆，底漆与光漆生成干燥漆膜的厚度最小为0.125mm，光瓷漆至少为50％，并且有足够的弹性。油漆应持久耐用, 能适应户外多种因素的影响，如抗御热带强烈阳光辐射及承受夏天骤雨所引起的急剧温度变化, 抗剥落, 并保持颜色新颖。</w:t>
      </w:r>
    </w:p>
    <w:p>
      <w:pPr>
        <w:pStyle w:val="16"/>
        <w:adjustRightInd w:val="0"/>
        <w:snapToGrid w:val="0"/>
        <w:spacing w:line="360" w:lineRule="auto"/>
        <w:ind w:firstLine="359" w:firstLineChars="171"/>
        <w:rPr>
          <w:rFonts w:hint="eastAsia" w:ascii="Times New Roman"/>
          <w:kern w:val="2"/>
          <w:szCs w:val="21"/>
        </w:rPr>
      </w:pPr>
      <w:r>
        <w:rPr>
          <w:rFonts w:hint="eastAsia" w:ascii="Times New Roman"/>
          <w:kern w:val="2"/>
          <w:szCs w:val="21"/>
        </w:rPr>
        <w:t>所有外表面的光漆应为B03浅灰漆。</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5.2.11 铭牌标志</w:t>
      </w:r>
    </w:p>
    <w:p>
      <w:pPr>
        <w:spacing w:line="360" w:lineRule="auto"/>
        <w:ind w:firstLine="420" w:firstLineChars="200"/>
        <w:rPr>
          <w:rFonts w:hint="eastAsia"/>
          <w:szCs w:val="21"/>
        </w:rPr>
      </w:pPr>
      <w:r>
        <w:rPr>
          <w:rFonts w:hint="eastAsia"/>
          <w:szCs w:val="21"/>
        </w:rPr>
        <w:t>电压互感器</w:t>
      </w:r>
      <w:r>
        <w:rPr>
          <w:szCs w:val="21"/>
        </w:rPr>
        <w:t>互感器铭牌应符合国标，铭牌用不锈钢材料制成，字样、符号应清晰耐久，铭牌在设备正常运行时其安装位置应明显可见。</w:t>
      </w:r>
    </w:p>
    <w:p>
      <w:pPr>
        <w:autoSpaceDE w:val="0"/>
        <w:autoSpaceDN w:val="0"/>
        <w:adjustRightInd w:val="0"/>
        <w:spacing w:line="360" w:lineRule="auto"/>
        <w:ind w:firstLine="420" w:firstLineChars="200"/>
        <w:jc w:val="left"/>
        <w:rPr>
          <w:rFonts w:hint="eastAsia" w:cs="宋体"/>
          <w:szCs w:val="21"/>
        </w:rPr>
      </w:pPr>
      <w:r>
        <w:rPr>
          <w:rFonts w:cs="宋体"/>
          <w:szCs w:val="21"/>
        </w:rPr>
        <w:t>1</w:t>
      </w:r>
      <w:r>
        <w:rPr>
          <w:rFonts w:hint="eastAsia" w:cs="宋体"/>
          <w:szCs w:val="21"/>
        </w:rPr>
        <w:t>）</w:t>
      </w:r>
      <w:r>
        <w:rPr>
          <w:rFonts w:cs="宋体"/>
          <w:szCs w:val="21"/>
        </w:rPr>
        <w:t>国名</w:t>
      </w:r>
    </w:p>
    <w:p>
      <w:pPr>
        <w:autoSpaceDE w:val="0"/>
        <w:autoSpaceDN w:val="0"/>
        <w:adjustRightInd w:val="0"/>
        <w:spacing w:line="360" w:lineRule="auto"/>
        <w:ind w:firstLine="420" w:firstLineChars="200"/>
        <w:jc w:val="left"/>
        <w:rPr>
          <w:rFonts w:cs="宋体"/>
          <w:szCs w:val="21"/>
        </w:rPr>
      </w:pPr>
      <w:r>
        <w:rPr>
          <w:rFonts w:cs="宋体"/>
          <w:szCs w:val="21"/>
        </w:rPr>
        <w:t>2</w:t>
      </w:r>
      <w:r>
        <w:rPr>
          <w:rFonts w:hint="eastAsia" w:cs="宋体"/>
          <w:szCs w:val="21"/>
        </w:rPr>
        <w:t>）</w:t>
      </w:r>
      <w:r>
        <w:rPr>
          <w:rFonts w:cs="宋体"/>
          <w:szCs w:val="21"/>
        </w:rPr>
        <w:t>制造厂名（不以工厂所在地地名为厂名者，应同时标出地名）。</w:t>
      </w:r>
    </w:p>
    <w:p>
      <w:pPr>
        <w:autoSpaceDE w:val="0"/>
        <w:autoSpaceDN w:val="0"/>
        <w:adjustRightInd w:val="0"/>
        <w:spacing w:line="360" w:lineRule="auto"/>
        <w:ind w:firstLine="420" w:firstLineChars="200"/>
        <w:jc w:val="left"/>
        <w:rPr>
          <w:rFonts w:hint="eastAsia" w:cs="宋体"/>
          <w:szCs w:val="21"/>
        </w:rPr>
      </w:pPr>
      <w:r>
        <w:rPr>
          <w:rFonts w:cs="宋体"/>
          <w:szCs w:val="21"/>
        </w:rPr>
        <w:t>3</w:t>
      </w:r>
      <w:r>
        <w:rPr>
          <w:rFonts w:hint="eastAsia" w:cs="宋体"/>
          <w:szCs w:val="21"/>
        </w:rPr>
        <w:t>）</w:t>
      </w:r>
      <w:r>
        <w:rPr>
          <w:rFonts w:cs="宋体"/>
          <w:szCs w:val="21"/>
        </w:rPr>
        <w:t>互感器名称</w:t>
      </w:r>
    </w:p>
    <w:p>
      <w:pPr>
        <w:autoSpaceDE w:val="0"/>
        <w:autoSpaceDN w:val="0"/>
        <w:adjustRightInd w:val="0"/>
        <w:spacing w:line="360" w:lineRule="auto"/>
        <w:ind w:firstLine="420" w:firstLineChars="200"/>
        <w:jc w:val="left"/>
        <w:rPr>
          <w:rFonts w:hint="eastAsia" w:cs="宋体"/>
          <w:szCs w:val="21"/>
        </w:rPr>
      </w:pPr>
      <w:r>
        <w:rPr>
          <w:rFonts w:cs="宋体"/>
          <w:szCs w:val="21"/>
        </w:rPr>
        <w:t>4</w:t>
      </w:r>
      <w:r>
        <w:rPr>
          <w:rFonts w:hint="eastAsia" w:cs="宋体"/>
          <w:szCs w:val="21"/>
        </w:rPr>
        <w:t>）</w:t>
      </w:r>
      <w:r>
        <w:rPr>
          <w:rFonts w:cs="宋体"/>
          <w:szCs w:val="21"/>
        </w:rPr>
        <w:t>互感器型号</w:t>
      </w:r>
    </w:p>
    <w:p>
      <w:pPr>
        <w:autoSpaceDE w:val="0"/>
        <w:autoSpaceDN w:val="0"/>
        <w:adjustRightInd w:val="0"/>
        <w:spacing w:line="360" w:lineRule="auto"/>
        <w:ind w:firstLine="420" w:firstLineChars="200"/>
        <w:jc w:val="left"/>
        <w:rPr>
          <w:rFonts w:hint="eastAsia" w:cs="宋体"/>
          <w:szCs w:val="21"/>
        </w:rPr>
      </w:pPr>
      <w:r>
        <w:rPr>
          <w:rFonts w:cs="宋体"/>
          <w:szCs w:val="21"/>
        </w:rPr>
        <w:t>5</w:t>
      </w:r>
      <w:r>
        <w:rPr>
          <w:rFonts w:hint="eastAsia" w:cs="宋体"/>
          <w:szCs w:val="21"/>
        </w:rPr>
        <w:t>）</w:t>
      </w:r>
      <w:r>
        <w:rPr>
          <w:rFonts w:cs="宋体"/>
          <w:szCs w:val="21"/>
        </w:rPr>
        <w:t>标准代号</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6）计量许可标识及许可批号</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7）</w:t>
      </w:r>
      <w:r>
        <w:rPr>
          <w:rFonts w:cs="宋体"/>
          <w:szCs w:val="21"/>
        </w:rPr>
        <w:t>额定一次和二次电压</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8）</w:t>
      </w:r>
      <w:r>
        <w:rPr>
          <w:rFonts w:cs="宋体"/>
          <w:szCs w:val="21"/>
        </w:rPr>
        <w:t>额定频率及相数</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9）额定输出及相应的准确级</w:t>
      </w:r>
    </w:p>
    <w:p>
      <w:pPr>
        <w:autoSpaceDE w:val="0"/>
        <w:autoSpaceDN w:val="0"/>
        <w:adjustRightInd w:val="0"/>
        <w:spacing w:line="360" w:lineRule="auto"/>
        <w:ind w:firstLine="420" w:firstLineChars="200"/>
        <w:jc w:val="left"/>
        <w:rPr>
          <w:rFonts w:hint="eastAsia" w:cs="宋体"/>
          <w:szCs w:val="21"/>
        </w:rPr>
      </w:pPr>
      <w:r>
        <w:rPr>
          <w:rFonts w:cs="宋体"/>
          <w:szCs w:val="21"/>
        </w:rPr>
        <w:t>1</w:t>
      </w:r>
      <w:r>
        <w:rPr>
          <w:rFonts w:hint="eastAsia" w:cs="宋体"/>
          <w:szCs w:val="21"/>
        </w:rPr>
        <w:t>0）</w:t>
      </w:r>
      <w:r>
        <w:rPr>
          <w:rFonts w:cs="宋体"/>
          <w:szCs w:val="21"/>
        </w:rPr>
        <w:t>带有两个及以上分开的二次绕组的时，应标明每一绕组的额定电压、输出容量范围（VA）和其相应的准确级</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11）设备最高电压</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12）</w:t>
      </w:r>
      <w:r>
        <w:rPr>
          <w:rFonts w:cs="宋体"/>
          <w:szCs w:val="21"/>
        </w:rPr>
        <w:t>额定绝缘水平</w:t>
      </w:r>
    </w:p>
    <w:p>
      <w:pPr>
        <w:autoSpaceDE w:val="0"/>
        <w:autoSpaceDN w:val="0"/>
        <w:adjustRightInd w:val="0"/>
        <w:spacing w:line="360" w:lineRule="auto"/>
        <w:ind w:firstLine="420" w:firstLineChars="200"/>
        <w:jc w:val="left"/>
        <w:rPr>
          <w:rFonts w:hint="eastAsia" w:cs="宋体"/>
          <w:szCs w:val="21"/>
        </w:rPr>
      </w:pPr>
      <w:r>
        <w:rPr>
          <w:rFonts w:cs="宋体"/>
          <w:szCs w:val="21"/>
        </w:rPr>
        <w:t>1</w:t>
      </w:r>
      <w:r>
        <w:rPr>
          <w:rFonts w:hint="eastAsia" w:cs="宋体"/>
          <w:szCs w:val="21"/>
        </w:rPr>
        <w:t>3）额定电压因数及相应额定时间</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14）绝缘耐热等级</w:t>
      </w:r>
    </w:p>
    <w:p>
      <w:pPr>
        <w:autoSpaceDE w:val="0"/>
        <w:autoSpaceDN w:val="0"/>
        <w:adjustRightInd w:val="0"/>
        <w:spacing w:line="360" w:lineRule="auto"/>
        <w:ind w:firstLine="420" w:firstLineChars="200"/>
        <w:jc w:val="left"/>
        <w:rPr>
          <w:rFonts w:hint="eastAsia" w:cs="宋体"/>
          <w:szCs w:val="21"/>
        </w:rPr>
      </w:pPr>
      <w:r>
        <w:rPr>
          <w:rFonts w:cs="宋体"/>
          <w:szCs w:val="21"/>
        </w:rPr>
        <w:t>1</w:t>
      </w:r>
      <w:r>
        <w:rPr>
          <w:rFonts w:hint="eastAsia" w:cs="宋体"/>
          <w:szCs w:val="21"/>
        </w:rPr>
        <w:t>5）二次绕组标识，若有多个二次绕组时，应标明每个绕组的性能参数及相应的端子</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16）设备种类</w:t>
      </w:r>
    </w:p>
    <w:p>
      <w:pPr>
        <w:autoSpaceDE w:val="0"/>
        <w:autoSpaceDN w:val="0"/>
        <w:adjustRightInd w:val="0"/>
        <w:spacing w:line="360" w:lineRule="auto"/>
        <w:ind w:firstLine="420" w:firstLineChars="200"/>
        <w:jc w:val="left"/>
        <w:rPr>
          <w:rFonts w:hint="eastAsia" w:cs="宋体"/>
          <w:szCs w:val="21"/>
        </w:rPr>
      </w:pPr>
      <w:r>
        <w:rPr>
          <w:rFonts w:cs="宋体"/>
          <w:szCs w:val="21"/>
        </w:rPr>
        <w:t>1</w:t>
      </w:r>
      <w:r>
        <w:rPr>
          <w:rFonts w:hint="eastAsia" w:cs="宋体"/>
          <w:szCs w:val="21"/>
        </w:rPr>
        <w:t>7）</w:t>
      </w:r>
      <w:r>
        <w:rPr>
          <w:rFonts w:cs="宋体"/>
          <w:szCs w:val="21"/>
        </w:rPr>
        <w:t>互感器的总重</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18）互感器的油重</w:t>
      </w:r>
    </w:p>
    <w:p>
      <w:pPr>
        <w:autoSpaceDE w:val="0"/>
        <w:autoSpaceDN w:val="0"/>
        <w:adjustRightInd w:val="0"/>
        <w:spacing w:line="360" w:lineRule="auto"/>
        <w:ind w:firstLine="420" w:firstLineChars="200"/>
        <w:jc w:val="left"/>
        <w:rPr>
          <w:rFonts w:cs="宋体"/>
          <w:szCs w:val="21"/>
        </w:rPr>
      </w:pPr>
      <w:r>
        <w:rPr>
          <w:rFonts w:hint="eastAsia" w:cs="宋体"/>
          <w:szCs w:val="21"/>
        </w:rPr>
        <w:t>19）</w:t>
      </w:r>
      <w:r>
        <w:rPr>
          <w:rFonts w:cs="宋体"/>
          <w:szCs w:val="21"/>
        </w:rPr>
        <w:t>出厂序号</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20）</w:t>
      </w:r>
      <w:r>
        <w:rPr>
          <w:rFonts w:cs="宋体"/>
          <w:szCs w:val="21"/>
        </w:rPr>
        <w:t>制造年月</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21）</w:t>
      </w:r>
      <w:r>
        <w:rPr>
          <w:rFonts w:cs="宋体"/>
          <w:szCs w:val="21"/>
        </w:rPr>
        <w:t>外绝缘爬距</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22）电气原理接线图</w:t>
      </w:r>
    </w:p>
    <w:p>
      <w:pPr>
        <w:autoSpaceDE w:val="0"/>
        <w:autoSpaceDN w:val="0"/>
        <w:adjustRightInd w:val="0"/>
        <w:spacing w:line="360" w:lineRule="auto"/>
        <w:ind w:firstLine="420" w:firstLineChars="200"/>
        <w:jc w:val="left"/>
        <w:rPr>
          <w:rFonts w:hint="eastAsia" w:cs="宋体"/>
          <w:szCs w:val="21"/>
        </w:rPr>
      </w:pPr>
      <w:r>
        <w:rPr>
          <w:rFonts w:hint="eastAsia" w:cs="宋体"/>
          <w:szCs w:val="21"/>
        </w:rPr>
        <w:t>23）气体压力释放值、额定值、温度曲线等。</w:t>
      </w:r>
    </w:p>
    <w:p>
      <w:pPr>
        <w:pStyle w:val="3"/>
        <w:numPr>
          <w:ilvl w:val="0"/>
          <w:numId w:val="0"/>
        </w:numPr>
        <w:spacing w:before="156" w:beforeLines="50"/>
        <w:rPr>
          <w:rFonts w:hint="eastAsia" w:ascii="黑体" w:eastAsia="黑体"/>
        </w:rPr>
      </w:pPr>
      <w:bookmarkStart w:id="42" w:name="_Toc342897948"/>
      <w:r>
        <w:rPr>
          <w:rFonts w:hint="eastAsia" w:ascii="黑体" w:eastAsia="黑体"/>
        </w:rPr>
        <w:t>5.3专业接口要求</w:t>
      </w:r>
      <w:bookmarkEnd w:id="42"/>
    </w:p>
    <w:p>
      <w:pPr>
        <w:pStyle w:val="19"/>
        <w:numPr>
          <w:ilvl w:val="0"/>
          <w:numId w:val="0"/>
        </w:numPr>
        <w:adjustRightInd w:val="0"/>
        <w:spacing w:before="156" w:beforeLines="50"/>
        <w:rPr>
          <w:rFonts w:hint="eastAsia" w:ascii="Times New Roman" w:hAnsi="Times New Roman" w:eastAsia="黑体"/>
        </w:rPr>
      </w:pPr>
      <w:bookmarkStart w:id="43" w:name="_Toc271281212"/>
      <w:bookmarkStart w:id="44" w:name="_Toc287252432"/>
      <w:bookmarkStart w:id="45" w:name="_Toc276490905"/>
      <w:bookmarkStart w:id="46" w:name="_Toc276492417"/>
      <w:bookmarkStart w:id="47" w:name="_Toc276492422"/>
      <w:bookmarkStart w:id="48" w:name="_Toc276490910"/>
      <w:r>
        <w:rPr>
          <w:rFonts w:hint="eastAsia" w:ascii="Times New Roman" w:hAnsi="Times New Roman" w:eastAsia="黑体"/>
        </w:rPr>
        <w:t>5.3.1 电气一次接口</w:t>
      </w:r>
    </w:p>
    <w:p>
      <w:pPr>
        <w:pStyle w:val="22"/>
        <w:numPr>
          <w:ilvl w:val="0"/>
          <w:numId w:val="0"/>
        </w:numPr>
        <w:spacing w:line="360" w:lineRule="auto"/>
        <w:outlineLvl w:val="9"/>
        <w:rPr>
          <w:rFonts w:hint="eastAsia" w:ascii="宋体" w:hAnsi="宋体" w:eastAsia="宋体"/>
          <w:kern w:val="2"/>
          <w:szCs w:val="24"/>
        </w:rPr>
      </w:pPr>
      <w:r>
        <w:rPr>
          <w:rFonts w:hint="eastAsia" w:ascii="宋体" w:hAnsi="宋体" w:eastAsia="宋体"/>
          <w:kern w:val="2"/>
          <w:szCs w:val="24"/>
        </w:rPr>
        <w:t>1）安装要求</w:t>
      </w:r>
    </w:p>
    <w:p>
      <w:pPr>
        <w:pStyle w:val="16"/>
        <w:spacing w:after="156" w:afterLines="50" w:line="360" w:lineRule="auto"/>
        <w:ind w:firstLine="0" w:firstLineChars="0"/>
        <w:rPr>
          <w:rFonts w:hint="eastAsia" w:hAnsi="宋体"/>
          <w:color w:val="FF0000"/>
          <w:sz w:val="18"/>
          <w:szCs w:val="18"/>
        </w:rPr>
      </w:pPr>
      <w:r>
        <w:rPr>
          <w:rFonts w:hint="eastAsia" w:ascii="Times New Roman"/>
        </w:rPr>
        <w:t>所购电压互感器安装底座、尺寸需与现有的柜子匹配。提供高压保险卡座、连接铜排等附件。</w:t>
      </w:r>
    </w:p>
    <w:p>
      <w:pPr>
        <w:pStyle w:val="19"/>
        <w:numPr>
          <w:ilvl w:val="0"/>
          <w:numId w:val="0"/>
        </w:numPr>
        <w:adjustRightInd w:val="0"/>
        <w:spacing w:before="156" w:beforeLines="50"/>
        <w:rPr>
          <w:rFonts w:hint="eastAsia" w:ascii="Times New Roman" w:hAnsi="Times New Roman" w:eastAsia="黑体"/>
        </w:rPr>
      </w:pPr>
      <w:r>
        <w:rPr>
          <w:rFonts w:hint="eastAsia" w:ascii="Times New Roman" w:hAnsi="Times New Roman" w:eastAsia="黑体"/>
        </w:rPr>
        <w:t>5.3.2 电气二次接口</w:t>
      </w:r>
    </w:p>
    <w:p>
      <w:pPr>
        <w:spacing w:line="360" w:lineRule="auto"/>
        <w:ind w:firstLine="525" w:firstLineChars="250"/>
        <w:rPr>
          <w:rFonts w:hint="eastAsia" w:hAnsi="宋体"/>
        </w:rPr>
      </w:pPr>
      <w:r>
        <w:rPr>
          <w:rFonts w:hint="eastAsia" w:hAnsi="宋体"/>
        </w:rPr>
        <w:t>出线端子标志</w:t>
      </w:r>
    </w:p>
    <w:p>
      <w:pPr>
        <w:spacing w:line="360" w:lineRule="auto"/>
        <w:rPr>
          <w:rFonts w:hint="eastAsia" w:hAnsi="宋体"/>
        </w:rPr>
      </w:pPr>
      <w:r>
        <w:rPr>
          <w:rFonts w:hint="eastAsia" w:hAnsi="宋体"/>
        </w:rPr>
        <w:t>1）出线端子应标志下列内容：</w:t>
      </w:r>
    </w:p>
    <w:p>
      <w:pPr>
        <w:spacing w:line="360" w:lineRule="auto"/>
        <w:ind w:firstLine="315" w:firstLineChars="150"/>
        <w:rPr>
          <w:rFonts w:hint="eastAsia" w:hAnsi="宋体"/>
        </w:rPr>
      </w:pPr>
      <w:r>
        <w:rPr>
          <w:rFonts w:hint="eastAsia" w:hAnsi="宋体"/>
        </w:rPr>
        <w:t>a）一次绕组和二次绕组、剩余电压绕组(如果有)；</w:t>
      </w:r>
    </w:p>
    <w:p>
      <w:pPr>
        <w:spacing w:line="360" w:lineRule="auto"/>
        <w:ind w:firstLine="315" w:firstLineChars="150"/>
        <w:rPr>
          <w:rFonts w:hint="eastAsia" w:hAnsi="宋体"/>
        </w:rPr>
      </w:pPr>
      <w:r>
        <w:rPr>
          <w:rFonts w:hint="eastAsia" w:hAnsi="宋体"/>
        </w:rPr>
        <w:t>b）中间抽头(如果有)；</w:t>
      </w:r>
    </w:p>
    <w:p>
      <w:pPr>
        <w:spacing w:line="360" w:lineRule="auto"/>
        <w:ind w:firstLine="315" w:firstLineChars="150"/>
        <w:rPr>
          <w:rFonts w:hint="eastAsia" w:hAnsi="宋体"/>
        </w:rPr>
      </w:pPr>
      <w:r>
        <w:rPr>
          <w:rFonts w:hint="eastAsia" w:hAnsi="宋体"/>
        </w:rPr>
        <w:t>c）绕组的极性关系。</w:t>
      </w:r>
    </w:p>
    <w:p>
      <w:pPr>
        <w:spacing w:line="360" w:lineRule="auto"/>
        <w:rPr>
          <w:rFonts w:hint="eastAsia" w:hAnsi="宋体"/>
        </w:rPr>
      </w:pPr>
      <w:r>
        <w:rPr>
          <w:rFonts w:hint="eastAsia" w:hAnsi="宋体"/>
        </w:rPr>
        <w:t>2）标志方法</w:t>
      </w:r>
    </w:p>
    <w:p>
      <w:pPr>
        <w:spacing w:line="360" w:lineRule="auto"/>
        <w:ind w:firstLine="315" w:firstLineChars="150"/>
        <w:rPr>
          <w:rFonts w:hint="eastAsia" w:hAnsi="宋体"/>
        </w:rPr>
      </w:pPr>
      <w:r>
        <w:rPr>
          <w:rFonts w:hint="eastAsia" w:hAnsi="宋体"/>
        </w:rPr>
        <w:t>出线端子标志由字母和数字组成，字母应为大写印刷体，并应清晰牢固地标在出线端子表面或近旁处。</w:t>
      </w:r>
    </w:p>
    <w:p>
      <w:pPr>
        <w:spacing w:line="360" w:lineRule="auto"/>
        <w:rPr>
          <w:rFonts w:hint="eastAsia" w:hAnsi="宋体"/>
        </w:rPr>
      </w:pPr>
      <w:r>
        <w:rPr>
          <w:rFonts w:hint="eastAsia" w:hAnsi="宋体"/>
        </w:rPr>
        <w:t>3）标志内容</w:t>
      </w:r>
    </w:p>
    <w:p>
      <w:pPr>
        <w:spacing w:line="360" w:lineRule="auto"/>
        <w:ind w:firstLine="315" w:firstLineChars="150"/>
        <w:rPr>
          <w:rFonts w:hint="eastAsia" w:ascii="宋体" w:hAnsi="宋体"/>
        </w:rPr>
      </w:pPr>
      <w:r>
        <w:rPr>
          <w:rFonts w:hint="eastAsia" w:ascii="宋体" w:hAnsi="宋体"/>
        </w:rPr>
        <w:t xml:space="preserve">以单相A相为例，电磁式电压互感器用字母A、B、C、N或X表示一次绕组出线端子；用字母a、b、c、n或x表示二次绕组出线端子；用字母da和dn表示剩余绕组出线端子。其中：A、a、da为首端，X、N、x、n、dn为末端(X、x用于不接地互感器，N、n、dn用于接地互感器)。    </w:t>
      </w:r>
    </w:p>
    <w:p>
      <w:pPr>
        <w:spacing w:line="360" w:lineRule="auto"/>
        <w:ind w:firstLine="315" w:firstLineChars="150"/>
        <w:rPr>
          <w:rFonts w:hint="eastAsia" w:ascii="宋体" w:hAnsi="宋体"/>
        </w:rPr>
      </w:pPr>
      <w:r>
        <w:rPr>
          <w:rFonts w:hint="eastAsia" w:ascii="宋体" w:hAnsi="宋体"/>
        </w:rPr>
        <w:t>当互感器有多个二次绕组时，可分别在第一个、第二个</w:t>
      </w:r>
      <w:r>
        <w:rPr>
          <w:rFonts w:ascii="宋体" w:hAnsi="宋体"/>
        </w:rPr>
        <w:t>……</w:t>
      </w:r>
      <w:r>
        <w:rPr>
          <w:rFonts w:hint="eastAsia" w:ascii="宋体" w:hAnsi="宋体"/>
        </w:rPr>
        <w:t>绕组出线端子的标志字母前冠以1、2</w:t>
      </w:r>
      <w:r>
        <w:rPr>
          <w:rFonts w:ascii="宋体" w:hAnsi="宋体"/>
        </w:rPr>
        <w:t>……</w:t>
      </w:r>
      <w:r>
        <w:rPr>
          <w:rFonts w:hint="eastAsia" w:ascii="宋体" w:hAnsi="宋体"/>
        </w:rPr>
        <w:t xml:space="preserve"> ；当二次绕组具有中间抽头时，可在二次绕组的首端和中间抽头端子的标志字母后冠以1、2</w:t>
      </w:r>
      <w:r>
        <w:rPr>
          <w:rFonts w:ascii="宋体" w:hAnsi="宋体"/>
        </w:rPr>
        <w:t>……</w:t>
      </w:r>
      <w:r>
        <w:rPr>
          <w:rFonts w:hint="eastAsia" w:ascii="宋体" w:hAnsi="宋体"/>
        </w:rPr>
        <w:t xml:space="preserve"> 。</w:t>
      </w:r>
    </w:p>
    <w:p>
      <w:pPr>
        <w:spacing w:line="360" w:lineRule="auto"/>
        <w:ind w:firstLine="315" w:firstLineChars="150"/>
        <w:rPr>
          <w:rFonts w:hint="eastAsia" w:ascii="宋体" w:hAnsi="宋体"/>
        </w:rPr>
      </w:pPr>
      <w:r>
        <w:rPr>
          <w:rFonts w:hint="eastAsia" w:ascii="宋体" w:hAnsi="宋体"/>
        </w:rPr>
        <w:t>电磁式电压互感器的端子标志示意图如图5.3所示，图5.3表示互感器有两个二次绕组，一个剩余绕组。</w:t>
      </w:r>
    </w:p>
    <w:p>
      <w:pPr>
        <w:spacing w:line="360" w:lineRule="auto"/>
        <w:ind w:firstLine="315" w:firstLineChars="150"/>
        <w:rPr>
          <w:rFonts w:hint="eastAsia" w:ascii="宋体" w:hAnsi="宋体" w:eastAsia="宋体"/>
          <w:lang w:eastAsia="zh-CN"/>
        </w:rPr>
      </w:pPr>
    </w:p>
    <w:p>
      <w:pPr>
        <w:spacing w:line="360" w:lineRule="auto"/>
        <w:ind w:firstLine="315" w:firstLineChars="150"/>
        <w:rPr>
          <w:rFonts w:hint="eastAsia" w:ascii="宋体" w:hAnsi="宋体"/>
          <w:kern w:val="0"/>
          <w:szCs w:val="20"/>
        </w:rPr>
      </w:pPr>
      <w:r>
        <w:rPr>
          <w:rFonts w:hint="eastAsia" w:ascii="宋体" w:hAnsi="宋体"/>
        </w:rPr>
        <w:t xml:space="preserve">                      </w:t>
      </w:r>
      <w:r>
        <w:rPr>
          <w:rFonts w:hint="eastAsia" w:ascii="宋体" w:hAnsi="宋体" w:eastAsia="宋体"/>
          <w:lang w:eastAsia="zh-CN"/>
        </w:rPr>
        <w:drawing>
          <wp:inline distT="0" distB="0" distL="114300" distR="114300">
            <wp:extent cx="1419225" cy="3457575"/>
            <wp:effectExtent l="0" t="0" r="9525" b="9525"/>
            <wp:docPr id="5" name="图片 14" descr="clipbord_177451038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descr="clipbord_1774510383934"/>
                    <pic:cNvPicPr>
                      <a:picLocks noChangeAspect="1"/>
                    </pic:cNvPicPr>
                  </pic:nvPicPr>
                  <pic:blipFill>
                    <a:blip r:embed="rId30"/>
                    <a:stretch>
                      <a:fillRect/>
                    </a:stretch>
                  </pic:blipFill>
                  <pic:spPr>
                    <a:xfrm>
                      <a:off x="0" y="0"/>
                      <a:ext cx="1419225" cy="3457575"/>
                    </a:xfrm>
                    <a:prstGeom prst="rect">
                      <a:avLst/>
                    </a:prstGeom>
                    <a:noFill/>
                    <a:ln>
                      <a:noFill/>
                    </a:ln>
                  </pic:spPr>
                </pic:pic>
              </a:graphicData>
            </a:graphic>
          </wp:inline>
        </w:drawing>
      </w:r>
      <w:r>
        <w:rPr>
          <w:rFonts w:hint="eastAsia" w:ascii="宋体" w:hAnsi="宋体"/>
        </w:rPr>
        <w:t xml:space="preserve">   </w:t>
      </w:r>
    </w:p>
    <w:p>
      <w:pPr>
        <w:pStyle w:val="16"/>
        <w:spacing w:after="156" w:afterLines="50" w:line="360" w:lineRule="auto"/>
        <w:ind w:firstLine="0" w:firstLineChars="0"/>
        <w:jc w:val="center"/>
        <w:rPr>
          <w:rFonts w:hint="eastAsia" w:hAnsi="宋体"/>
          <w:color w:val="FF0000"/>
          <w:sz w:val="18"/>
          <w:szCs w:val="18"/>
        </w:rPr>
      </w:pPr>
      <w:r>
        <w:rPr>
          <w:rFonts w:hint="eastAsia" w:hAnsi="宋体"/>
          <w:color w:val="FF0000"/>
          <w:sz w:val="18"/>
          <w:szCs w:val="18"/>
        </w:rPr>
        <w:t>图5.3   10kV 干式电压互感器外形及端子标志示意图</w:t>
      </w:r>
    </w:p>
    <w:p>
      <w:pPr>
        <w:pStyle w:val="2"/>
        <w:adjustRightInd w:val="0"/>
        <w:rPr>
          <w:rFonts w:hint="eastAsia" w:ascii="黑体" w:hAnsi="宋体" w:eastAsia="黑体"/>
          <w:b w:val="0"/>
        </w:rPr>
      </w:pPr>
      <w:bookmarkStart w:id="49" w:name="_Toc342897949"/>
      <w:r>
        <w:rPr>
          <w:rFonts w:hint="eastAsia" w:ascii="黑体" w:hAnsi="宋体" w:eastAsia="黑体"/>
          <w:b w:val="0"/>
        </w:rPr>
        <w:t>试验</w:t>
      </w:r>
      <w:bookmarkEnd w:id="43"/>
      <w:bookmarkEnd w:id="44"/>
      <w:bookmarkEnd w:id="45"/>
      <w:bookmarkEnd w:id="46"/>
      <w:bookmarkEnd w:id="49"/>
    </w:p>
    <w:p>
      <w:pPr>
        <w:pStyle w:val="24"/>
        <w:spacing w:line="360" w:lineRule="auto"/>
        <w:ind w:firstLine="420" w:firstLineChars="200"/>
        <w:rPr>
          <w:rFonts w:hint="eastAsia" w:ascii="宋体" w:hAnsi="宋体" w:eastAsia="宋体"/>
          <w:sz w:val="21"/>
          <w:szCs w:val="20"/>
        </w:rPr>
      </w:pPr>
      <w:bookmarkStart w:id="50" w:name="_Toc283507288"/>
      <w:bookmarkStart w:id="51" w:name="_Toc287252433"/>
      <w:bookmarkStart w:id="52" w:name="_Toc283483072"/>
      <w:r>
        <w:rPr>
          <w:rFonts w:hint="eastAsia" w:ascii="宋体" w:hAnsi="宋体" w:eastAsia="宋体"/>
          <w:sz w:val="21"/>
          <w:szCs w:val="20"/>
        </w:rPr>
        <w:t>电压互感器试验应按照本规范和相关标准有关条款进行，并符合下列要求：试验应出具详细记载测试数据的正式试验报告。</w:t>
      </w:r>
      <w:r>
        <w:rPr>
          <w:rFonts w:ascii="宋体" w:hAnsi="宋体" w:eastAsia="宋体"/>
          <w:sz w:val="21"/>
          <w:szCs w:val="20"/>
        </w:rPr>
        <w:t>运行单位</w:t>
      </w:r>
      <w:r>
        <w:rPr>
          <w:rFonts w:hint="eastAsia" w:ascii="宋体" w:hAnsi="宋体" w:eastAsia="宋体"/>
          <w:sz w:val="21"/>
          <w:szCs w:val="20"/>
        </w:rPr>
        <w:t>有权</w:t>
      </w:r>
      <w:r>
        <w:rPr>
          <w:rFonts w:ascii="宋体" w:hAnsi="宋体" w:eastAsia="宋体"/>
          <w:sz w:val="21"/>
          <w:szCs w:val="20"/>
        </w:rPr>
        <w:t>根据需要派遣技术人</w:t>
      </w:r>
      <w:r>
        <w:rPr>
          <w:rFonts w:hint="eastAsia" w:ascii="宋体" w:hAnsi="宋体" w:eastAsia="宋体"/>
          <w:sz w:val="21"/>
          <w:szCs w:val="20"/>
        </w:rPr>
        <w:t>员</w:t>
      </w:r>
      <w:r>
        <w:rPr>
          <w:rFonts w:ascii="宋体" w:hAnsi="宋体" w:eastAsia="宋体"/>
          <w:sz w:val="21"/>
          <w:szCs w:val="20"/>
        </w:rPr>
        <w:t>到互感器制造厂对设备的制造进行检验和监造，见证设备的型式试验、例行试验和特殊试验。</w:t>
      </w:r>
    </w:p>
    <w:p>
      <w:pPr>
        <w:adjustRightInd w:val="0"/>
        <w:snapToGrid w:val="0"/>
        <w:spacing w:before="312" w:beforeLines="100" w:after="156" w:afterLines="50"/>
        <w:outlineLvl w:val="1"/>
        <w:rPr>
          <w:rFonts w:hint="eastAsia" w:eastAsia="黑体"/>
        </w:rPr>
      </w:pPr>
      <w:bookmarkStart w:id="53" w:name="_Toc342897950"/>
      <w:r>
        <w:rPr>
          <w:rFonts w:hint="eastAsia" w:eastAsia="黑体"/>
        </w:rPr>
        <w:t>6.1试验分类</w:t>
      </w:r>
      <w:bookmarkEnd w:id="50"/>
      <w:bookmarkEnd w:id="51"/>
      <w:bookmarkEnd w:id="53"/>
    </w:p>
    <w:p>
      <w:pPr>
        <w:spacing w:line="360" w:lineRule="auto"/>
        <w:ind w:firstLine="420" w:firstLineChars="200"/>
        <w:rPr>
          <w:rFonts w:ascii="宋体" w:cs="宋体"/>
          <w:szCs w:val="21"/>
        </w:rPr>
      </w:pPr>
      <w:bookmarkStart w:id="54" w:name="_Toc287252434"/>
      <w:r>
        <w:rPr>
          <w:rFonts w:ascii="宋体" w:cs="宋体"/>
          <w:szCs w:val="21"/>
        </w:rPr>
        <w:t>试验分为型式试验、例行试验、特殊试验及现场交接试验。</w:t>
      </w:r>
    </w:p>
    <w:p>
      <w:pPr>
        <w:spacing w:line="360" w:lineRule="auto"/>
        <w:rPr>
          <w:rFonts w:cs="宋体"/>
          <w:szCs w:val="21"/>
        </w:rPr>
      </w:pPr>
      <w:r>
        <w:rPr>
          <w:rFonts w:hint="eastAsia" w:cs="宋体"/>
          <w:szCs w:val="21"/>
        </w:rPr>
        <w:t xml:space="preserve">6.1.1 </w:t>
      </w:r>
      <w:r>
        <w:rPr>
          <w:rFonts w:cs="宋体"/>
          <w:szCs w:val="21"/>
        </w:rPr>
        <w:t>型式试验：对每种型式互感器中的一台进行试验。</w:t>
      </w:r>
    </w:p>
    <w:p>
      <w:pPr>
        <w:spacing w:line="360" w:lineRule="auto"/>
        <w:rPr>
          <w:rFonts w:cs="宋体"/>
          <w:szCs w:val="21"/>
        </w:rPr>
      </w:pPr>
      <w:r>
        <w:rPr>
          <w:rFonts w:hint="eastAsia" w:cs="宋体"/>
          <w:szCs w:val="21"/>
        </w:rPr>
        <w:t xml:space="preserve">6.1.2 </w:t>
      </w:r>
      <w:r>
        <w:rPr>
          <w:rFonts w:cs="宋体"/>
          <w:szCs w:val="21"/>
        </w:rPr>
        <w:t>例行试验：每台互感器均应进行的试验。</w:t>
      </w:r>
    </w:p>
    <w:p>
      <w:pPr>
        <w:spacing w:line="360" w:lineRule="auto"/>
        <w:rPr>
          <w:rFonts w:cs="宋体"/>
          <w:szCs w:val="21"/>
        </w:rPr>
      </w:pPr>
      <w:r>
        <w:rPr>
          <w:rFonts w:hint="eastAsia" w:cs="宋体"/>
          <w:szCs w:val="21"/>
        </w:rPr>
        <w:t xml:space="preserve">6.1.3 </w:t>
      </w:r>
      <w:r>
        <w:rPr>
          <w:rFonts w:cs="宋体"/>
          <w:szCs w:val="21"/>
        </w:rPr>
        <w:t>特殊试验：运行单位根据设备的技术特点提出。</w:t>
      </w:r>
    </w:p>
    <w:p>
      <w:pPr>
        <w:spacing w:line="360" w:lineRule="auto"/>
        <w:rPr>
          <w:rFonts w:cs="宋体"/>
          <w:szCs w:val="21"/>
        </w:rPr>
      </w:pPr>
      <w:r>
        <w:rPr>
          <w:rFonts w:hint="eastAsia" w:cs="宋体"/>
          <w:szCs w:val="21"/>
        </w:rPr>
        <w:t xml:space="preserve">6.1.4 </w:t>
      </w:r>
      <w:r>
        <w:rPr>
          <w:rFonts w:cs="宋体"/>
          <w:szCs w:val="21"/>
        </w:rPr>
        <w:t>现场交接试验：根据GB 50150-</w:t>
      </w:r>
      <w:r>
        <w:rPr>
          <w:rFonts w:hint="eastAsia" w:cs="宋体"/>
          <w:szCs w:val="21"/>
        </w:rPr>
        <w:t>2006</w:t>
      </w:r>
      <w:r>
        <w:rPr>
          <w:rFonts w:cs="宋体"/>
          <w:szCs w:val="21"/>
        </w:rPr>
        <w:t>和</w:t>
      </w:r>
      <w:r>
        <w:rPr>
          <w:rFonts w:hint="eastAsia" w:ascii="宋体" w:hAnsi="宋体"/>
          <w:szCs w:val="20"/>
        </w:rPr>
        <w:t>中国南方电网有限责任公司</w:t>
      </w:r>
      <w:r>
        <w:rPr>
          <w:rFonts w:cs="宋体"/>
          <w:szCs w:val="21"/>
        </w:rPr>
        <w:t>相关要求进行。</w:t>
      </w:r>
    </w:p>
    <w:p>
      <w:pPr>
        <w:adjustRightInd w:val="0"/>
        <w:snapToGrid w:val="0"/>
        <w:spacing w:before="312" w:beforeLines="100" w:after="156" w:afterLines="50"/>
        <w:outlineLvl w:val="1"/>
        <w:rPr>
          <w:rFonts w:hint="eastAsia" w:eastAsia="黑体"/>
        </w:rPr>
      </w:pPr>
      <w:bookmarkStart w:id="55" w:name="_Toc342897951"/>
      <w:r>
        <w:rPr>
          <w:rFonts w:hint="eastAsia" w:eastAsia="黑体"/>
        </w:rPr>
        <w:t>6.2 型式试验</w:t>
      </w:r>
      <w:bookmarkEnd w:id="52"/>
      <w:bookmarkEnd w:id="54"/>
      <w:bookmarkEnd w:id="55"/>
    </w:p>
    <w:p>
      <w:pPr>
        <w:spacing w:line="360" w:lineRule="auto"/>
        <w:ind w:firstLine="420" w:firstLineChars="200"/>
        <w:rPr>
          <w:rFonts w:hint="eastAsia" w:cs="宋体"/>
          <w:szCs w:val="21"/>
        </w:rPr>
      </w:pPr>
      <w:bookmarkStart w:id="56" w:name="_Toc287252435"/>
      <w:bookmarkStart w:id="57" w:name="_Toc283507290"/>
      <w:bookmarkStart w:id="58" w:name="_Toc283483073"/>
      <w:r>
        <w:rPr>
          <w:rFonts w:hint="eastAsia" w:cs="宋体"/>
          <w:szCs w:val="21"/>
        </w:rPr>
        <w:t>型式试验的项目内容如下，具体试验要求参见GB1207-2006中的相关规定。</w:t>
      </w:r>
    </w:p>
    <w:p>
      <w:pPr>
        <w:spacing w:line="360" w:lineRule="auto"/>
        <w:rPr>
          <w:rFonts w:hint="eastAsia" w:cs="宋体"/>
          <w:szCs w:val="21"/>
        </w:rPr>
      </w:pPr>
      <w:r>
        <w:rPr>
          <w:rFonts w:hint="eastAsia" w:cs="宋体"/>
          <w:szCs w:val="21"/>
        </w:rPr>
        <w:t>6.2.1 温升试验</w:t>
      </w:r>
    </w:p>
    <w:p>
      <w:pPr>
        <w:spacing w:line="360" w:lineRule="auto"/>
        <w:rPr>
          <w:rFonts w:hint="eastAsia" w:cs="宋体"/>
          <w:szCs w:val="21"/>
        </w:rPr>
      </w:pPr>
      <w:r>
        <w:rPr>
          <w:rFonts w:hint="eastAsia" w:cs="宋体"/>
          <w:szCs w:val="21"/>
        </w:rPr>
        <w:t>6.2.2 短路承受能力试验</w:t>
      </w:r>
    </w:p>
    <w:p>
      <w:pPr>
        <w:spacing w:line="360" w:lineRule="auto"/>
        <w:rPr>
          <w:rFonts w:hint="eastAsia" w:cs="宋体"/>
          <w:szCs w:val="21"/>
        </w:rPr>
      </w:pPr>
      <w:r>
        <w:rPr>
          <w:rFonts w:hint="eastAsia" w:cs="宋体"/>
          <w:szCs w:val="21"/>
        </w:rPr>
        <w:t>6.2.3 额定雷电冲击试验</w:t>
      </w:r>
    </w:p>
    <w:p>
      <w:pPr>
        <w:spacing w:line="360" w:lineRule="auto"/>
        <w:rPr>
          <w:rFonts w:hint="eastAsia" w:cs="宋体"/>
          <w:szCs w:val="21"/>
        </w:rPr>
      </w:pPr>
      <w:r>
        <w:rPr>
          <w:rFonts w:hint="eastAsia" w:cs="宋体"/>
          <w:szCs w:val="21"/>
        </w:rPr>
        <w:t>6.2.4 户外式互感器的湿试验</w:t>
      </w:r>
    </w:p>
    <w:p>
      <w:pPr>
        <w:spacing w:line="360" w:lineRule="auto"/>
        <w:rPr>
          <w:rFonts w:hint="eastAsia" w:cs="宋体"/>
          <w:szCs w:val="21"/>
        </w:rPr>
      </w:pPr>
      <w:r>
        <w:rPr>
          <w:rFonts w:hint="eastAsia" w:cs="宋体"/>
          <w:szCs w:val="21"/>
        </w:rPr>
        <w:t>6.2.5 无线电干扰电压试验</w:t>
      </w:r>
    </w:p>
    <w:p>
      <w:pPr>
        <w:spacing w:line="360" w:lineRule="auto"/>
        <w:rPr>
          <w:rFonts w:hint="eastAsia" w:cs="宋体"/>
          <w:szCs w:val="21"/>
        </w:rPr>
      </w:pPr>
      <w:r>
        <w:rPr>
          <w:rFonts w:hint="eastAsia" w:cs="宋体"/>
          <w:szCs w:val="21"/>
        </w:rPr>
        <w:t>6.2.6 误差测定</w:t>
      </w:r>
    </w:p>
    <w:p>
      <w:pPr>
        <w:spacing w:line="360" w:lineRule="auto"/>
        <w:rPr>
          <w:rFonts w:hint="eastAsia" w:cs="宋体"/>
          <w:szCs w:val="21"/>
        </w:rPr>
      </w:pPr>
      <w:r>
        <w:rPr>
          <w:rFonts w:hint="eastAsia" w:cs="宋体"/>
          <w:szCs w:val="21"/>
        </w:rPr>
        <w:t>6.2.7 励磁特性测量</w:t>
      </w:r>
    </w:p>
    <w:p>
      <w:pPr>
        <w:adjustRightInd w:val="0"/>
        <w:snapToGrid w:val="0"/>
        <w:spacing w:before="312" w:beforeLines="100" w:after="156" w:afterLines="50"/>
        <w:outlineLvl w:val="1"/>
        <w:rPr>
          <w:rFonts w:hint="eastAsia" w:eastAsia="黑体"/>
        </w:rPr>
      </w:pPr>
      <w:bookmarkStart w:id="59" w:name="_Toc342897952"/>
      <w:r>
        <w:rPr>
          <w:rFonts w:hint="eastAsia" w:eastAsia="黑体"/>
        </w:rPr>
        <w:t xml:space="preserve">6.3 </w:t>
      </w:r>
      <w:r>
        <w:rPr>
          <w:rFonts w:hint="eastAsia" w:ascii="宋体" w:hAnsi="宋体"/>
        </w:rPr>
        <w:t>★</w:t>
      </w:r>
      <w:r>
        <w:rPr>
          <w:rFonts w:hint="eastAsia" w:eastAsia="黑体"/>
        </w:rPr>
        <w:t>例行试验</w:t>
      </w:r>
      <w:bookmarkEnd w:id="56"/>
      <w:bookmarkEnd w:id="57"/>
      <w:bookmarkEnd w:id="59"/>
    </w:p>
    <w:p>
      <w:pPr>
        <w:spacing w:line="360" w:lineRule="auto"/>
        <w:ind w:firstLine="420" w:firstLineChars="200"/>
        <w:rPr>
          <w:rFonts w:hint="eastAsia" w:cs="宋体"/>
          <w:szCs w:val="21"/>
        </w:rPr>
      </w:pPr>
      <w:bookmarkStart w:id="60" w:name="_Toc287252436"/>
      <w:r>
        <w:rPr>
          <w:rFonts w:cs="宋体"/>
          <w:szCs w:val="21"/>
        </w:rPr>
        <w:t>互感器在经受规定的绝缘型式试验后，还应经受规定的全部例行试验项目。</w:t>
      </w:r>
      <w:r>
        <w:rPr>
          <w:rFonts w:hint="eastAsia" w:cs="宋体"/>
          <w:szCs w:val="21"/>
        </w:rPr>
        <w:t>具体试验要求参见GB1207-2006中的相关规定。</w:t>
      </w:r>
    </w:p>
    <w:p>
      <w:pPr>
        <w:spacing w:line="360" w:lineRule="auto"/>
        <w:rPr>
          <w:rFonts w:hint="eastAsia" w:cs="宋体"/>
          <w:szCs w:val="21"/>
        </w:rPr>
      </w:pPr>
      <w:r>
        <w:rPr>
          <w:rFonts w:hint="eastAsia" w:cs="宋体"/>
          <w:szCs w:val="21"/>
        </w:rPr>
        <w:t>6.3.1 端子标志检验</w:t>
      </w:r>
    </w:p>
    <w:p>
      <w:pPr>
        <w:spacing w:line="360" w:lineRule="auto"/>
        <w:rPr>
          <w:rFonts w:hint="eastAsia" w:cs="宋体"/>
          <w:szCs w:val="21"/>
        </w:rPr>
      </w:pPr>
      <w:r>
        <w:rPr>
          <w:rFonts w:hint="eastAsia" w:cs="宋体"/>
          <w:szCs w:val="21"/>
        </w:rPr>
        <w:t>6.3.2 一次绕组工频耐压试验</w:t>
      </w:r>
    </w:p>
    <w:p>
      <w:pPr>
        <w:spacing w:line="360" w:lineRule="auto"/>
        <w:rPr>
          <w:rFonts w:hint="eastAsia" w:cs="宋体"/>
          <w:szCs w:val="21"/>
        </w:rPr>
      </w:pPr>
      <w:r>
        <w:rPr>
          <w:rFonts w:hint="eastAsia" w:cs="宋体"/>
          <w:szCs w:val="21"/>
        </w:rPr>
        <w:t>6.3.3 局部放电测量</w:t>
      </w:r>
    </w:p>
    <w:p>
      <w:pPr>
        <w:spacing w:line="360" w:lineRule="auto"/>
        <w:ind w:firstLine="420" w:firstLineChars="200"/>
        <w:rPr>
          <w:rFonts w:hint="eastAsia" w:cs="宋体"/>
          <w:szCs w:val="21"/>
        </w:rPr>
      </w:pPr>
      <w:r>
        <w:rPr>
          <w:rFonts w:hint="eastAsia" w:cs="宋体"/>
          <w:szCs w:val="21"/>
        </w:rPr>
        <w:t>局部放电测量试验应在6.3.2项试验之后进行。</w:t>
      </w:r>
    </w:p>
    <w:p>
      <w:pPr>
        <w:spacing w:line="360" w:lineRule="auto"/>
        <w:rPr>
          <w:rFonts w:hint="eastAsia" w:cs="宋体"/>
          <w:szCs w:val="21"/>
        </w:rPr>
      </w:pPr>
      <w:r>
        <w:rPr>
          <w:rFonts w:hint="eastAsia" w:cs="宋体"/>
          <w:szCs w:val="21"/>
        </w:rPr>
        <w:t>6.3.4 二次绕组工频耐压试验</w:t>
      </w:r>
    </w:p>
    <w:p>
      <w:pPr>
        <w:spacing w:line="360" w:lineRule="auto"/>
        <w:rPr>
          <w:rFonts w:hint="eastAsia" w:cs="宋体"/>
          <w:szCs w:val="21"/>
        </w:rPr>
      </w:pPr>
      <w:r>
        <w:rPr>
          <w:rFonts w:hint="eastAsia" w:cs="宋体"/>
          <w:szCs w:val="21"/>
        </w:rPr>
        <w:t>6.3.5 绕组段间工频耐压试验</w:t>
      </w:r>
    </w:p>
    <w:p>
      <w:pPr>
        <w:spacing w:line="360" w:lineRule="auto"/>
        <w:rPr>
          <w:rFonts w:hint="eastAsia" w:cs="宋体"/>
          <w:szCs w:val="21"/>
        </w:rPr>
      </w:pPr>
      <w:r>
        <w:rPr>
          <w:rFonts w:hint="eastAsia" w:cs="宋体"/>
          <w:szCs w:val="21"/>
        </w:rPr>
        <w:t>6.3.6介质损耗因数测量</w:t>
      </w:r>
    </w:p>
    <w:p>
      <w:pPr>
        <w:spacing w:line="360" w:lineRule="auto"/>
        <w:rPr>
          <w:rFonts w:hint="eastAsia" w:cs="宋体"/>
          <w:szCs w:val="21"/>
        </w:rPr>
      </w:pPr>
      <w:r>
        <w:rPr>
          <w:rFonts w:hint="eastAsia" w:cs="宋体"/>
          <w:szCs w:val="21"/>
        </w:rPr>
        <w:t>6.3.7 励磁特性测量</w:t>
      </w:r>
    </w:p>
    <w:p>
      <w:pPr>
        <w:spacing w:line="360" w:lineRule="auto"/>
        <w:rPr>
          <w:rFonts w:hint="eastAsia" w:cs="宋体"/>
          <w:szCs w:val="21"/>
        </w:rPr>
      </w:pPr>
      <w:r>
        <w:rPr>
          <w:rFonts w:hint="eastAsia" w:cs="宋体"/>
          <w:szCs w:val="21"/>
        </w:rPr>
        <w:t>6.3.8 准确度检验（误差测定）</w:t>
      </w:r>
    </w:p>
    <w:p>
      <w:pPr>
        <w:spacing w:line="360" w:lineRule="auto"/>
        <w:ind w:firstLine="420" w:firstLineChars="200"/>
        <w:rPr>
          <w:rFonts w:hint="eastAsia" w:cs="宋体"/>
          <w:szCs w:val="21"/>
        </w:rPr>
      </w:pPr>
      <w:r>
        <w:rPr>
          <w:rFonts w:hint="eastAsia" w:cs="宋体"/>
          <w:szCs w:val="21"/>
        </w:rPr>
        <w:t>误差检定试验应在其他试验后进行。</w:t>
      </w:r>
    </w:p>
    <w:p>
      <w:pPr>
        <w:adjustRightInd w:val="0"/>
        <w:snapToGrid w:val="0"/>
        <w:spacing w:before="312" w:beforeLines="100" w:after="156" w:afterLines="50"/>
        <w:outlineLvl w:val="1"/>
        <w:rPr>
          <w:rFonts w:hint="eastAsia" w:eastAsia="黑体"/>
        </w:rPr>
      </w:pPr>
      <w:bookmarkStart w:id="61" w:name="_Toc342897953"/>
      <w:r>
        <w:rPr>
          <w:rFonts w:hint="eastAsia" w:eastAsia="黑体"/>
        </w:rPr>
        <w:t>6.4特殊试验</w:t>
      </w:r>
      <w:bookmarkEnd w:id="58"/>
      <w:bookmarkEnd w:id="60"/>
      <w:bookmarkEnd w:id="61"/>
    </w:p>
    <w:p>
      <w:pPr>
        <w:spacing w:line="360" w:lineRule="auto"/>
        <w:ind w:firstLine="525" w:firstLineChars="250"/>
        <w:rPr>
          <w:rFonts w:hint="eastAsia" w:ascii="宋体" w:cs="宋体"/>
          <w:szCs w:val="21"/>
        </w:rPr>
      </w:pPr>
      <w:bookmarkStart w:id="62" w:name="_Toc283483074"/>
      <w:bookmarkStart w:id="63" w:name="_Toc283483075"/>
      <w:bookmarkStart w:id="64" w:name="_Toc287252437"/>
      <w:r>
        <w:rPr>
          <w:rFonts w:hint="eastAsia" w:ascii="宋体" w:cs="宋体"/>
          <w:szCs w:val="21"/>
        </w:rPr>
        <w:t>运行单位可根据设备的技术特点增减试验项目，具体试验要求参见GB1207-2006中的相关规定。</w:t>
      </w:r>
    </w:p>
    <w:p>
      <w:pPr>
        <w:spacing w:line="360" w:lineRule="auto"/>
        <w:rPr>
          <w:rFonts w:cs="宋体"/>
          <w:szCs w:val="21"/>
        </w:rPr>
      </w:pPr>
      <w:r>
        <w:rPr>
          <w:rFonts w:hint="eastAsia" w:cs="宋体"/>
          <w:szCs w:val="21"/>
        </w:rPr>
        <w:t>6.4.1 耐震试验</w:t>
      </w:r>
      <w:r>
        <w:rPr>
          <w:rFonts w:cs="宋体"/>
          <w:szCs w:val="21"/>
        </w:rPr>
        <w:t xml:space="preserve"> </w:t>
      </w:r>
    </w:p>
    <w:p>
      <w:pPr>
        <w:spacing w:line="360" w:lineRule="auto"/>
        <w:rPr>
          <w:rFonts w:cs="宋体"/>
          <w:szCs w:val="21"/>
        </w:rPr>
      </w:pPr>
      <w:r>
        <w:rPr>
          <w:rFonts w:hint="eastAsia" w:cs="宋体"/>
          <w:szCs w:val="21"/>
        </w:rPr>
        <w:t>6.4.2 机械强度试验</w:t>
      </w:r>
      <w:r>
        <w:rPr>
          <w:rFonts w:cs="宋体"/>
          <w:szCs w:val="21"/>
        </w:rPr>
        <w:t xml:space="preserve"> </w:t>
      </w:r>
    </w:p>
    <w:bookmarkEnd w:id="62"/>
    <w:p>
      <w:pPr>
        <w:adjustRightInd w:val="0"/>
        <w:snapToGrid w:val="0"/>
        <w:spacing w:before="312" w:beforeLines="100" w:after="156" w:afterLines="50"/>
        <w:outlineLvl w:val="1"/>
        <w:rPr>
          <w:rFonts w:hint="eastAsia" w:eastAsia="黑体"/>
        </w:rPr>
      </w:pPr>
      <w:bookmarkStart w:id="65" w:name="_Toc342897954"/>
      <w:r>
        <w:rPr>
          <w:rFonts w:hint="eastAsia" w:eastAsia="黑体"/>
        </w:rPr>
        <w:t>6.5现场交接试验</w:t>
      </w:r>
      <w:bookmarkEnd w:id="63"/>
      <w:bookmarkEnd w:id="64"/>
      <w:bookmarkEnd w:id="65"/>
      <w:r>
        <w:rPr>
          <w:rFonts w:eastAsia="黑体"/>
        </w:rPr>
        <w:t xml:space="preserve"> </w:t>
      </w:r>
    </w:p>
    <w:p>
      <w:pPr>
        <w:spacing w:line="360" w:lineRule="auto"/>
        <w:ind w:firstLine="420" w:firstLineChars="200"/>
        <w:rPr>
          <w:rFonts w:hint="eastAsia" w:cs="宋体"/>
          <w:szCs w:val="21"/>
        </w:rPr>
      </w:pPr>
      <w:r>
        <w:rPr>
          <w:rFonts w:hint="eastAsia" w:cs="宋体"/>
          <w:szCs w:val="21"/>
        </w:rPr>
        <w:t>具体要求</w:t>
      </w:r>
      <w:r>
        <w:rPr>
          <w:rFonts w:cs="宋体"/>
          <w:szCs w:val="21"/>
        </w:rPr>
        <w:t>按GB50150-2006《电气装置安装工程电气交接试验标准》执行</w:t>
      </w:r>
      <w:r>
        <w:rPr>
          <w:rFonts w:hint="eastAsia" w:cs="宋体"/>
          <w:szCs w:val="21"/>
        </w:rPr>
        <w:t>。</w:t>
      </w:r>
    </w:p>
    <w:p>
      <w:pPr>
        <w:spacing w:line="360" w:lineRule="auto"/>
        <w:rPr>
          <w:rFonts w:hint="eastAsia" w:cs="宋体"/>
          <w:szCs w:val="21"/>
        </w:rPr>
      </w:pPr>
      <w:r>
        <w:rPr>
          <w:rFonts w:hint="eastAsia" w:cs="宋体"/>
          <w:szCs w:val="21"/>
        </w:rPr>
        <w:t>6.5.1 出线端子标志检验</w:t>
      </w:r>
    </w:p>
    <w:p>
      <w:pPr>
        <w:spacing w:line="360" w:lineRule="auto"/>
        <w:rPr>
          <w:rFonts w:hint="eastAsia" w:cs="宋体"/>
          <w:szCs w:val="21"/>
        </w:rPr>
      </w:pPr>
      <w:r>
        <w:rPr>
          <w:rFonts w:hint="eastAsia" w:cs="宋体"/>
          <w:szCs w:val="21"/>
        </w:rPr>
        <w:t>6.5.2 绝缘电阻测量</w:t>
      </w:r>
    </w:p>
    <w:p>
      <w:pPr>
        <w:spacing w:line="360" w:lineRule="auto"/>
        <w:rPr>
          <w:rFonts w:hint="eastAsia" w:cs="宋体"/>
          <w:szCs w:val="21"/>
        </w:rPr>
      </w:pPr>
      <w:r>
        <w:rPr>
          <w:rFonts w:hint="eastAsia" w:cs="宋体"/>
          <w:szCs w:val="21"/>
        </w:rPr>
        <w:t>6.5.3介质损耗因数测量试验</w:t>
      </w:r>
    </w:p>
    <w:p>
      <w:pPr>
        <w:spacing w:line="360" w:lineRule="auto"/>
        <w:rPr>
          <w:rFonts w:hint="eastAsia" w:cs="宋体"/>
          <w:szCs w:val="21"/>
        </w:rPr>
      </w:pPr>
      <w:r>
        <w:rPr>
          <w:rFonts w:hint="eastAsia" w:cs="宋体"/>
          <w:szCs w:val="21"/>
        </w:rPr>
        <w:t>6.5.4 绕组直流电阻测量</w:t>
      </w:r>
    </w:p>
    <w:p>
      <w:pPr>
        <w:spacing w:line="360" w:lineRule="auto"/>
        <w:rPr>
          <w:rFonts w:hint="eastAsia" w:cs="宋体"/>
          <w:szCs w:val="21"/>
        </w:rPr>
      </w:pPr>
      <w:r>
        <w:rPr>
          <w:rFonts w:hint="eastAsia" w:cs="宋体"/>
          <w:szCs w:val="21"/>
        </w:rPr>
        <w:t>6.5.5 交流耐压试验</w:t>
      </w:r>
    </w:p>
    <w:p>
      <w:pPr>
        <w:spacing w:line="360" w:lineRule="auto"/>
        <w:rPr>
          <w:rFonts w:hint="eastAsia" w:cs="宋体"/>
          <w:szCs w:val="21"/>
        </w:rPr>
      </w:pPr>
      <w:r>
        <w:rPr>
          <w:rFonts w:hint="eastAsia" w:cs="宋体"/>
          <w:szCs w:val="21"/>
        </w:rPr>
        <w:t>6.5.6 局部放电试验</w:t>
      </w:r>
    </w:p>
    <w:p>
      <w:pPr>
        <w:spacing w:line="360" w:lineRule="auto"/>
        <w:ind w:firstLine="420" w:firstLineChars="200"/>
        <w:rPr>
          <w:rFonts w:hint="eastAsia" w:cs="宋体"/>
          <w:szCs w:val="21"/>
        </w:rPr>
      </w:pPr>
      <w:r>
        <w:rPr>
          <w:rFonts w:hint="eastAsia" w:cs="宋体"/>
          <w:szCs w:val="21"/>
        </w:rPr>
        <w:t>结合产品抽检进行。</w:t>
      </w:r>
    </w:p>
    <w:p>
      <w:pPr>
        <w:spacing w:line="360" w:lineRule="auto"/>
        <w:rPr>
          <w:rFonts w:hint="eastAsia" w:cs="宋体"/>
          <w:szCs w:val="21"/>
        </w:rPr>
      </w:pPr>
      <w:r>
        <w:rPr>
          <w:rFonts w:hint="eastAsia" w:cs="宋体"/>
          <w:szCs w:val="21"/>
        </w:rPr>
        <w:t>6.5.7 励磁特性曲线试验</w:t>
      </w:r>
    </w:p>
    <w:p>
      <w:pPr>
        <w:spacing w:line="360" w:lineRule="auto"/>
        <w:rPr>
          <w:rFonts w:hint="eastAsia" w:cs="宋体"/>
          <w:szCs w:val="21"/>
        </w:rPr>
      </w:pPr>
      <w:r>
        <w:rPr>
          <w:rFonts w:hint="eastAsia" w:cs="宋体"/>
          <w:szCs w:val="21"/>
        </w:rPr>
        <w:t>6.5.8 精度测量试验</w:t>
      </w:r>
    </w:p>
    <w:p>
      <w:pPr>
        <w:spacing w:line="360" w:lineRule="auto"/>
        <w:rPr>
          <w:rFonts w:cs="宋体"/>
          <w:szCs w:val="21"/>
        </w:rPr>
      </w:pPr>
      <w:r>
        <w:rPr>
          <w:rFonts w:hint="eastAsia" w:cs="宋体"/>
          <w:szCs w:val="21"/>
        </w:rPr>
        <w:t>6.5. 9 准确度测定</w:t>
      </w:r>
    </w:p>
    <w:p>
      <w:pPr>
        <w:spacing w:line="360" w:lineRule="auto"/>
        <w:rPr>
          <w:color w:val="FF0000"/>
        </w:rPr>
      </w:pPr>
      <w:r>
        <w:rPr>
          <w:rFonts w:hint="eastAsia" w:cs="宋体"/>
          <w:color w:val="FF0000"/>
          <w:szCs w:val="21"/>
        </w:rPr>
        <w:t>6</w:t>
      </w:r>
      <w:r>
        <w:rPr>
          <w:rFonts w:cs="宋体"/>
          <w:color w:val="FF0000"/>
          <w:szCs w:val="21"/>
        </w:rPr>
        <w:t xml:space="preserve">.5.10 </w:t>
      </w:r>
      <w:r>
        <w:rPr>
          <w:color w:val="FF0000"/>
        </w:rPr>
        <w:t>铁心磁饱和裕度试验</w:t>
      </w:r>
    </w:p>
    <w:p>
      <w:pPr>
        <w:spacing w:line="360" w:lineRule="auto"/>
        <w:ind w:firstLine="420" w:firstLineChars="200"/>
        <w:rPr>
          <w:rFonts w:ascii="宋体" w:hAnsi="宋体"/>
          <w:color w:val="FF0000"/>
          <w:szCs w:val="21"/>
        </w:rPr>
      </w:pPr>
      <w:r>
        <w:rPr>
          <w:rFonts w:ascii="宋体" w:hAnsi="宋体"/>
          <w:color w:val="FF0000"/>
          <w:szCs w:val="21"/>
        </w:rPr>
        <w:t>电压互感器的一次空载，在二次绕组施加二次额定工频电压，测量此时的励磁电流的有效值Ic1。然后将二次施加的电压升至2倍（对20kV的为1.5倍）的二次额定电压，再测量其励磁电流的有效值Ic2。两个电流之比应不大于15（则Ic2/ Ic1≤15）。电流测试应使用1.5级及以上的电流表在低电位端测量，测试接线如下图示。</w:t>
      </w:r>
    </w:p>
    <w:p>
      <w:pPr>
        <w:tabs>
          <w:tab w:val="right" w:pos="9638"/>
        </w:tabs>
        <w:spacing w:line="360" w:lineRule="auto"/>
        <w:jc w:val="center"/>
        <w:rPr>
          <w:rFonts w:ascii="Arial" w:hAnsi="Arial" w:cs="Arial"/>
        </w:rPr>
      </w:pPr>
      <w:r>
        <w:rPr>
          <w:rFonts w:ascii="Arial" w:hAnsi="Arial" w:cs="Arial"/>
        </w:rPr>
        <w:object>
          <v:shape id="_x0000_i1035" o:spt="75" type="#_x0000_t75" style="height:122pt;width:276pt;" o:ole="t" filled="f" stroked="f" coordsize="21600,21600">
            <v:path/>
            <v:fill on="f" focussize="0,0"/>
            <v:stroke on="f"/>
            <v:imagedata r:id="rId32" o:title=""/>
            <o:lock v:ext="edit" aspectratio="t"/>
            <w10:wrap type="none"/>
            <w10:anchorlock/>
          </v:shape>
          <o:OLEObject Type="Embed" ProgID="Visio.Drawing.11" ShapeID="_x0000_i1035" DrawAspect="Content" ObjectID="_1468075735" r:id="rId31">
            <o:LockedField>false</o:LockedField>
          </o:OLEObject>
        </w:object>
      </w:r>
    </w:p>
    <w:p>
      <w:pPr>
        <w:pStyle w:val="5"/>
        <w:ind w:firstLine="0" w:firstLineChars="0"/>
        <w:jc w:val="center"/>
        <w:rPr>
          <w:rFonts w:ascii="宋体" w:hAnsi="宋体"/>
          <w:color w:val="FF0000"/>
          <w:szCs w:val="21"/>
        </w:rPr>
      </w:pPr>
      <w:r>
        <w:rPr>
          <w:rFonts w:ascii="Arial" w:hAnsi="Arial" w:cs="Arial"/>
          <w:color w:val="FF0000"/>
          <w:sz w:val="18"/>
          <w:szCs w:val="18"/>
        </w:rPr>
        <w:t xml:space="preserve"> </w:t>
      </w:r>
      <w:r>
        <w:rPr>
          <w:rFonts w:ascii="宋体" w:hAnsi="宋体"/>
          <w:color w:val="FF0000"/>
          <w:szCs w:val="21"/>
        </w:rPr>
        <w:t>电压互感器铁心磁饱和裕度测试接线图</w:t>
      </w:r>
    </w:p>
    <w:p>
      <w:pPr>
        <w:spacing w:line="360" w:lineRule="auto"/>
        <w:ind w:firstLine="420" w:firstLineChars="200"/>
        <w:rPr>
          <w:rFonts w:hint="eastAsia" w:cs="宋体"/>
          <w:color w:val="FF0000"/>
          <w:szCs w:val="21"/>
        </w:rPr>
      </w:pPr>
      <w:r>
        <w:rPr>
          <w:rFonts w:ascii="宋体" w:hAnsi="宋体"/>
          <w:color w:val="FF0000"/>
          <w:szCs w:val="21"/>
        </w:rPr>
        <w:t>（图中：“V”为交流电压表；“A”为交流电流表。）</w:t>
      </w:r>
    </w:p>
    <w:p>
      <w:pPr>
        <w:pStyle w:val="2"/>
        <w:numPr>
          <w:ilvl w:val="0"/>
          <w:numId w:val="0"/>
        </w:numPr>
        <w:adjustRightInd w:val="0"/>
        <w:spacing w:before="156" w:beforeLines="50"/>
        <w:rPr>
          <w:rFonts w:hint="eastAsia" w:ascii="黑体" w:eastAsia="黑体"/>
          <w:b w:val="0"/>
        </w:rPr>
      </w:pPr>
      <w:bookmarkStart w:id="66" w:name="_Toc342897955"/>
      <w:r>
        <w:rPr>
          <w:rFonts w:hint="eastAsia" w:ascii="黑体" w:eastAsia="黑体"/>
          <w:b w:val="0"/>
        </w:rPr>
        <w:t>7 产品对环境的影响</w:t>
      </w:r>
      <w:bookmarkEnd w:id="47"/>
      <w:bookmarkEnd w:id="48"/>
      <w:bookmarkEnd w:id="66"/>
    </w:p>
    <w:p>
      <w:pPr>
        <w:adjustRightInd w:val="0"/>
        <w:snapToGrid w:val="0"/>
        <w:spacing w:line="360" w:lineRule="auto"/>
        <w:ind w:firstLine="420" w:firstLineChars="200"/>
        <w:rPr>
          <w:rFonts w:hint="eastAsia"/>
          <w:szCs w:val="21"/>
        </w:rPr>
      </w:pPr>
      <w:bookmarkStart w:id="67" w:name="_Toc276492433"/>
      <w:bookmarkStart w:id="68" w:name="_Toc276490915"/>
      <w:r>
        <w:rPr>
          <w:rFonts w:hint="eastAsia"/>
          <w:szCs w:val="21"/>
        </w:rPr>
        <w:t>1</w:t>
      </w:r>
      <w:r>
        <w:rPr>
          <w:rFonts w:hint="eastAsia" w:hAnsi="宋体"/>
          <w:szCs w:val="21"/>
        </w:rPr>
        <w:t>）坚持以资源节约型和环境友好型原则，同时应考虑降低投资成本和提高运行经济性。</w:t>
      </w:r>
    </w:p>
    <w:p>
      <w:pPr>
        <w:adjustRightInd w:val="0"/>
        <w:snapToGrid w:val="0"/>
        <w:spacing w:line="360" w:lineRule="auto"/>
        <w:ind w:firstLine="420" w:firstLineChars="200"/>
        <w:rPr>
          <w:rFonts w:hint="eastAsia"/>
          <w:szCs w:val="21"/>
        </w:rPr>
      </w:pPr>
      <w:r>
        <w:rPr>
          <w:rFonts w:hint="eastAsia"/>
          <w:szCs w:val="21"/>
        </w:rPr>
        <w:t>2</w:t>
      </w:r>
      <w:r>
        <w:rPr>
          <w:rFonts w:hint="eastAsia" w:hAnsi="宋体"/>
          <w:szCs w:val="21"/>
        </w:rPr>
        <w:t>）应对噪声、工频电场和磁场、高频电磁波、通信干扰等方面采取必要的防治措施，并满足国家相关标准的要求。</w:t>
      </w:r>
    </w:p>
    <w:p>
      <w:pPr>
        <w:adjustRightInd w:val="0"/>
        <w:snapToGrid w:val="0"/>
        <w:spacing w:line="360" w:lineRule="auto"/>
        <w:ind w:firstLine="420" w:firstLineChars="200"/>
        <w:rPr>
          <w:rFonts w:hint="eastAsia"/>
          <w:szCs w:val="21"/>
        </w:rPr>
      </w:pPr>
      <w:r>
        <w:rPr>
          <w:rFonts w:hint="eastAsia"/>
          <w:szCs w:val="21"/>
        </w:rPr>
        <w:t>3</w:t>
      </w:r>
      <w:r>
        <w:rPr>
          <w:rFonts w:hint="eastAsia" w:hAnsi="宋体"/>
          <w:szCs w:val="21"/>
        </w:rPr>
        <w:t>）推广采用高可靠性、小型化和节能型设备。</w:t>
      </w:r>
    </w:p>
    <w:p>
      <w:pPr>
        <w:adjustRightInd w:val="0"/>
        <w:snapToGrid w:val="0"/>
        <w:spacing w:line="360" w:lineRule="auto"/>
        <w:ind w:firstLine="420" w:firstLineChars="200"/>
        <w:rPr>
          <w:rFonts w:hint="eastAsia"/>
          <w:szCs w:val="21"/>
        </w:rPr>
      </w:pPr>
      <w:r>
        <w:rPr>
          <w:rFonts w:hint="eastAsia"/>
          <w:szCs w:val="21"/>
        </w:rPr>
        <w:t>4</w:t>
      </w:r>
      <w:r>
        <w:rPr>
          <w:rFonts w:hint="eastAsia" w:hAnsi="宋体"/>
          <w:szCs w:val="21"/>
        </w:rPr>
        <w:t>）优先选用损耗低的产品。</w:t>
      </w:r>
    </w:p>
    <w:p>
      <w:pPr>
        <w:pStyle w:val="2"/>
        <w:numPr>
          <w:ilvl w:val="0"/>
          <w:numId w:val="0"/>
        </w:numPr>
        <w:adjustRightInd w:val="0"/>
        <w:spacing w:before="0" w:beforeLines="0"/>
        <w:rPr>
          <w:rFonts w:hint="eastAsia" w:ascii="黑体" w:eastAsia="黑体"/>
          <w:b w:val="0"/>
        </w:rPr>
      </w:pPr>
      <w:bookmarkStart w:id="69" w:name="_Toc342897956"/>
      <w:r>
        <w:rPr>
          <w:rFonts w:hint="eastAsia" w:ascii="黑体" w:eastAsia="黑体"/>
          <w:b w:val="0"/>
        </w:rPr>
        <w:t xml:space="preserve">8 </w:t>
      </w:r>
      <w:bookmarkEnd w:id="67"/>
      <w:bookmarkEnd w:id="68"/>
      <w:r>
        <w:rPr>
          <w:rFonts w:hint="eastAsia" w:ascii="黑体" w:eastAsia="黑体"/>
          <w:b w:val="0"/>
        </w:rPr>
        <w:t>企业VI标识</w:t>
      </w:r>
      <w:bookmarkEnd w:id="69"/>
    </w:p>
    <w:p>
      <w:pPr>
        <w:adjustRightInd w:val="0"/>
        <w:snapToGrid w:val="0"/>
        <w:spacing w:line="360" w:lineRule="auto"/>
        <w:ind w:firstLine="420" w:firstLineChars="200"/>
        <w:rPr>
          <w:rFonts w:hint="eastAsia"/>
          <w:szCs w:val="21"/>
        </w:rPr>
      </w:pPr>
      <w:bookmarkStart w:id="70" w:name="_Toc277686859"/>
      <w:bookmarkStart w:id="71" w:name="_Toc277255901"/>
      <w:bookmarkStart w:id="72" w:name="_Toc276492434"/>
      <w:bookmarkStart w:id="73" w:name="_Toc276490916"/>
      <w:bookmarkStart w:id="74" w:name="_Toc279695206"/>
      <w:r>
        <w:rPr>
          <w:rFonts w:hint="eastAsia"/>
          <w:szCs w:val="21"/>
        </w:rPr>
        <w:t>a）设备外立面上应有统一的</w:t>
      </w:r>
      <w:r>
        <w:rPr>
          <w:rFonts w:hint="eastAsia" w:ascii="宋体" w:hAnsi="宋体"/>
          <w:szCs w:val="20"/>
        </w:rPr>
        <w:t>中国南方电网有限责任公司</w:t>
      </w:r>
      <w:r>
        <w:rPr>
          <w:rFonts w:hint="eastAsia"/>
          <w:szCs w:val="21"/>
        </w:rPr>
        <w:t>企业VI标识，并符合《中国南方电网视觉识别系统管理手册》的要求。</w:t>
      </w:r>
      <w:bookmarkEnd w:id="70"/>
      <w:bookmarkEnd w:id="71"/>
    </w:p>
    <w:p>
      <w:pPr>
        <w:adjustRightInd w:val="0"/>
        <w:snapToGrid w:val="0"/>
        <w:spacing w:line="360" w:lineRule="auto"/>
        <w:ind w:firstLine="420" w:firstLineChars="200"/>
        <w:rPr>
          <w:rFonts w:hint="eastAsia"/>
          <w:szCs w:val="21"/>
        </w:rPr>
      </w:pPr>
      <w:bookmarkStart w:id="75" w:name="_Toc277686860"/>
      <w:bookmarkStart w:id="76" w:name="_Toc277255903"/>
      <w:bookmarkStart w:id="77" w:name="_Toc277686861"/>
      <w:r>
        <w:rPr>
          <w:rFonts w:hint="eastAsia"/>
          <w:szCs w:val="21"/>
        </w:rPr>
        <w:t>b）标识的内容构成：</w:t>
      </w:r>
      <w:r>
        <w:rPr>
          <w:rFonts w:hint="eastAsia" w:ascii="宋体" w:hAnsi="宋体"/>
          <w:szCs w:val="20"/>
        </w:rPr>
        <w:t>中国南方电网有限责任公司</w:t>
      </w:r>
      <w:r>
        <w:rPr>
          <w:rFonts w:hint="eastAsia"/>
          <w:szCs w:val="21"/>
        </w:rPr>
        <w:t>标志、“中国南方电网”中英文名称。</w:t>
      </w:r>
      <w:bookmarkEnd w:id="75"/>
    </w:p>
    <w:p>
      <w:pPr>
        <w:adjustRightInd w:val="0"/>
        <w:snapToGrid w:val="0"/>
        <w:spacing w:line="360" w:lineRule="auto"/>
        <w:ind w:firstLine="420" w:firstLineChars="200"/>
        <w:rPr>
          <w:szCs w:val="21"/>
        </w:rPr>
      </w:pPr>
      <w:r>
        <w:rPr>
          <w:rFonts w:hint="eastAsia"/>
          <w:szCs w:val="21"/>
        </w:rPr>
        <w:t>c）颜色：标识采用企业标准色 C100 M69 Y0 K38，背景采用白色。</w:t>
      </w:r>
      <w:bookmarkEnd w:id="76"/>
      <w:bookmarkEnd w:id="77"/>
    </w:p>
    <w:p>
      <w:pPr>
        <w:adjustRightInd w:val="0"/>
        <w:snapToGrid w:val="0"/>
        <w:spacing w:line="360" w:lineRule="auto"/>
        <w:ind w:firstLine="420" w:firstLineChars="200"/>
        <w:rPr>
          <w:szCs w:val="21"/>
        </w:rPr>
      </w:pPr>
      <w:bookmarkStart w:id="78" w:name="_Toc277255904"/>
      <w:bookmarkStart w:id="79" w:name="_Toc277686862"/>
      <w:r>
        <w:rPr>
          <w:rFonts w:hint="eastAsia"/>
          <w:szCs w:val="21"/>
        </w:rPr>
        <w:t>d）材质选用厚度为3mm的拉丝不锈钢板，工艺为表面文字蚀刻、烤漆入色。</w:t>
      </w:r>
      <w:bookmarkEnd w:id="78"/>
      <w:bookmarkEnd w:id="79"/>
    </w:p>
    <w:p>
      <w:pPr>
        <w:adjustRightInd w:val="0"/>
        <w:snapToGrid w:val="0"/>
        <w:spacing w:line="360" w:lineRule="auto"/>
        <w:ind w:firstLine="420" w:firstLineChars="200"/>
        <w:rPr>
          <w:rFonts w:hint="eastAsia"/>
          <w:szCs w:val="21"/>
        </w:rPr>
      </w:pPr>
      <w:bookmarkStart w:id="80" w:name="_Toc277686863"/>
      <w:r>
        <w:rPr>
          <w:rFonts w:hint="eastAsia"/>
          <w:szCs w:val="21"/>
        </w:rPr>
        <w:t>e）企业标识安装在设备外立面正面醒目位置。</w:t>
      </w:r>
      <w:bookmarkEnd w:id="72"/>
      <w:bookmarkEnd w:id="73"/>
      <w:bookmarkEnd w:id="80"/>
    </w:p>
    <w:p>
      <w:pPr>
        <w:pStyle w:val="2"/>
        <w:numPr>
          <w:ilvl w:val="0"/>
          <w:numId w:val="0"/>
        </w:numPr>
        <w:adjustRightInd w:val="0"/>
        <w:spacing w:before="0" w:beforeLines="0"/>
        <w:rPr>
          <w:rFonts w:hint="eastAsia" w:ascii="黑体" w:hAnsi="宋体" w:eastAsia="黑体"/>
          <w:b w:val="0"/>
        </w:rPr>
      </w:pPr>
      <w:bookmarkStart w:id="81" w:name="_Toc342897957"/>
      <w:r>
        <w:rPr>
          <w:rFonts w:hint="eastAsia" w:ascii="黑体" w:eastAsia="黑体"/>
          <w:b w:val="0"/>
        </w:rPr>
        <w:t>9 技术文件</w:t>
      </w:r>
      <w:bookmarkEnd w:id="74"/>
      <w:r>
        <w:rPr>
          <w:rFonts w:hint="eastAsia" w:ascii="黑体" w:eastAsia="黑体"/>
          <w:b w:val="0"/>
        </w:rPr>
        <w:t>要求</w:t>
      </w:r>
      <w:bookmarkEnd w:id="81"/>
    </w:p>
    <w:p>
      <w:pPr>
        <w:adjustRightInd w:val="0"/>
        <w:snapToGrid w:val="0"/>
        <w:spacing w:line="360" w:lineRule="auto"/>
        <w:ind w:firstLine="420" w:firstLineChars="200"/>
        <w:rPr>
          <w:rFonts w:hint="eastAsia"/>
          <w:szCs w:val="21"/>
        </w:rPr>
      </w:pPr>
      <w:r>
        <w:rPr>
          <w:rFonts w:hint="eastAsia"/>
        </w:rPr>
        <w:t>投标方应承诺在签订合同</w:t>
      </w:r>
      <w:r>
        <w:rPr>
          <w:rFonts w:hint="eastAsia"/>
          <w:u w:val="single"/>
        </w:rPr>
        <w:t xml:space="preserve">   7天   </w:t>
      </w:r>
      <w:r>
        <w:rPr>
          <w:rFonts w:hint="eastAsia"/>
        </w:rPr>
        <w:t>内（项目单位填写</w:t>
      </w:r>
      <w:r>
        <w:t>）</w:t>
      </w:r>
      <w:r>
        <w:rPr>
          <w:rFonts w:hint="eastAsia"/>
        </w:rPr>
        <w:t>提供以下所列（但不限于下列资料、图纸、文件，投标方应承诺提供招标方提出的所有所需资料、图纸、文件供工程设计、安装、运维使用）的图纸、资料、文件纸质版6套，电子版光盘2套（含AutoCAD图）。</w:t>
      </w:r>
    </w:p>
    <w:p>
      <w:pPr>
        <w:pStyle w:val="16"/>
        <w:spacing w:line="360" w:lineRule="auto"/>
        <w:ind w:firstLine="0" w:firstLineChars="0"/>
        <w:rPr>
          <w:rFonts w:hint="eastAsia" w:ascii="Times New Roman"/>
          <w:szCs w:val="21"/>
        </w:rPr>
      </w:pPr>
      <w:bookmarkStart w:id="82" w:name="_Toc279769048"/>
      <w:bookmarkStart w:id="83" w:name="_Toc282428315"/>
      <w:bookmarkStart w:id="84" w:name="_Toc282433723"/>
      <w:bookmarkStart w:id="85" w:name="_Toc283011675"/>
      <w:bookmarkStart w:id="86" w:name="_Toc283142581"/>
      <w:r>
        <w:rPr>
          <w:rFonts w:hint="eastAsia" w:ascii="Times New Roman"/>
          <w:szCs w:val="21"/>
        </w:rPr>
        <w:t xml:space="preserve">9.1 </w:t>
      </w:r>
      <w:r>
        <w:rPr>
          <w:rFonts w:ascii="Times New Roman"/>
          <w:szCs w:val="21"/>
        </w:rPr>
        <w:t>随投标文件一起提供的一般性资料，包括型式试验报告</w:t>
      </w:r>
      <w:r>
        <w:rPr>
          <w:rFonts w:hint="eastAsia" w:ascii="Times New Roman" w:cs="宋体"/>
          <w:szCs w:val="21"/>
        </w:rPr>
        <w:t>（有效期内）、例行试验报告（每台）、特殊试验报告</w:t>
      </w:r>
      <w:r>
        <w:rPr>
          <w:rFonts w:ascii="Times New Roman"/>
          <w:szCs w:val="21"/>
        </w:rPr>
        <w:t>、鉴定证书、安装使用说明书、总装图</w:t>
      </w:r>
      <w:r>
        <w:rPr>
          <w:rFonts w:hint="eastAsia" w:ascii="Times New Roman"/>
          <w:szCs w:val="21"/>
        </w:rPr>
        <w:t>、</w:t>
      </w:r>
      <w:r>
        <w:rPr>
          <w:rFonts w:ascii="Times New Roman"/>
          <w:szCs w:val="21"/>
        </w:rPr>
        <w:t>主要技术参数</w:t>
      </w:r>
      <w:r>
        <w:rPr>
          <w:rFonts w:hint="eastAsia" w:ascii="Times New Roman"/>
          <w:szCs w:val="21"/>
        </w:rPr>
        <w:t>、符合技术要求的互感器运行业绩和相关技术整改措施（如果有）等。</w:t>
      </w:r>
    </w:p>
    <w:bookmarkEnd w:id="82"/>
    <w:p>
      <w:pPr>
        <w:pStyle w:val="16"/>
        <w:spacing w:line="360" w:lineRule="auto"/>
        <w:ind w:firstLine="0" w:firstLineChars="0"/>
        <w:rPr>
          <w:rFonts w:ascii="Times New Roman"/>
          <w:szCs w:val="21"/>
        </w:rPr>
      </w:pPr>
      <w:bookmarkStart w:id="87" w:name="_Toc279769049"/>
      <w:r>
        <w:rPr>
          <w:rFonts w:hint="eastAsia" w:ascii="Times New Roman"/>
          <w:szCs w:val="21"/>
        </w:rPr>
        <w:t>9.2</w:t>
      </w:r>
      <w:bookmarkEnd w:id="87"/>
      <w:r>
        <w:rPr>
          <w:rFonts w:hint="eastAsia" w:ascii="Times New Roman"/>
          <w:szCs w:val="21"/>
        </w:rPr>
        <w:t xml:space="preserve"> </w:t>
      </w:r>
      <w:r>
        <w:rPr>
          <w:rFonts w:ascii="Times New Roman"/>
          <w:szCs w:val="21"/>
        </w:rPr>
        <w:t>在技术协议签订10天内，投标方向招标方提供下列图纸资料及其AutoCAD格式的电子文档光盘2份。</w:t>
      </w:r>
    </w:p>
    <w:p>
      <w:pPr>
        <w:pStyle w:val="16"/>
        <w:spacing w:line="360" w:lineRule="auto"/>
        <w:ind w:firstLine="0" w:firstLineChars="0"/>
        <w:rPr>
          <w:rFonts w:ascii="Times New Roman"/>
          <w:szCs w:val="21"/>
        </w:rPr>
      </w:pPr>
      <w:r>
        <w:rPr>
          <w:rFonts w:hint="eastAsia" w:ascii="Times New Roman"/>
          <w:szCs w:val="21"/>
        </w:rPr>
        <w:t>9.3 供货时，开箱资料除了9.2条所规定的图纸资料外，</w:t>
      </w:r>
      <w:r>
        <w:rPr>
          <w:rFonts w:ascii="Times New Roman"/>
          <w:szCs w:val="21"/>
        </w:rPr>
        <w:t>还应提供下列资料，均为一式8份：</w:t>
      </w:r>
    </w:p>
    <w:p>
      <w:pPr>
        <w:adjustRightInd w:val="0"/>
        <w:snapToGrid w:val="0"/>
        <w:spacing w:line="360" w:lineRule="auto"/>
        <w:rPr>
          <w:rFonts w:hint="eastAsia"/>
          <w:kern w:val="0"/>
          <w:szCs w:val="21"/>
        </w:rPr>
      </w:pPr>
      <w:r>
        <w:rPr>
          <w:rFonts w:hint="eastAsia"/>
          <w:kern w:val="0"/>
          <w:szCs w:val="21"/>
        </w:rPr>
        <w:t>9.3.1 认可图</w:t>
      </w:r>
    </w:p>
    <w:p>
      <w:pPr>
        <w:adjustRightInd w:val="0"/>
        <w:snapToGrid w:val="0"/>
        <w:spacing w:line="360" w:lineRule="auto"/>
        <w:rPr>
          <w:rFonts w:hint="eastAsia"/>
          <w:kern w:val="0"/>
          <w:szCs w:val="21"/>
        </w:rPr>
      </w:pPr>
      <w:r>
        <w:rPr>
          <w:rFonts w:hint="eastAsia"/>
          <w:kern w:val="0"/>
          <w:szCs w:val="21"/>
        </w:rPr>
        <w:t>9.3.2 最终图</w:t>
      </w:r>
    </w:p>
    <w:p>
      <w:pPr>
        <w:adjustRightInd w:val="0"/>
        <w:snapToGrid w:val="0"/>
        <w:spacing w:line="360" w:lineRule="auto"/>
        <w:rPr>
          <w:rFonts w:hint="eastAsia"/>
          <w:kern w:val="0"/>
          <w:szCs w:val="21"/>
        </w:rPr>
      </w:pPr>
      <w:r>
        <w:rPr>
          <w:rFonts w:hint="eastAsia"/>
          <w:kern w:val="0"/>
          <w:szCs w:val="21"/>
        </w:rPr>
        <w:t>9.3.3 安装、运行、维护说明书及试验报告</w:t>
      </w:r>
    </w:p>
    <w:p>
      <w:pPr>
        <w:adjustRightInd w:val="0"/>
        <w:snapToGrid w:val="0"/>
        <w:spacing w:line="360" w:lineRule="auto"/>
        <w:rPr>
          <w:rFonts w:hint="eastAsia"/>
          <w:kern w:val="0"/>
          <w:szCs w:val="21"/>
        </w:rPr>
      </w:pPr>
      <w:r>
        <w:rPr>
          <w:rFonts w:hint="eastAsia"/>
          <w:kern w:val="0"/>
          <w:szCs w:val="21"/>
        </w:rPr>
        <w:t>9.3.4 需提供的互感器图纸</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1）总装图。</w:t>
      </w:r>
      <w:r>
        <w:rPr>
          <w:rFonts w:ascii="Times New Roman" w:eastAsia="宋体"/>
          <w:sz w:val="21"/>
          <w:szCs w:val="21"/>
        </w:rPr>
        <w:t xml:space="preserve"> </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2）基础安装尺寸图。</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3）电气原理图。</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4）吊装图。</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5）铭牌图。</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6）运输运装示意图，包括运输尺寸等。</w:t>
      </w:r>
      <w:r>
        <w:rPr>
          <w:rFonts w:ascii="Times New Roman" w:eastAsia="宋体"/>
          <w:sz w:val="21"/>
          <w:szCs w:val="21"/>
        </w:rPr>
        <w:t xml:space="preserve"> </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7）一次绕组和主绝缘的绝缘构造图。</w:t>
      </w:r>
      <w:r>
        <w:rPr>
          <w:rFonts w:ascii="Times New Roman" w:eastAsia="宋体"/>
          <w:sz w:val="21"/>
          <w:szCs w:val="21"/>
        </w:rPr>
        <w:t xml:space="preserve">    </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8）二次绕组接线和布置图</w:t>
      </w:r>
      <w:r>
        <w:rPr>
          <w:rFonts w:ascii="Times New Roman" w:eastAsia="宋体"/>
          <w:sz w:val="21"/>
          <w:szCs w:val="21"/>
        </w:rPr>
        <w:t xml:space="preserve"> </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9）二次端子箱端子接线图。</w:t>
      </w:r>
      <w:r>
        <w:rPr>
          <w:rFonts w:ascii="Times New Roman" w:eastAsia="宋体"/>
          <w:sz w:val="21"/>
          <w:szCs w:val="21"/>
        </w:rPr>
        <w:t xml:space="preserve"> </w:t>
      </w:r>
    </w:p>
    <w:p>
      <w:pPr>
        <w:pStyle w:val="25"/>
        <w:spacing w:line="360" w:lineRule="auto"/>
        <w:ind w:firstLine="420" w:firstLineChars="200"/>
        <w:rPr>
          <w:rFonts w:hint="eastAsia" w:ascii="Times New Roman" w:eastAsia="宋体"/>
          <w:sz w:val="21"/>
          <w:szCs w:val="21"/>
        </w:rPr>
      </w:pPr>
      <w:r>
        <w:rPr>
          <w:rFonts w:hint="eastAsia" w:ascii="Times New Roman" w:eastAsia="宋体"/>
          <w:sz w:val="21"/>
          <w:szCs w:val="21"/>
        </w:rPr>
        <w:t>10）产品说明书（安装使用说明、技术条件、备件、装箱单）。</w:t>
      </w:r>
    </w:p>
    <w:p>
      <w:pPr>
        <w:pStyle w:val="25"/>
        <w:spacing w:line="360" w:lineRule="auto"/>
        <w:ind w:right="108"/>
        <w:rPr>
          <w:rFonts w:hint="eastAsia" w:ascii="Times New Roman" w:cs="宋体"/>
          <w:sz w:val="21"/>
          <w:szCs w:val="21"/>
        </w:rPr>
      </w:pPr>
      <w:r>
        <w:rPr>
          <w:rFonts w:hint="eastAsia" w:ascii="Times New Roman" w:cs="宋体"/>
          <w:sz w:val="21"/>
          <w:szCs w:val="21"/>
        </w:rPr>
        <w:t>9.4</w:t>
      </w:r>
      <w:bookmarkEnd w:id="83"/>
      <w:bookmarkEnd w:id="84"/>
      <w:bookmarkEnd w:id="85"/>
      <w:bookmarkEnd w:id="86"/>
      <w:bookmarkStart w:id="88" w:name="_Toc283142582"/>
      <w:bookmarkStart w:id="89" w:name="_Toc282428316"/>
      <w:bookmarkStart w:id="90" w:name="_Toc283011676"/>
      <w:bookmarkStart w:id="91" w:name="_Toc277686885"/>
      <w:bookmarkStart w:id="92" w:name="_Toc282433724"/>
      <w:r>
        <w:rPr>
          <w:rFonts w:hint="eastAsia" w:ascii="Times New Roman" w:cs="宋体"/>
          <w:sz w:val="21"/>
          <w:szCs w:val="21"/>
        </w:rPr>
        <w:t xml:space="preserve"> 设计联络</w:t>
      </w:r>
      <w:bookmarkEnd w:id="88"/>
      <w:bookmarkEnd w:id="89"/>
      <w:bookmarkEnd w:id="90"/>
      <w:bookmarkEnd w:id="91"/>
      <w:bookmarkEnd w:id="92"/>
    </w:p>
    <w:p>
      <w:pPr>
        <w:spacing w:line="360" w:lineRule="auto"/>
        <w:ind w:firstLine="420" w:firstLineChars="200"/>
        <w:rPr>
          <w:rFonts w:hint="eastAsia"/>
          <w:szCs w:val="21"/>
        </w:rPr>
      </w:pPr>
      <w:r>
        <w:rPr>
          <w:rFonts w:hint="eastAsia"/>
          <w:szCs w:val="21"/>
        </w:rPr>
        <w:t>1）投标方应在技术协议签订后的</w:t>
      </w:r>
      <w:r>
        <w:rPr>
          <w:rFonts w:hint="eastAsia"/>
          <w:szCs w:val="21"/>
          <w:u w:val="single"/>
        </w:rPr>
        <w:t xml:space="preserve">  7   </w:t>
      </w:r>
      <w:r>
        <w:rPr>
          <w:rFonts w:hint="eastAsia"/>
          <w:szCs w:val="21"/>
        </w:rPr>
        <w:t>天内（项目单位填写）向招标方提供正式版的用于设计、设备监造和检验、现场安装和调试以及运行维护方面的图纸、说明书和有关技术资料，同时向招标方设计代表提供拷贝磁盘</w:t>
      </w:r>
      <w:r>
        <w:rPr>
          <w:szCs w:val="21"/>
        </w:rPr>
        <w:t>2</w:t>
      </w:r>
      <w:r>
        <w:rPr>
          <w:rFonts w:hint="eastAsia"/>
          <w:szCs w:val="21"/>
        </w:rPr>
        <w:t>份（图纸为A</w:t>
      </w:r>
      <w:r>
        <w:rPr>
          <w:szCs w:val="21"/>
        </w:rPr>
        <w:t>utoCAD R</w:t>
      </w:r>
      <w:r>
        <w:rPr>
          <w:rFonts w:hint="eastAsia"/>
          <w:szCs w:val="21"/>
        </w:rPr>
        <w:t>2000版、文字资料为Word97版）。</w:t>
      </w:r>
    </w:p>
    <w:p>
      <w:pPr>
        <w:spacing w:line="360" w:lineRule="auto"/>
        <w:ind w:firstLine="420" w:firstLineChars="200"/>
        <w:rPr>
          <w:szCs w:val="21"/>
        </w:rPr>
      </w:pPr>
      <w:r>
        <w:rPr>
          <w:rFonts w:hint="eastAsia"/>
          <w:szCs w:val="21"/>
        </w:rPr>
        <w:t>2）投标方应按设计需要随时开展设计联络工作，提供设计所需的相关资料，以保证招标方工期要求。</w:t>
      </w:r>
    </w:p>
    <w:p>
      <w:pPr>
        <w:spacing w:line="360" w:lineRule="auto"/>
        <w:ind w:firstLine="420" w:firstLineChars="200"/>
        <w:rPr>
          <w:rFonts w:hint="eastAsia"/>
          <w:szCs w:val="21"/>
        </w:rPr>
      </w:pPr>
      <w:r>
        <w:rPr>
          <w:rFonts w:hint="eastAsia"/>
          <w:szCs w:val="21"/>
        </w:rPr>
        <w:t>3）投标方提供的图纸必须经招标方代表确认。</w:t>
      </w:r>
    </w:p>
    <w:p>
      <w:pPr>
        <w:pStyle w:val="2"/>
        <w:numPr>
          <w:ilvl w:val="0"/>
          <w:numId w:val="0"/>
        </w:numPr>
        <w:adjustRightInd w:val="0"/>
        <w:spacing w:before="156" w:beforeLines="50"/>
        <w:rPr>
          <w:rFonts w:hint="eastAsia" w:ascii="黑体" w:eastAsia="黑体"/>
          <w:b w:val="0"/>
        </w:rPr>
      </w:pPr>
      <w:bookmarkStart w:id="93" w:name="_Toc276490917"/>
      <w:bookmarkStart w:id="94" w:name="_Toc279695207"/>
      <w:bookmarkStart w:id="95" w:name="_Toc276492435"/>
      <w:bookmarkStart w:id="96" w:name="_Toc342897958"/>
      <w:r>
        <w:rPr>
          <w:rFonts w:hint="eastAsia" w:ascii="黑体" w:eastAsia="黑体"/>
          <w:b w:val="0"/>
        </w:rPr>
        <w:t>10 监造、包装、运输、安装</w:t>
      </w:r>
      <w:bookmarkEnd w:id="93"/>
      <w:bookmarkEnd w:id="94"/>
      <w:bookmarkEnd w:id="95"/>
      <w:r>
        <w:rPr>
          <w:rFonts w:hint="eastAsia" w:ascii="黑体" w:eastAsia="黑体"/>
          <w:b w:val="0"/>
        </w:rPr>
        <w:t>及质量保证</w:t>
      </w:r>
      <w:bookmarkEnd w:id="96"/>
    </w:p>
    <w:p>
      <w:pPr>
        <w:pStyle w:val="3"/>
        <w:numPr>
          <w:ilvl w:val="1"/>
          <w:numId w:val="4"/>
        </w:numPr>
        <w:rPr>
          <w:rFonts w:hint="eastAsia" w:ascii="黑体" w:eastAsia="黑体"/>
        </w:rPr>
      </w:pPr>
      <w:bookmarkStart w:id="97" w:name="_Toc342897959"/>
      <w:bookmarkStart w:id="98" w:name="_Toc279695208"/>
      <w:bookmarkStart w:id="99" w:name="_Toc276490898"/>
      <w:bookmarkStart w:id="100" w:name="_Toc276492370"/>
      <w:bookmarkStart w:id="101" w:name="_Toc471528253"/>
      <w:bookmarkStart w:id="102" w:name="_Toc53672785"/>
      <w:bookmarkStart w:id="103" w:name="_Toc200531202"/>
      <w:bookmarkStart w:id="104" w:name="_Toc472997247"/>
      <w:r>
        <w:rPr>
          <w:rFonts w:hint="eastAsia" w:ascii="黑体" w:eastAsia="黑体"/>
        </w:rPr>
        <w:t>监造</w:t>
      </w:r>
      <w:bookmarkEnd w:id="97"/>
      <w:bookmarkEnd w:id="98"/>
      <w:bookmarkEnd w:id="99"/>
      <w:bookmarkEnd w:id="100"/>
    </w:p>
    <w:p>
      <w:pPr>
        <w:pStyle w:val="23"/>
        <w:spacing w:line="360" w:lineRule="auto"/>
        <w:ind w:firstLine="420" w:firstLineChars="200"/>
        <w:outlineLvl w:val="9"/>
        <w:rPr>
          <w:rFonts w:hint="eastAsia" w:ascii="Times New Roman" w:eastAsia="宋体"/>
        </w:rPr>
      </w:pPr>
      <w:bookmarkStart w:id="105" w:name="_Toc276301528"/>
      <w:bookmarkStart w:id="106" w:name="_Toc276490918"/>
      <w:bookmarkStart w:id="107" w:name="_Toc279695209"/>
      <w:bookmarkStart w:id="108" w:name="_Toc276492436"/>
      <w:r>
        <w:rPr>
          <w:rFonts w:hint="eastAsia" w:ascii="Times New Roman" w:eastAsia="宋体"/>
        </w:rPr>
        <w:t>1</w:t>
      </w:r>
      <w:r>
        <w:rPr>
          <w:rFonts w:hint="eastAsia" w:ascii="Times New Roman" w:hAnsi="宋体" w:eastAsia="宋体"/>
        </w:rPr>
        <w:t>）</w:t>
      </w:r>
      <w:r>
        <w:rPr>
          <w:rFonts w:ascii="Times New Roman" w:hAnsi="宋体" w:eastAsia="宋体"/>
        </w:rPr>
        <w:t>投标方必须在签订合同后</w:t>
      </w:r>
      <w:r>
        <w:rPr>
          <w:rFonts w:ascii="Times New Roman" w:eastAsia="宋体"/>
        </w:rPr>
        <w:t>10</w:t>
      </w:r>
      <w:r>
        <w:rPr>
          <w:rFonts w:ascii="Times New Roman" w:hAnsi="宋体" w:eastAsia="宋体"/>
        </w:rPr>
        <w:t>天之内以书面形式提供</w:t>
      </w:r>
      <w:r>
        <w:rPr>
          <w:rFonts w:hint="eastAsia" w:ascii="Times New Roman" w:hAnsi="宋体" w:eastAsia="宋体"/>
        </w:rPr>
        <w:t>所供设备的</w:t>
      </w:r>
      <w:r>
        <w:rPr>
          <w:rFonts w:ascii="Times New Roman" w:hAnsi="宋体" w:eastAsia="宋体"/>
        </w:rPr>
        <w:t>制造进度表。按照</w:t>
      </w:r>
      <w:r>
        <w:rPr>
          <w:rFonts w:ascii="Times New Roman" w:eastAsia="宋体"/>
        </w:rPr>
        <w:t>DL/T586-</w:t>
      </w:r>
      <w:r>
        <w:rPr>
          <w:rFonts w:hint="eastAsia" w:ascii="Times New Roman" w:eastAsia="宋体"/>
        </w:rPr>
        <w:t>2008</w:t>
      </w:r>
      <w:r>
        <w:rPr>
          <w:rFonts w:ascii="Times New Roman" w:hAnsi="宋体" w:eastAsia="宋体"/>
        </w:rPr>
        <w:t>《电力设备监造技术导则》的要求，招标方可随时进厂监造。监造和检验人员有权了解生产过程、查询质量记录和参加各种试验。</w:t>
      </w:r>
    </w:p>
    <w:p>
      <w:pPr>
        <w:pStyle w:val="23"/>
        <w:spacing w:line="360" w:lineRule="auto"/>
        <w:ind w:firstLine="420" w:firstLineChars="200"/>
        <w:outlineLvl w:val="9"/>
        <w:rPr>
          <w:rFonts w:hint="eastAsia" w:ascii="Times New Roman" w:eastAsia="宋体"/>
        </w:rPr>
      </w:pPr>
      <w:r>
        <w:rPr>
          <w:rFonts w:hint="eastAsia" w:ascii="Times New Roman" w:eastAsia="宋体"/>
        </w:rPr>
        <w:t>2）监造范围包括设备的设计、加工、制造、储运、材料采购、组装和试验等重要过程，关键部件的质量控制，进行见证、检验和审核。</w:t>
      </w:r>
    </w:p>
    <w:p>
      <w:pPr>
        <w:pStyle w:val="23"/>
        <w:spacing w:line="360" w:lineRule="auto"/>
        <w:ind w:firstLine="420" w:firstLineChars="200"/>
        <w:outlineLvl w:val="9"/>
        <w:rPr>
          <w:rFonts w:hint="eastAsia" w:ascii="Times New Roman" w:eastAsia="宋体"/>
        </w:rPr>
      </w:pPr>
      <w:r>
        <w:rPr>
          <w:rFonts w:hint="eastAsia" w:ascii="Times New Roman" w:eastAsia="宋体"/>
        </w:rPr>
        <w:t>3）运行单位的工厂监造和检验工作，不减少投标方对产品的质量责任，监造和检验人员不签署任何质量证明。</w:t>
      </w:r>
    </w:p>
    <w:p>
      <w:pPr>
        <w:pStyle w:val="23"/>
        <w:spacing w:line="360" w:lineRule="auto"/>
        <w:ind w:firstLine="420" w:firstLineChars="200"/>
        <w:outlineLvl w:val="9"/>
        <w:rPr>
          <w:rFonts w:hint="eastAsia" w:ascii="Times New Roman" w:eastAsia="宋体"/>
        </w:rPr>
      </w:pPr>
      <w:r>
        <w:rPr>
          <w:rFonts w:hint="eastAsia" w:ascii="Times New Roman" w:eastAsia="宋体"/>
        </w:rPr>
        <w:t>4）投标方应在出厂前提前至少5个工作日书面通知招标方进行出厂试验监督。</w:t>
      </w:r>
    </w:p>
    <w:p>
      <w:pPr>
        <w:pStyle w:val="3"/>
        <w:numPr>
          <w:ilvl w:val="1"/>
          <w:numId w:val="4"/>
        </w:numPr>
        <w:rPr>
          <w:rFonts w:hint="eastAsia" w:ascii="黑体" w:eastAsia="黑体"/>
        </w:rPr>
      </w:pPr>
      <w:bookmarkStart w:id="109" w:name="_Toc342897960"/>
      <w:r>
        <w:rPr>
          <w:rFonts w:hint="eastAsia" w:ascii="黑体" w:eastAsia="黑体"/>
        </w:rPr>
        <w:t>包装</w:t>
      </w:r>
      <w:bookmarkEnd w:id="101"/>
      <w:bookmarkEnd w:id="102"/>
      <w:bookmarkEnd w:id="103"/>
      <w:bookmarkEnd w:id="104"/>
      <w:bookmarkEnd w:id="105"/>
      <w:bookmarkEnd w:id="106"/>
      <w:bookmarkEnd w:id="107"/>
      <w:bookmarkEnd w:id="108"/>
      <w:bookmarkEnd w:id="109"/>
    </w:p>
    <w:p>
      <w:pPr>
        <w:adjustRightInd w:val="0"/>
        <w:snapToGrid w:val="0"/>
        <w:spacing w:line="360" w:lineRule="auto"/>
      </w:pPr>
      <w:bookmarkStart w:id="110" w:name="_Toc276301529"/>
      <w:bookmarkStart w:id="111" w:name="_Toc279695210"/>
      <w:bookmarkStart w:id="112" w:name="_Toc276492437"/>
      <w:bookmarkStart w:id="113" w:name="_Toc276490919"/>
      <w:r>
        <w:rPr>
          <w:rFonts w:hint="eastAsia"/>
        </w:rPr>
        <w:t>10.2.1 投标方应根据双方商定好的标准和招标方的实际运输条件</w:t>
      </w:r>
      <w:r>
        <w:t>，</w:t>
      </w:r>
      <w:r>
        <w:rPr>
          <w:rFonts w:hint="eastAsia"/>
        </w:rPr>
        <w:t>将互感器和所有零部件包装好</w:t>
      </w:r>
      <w:r>
        <w:t>，</w:t>
      </w:r>
      <w:r>
        <w:rPr>
          <w:rFonts w:hint="eastAsia"/>
        </w:rPr>
        <w:t>并将全套安装使用说明书</w:t>
      </w:r>
      <w:r>
        <w:t>，</w:t>
      </w:r>
      <w:r>
        <w:rPr>
          <w:rFonts w:hint="eastAsia"/>
        </w:rPr>
        <w:t>产品合格证明书、出厂试验记录、产品外形尺寸图、运输尺寸图、产品拆卸件一览表、装箱单、铭牌图或铭牌标志图及备件一览表等包装好</w:t>
      </w:r>
      <w:r>
        <w:t>，</w:t>
      </w:r>
      <w:r>
        <w:rPr>
          <w:rFonts w:hint="eastAsia"/>
        </w:rPr>
        <w:t>防止受潮。从投标方发货至招标方收到期间</w:t>
      </w:r>
      <w:r>
        <w:t>，</w:t>
      </w:r>
      <w:r>
        <w:rPr>
          <w:rFonts w:hint="eastAsia"/>
        </w:rPr>
        <w:t>设备和资料应完好无损。</w:t>
      </w:r>
    </w:p>
    <w:p>
      <w:pPr>
        <w:adjustRightInd w:val="0"/>
        <w:snapToGrid w:val="0"/>
        <w:spacing w:line="360" w:lineRule="auto"/>
        <w:ind w:firstLine="420" w:firstLineChars="200"/>
      </w:pPr>
      <w:r>
        <w:rPr>
          <w:rFonts w:hint="eastAsia"/>
        </w:rPr>
        <w:t>包装箱应连续编号</w:t>
      </w:r>
      <w:r>
        <w:t>，</w:t>
      </w:r>
      <w:r>
        <w:rPr>
          <w:rFonts w:hint="eastAsia"/>
        </w:rPr>
        <w:t>不能有重号。</w:t>
      </w:r>
    </w:p>
    <w:p>
      <w:pPr>
        <w:adjustRightInd w:val="0"/>
        <w:snapToGrid w:val="0"/>
        <w:spacing w:line="360" w:lineRule="auto"/>
      </w:pPr>
      <w:r>
        <w:rPr>
          <w:rFonts w:hint="eastAsia"/>
        </w:rPr>
        <w:t>10.2.2 设备、零部件、材料启运前投标方应按下述内容在箱面上写不褪色的醒目标志</w:t>
      </w:r>
      <w:r>
        <w:t>：</w:t>
      </w:r>
    </w:p>
    <w:p>
      <w:pPr>
        <w:adjustRightInd w:val="0"/>
        <w:snapToGrid w:val="0"/>
        <w:spacing w:line="360" w:lineRule="auto"/>
        <w:ind w:firstLine="420" w:firstLineChars="200"/>
      </w:pPr>
      <w:r>
        <w:rPr>
          <w:rFonts w:hint="eastAsia"/>
        </w:rPr>
        <w:t>1)合同号</w:t>
      </w:r>
      <w:r>
        <w:t>；</w:t>
      </w:r>
    </w:p>
    <w:p>
      <w:pPr>
        <w:adjustRightInd w:val="0"/>
        <w:snapToGrid w:val="0"/>
        <w:spacing w:line="360" w:lineRule="auto"/>
        <w:ind w:firstLine="420" w:firstLineChars="200"/>
      </w:pPr>
      <w:r>
        <w:rPr>
          <w:rFonts w:hint="eastAsia"/>
        </w:rPr>
        <w:t>2)装船</w:t>
      </w:r>
      <w:r>
        <w:t>(</w:t>
      </w:r>
      <w:r>
        <w:rPr>
          <w:rFonts w:hint="eastAsia"/>
        </w:rPr>
        <w:t>海运</w:t>
      </w:r>
      <w:r>
        <w:t>)</w:t>
      </w:r>
      <w:r>
        <w:rPr>
          <w:rFonts w:hint="eastAsia"/>
        </w:rPr>
        <w:t>标志</w:t>
      </w:r>
      <w:r>
        <w:t>；</w:t>
      </w:r>
    </w:p>
    <w:p>
      <w:pPr>
        <w:adjustRightInd w:val="0"/>
        <w:snapToGrid w:val="0"/>
        <w:spacing w:line="360" w:lineRule="auto"/>
        <w:ind w:firstLine="420" w:firstLineChars="200"/>
      </w:pPr>
      <w:r>
        <w:rPr>
          <w:rFonts w:hint="eastAsia"/>
        </w:rPr>
        <w:t>3)目的港</w:t>
      </w:r>
      <w:r>
        <w:t>(</w:t>
      </w:r>
      <w:r>
        <w:rPr>
          <w:rFonts w:hint="eastAsia"/>
        </w:rPr>
        <w:t>海运</w:t>
      </w:r>
      <w:r>
        <w:t>)</w:t>
      </w:r>
      <w:r>
        <w:rPr>
          <w:rFonts w:hint="eastAsia"/>
        </w:rPr>
        <w:t>或站名称</w:t>
      </w:r>
      <w:r>
        <w:t>；</w:t>
      </w:r>
    </w:p>
    <w:p>
      <w:pPr>
        <w:adjustRightInd w:val="0"/>
        <w:snapToGrid w:val="0"/>
        <w:spacing w:line="360" w:lineRule="auto"/>
        <w:ind w:firstLine="420" w:firstLineChars="200"/>
      </w:pPr>
      <w:r>
        <w:rPr>
          <w:rFonts w:hint="eastAsia"/>
        </w:rPr>
        <w:t>4)收货人及代码</w:t>
      </w:r>
      <w:r>
        <w:t>；</w:t>
      </w:r>
    </w:p>
    <w:p>
      <w:pPr>
        <w:adjustRightInd w:val="0"/>
        <w:snapToGrid w:val="0"/>
        <w:spacing w:line="360" w:lineRule="auto"/>
        <w:ind w:firstLine="420" w:firstLineChars="200"/>
      </w:pPr>
      <w:r>
        <w:rPr>
          <w:rFonts w:hint="eastAsia"/>
        </w:rPr>
        <w:t>5)设备名称和项目号</w:t>
      </w:r>
      <w:r>
        <w:t>；</w:t>
      </w:r>
    </w:p>
    <w:p>
      <w:pPr>
        <w:adjustRightInd w:val="0"/>
        <w:snapToGrid w:val="0"/>
        <w:spacing w:line="360" w:lineRule="auto"/>
        <w:ind w:firstLine="420" w:firstLineChars="200"/>
      </w:pPr>
      <w:r>
        <w:rPr>
          <w:rFonts w:hint="eastAsia"/>
        </w:rPr>
        <w:t>6)箱号</w:t>
      </w:r>
      <w:r>
        <w:t>；</w:t>
      </w:r>
    </w:p>
    <w:p>
      <w:pPr>
        <w:adjustRightInd w:val="0"/>
        <w:snapToGrid w:val="0"/>
        <w:spacing w:line="360" w:lineRule="auto"/>
        <w:ind w:firstLine="420" w:firstLineChars="200"/>
      </w:pPr>
      <w:r>
        <w:rPr>
          <w:rFonts w:hint="eastAsia"/>
        </w:rPr>
        <w:t>7)毛重与净重</w:t>
      </w:r>
      <w:r>
        <w:t>；</w:t>
      </w:r>
    </w:p>
    <w:p>
      <w:pPr>
        <w:adjustRightInd w:val="0"/>
        <w:snapToGrid w:val="0"/>
        <w:spacing w:line="360" w:lineRule="auto"/>
        <w:ind w:firstLine="420" w:firstLineChars="200"/>
      </w:pPr>
      <w:r>
        <w:rPr>
          <w:rFonts w:hint="eastAsia"/>
        </w:rPr>
        <w:t>8)外形尺寸</w:t>
      </w:r>
      <w:r>
        <w:t>；</w:t>
      </w:r>
    </w:p>
    <w:p>
      <w:pPr>
        <w:adjustRightInd w:val="0"/>
        <w:snapToGrid w:val="0"/>
        <w:spacing w:line="360" w:lineRule="auto"/>
        <w:ind w:firstLine="420" w:firstLineChars="200"/>
      </w:pPr>
      <w:r>
        <w:rPr>
          <w:rFonts w:hint="eastAsia"/>
        </w:rPr>
        <w:t>9)在设备的包装箱外面应标上“重心”、“起吊点”、“小心搬运”、“正面向上”、“防止受潮”、“勿倒”、“勿倾斜”、“防火”等字样。</w:t>
      </w:r>
    </w:p>
    <w:p>
      <w:pPr>
        <w:adjustRightInd w:val="0"/>
        <w:snapToGrid w:val="0"/>
        <w:spacing w:line="360" w:lineRule="auto"/>
      </w:pPr>
      <w:r>
        <w:rPr>
          <w:rFonts w:hint="eastAsia"/>
        </w:rPr>
        <w:t>10.2.3投标方提供的技术文件的包装内外表面上应有如下中文标志</w:t>
      </w:r>
      <w:r>
        <w:t>：</w:t>
      </w:r>
    </w:p>
    <w:p>
      <w:pPr>
        <w:adjustRightInd w:val="0"/>
        <w:snapToGrid w:val="0"/>
        <w:spacing w:line="360" w:lineRule="auto"/>
        <w:ind w:firstLine="420" w:firstLineChars="200"/>
      </w:pPr>
      <w:r>
        <w:rPr>
          <w:rFonts w:hint="eastAsia"/>
        </w:rPr>
        <w:t>1)合同号</w:t>
      </w:r>
      <w:r>
        <w:t>；</w:t>
      </w:r>
    </w:p>
    <w:p>
      <w:pPr>
        <w:adjustRightInd w:val="0"/>
        <w:snapToGrid w:val="0"/>
        <w:spacing w:line="360" w:lineRule="auto"/>
        <w:ind w:firstLine="420" w:firstLineChars="200"/>
      </w:pPr>
      <w:r>
        <w:rPr>
          <w:rFonts w:hint="eastAsia"/>
        </w:rPr>
        <w:t>2)收货人</w:t>
      </w:r>
      <w:r>
        <w:t>；</w:t>
      </w:r>
    </w:p>
    <w:p>
      <w:pPr>
        <w:adjustRightInd w:val="0"/>
        <w:snapToGrid w:val="0"/>
        <w:spacing w:line="360" w:lineRule="auto"/>
        <w:ind w:firstLine="420" w:firstLineChars="200"/>
      </w:pPr>
      <w:r>
        <w:rPr>
          <w:rFonts w:hint="eastAsia"/>
        </w:rPr>
        <w:t>3)目的地</w:t>
      </w:r>
      <w:r>
        <w:t>；</w:t>
      </w:r>
    </w:p>
    <w:p>
      <w:pPr>
        <w:adjustRightInd w:val="0"/>
        <w:snapToGrid w:val="0"/>
        <w:spacing w:line="360" w:lineRule="auto"/>
        <w:ind w:firstLine="420" w:firstLineChars="200"/>
      </w:pPr>
      <w:r>
        <w:rPr>
          <w:rFonts w:hint="eastAsia"/>
        </w:rPr>
        <w:t>4)毛重</w:t>
      </w:r>
      <w:r>
        <w:t>；</w:t>
      </w:r>
    </w:p>
    <w:p>
      <w:pPr>
        <w:adjustRightInd w:val="0"/>
        <w:snapToGrid w:val="0"/>
        <w:spacing w:line="360" w:lineRule="auto"/>
        <w:ind w:firstLine="420" w:firstLineChars="200"/>
      </w:pPr>
      <w:r>
        <w:rPr>
          <w:rFonts w:hint="eastAsia"/>
        </w:rPr>
        <w:t>5)箱号。</w:t>
      </w:r>
    </w:p>
    <w:p>
      <w:pPr>
        <w:adjustRightInd w:val="0"/>
        <w:snapToGrid w:val="0"/>
        <w:spacing w:line="360" w:lineRule="auto"/>
      </w:pPr>
      <w:r>
        <w:rPr>
          <w:rFonts w:hint="eastAsia"/>
        </w:rPr>
        <w:t>10.2.4 买卖双方应在合同中明确规定设备在运输时的状态</w:t>
      </w:r>
      <w:r>
        <w:t>，</w:t>
      </w:r>
      <w:r>
        <w:rPr>
          <w:rFonts w:hint="eastAsia"/>
        </w:rPr>
        <w:t>以及对检测仪表和检测数据变化范围的要求。互感器及其部件的保管期应在合同中明确规定。</w:t>
      </w:r>
    </w:p>
    <w:p>
      <w:pPr>
        <w:adjustRightInd w:val="0"/>
        <w:snapToGrid w:val="0"/>
        <w:spacing w:line="360" w:lineRule="auto"/>
      </w:pPr>
      <w:r>
        <w:rPr>
          <w:rFonts w:hint="eastAsia"/>
        </w:rPr>
        <w:t>在设备启运后一周内</w:t>
      </w:r>
      <w:r>
        <w:t>，</w:t>
      </w:r>
      <w:r>
        <w:rPr>
          <w:rFonts w:hint="eastAsia"/>
        </w:rPr>
        <w:t>投标方应以最快捷的方式通知招标方以下内容</w:t>
      </w:r>
      <w:r>
        <w:t>：</w:t>
      </w:r>
    </w:p>
    <w:p>
      <w:pPr>
        <w:adjustRightInd w:val="0"/>
        <w:snapToGrid w:val="0"/>
        <w:spacing w:line="360" w:lineRule="auto"/>
        <w:ind w:firstLine="420" w:firstLineChars="200"/>
      </w:pPr>
      <w:r>
        <w:rPr>
          <w:rFonts w:hint="eastAsia"/>
        </w:rPr>
        <w:t>1)设备名称</w:t>
      </w:r>
      <w:r>
        <w:t>；</w:t>
      </w:r>
    </w:p>
    <w:p>
      <w:pPr>
        <w:adjustRightInd w:val="0"/>
        <w:snapToGrid w:val="0"/>
        <w:spacing w:line="360" w:lineRule="auto"/>
        <w:ind w:firstLine="420" w:firstLineChars="200"/>
      </w:pPr>
      <w:r>
        <w:rPr>
          <w:rFonts w:hint="eastAsia"/>
        </w:rPr>
        <w:t>2)件数、件号、重量</w:t>
      </w:r>
      <w:r>
        <w:t>；</w:t>
      </w:r>
    </w:p>
    <w:p>
      <w:pPr>
        <w:adjustRightInd w:val="0"/>
        <w:snapToGrid w:val="0"/>
        <w:spacing w:line="360" w:lineRule="auto"/>
        <w:ind w:firstLine="420" w:firstLineChars="200"/>
        <w:rPr>
          <w:rFonts w:hint="eastAsia"/>
        </w:rPr>
      </w:pPr>
      <w:r>
        <w:rPr>
          <w:rFonts w:hint="eastAsia"/>
        </w:rPr>
        <w:t>3)合同号及货运单号；</w:t>
      </w:r>
    </w:p>
    <w:p>
      <w:pPr>
        <w:adjustRightInd w:val="0"/>
        <w:snapToGrid w:val="0"/>
        <w:spacing w:line="360" w:lineRule="auto"/>
        <w:ind w:firstLine="420" w:firstLineChars="200"/>
      </w:pPr>
      <w:r>
        <w:rPr>
          <w:rFonts w:hint="eastAsia"/>
        </w:rPr>
        <w:t>4)达到港</w:t>
      </w:r>
      <w:r>
        <w:t>(</w:t>
      </w:r>
      <w:r>
        <w:rPr>
          <w:rFonts w:hint="eastAsia"/>
        </w:rPr>
        <w:t>站</w:t>
      </w:r>
      <w:r>
        <w:t>)；</w:t>
      </w:r>
    </w:p>
    <w:p>
      <w:pPr>
        <w:adjustRightInd w:val="0"/>
        <w:snapToGrid w:val="0"/>
        <w:spacing w:line="360" w:lineRule="auto"/>
        <w:ind w:firstLine="420" w:firstLineChars="200"/>
      </w:pPr>
      <w:r>
        <w:rPr>
          <w:rFonts w:hint="eastAsia"/>
        </w:rPr>
        <w:t>5)设备发出日期。</w:t>
      </w:r>
    </w:p>
    <w:p>
      <w:pPr>
        <w:adjustRightInd w:val="0"/>
        <w:snapToGrid w:val="0"/>
        <w:spacing w:line="360" w:lineRule="auto"/>
      </w:pPr>
      <w:r>
        <w:rPr>
          <w:rFonts w:hint="eastAsia"/>
        </w:rPr>
        <w:t>10.2.5所有部件的装运方式均应便于卸货、操作和现场就位</w:t>
      </w:r>
      <w:r>
        <w:t>，</w:t>
      </w:r>
      <w:r>
        <w:rPr>
          <w:rFonts w:hint="eastAsia"/>
        </w:rPr>
        <w:t>标有千斤顶支架位置的起吊图和安装图</w:t>
      </w:r>
      <w:r>
        <w:t>，</w:t>
      </w:r>
      <w:r>
        <w:rPr>
          <w:rFonts w:hint="eastAsia"/>
        </w:rPr>
        <w:t>应与装运文件一起提供。</w:t>
      </w:r>
    </w:p>
    <w:p>
      <w:pPr>
        <w:adjustRightInd w:val="0"/>
        <w:snapToGrid w:val="0"/>
        <w:spacing w:line="360" w:lineRule="auto"/>
        <w:rPr>
          <w:rFonts w:hint="eastAsia"/>
        </w:rPr>
      </w:pPr>
      <w:r>
        <w:rPr>
          <w:rFonts w:hint="eastAsia"/>
        </w:rPr>
        <w:t>10.2.6任何在装运中可能丢失的成品应用箱式包装或捆成一束</w:t>
      </w:r>
      <w:r>
        <w:t>，</w:t>
      </w:r>
      <w:r>
        <w:rPr>
          <w:rFonts w:hint="eastAsia"/>
        </w:rPr>
        <w:t>并标志以清晰的记号以便识别。</w:t>
      </w:r>
    </w:p>
    <w:p>
      <w:pPr>
        <w:adjustRightInd w:val="0"/>
        <w:snapToGrid w:val="0"/>
        <w:spacing w:line="360" w:lineRule="auto"/>
        <w:rPr>
          <w:rFonts w:hint="eastAsia"/>
        </w:rPr>
      </w:pPr>
      <w:r>
        <w:rPr>
          <w:rFonts w:hint="eastAsia"/>
        </w:rPr>
        <w:t>10.2.7 运输、贮存直到安装时应保护互感器所有组、部件不得损坏、不得进水和受潮。</w:t>
      </w:r>
    </w:p>
    <w:p>
      <w:pPr>
        <w:pStyle w:val="3"/>
        <w:numPr>
          <w:ilvl w:val="1"/>
          <w:numId w:val="4"/>
        </w:numPr>
        <w:rPr>
          <w:rFonts w:hint="eastAsia" w:ascii="黑体" w:eastAsia="黑体"/>
        </w:rPr>
      </w:pPr>
      <w:bookmarkStart w:id="114" w:name="_Toc342897961"/>
      <w:r>
        <w:rPr>
          <w:rFonts w:hint="eastAsia" w:ascii="黑体" w:eastAsia="黑体"/>
        </w:rPr>
        <w:t>运输</w:t>
      </w:r>
      <w:bookmarkEnd w:id="110"/>
      <w:bookmarkEnd w:id="111"/>
      <w:bookmarkEnd w:id="112"/>
      <w:bookmarkEnd w:id="113"/>
      <w:bookmarkEnd w:id="114"/>
    </w:p>
    <w:p>
      <w:pPr>
        <w:adjustRightInd w:val="0"/>
        <w:snapToGrid w:val="0"/>
        <w:spacing w:line="360" w:lineRule="auto"/>
        <w:ind w:firstLine="412" w:firstLineChars="200"/>
        <w:rPr>
          <w:rFonts w:hint="eastAsia"/>
          <w:spacing w:val="-2"/>
          <w:szCs w:val="21"/>
        </w:rPr>
      </w:pPr>
      <w:bookmarkStart w:id="115" w:name="_Toc276301530"/>
      <w:bookmarkStart w:id="116" w:name="_Toc276490920"/>
      <w:bookmarkStart w:id="117" w:name="_Toc276492438"/>
      <w:bookmarkStart w:id="118" w:name="_Toc279695211"/>
      <w:r>
        <w:rPr>
          <w:rFonts w:hint="eastAsia" w:hAnsi="宋体"/>
          <w:spacing w:val="-2"/>
          <w:szCs w:val="21"/>
        </w:rPr>
        <w:t>制造人必须充分了解目的地的道路情况，并把该情况充分反馈给承担运输的单位，必要时安排专人押运车辆。</w:t>
      </w:r>
    </w:p>
    <w:p>
      <w:pPr>
        <w:adjustRightInd w:val="0"/>
        <w:snapToGrid w:val="0"/>
        <w:spacing w:line="360" w:lineRule="auto"/>
        <w:ind w:firstLine="412" w:firstLineChars="200"/>
        <w:rPr>
          <w:rFonts w:hint="eastAsia"/>
          <w:spacing w:val="-2"/>
          <w:szCs w:val="21"/>
        </w:rPr>
      </w:pPr>
      <w:r>
        <w:rPr>
          <w:rFonts w:hint="eastAsia" w:hAnsi="宋体"/>
          <w:spacing w:val="-2"/>
          <w:szCs w:val="21"/>
        </w:rPr>
        <w:t>运输尽量行驶高等级公路，对行驶公路的最高时速应做相关规定和要求。</w:t>
      </w:r>
    </w:p>
    <w:p>
      <w:pPr>
        <w:adjustRightInd w:val="0"/>
        <w:snapToGrid w:val="0"/>
        <w:spacing w:line="360" w:lineRule="auto"/>
        <w:ind w:firstLine="412" w:firstLineChars="200"/>
        <w:rPr>
          <w:spacing w:val="-2"/>
          <w:szCs w:val="21"/>
        </w:rPr>
      </w:pPr>
      <w:r>
        <w:rPr>
          <w:rFonts w:hint="eastAsia" w:hAnsi="宋体"/>
          <w:spacing w:val="-2"/>
          <w:szCs w:val="21"/>
        </w:rPr>
        <w:t>制造厂应</w:t>
      </w:r>
      <w:r>
        <w:rPr>
          <w:rFonts w:hint="eastAsia" w:hAnsi="宋体"/>
          <w:szCs w:val="21"/>
        </w:rPr>
        <w:t>保证互感器不超过运输尺寸和运输重量的限制。</w:t>
      </w:r>
    </w:p>
    <w:p>
      <w:pPr>
        <w:adjustRightInd w:val="0"/>
        <w:snapToGrid w:val="0"/>
        <w:spacing w:line="360" w:lineRule="auto"/>
        <w:ind w:firstLine="412" w:firstLineChars="200"/>
        <w:rPr>
          <w:spacing w:val="-2"/>
          <w:szCs w:val="21"/>
        </w:rPr>
      </w:pPr>
      <w:r>
        <w:rPr>
          <w:rFonts w:hint="eastAsia" w:hAnsi="宋体"/>
          <w:spacing w:val="-2"/>
          <w:szCs w:val="21"/>
        </w:rPr>
        <w:t>制造厂负责将设备安全地运到运行单位指定地点。制造厂应做到使设备在任何运输过程中不受损坏。制造厂应考虑到设备在船运和陆运运输中，可能受到的最大加速度所产生的冲击力而不松动、不损坏、不变形。</w:t>
      </w:r>
    </w:p>
    <w:p>
      <w:pPr>
        <w:adjustRightInd w:val="0"/>
        <w:snapToGrid w:val="0"/>
        <w:spacing w:line="360" w:lineRule="auto"/>
        <w:ind w:firstLine="412" w:firstLineChars="200"/>
        <w:rPr>
          <w:spacing w:val="-2"/>
          <w:szCs w:val="21"/>
        </w:rPr>
      </w:pPr>
      <w:r>
        <w:rPr>
          <w:rFonts w:hint="eastAsia" w:hAnsi="宋体"/>
          <w:spacing w:val="-2"/>
          <w:szCs w:val="21"/>
        </w:rPr>
        <w:t>所有组、部件在装运时必须做到便于卸货、搬运和现场安装。为了能正确搬运和安装，在必要处应提供吊钩或起吊设施，并提供吊索布置图。</w:t>
      </w:r>
    </w:p>
    <w:p>
      <w:pPr>
        <w:adjustRightInd w:val="0"/>
        <w:snapToGrid w:val="0"/>
        <w:spacing w:line="360" w:lineRule="auto"/>
        <w:ind w:firstLine="412" w:firstLineChars="200"/>
        <w:rPr>
          <w:spacing w:val="-2"/>
          <w:szCs w:val="21"/>
        </w:rPr>
      </w:pPr>
      <w:r>
        <w:rPr>
          <w:rFonts w:hint="eastAsia" w:hAnsi="宋体"/>
          <w:spacing w:val="-2"/>
          <w:szCs w:val="21"/>
        </w:rPr>
        <w:t>笨重件应装在滑板上或板条箱内，在运输中容易松散丢失的物件都应装箱并捆扎牢固，瓷套管应牢固固定在木箱内，以防相对移动。</w:t>
      </w:r>
    </w:p>
    <w:p>
      <w:pPr>
        <w:adjustRightInd w:val="0"/>
        <w:snapToGrid w:val="0"/>
        <w:spacing w:line="360" w:lineRule="auto"/>
        <w:ind w:firstLine="412" w:firstLineChars="200"/>
        <w:rPr>
          <w:spacing w:val="-2"/>
          <w:szCs w:val="21"/>
        </w:rPr>
      </w:pPr>
      <w:r>
        <w:rPr>
          <w:rFonts w:hint="eastAsia" w:hAnsi="宋体"/>
          <w:spacing w:val="-2"/>
          <w:szCs w:val="21"/>
        </w:rPr>
        <w:t>装运前应在互感器上安装具有计时功能的三维冲击记录仪，以检验设备在运输途中是否受到过严重的冲击。到达目的港</w:t>
      </w:r>
      <w:r>
        <w:rPr>
          <w:spacing w:val="-2"/>
          <w:szCs w:val="21"/>
        </w:rPr>
        <w:t>(</w:t>
      </w:r>
      <w:r>
        <w:rPr>
          <w:rFonts w:hAnsi="宋体"/>
          <w:spacing w:val="-2"/>
          <w:szCs w:val="21"/>
        </w:rPr>
        <w:t>车站</w:t>
      </w:r>
      <w:r>
        <w:rPr>
          <w:spacing w:val="-2"/>
          <w:szCs w:val="21"/>
        </w:rPr>
        <w:t>)</w:t>
      </w:r>
      <w:r>
        <w:rPr>
          <w:rFonts w:hAnsi="宋体"/>
          <w:spacing w:val="-2"/>
          <w:szCs w:val="21"/>
        </w:rPr>
        <w:t>时，应检查纪录，到达现场再检查一次。</w:t>
      </w:r>
    </w:p>
    <w:p>
      <w:pPr>
        <w:adjustRightInd w:val="0"/>
        <w:snapToGrid w:val="0"/>
        <w:spacing w:line="360" w:lineRule="auto"/>
        <w:ind w:firstLine="412" w:firstLineChars="200"/>
        <w:rPr>
          <w:rFonts w:hint="eastAsia"/>
          <w:spacing w:val="-2"/>
          <w:szCs w:val="21"/>
        </w:rPr>
      </w:pPr>
      <w:r>
        <w:rPr>
          <w:rFonts w:hint="eastAsia" w:hAnsi="宋体"/>
          <w:spacing w:val="-2"/>
          <w:szCs w:val="21"/>
        </w:rPr>
        <w:t>备品备件、专用工具和仪表应随互感器同时装运，但必须单独包装，并明显标记，以便与提供的其它设备相区别。</w:t>
      </w:r>
    </w:p>
    <w:p>
      <w:pPr>
        <w:pStyle w:val="3"/>
        <w:numPr>
          <w:ilvl w:val="1"/>
          <w:numId w:val="4"/>
        </w:numPr>
        <w:rPr>
          <w:rFonts w:hint="eastAsia" w:ascii="黑体" w:eastAsia="黑体"/>
        </w:rPr>
      </w:pPr>
      <w:bookmarkStart w:id="119" w:name="_Toc342897962"/>
      <w:r>
        <w:rPr>
          <w:rFonts w:hint="eastAsia" w:ascii="黑体" w:eastAsia="黑体"/>
        </w:rPr>
        <w:t>安装</w:t>
      </w:r>
      <w:bookmarkEnd w:id="115"/>
      <w:bookmarkEnd w:id="116"/>
      <w:bookmarkEnd w:id="117"/>
      <w:r>
        <w:rPr>
          <w:rFonts w:hint="eastAsia" w:ascii="黑体" w:eastAsia="黑体"/>
        </w:rPr>
        <w:t>指导</w:t>
      </w:r>
      <w:bookmarkEnd w:id="118"/>
      <w:bookmarkEnd w:id="119"/>
    </w:p>
    <w:p>
      <w:pPr>
        <w:adjustRightInd w:val="0"/>
        <w:snapToGrid w:val="0"/>
        <w:spacing w:line="360" w:lineRule="auto"/>
        <w:ind w:firstLine="525" w:firstLineChars="250"/>
        <w:rPr>
          <w:rFonts w:hint="eastAsia" w:ascii="宋体" w:hAnsi="宋体"/>
        </w:rPr>
      </w:pPr>
      <w:r>
        <w:rPr>
          <w:rFonts w:hint="eastAsia" w:ascii="宋体" w:hAnsi="宋体"/>
        </w:rPr>
        <w:t>制造厂在安装和启动时应安排技术人员提供现场安装指导服务，提出技术建议。</w:t>
      </w:r>
    </w:p>
    <w:p>
      <w:pPr>
        <w:pStyle w:val="3"/>
        <w:numPr>
          <w:ilvl w:val="1"/>
          <w:numId w:val="4"/>
        </w:numPr>
        <w:rPr>
          <w:rFonts w:hint="eastAsia" w:ascii="黑体" w:eastAsia="黑体"/>
        </w:rPr>
      </w:pPr>
      <w:bookmarkStart w:id="120" w:name="_Toc342897963"/>
      <w:r>
        <w:rPr>
          <w:rFonts w:hint="eastAsia" w:ascii="黑体" w:eastAsia="黑体"/>
        </w:rPr>
        <w:t>质量保证</w:t>
      </w:r>
      <w:bookmarkEnd w:id="120"/>
    </w:p>
    <w:p>
      <w:pPr>
        <w:pStyle w:val="23"/>
        <w:spacing w:line="360" w:lineRule="auto"/>
        <w:ind w:firstLine="420" w:firstLineChars="200"/>
        <w:outlineLvl w:val="9"/>
        <w:rPr>
          <w:rFonts w:hint="eastAsia" w:ascii="Times New Roman" w:eastAsia="宋体"/>
        </w:rPr>
      </w:pPr>
      <w:r>
        <w:rPr>
          <w:rFonts w:hint="eastAsia" w:ascii="Times New Roman" w:eastAsia="宋体"/>
        </w:rPr>
        <w:t>1）全部设备必须是全新的, 持久耐用的,应满足作为一个完整产品所能满足的全部要求。投标方应保证设备在规定的使用条件下运行、并按使用说明书进行安装和维护、预期寿命应不少于30年</w:t>
      </w:r>
      <w:r>
        <w:rPr>
          <w:rFonts w:ascii="Times New Roman" w:eastAsia="宋体"/>
        </w:rPr>
        <w:t>。</w:t>
      </w:r>
    </w:p>
    <w:p>
      <w:pPr>
        <w:pStyle w:val="23"/>
        <w:spacing w:line="360" w:lineRule="auto"/>
        <w:ind w:firstLine="420" w:firstLineChars="200"/>
        <w:outlineLvl w:val="9"/>
        <w:rPr>
          <w:rFonts w:hint="eastAsia" w:ascii="Times New Roman" w:eastAsia="宋体"/>
        </w:rPr>
      </w:pPr>
      <w:r>
        <w:rPr>
          <w:rFonts w:hint="eastAsia" w:ascii="Times New Roman" w:eastAsia="宋体"/>
        </w:rPr>
        <w:t>2）投标方应对其整组设备在到货后提供不少于三年的“三包”质量保证。之后如发生产品损坏，投标方应及时为本组装置提供维修部件，并按最近的投标价提供。</w:t>
      </w:r>
    </w:p>
    <w:p>
      <w:pPr>
        <w:pStyle w:val="23"/>
        <w:spacing w:line="360" w:lineRule="auto"/>
        <w:ind w:firstLine="420" w:firstLineChars="200"/>
        <w:outlineLvl w:val="9"/>
        <w:rPr>
          <w:rFonts w:ascii="Times New Roman" w:eastAsia="宋体"/>
        </w:rPr>
      </w:pPr>
      <w:r>
        <w:rPr>
          <w:rFonts w:hint="eastAsia" w:ascii="Times New Roman" w:eastAsia="宋体"/>
        </w:rPr>
        <w:t>3）订购的新型产品除应满足本标准外</w:t>
      </w:r>
      <w:r>
        <w:rPr>
          <w:rFonts w:ascii="Times New Roman" w:eastAsia="宋体"/>
        </w:rPr>
        <w:t xml:space="preserve">, </w:t>
      </w:r>
      <w:r>
        <w:rPr>
          <w:rFonts w:hint="eastAsia" w:ascii="Times New Roman" w:eastAsia="宋体"/>
        </w:rPr>
        <w:t>投标方还应提供该产品的鉴定证书。</w:t>
      </w:r>
    </w:p>
    <w:p>
      <w:pPr>
        <w:pStyle w:val="23"/>
        <w:spacing w:line="360" w:lineRule="auto"/>
        <w:ind w:firstLine="420" w:firstLineChars="200"/>
        <w:outlineLvl w:val="9"/>
        <w:rPr>
          <w:rFonts w:ascii="Times New Roman" w:eastAsia="宋体"/>
        </w:rPr>
      </w:pPr>
      <w:r>
        <w:rPr>
          <w:rFonts w:hint="eastAsia" w:ascii="Times New Roman" w:eastAsia="宋体"/>
        </w:rPr>
        <w:t>4）投标方应保证制造过程中的所有工艺、材料试验等</w:t>
      </w:r>
      <w:r>
        <w:rPr>
          <w:rFonts w:ascii="Times New Roman" w:eastAsia="宋体"/>
        </w:rPr>
        <w:t>(</w:t>
      </w:r>
      <w:r>
        <w:rPr>
          <w:rFonts w:hint="eastAsia" w:ascii="Times New Roman" w:eastAsia="宋体"/>
        </w:rPr>
        <w:t>包括投标方的外购件在内</w:t>
      </w:r>
      <w:r>
        <w:rPr>
          <w:rFonts w:ascii="Times New Roman" w:eastAsia="宋体"/>
        </w:rPr>
        <w:t>)</w:t>
      </w:r>
      <w:r>
        <w:rPr>
          <w:rFonts w:hint="eastAsia" w:ascii="Times New Roman" w:eastAsia="宋体"/>
        </w:rPr>
        <w:t>均应符合本标准的规定。若招标方根据运行经验指定投标方提供某种外购零部件</w:t>
      </w:r>
      <w:r>
        <w:rPr>
          <w:rFonts w:ascii="Times New Roman" w:eastAsia="宋体"/>
        </w:rPr>
        <w:t xml:space="preserve">, </w:t>
      </w:r>
      <w:r>
        <w:rPr>
          <w:rFonts w:hint="eastAsia" w:ascii="Times New Roman" w:eastAsia="宋体"/>
        </w:rPr>
        <w:t>投标方应积极配合。</w:t>
      </w:r>
    </w:p>
    <w:p>
      <w:pPr>
        <w:pStyle w:val="23"/>
        <w:spacing w:line="360" w:lineRule="auto"/>
        <w:ind w:firstLine="420" w:firstLineChars="200"/>
        <w:outlineLvl w:val="9"/>
        <w:rPr>
          <w:rFonts w:ascii="Times New Roman" w:eastAsia="宋体"/>
        </w:rPr>
      </w:pPr>
      <w:r>
        <w:rPr>
          <w:rFonts w:hint="eastAsia" w:ascii="Times New Roman" w:eastAsia="宋体"/>
        </w:rPr>
        <w:t>5）附属及配套设备必须满足有关行业标准的要求</w:t>
      </w:r>
      <w:r>
        <w:rPr>
          <w:rFonts w:ascii="Times New Roman" w:eastAsia="宋体"/>
        </w:rPr>
        <w:t xml:space="preserve">, </w:t>
      </w:r>
      <w:r>
        <w:rPr>
          <w:rFonts w:hint="eastAsia" w:ascii="Times New Roman" w:eastAsia="宋体"/>
        </w:rPr>
        <w:t>并提供试验报告和产品合格证。</w:t>
      </w:r>
    </w:p>
    <w:p>
      <w:pPr>
        <w:pStyle w:val="2"/>
        <w:numPr>
          <w:ilvl w:val="0"/>
          <w:numId w:val="0"/>
        </w:numPr>
        <w:adjustRightInd w:val="0"/>
        <w:spacing w:before="156" w:beforeLines="50"/>
        <w:rPr>
          <w:rFonts w:hint="eastAsia" w:ascii="黑体" w:eastAsia="黑体"/>
          <w:b w:val="0"/>
        </w:rPr>
      </w:pPr>
      <w:bookmarkStart w:id="121" w:name="_Toc342897964"/>
      <w:r>
        <w:rPr>
          <w:rFonts w:hint="eastAsia" w:ascii="黑体" w:eastAsia="黑体"/>
          <w:b w:val="0"/>
        </w:rPr>
        <w:t>11 设备技术参数和性能要求响应表</w:t>
      </w:r>
      <w:bookmarkEnd w:id="121"/>
    </w:p>
    <w:p>
      <w:pPr>
        <w:adjustRightInd w:val="0"/>
        <w:snapToGrid w:val="0"/>
        <w:spacing w:line="360" w:lineRule="auto"/>
        <w:ind w:firstLine="412" w:firstLineChars="200"/>
        <w:rPr>
          <w:rFonts w:hint="eastAsia" w:hAnsi="宋体"/>
          <w:spacing w:val="-2"/>
          <w:szCs w:val="21"/>
        </w:rPr>
      </w:pPr>
      <w:r>
        <w:rPr>
          <w:rFonts w:hint="eastAsia" w:hAnsi="宋体"/>
          <w:spacing w:val="-2"/>
          <w:szCs w:val="21"/>
        </w:rPr>
        <w:t>投标方应认真逐项填写所供设备技术参数和性能要求响应表（见表11）中“投标方保证值”栏，不能空格，也不能以“响应”两字代替，不允许改动本表内 “投标方保证值”栏之外的数值。如有差异，请填写表15：技术差异表。</w:t>
      </w:r>
    </w:p>
    <w:p>
      <w:pPr>
        <w:adjustRightInd w:val="0"/>
        <w:snapToGrid w:val="0"/>
        <w:spacing w:line="360" w:lineRule="auto"/>
        <w:ind w:firstLine="352" w:firstLineChars="200"/>
        <w:rPr>
          <w:rFonts w:hint="eastAsia" w:hAnsi="宋体"/>
          <w:spacing w:val="-2"/>
          <w:sz w:val="18"/>
          <w:szCs w:val="18"/>
        </w:rPr>
      </w:pPr>
      <w:r>
        <w:rPr>
          <w:rFonts w:hint="eastAsia" w:hAnsi="宋体"/>
          <w:spacing w:val="-2"/>
          <w:sz w:val="18"/>
          <w:szCs w:val="18"/>
        </w:rPr>
        <w:t>注：1. 打“*”的项目，如不能满足要求，将被视为实质性不符合招标文件要求。</w:t>
      </w:r>
    </w:p>
    <w:p>
      <w:pPr>
        <w:adjustRightInd w:val="0"/>
        <w:snapToGrid w:val="0"/>
        <w:spacing w:line="360" w:lineRule="auto"/>
        <w:jc w:val="center"/>
        <w:rPr>
          <w:rFonts w:hint="eastAsia"/>
          <w:szCs w:val="21"/>
        </w:rPr>
      </w:pPr>
      <w:bookmarkStart w:id="122" w:name="_Toc283142574"/>
      <w:r>
        <w:rPr>
          <w:szCs w:val="21"/>
        </w:rPr>
        <w:t>表</w:t>
      </w:r>
      <w:r>
        <w:rPr>
          <w:rFonts w:hint="eastAsia"/>
          <w:szCs w:val="21"/>
        </w:rPr>
        <w:t xml:space="preserve">11  </w:t>
      </w:r>
      <w:r>
        <w:rPr>
          <w:szCs w:val="21"/>
        </w:rPr>
        <w:t>技术参数</w:t>
      </w:r>
      <w:r>
        <w:rPr>
          <w:rFonts w:hint="eastAsia"/>
          <w:szCs w:val="21"/>
        </w:rPr>
        <w:t>和性能要求</w:t>
      </w:r>
      <w:r>
        <w:rPr>
          <w:szCs w:val="21"/>
        </w:rPr>
        <w:t>响应表</w:t>
      </w:r>
      <w:bookmarkEnd w:id="122"/>
    </w:p>
    <w:tbl>
      <w:tblPr>
        <w:tblStyle w:val="11"/>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40"/>
        <w:gridCol w:w="3060"/>
        <w:gridCol w:w="1980"/>
        <w:gridCol w:w="1620"/>
        <w:gridCol w:w="11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18"/>
                <w:szCs w:val="18"/>
              </w:rPr>
              <w:t>序号</w:t>
            </w:r>
          </w:p>
        </w:tc>
        <w:tc>
          <w:tcPr>
            <w:tcW w:w="306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18"/>
                <w:szCs w:val="18"/>
              </w:rPr>
              <w:t>名称</w:t>
            </w:r>
          </w:p>
        </w:tc>
        <w:tc>
          <w:tcPr>
            <w:tcW w:w="1980" w:type="dxa"/>
            <w:noWrap w:val="0"/>
            <w:vAlign w:val="center"/>
          </w:tcPr>
          <w:p>
            <w:pPr>
              <w:pStyle w:val="6"/>
              <w:jc w:val="center"/>
              <w:rPr>
                <w:rFonts w:hint="eastAsia" w:ascii="Times New Roman" w:hAnsi="Times New Roman"/>
                <w:szCs w:val="21"/>
              </w:rPr>
            </w:pPr>
            <w:r>
              <w:rPr>
                <w:rFonts w:hint="eastAsia" w:ascii="Times New Roman" w:hAnsi="宋体"/>
                <w:szCs w:val="21"/>
              </w:rPr>
              <w:t>标准参数值</w:t>
            </w:r>
          </w:p>
        </w:tc>
        <w:tc>
          <w:tcPr>
            <w:tcW w:w="1620" w:type="dxa"/>
            <w:noWrap w:val="0"/>
            <w:vAlign w:val="center"/>
          </w:tcPr>
          <w:p>
            <w:pPr>
              <w:pStyle w:val="6"/>
              <w:jc w:val="center"/>
              <w:rPr>
                <w:rFonts w:hint="eastAsia" w:ascii="Times New Roman" w:hAnsi="Times New Roman"/>
                <w:szCs w:val="21"/>
              </w:rPr>
            </w:pPr>
            <w:r>
              <w:rPr>
                <w:rFonts w:hint="eastAsia" w:ascii="Times New Roman" w:hAnsi="宋体"/>
                <w:szCs w:val="21"/>
              </w:rPr>
              <w:t>项目要求值</w:t>
            </w:r>
          </w:p>
        </w:tc>
        <w:tc>
          <w:tcPr>
            <w:tcW w:w="1157" w:type="dxa"/>
            <w:noWrap w:val="0"/>
            <w:vAlign w:val="center"/>
          </w:tcPr>
          <w:p>
            <w:pPr>
              <w:pStyle w:val="6"/>
              <w:jc w:val="center"/>
              <w:rPr>
                <w:rFonts w:hint="eastAsia" w:ascii="Times New Roman" w:hAnsi="Times New Roman"/>
                <w:szCs w:val="21"/>
              </w:rPr>
            </w:pPr>
            <w:r>
              <w:rPr>
                <w:rFonts w:hint="eastAsia" w:ascii="Times New Roman" w:hAnsi="宋体"/>
                <w:szCs w:val="21"/>
              </w:rPr>
              <w:t>投标方保证值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一</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互感器技术参数</w:t>
            </w:r>
          </w:p>
        </w:tc>
        <w:tc>
          <w:tcPr>
            <w:tcW w:w="1980" w:type="dxa"/>
            <w:noWrap w:val="0"/>
            <w:vAlign w:val="center"/>
          </w:tcPr>
          <w:p>
            <w:pPr>
              <w:pStyle w:val="6"/>
              <w:spacing w:line="360" w:lineRule="auto"/>
              <w:jc w:val="center"/>
              <w:rPr>
                <w:rFonts w:ascii="Times New Roman" w:hAnsi="Times New Roman"/>
                <w:sz w:val="18"/>
                <w:szCs w:val="18"/>
              </w:rPr>
            </w:pPr>
          </w:p>
        </w:tc>
        <w:tc>
          <w:tcPr>
            <w:tcW w:w="1620" w:type="dxa"/>
            <w:noWrap w:val="0"/>
            <w:vAlign w:val="top"/>
          </w:tcPr>
          <w:p>
            <w:pPr>
              <w:pStyle w:val="6"/>
              <w:spacing w:line="360" w:lineRule="auto"/>
              <w:jc w:val="center"/>
              <w:rPr>
                <w:rFonts w:ascii="Times New Roman" w:hAnsi="Times New Roman"/>
                <w:sz w:val="18"/>
                <w:szCs w:val="18"/>
              </w:rPr>
            </w:pP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39" w:hRule="atLeas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1</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规格和型号</w:t>
            </w:r>
          </w:p>
        </w:tc>
        <w:tc>
          <w:tcPr>
            <w:tcW w:w="3600" w:type="dxa"/>
            <w:gridSpan w:val="2"/>
            <w:noWrap w:val="0"/>
            <w:vAlign w:val="center"/>
          </w:tcPr>
          <w:p>
            <w:pPr>
              <w:pStyle w:val="6"/>
              <w:spacing w:line="360" w:lineRule="auto"/>
              <w:jc w:val="center"/>
              <w:rPr>
                <w:rFonts w:ascii="Times New Roman" w:hAnsi="Times New Roman"/>
                <w:sz w:val="18"/>
                <w:szCs w:val="18"/>
              </w:rPr>
            </w:pPr>
            <w:r>
              <w:rPr>
                <w:rFonts w:hint="eastAsia"/>
                <w:sz w:val="18"/>
                <w:szCs w:val="18"/>
              </w:rPr>
              <w:t>干式固态绝缘浇注式</w:t>
            </w:r>
            <w:r>
              <w:rPr>
                <w:rFonts w:hint="eastAsia" w:ascii="Times New Roman" w:hAnsi="宋体"/>
                <w:sz w:val="18"/>
                <w:szCs w:val="18"/>
              </w:rPr>
              <w:t>电压互感器</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2</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额定一次电压（kV）</w:t>
            </w:r>
          </w:p>
        </w:tc>
        <w:tc>
          <w:tcPr>
            <w:tcW w:w="3600" w:type="dxa"/>
            <w:gridSpan w:val="2"/>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18"/>
                <w:szCs w:val="18"/>
              </w:rPr>
              <w:t>10</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3</w:t>
            </w:r>
          </w:p>
        </w:tc>
        <w:tc>
          <w:tcPr>
            <w:tcW w:w="306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额定最高电压（kV）</w:t>
            </w:r>
          </w:p>
        </w:tc>
        <w:tc>
          <w:tcPr>
            <w:tcW w:w="3600" w:type="dxa"/>
            <w:gridSpan w:val="2"/>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18"/>
                <w:szCs w:val="18"/>
              </w:rPr>
              <w:t>12</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4</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额定二次电压（</w:t>
            </w:r>
            <w:r>
              <w:rPr>
                <w:rFonts w:hint="eastAsia" w:ascii="Times New Roman" w:hAnsi="Times New Roman"/>
                <w:sz w:val="18"/>
                <w:szCs w:val="18"/>
              </w:rPr>
              <w:t>k</w:t>
            </w:r>
            <w:r>
              <w:rPr>
                <w:rFonts w:ascii="Times New Roman" w:hAnsi="Times New Roman"/>
                <w:sz w:val="18"/>
                <w:szCs w:val="18"/>
              </w:rPr>
              <w:t>V）</w:t>
            </w:r>
          </w:p>
        </w:tc>
        <w:tc>
          <w:tcPr>
            <w:tcW w:w="3600" w:type="dxa"/>
            <w:gridSpan w:val="2"/>
            <w:noWrap w:val="0"/>
            <w:vAlign w:val="center"/>
          </w:tcPr>
          <w:p>
            <w:pPr>
              <w:pStyle w:val="6"/>
              <w:spacing w:line="360" w:lineRule="auto"/>
              <w:jc w:val="center"/>
              <w:rPr>
                <w:rFonts w:ascii="Times New Roman" w:hAnsi="Times New Roman"/>
                <w:color w:val="FF0000"/>
                <w:sz w:val="18"/>
                <w:szCs w:val="18"/>
              </w:rPr>
            </w:pPr>
            <w:r>
              <w:rPr>
                <w:rFonts w:hint="eastAsia" w:ascii="Times New Roman" w:hAnsi="Times New Roman"/>
                <w:color w:val="FF0000"/>
                <w:sz w:val="18"/>
                <w:szCs w:val="18"/>
              </w:rPr>
              <w:t>0.1</w:t>
            </w:r>
            <w:r>
              <w:rPr>
                <w:rFonts w:ascii="Times New Roman" w:hAnsi="Times New Roman"/>
                <w:color w:val="FF0000"/>
                <w:sz w:val="18"/>
                <w:szCs w:val="18"/>
              </w:rPr>
              <w:t>kV</w:t>
            </w:r>
            <w:r>
              <w:rPr>
                <w:rFonts w:hint="eastAsia" w:ascii="Times New Roman" w:hAnsi="宋体"/>
                <w:color w:val="FF0000"/>
                <w:sz w:val="18"/>
                <w:szCs w:val="18"/>
              </w:rPr>
              <w:t>、</w:t>
            </w:r>
            <w:r>
              <w:rPr>
                <w:rFonts w:hint="eastAsia" w:ascii="Times New Roman" w:hAnsi="Times New Roman"/>
                <w:color w:val="FF0000"/>
                <w:sz w:val="18"/>
                <w:szCs w:val="18"/>
              </w:rPr>
              <w:t>0.1/</w:t>
            </w:r>
            <w:r>
              <w:rPr>
                <w:rFonts w:ascii="Times New Roman" w:hAnsi="Times New Roman"/>
                <w:color w:val="FF0000"/>
                <w:position w:val="-8"/>
                <w:sz w:val="18"/>
                <w:szCs w:val="18"/>
              </w:rPr>
              <w:object>
                <v:shape id="_x0000_i1036" o:spt="75" type="#_x0000_t75" style="height:11.9pt;width:17.7pt;" o:ole="t" filled="f" o:preferrelative="t" stroked="f" coordsize="21600,21600">
                  <v:path/>
                  <v:fill on="f" alignshape="1" focussize="0,0"/>
                  <v:stroke on="f"/>
                  <v:imagedata r:id="rId34" o:title=""/>
                  <o:lock v:ext="edit" aspectratio="t"/>
                  <w10:wrap type="none"/>
                  <w10:anchorlock/>
                </v:shape>
                <o:OLEObject Type="Embed" ProgID="Equation.3" ShapeID="_x0000_i1036" DrawAspect="Content" ObjectID="_1468075736" r:id="rId33">
                  <o:LockedField>false</o:LockedField>
                </o:OLEObject>
              </w:object>
            </w:r>
            <w:r>
              <w:rPr>
                <w:rFonts w:hint="eastAsia" w:ascii="Times New Roman" w:hAnsi="Times New Roman"/>
                <w:color w:val="FF0000"/>
                <w:sz w:val="18"/>
                <w:szCs w:val="18"/>
              </w:rPr>
              <w:t>kV</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5</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额定频率（Hz）</w:t>
            </w:r>
          </w:p>
        </w:tc>
        <w:tc>
          <w:tcPr>
            <w:tcW w:w="3600" w:type="dxa"/>
            <w:gridSpan w:val="2"/>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18"/>
                <w:szCs w:val="18"/>
              </w:rPr>
              <w:t>50</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6</w:t>
            </w:r>
          </w:p>
        </w:tc>
        <w:tc>
          <w:tcPr>
            <w:tcW w:w="306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工频耐受电压（kV）</w:t>
            </w:r>
          </w:p>
        </w:tc>
        <w:tc>
          <w:tcPr>
            <w:tcW w:w="198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42</w:t>
            </w:r>
          </w:p>
        </w:tc>
        <w:tc>
          <w:tcPr>
            <w:tcW w:w="162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42</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7</w:t>
            </w:r>
          </w:p>
        </w:tc>
        <w:tc>
          <w:tcPr>
            <w:tcW w:w="306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宋体"/>
                <w:sz w:val="18"/>
                <w:szCs w:val="18"/>
              </w:rPr>
              <w:t>额定</w:t>
            </w:r>
            <w:r>
              <w:rPr>
                <w:rFonts w:ascii="Times New Roman" w:hAnsi="宋体"/>
                <w:sz w:val="18"/>
                <w:szCs w:val="18"/>
              </w:rPr>
              <w:t>雷电</w:t>
            </w:r>
            <w:r>
              <w:rPr>
                <w:rFonts w:hint="eastAsia" w:ascii="Times New Roman" w:hAnsi="宋体"/>
                <w:sz w:val="18"/>
                <w:szCs w:val="18"/>
              </w:rPr>
              <w:t>全波</w:t>
            </w:r>
            <w:r>
              <w:rPr>
                <w:rFonts w:ascii="Times New Roman" w:hAnsi="宋体"/>
                <w:sz w:val="18"/>
                <w:szCs w:val="18"/>
              </w:rPr>
              <w:t>冲击耐受电压</w:t>
            </w:r>
            <w:r>
              <w:rPr>
                <w:rFonts w:hint="eastAsia" w:ascii="Times New Roman" w:hAnsi="Times New Roman"/>
                <w:sz w:val="18"/>
                <w:szCs w:val="18"/>
              </w:rPr>
              <w:t>（kV）</w:t>
            </w:r>
          </w:p>
        </w:tc>
        <w:tc>
          <w:tcPr>
            <w:tcW w:w="198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75</w:t>
            </w:r>
          </w:p>
        </w:tc>
        <w:tc>
          <w:tcPr>
            <w:tcW w:w="162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75</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8</w:t>
            </w:r>
          </w:p>
        </w:tc>
        <w:tc>
          <w:tcPr>
            <w:tcW w:w="3060" w:type="dxa"/>
            <w:noWrap w:val="0"/>
            <w:vAlign w:val="center"/>
          </w:tcPr>
          <w:p>
            <w:pPr>
              <w:pStyle w:val="6"/>
              <w:spacing w:line="360" w:lineRule="auto"/>
              <w:jc w:val="center"/>
              <w:rPr>
                <w:rFonts w:hint="eastAsia" w:ascii="Times New Roman" w:hAnsi="Times New Roman"/>
                <w:sz w:val="18"/>
                <w:szCs w:val="18"/>
              </w:rPr>
            </w:pPr>
            <w:r>
              <w:rPr>
                <w:rFonts w:ascii="Times New Roman" w:hAnsi="宋体"/>
                <w:sz w:val="18"/>
                <w:szCs w:val="18"/>
              </w:rPr>
              <w:t>额定雷电截波冲击耐受电压</w:t>
            </w:r>
            <w:r>
              <w:rPr>
                <w:rFonts w:hint="eastAsia" w:ascii="Times New Roman" w:hAnsi="Times New Roman"/>
                <w:sz w:val="18"/>
                <w:szCs w:val="18"/>
              </w:rPr>
              <w:t>（kV）</w:t>
            </w:r>
          </w:p>
        </w:tc>
        <w:tc>
          <w:tcPr>
            <w:tcW w:w="198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85</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85</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9</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额定输出</w:t>
            </w:r>
            <w:r>
              <w:rPr>
                <w:rFonts w:hint="eastAsia" w:ascii="Times New Roman" w:hAnsi="Times New Roman"/>
                <w:sz w:val="18"/>
                <w:szCs w:val="18"/>
              </w:rPr>
              <w:t>容量</w:t>
            </w:r>
            <w:r>
              <w:rPr>
                <w:rFonts w:ascii="Times New Roman" w:hAnsi="Times New Roman"/>
                <w:sz w:val="18"/>
                <w:szCs w:val="18"/>
              </w:rPr>
              <w:t>（VA）</w:t>
            </w:r>
          </w:p>
        </w:tc>
        <w:tc>
          <w:tcPr>
            <w:tcW w:w="198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30/30（线路型）</w:t>
            </w:r>
          </w:p>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50/75/75（母线型）</w:t>
            </w:r>
          </w:p>
        </w:tc>
        <w:tc>
          <w:tcPr>
            <w:tcW w:w="1620" w:type="dxa"/>
            <w:noWrap w:val="0"/>
            <w:vAlign w:val="top"/>
          </w:tcPr>
          <w:p>
            <w:pPr>
              <w:pStyle w:val="6"/>
              <w:spacing w:line="360" w:lineRule="auto"/>
              <w:jc w:val="center"/>
              <w:rPr>
                <w:rFonts w:ascii="Times New Roman" w:hAnsi="Times New Roman"/>
                <w:color w:val="FF0000"/>
                <w:sz w:val="18"/>
                <w:szCs w:val="18"/>
              </w:rPr>
            </w:pPr>
            <w:r>
              <w:rPr>
                <w:rFonts w:hint="eastAsia" w:ascii="Times New Roman" w:hAnsi="Times New Roman"/>
                <w:color w:val="FF0000"/>
                <w:sz w:val="18"/>
                <w:szCs w:val="18"/>
                <w:lang w:val="en-US" w:eastAsia="zh-CN"/>
              </w:rPr>
              <w:t>60</w:t>
            </w:r>
            <w:r>
              <w:rPr>
                <w:rFonts w:hint="eastAsia" w:ascii="Times New Roman" w:hAnsi="Times New Roman"/>
                <w:color w:val="FF0000"/>
                <w:sz w:val="18"/>
                <w:szCs w:val="18"/>
              </w:rPr>
              <w:t>/</w:t>
            </w:r>
            <w:r>
              <w:rPr>
                <w:rFonts w:hint="eastAsia" w:ascii="Times New Roman" w:hAnsi="Times New Roman"/>
                <w:color w:val="FF0000"/>
                <w:sz w:val="18"/>
                <w:szCs w:val="18"/>
                <w:lang w:val="en-US" w:eastAsia="zh-CN"/>
              </w:rPr>
              <w:t>6</w:t>
            </w:r>
            <w:r>
              <w:rPr>
                <w:rFonts w:hint="eastAsia" w:ascii="Times New Roman" w:hAnsi="Times New Roman"/>
                <w:color w:val="FF0000"/>
                <w:sz w:val="18"/>
                <w:szCs w:val="18"/>
              </w:rPr>
              <w:t>0/</w:t>
            </w:r>
            <w:r>
              <w:rPr>
                <w:rFonts w:hint="eastAsia" w:ascii="Times New Roman" w:hAnsi="Times New Roman"/>
                <w:color w:val="FF0000"/>
                <w:sz w:val="18"/>
                <w:szCs w:val="18"/>
                <w:lang w:val="en-US" w:eastAsia="zh-CN"/>
              </w:rPr>
              <w:t>150</w:t>
            </w:r>
            <w:r>
              <w:rPr>
                <w:rFonts w:hint="eastAsia" w:ascii="Times New Roman" w:hAnsi="Times New Roman"/>
                <w:sz w:val="18"/>
                <w:szCs w:val="18"/>
              </w:rPr>
              <w:t>（母线型</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10</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准确级</w:t>
            </w:r>
          </w:p>
        </w:tc>
        <w:tc>
          <w:tcPr>
            <w:tcW w:w="198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0.2/0.5（线路型）</w:t>
            </w:r>
          </w:p>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0.2/0.5/3P（母线型）</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0.2/0.5/3P（母线型）</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11</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瞬变响应</w:t>
            </w:r>
          </w:p>
        </w:tc>
        <w:tc>
          <w:tcPr>
            <w:tcW w:w="1980" w:type="dxa"/>
            <w:noWrap w:val="0"/>
            <w:vAlign w:val="center"/>
          </w:tcPr>
          <w:p>
            <w:pPr>
              <w:pStyle w:val="6"/>
              <w:spacing w:line="360" w:lineRule="auto"/>
              <w:jc w:val="center"/>
              <w:rPr>
                <w:rFonts w:hint="eastAsia" w:ascii="Times New Roman" w:hAnsi="Times New Roman"/>
                <w:sz w:val="24"/>
              </w:rPr>
            </w:pPr>
            <w:r>
              <w:rPr>
                <w:rFonts w:hint="eastAsia" w:ascii="Times New Roman" w:hAnsi="Times New Roman"/>
                <w:sz w:val="24"/>
              </w:rPr>
              <w:t>/</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12</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铁磁谐振性能</w:t>
            </w:r>
          </w:p>
        </w:tc>
        <w:tc>
          <w:tcPr>
            <w:tcW w:w="198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24"/>
              </w:rPr>
              <w:t>/</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hint="eastAsia" w:ascii="Times New Roman" w:hAnsi="Times New Roman"/>
                <w:sz w:val="18"/>
                <w:szCs w:val="18"/>
              </w:rPr>
            </w:pPr>
            <w:r>
              <w:rPr>
                <w:rFonts w:hint="eastAsia" w:ascii="Times New Roman" w:hAnsi="Times New Roman"/>
                <w:sz w:val="18"/>
                <w:szCs w:val="18"/>
              </w:rPr>
              <w:t>13</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设计寿命</w:t>
            </w:r>
          </w:p>
        </w:tc>
        <w:tc>
          <w:tcPr>
            <w:tcW w:w="198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18"/>
                <w:szCs w:val="18"/>
              </w:rPr>
              <w:t>30年</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30年</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二</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互感器其它特性参数</w:t>
            </w:r>
          </w:p>
        </w:tc>
        <w:tc>
          <w:tcPr>
            <w:tcW w:w="1980" w:type="dxa"/>
            <w:noWrap w:val="0"/>
            <w:vAlign w:val="center"/>
          </w:tcPr>
          <w:p>
            <w:pPr>
              <w:pStyle w:val="6"/>
              <w:spacing w:line="360" w:lineRule="auto"/>
              <w:jc w:val="center"/>
              <w:rPr>
                <w:rFonts w:ascii="Times New Roman" w:hAnsi="Times New Roman"/>
                <w:sz w:val="18"/>
                <w:szCs w:val="18"/>
              </w:rPr>
            </w:pPr>
          </w:p>
        </w:tc>
        <w:tc>
          <w:tcPr>
            <w:tcW w:w="1620" w:type="dxa"/>
            <w:noWrap w:val="0"/>
            <w:vAlign w:val="top"/>
          </w:tcPr>
          <w:p>
            <w:pPr>
              <w:pStyle w:val="6"/>
              <w:spacing w:line="360" w:lineRule="auto"/>
              <w:jc w:val="center"/>
              <w:rPr>
                <w:rFonts w:ascii="Times New Roman" w:hAnsi="Times New Roman"/>
                <w:sz w:val="18"/>
                <w:szCs w:val="18"/>
              </w:rPr>
            </w:pP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1</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爬电距离（mm）</w:t>
            </w:r>
          </w:p>
        </w:tc>
        <w:tc>
          <w:tcPr>
            <w:tcW w:w="1980" w:type="dxa"/>
            <w:noWrap w:val="0"/>
            <w:vAlign w:val="center"/>
          </w:tcPr>
          <w:p>
            <w:pPr>
              <w:pStyle w:val="6"/>
              <w:spacing w:line="360" w:lineRule="auto"/>
              <w:jc w:val="center"/>
              <w:rPr>
                <w:rFonts w:ascii="Times New Roman" w:hAnsi="Times New Roman"/>
                <w:sz w:val="18"/>
                <w:szCs w:val="18"/>
              </w:rPr>
            </w:pPr>
            <w:r>
              <w:rPr>
                <w:rFonts w:hint="eastAsia"/>
                <w:sz w:val="18"/>
                <w:szCs w:val="18"/>
              </w:rPr>
              <w:t>1013</w:t>
            </w:r>
            <w:r>
              <w:rPr>
                <w:rFonts w:hint="eastAsia" w:ascii="Times New Roman" w:hAnsi="Times New Roman"/>
                <w:sz w:val="18"/>
                <w:szCs w:val="18"/>
              </w:rPr>
              <w:t>K</w:t>
            </w:r>
            <w:r>
              <w:rPr>
                <w:rFonts w:hint="eastAsia" w:ascii="Times New Roman" w:hAnsi="Times New Roman"/>
                <w:sz w:val="18"/>
                <w:szCs w:val="18"/>
                <w:vertAlign w:val="subscript"/>
              </w:rPr>
              <w:t>d</w:t>
            </w:r>
            <w:r>
              <w:rPr>
                <w:rFonts w:hint="eastAsia"/>
                <w:sz w:val="18"/>
                <w:szCs w:val="18"/>
              </w:rPr>
              <w:t>/1256</w:t>
            </w:r>
            <w:r>
              <w:rPr>
                <w:rFonts w:hint="eastAsia" w:ascii="Times New Roman" w:hAnsi="Times New Roman"/>
                <w:sz w:val="18"/>
                <w:szCs w:val="18"/>
              </w:rPr>
              <w:t>K</w:t>
            </w:r>
            <w:r>
              <w:rPr>
                <w:rFonts w:hint="eastAsia" w:ascii="Times New Roman" w:hAnsi="Times New Roman"/>
                <w:sz w:val="18"/>
                <w:szCs w:val="18"/>
                <w:vertAlign w:val="subscript"/>
              </w:rPr>
              <w:t>d</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1256K</w:t>
            </w:r>
            <w:r>
              <w:rPr>
                <w:rFonts w:hint="eastAsia" w:ascii="Times New Roman" w:hAnsi="Times New Roman"/>
                <w:sz w:val="18"/>
                <w:szCs w:val="18"/>
                <w:vertAlign w:val="subscript"/>
              </w:rPr>
              <w:t>d</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2</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一次端子拉力（N）</w:t>
            </w:r>
          </w:p>
        </w:tc>
        <w:tc>
          <w:tcPr>
            <w:tcW w:w="198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18"/>
                <w:szCs w:val="18"/>
              </w:rPr>
              <w:t>2000</w:t>
            </w:r>
          </w:p>
        </w:tc>
        <w:tc>
          <w:tcPr>
            <w:tcW w:w="1620" w:type="dxa"/>
            <w:noWrap w:val="0"/>
            <w:vAlign w:val="top"/>
          </w:tcPr>
          <w:p>
            <w:pPr>
              <w:pStyle w:val="6"/>
              <w:spacing w:line="360" w:lineRule="auto"/>
              <w:jc w:val="center"/>
              <w:rPr>
                <w:rFonts w:ascii="Times New Roman" w:hAnsi="Times New Roman"/>
                <w:color w:val="FF0000"/>
                <w:sz w:val="18"/>
                <w:szCs w:val="18"/>
              </w:rPr>
            </w:pPr>
            <w:r>
              <w:rPr>
                <w:rFonts w:hint="eastAsia" w:ascii="Times New Roman" w:hAnsi="Times New Roman"/>
                <w:color w:val="FF0000"/>
                <w:sz w:val="18"/>
                <w:szCs w:val="18"/>
              </w:rPr>
              <w:t>2000</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3</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绝缘介质</w:t>
            </w:r>
          </w:p>
        </w:tc>
        <w:tc>
          <w:tcPr>
            <w:tcW w:w="1980" w:type="dxa"/>
            <w:noWrap w:val="0"/>
            <w:vAlign w:val="center"/>
          </w:tcPr>
          <w:p>
            <w:pPr>
              <w:pStyle w:val="6"/>
              <w:spacing w:line="360" w:lineRule="auto"/>
              <w:jc w:val="center"/>
              <w:rPr>
                <w:rFonts w:hint="eastAsia" w:ascii="Times New Roman" w:hAnsi="Times New Roman"/>
                <w:sz w:val="18"/>
                <w:szCs w:val="18"/>
              </w:rPr>
            </w:pPr>
            <w:r>
              <w:rPr>
                <w:rFonts w:hint="eastAsia"/>
                <w:sz w:val="18"/>
                <w:szCs w:val="18"/>
              </w:rPr>
              <w:t>固体/绝缘绕包</w:t>
            </w:r>
          </w:p>
        </w:tc>
        <w:tc>
          <w:tcPr>
            <w:tcW w:w="1620" w:type="dxa"/>
            <w:noWrap w:val="0"/>
            <w:vAlign w:val="top"/>
          </w:tcPr>
          <w:p>
            <w:pPr>
              <w:pStyle w:val="6"/>
              <w:spacing w:line="360" w:lineRule="auto"/>
              <w:jc w:val="center"/>
              <w:rPr>
                <w:rFonts w:ascii="Times New Roman" w:hAnsi="Times New Roman"/>
                <w:sz w:val="18"/>
                <w:szCs w:val="18"/>
              </w:rPr>
            </w:pPr>
            <w:r>
              <w:rPr>
                <w:rFonts w:hint="eastAsia"/>
                <w:color w:val="FF0000"/>
                <w:sz w:val="18"/>
                <w:szCs w:val="18"/>
              </w:rPr>
              <w:t>固体</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4</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重量（kg）</w:t>
            </w:r>
          </w:p>
        </w:tc>
        <w:tc>
          <w:tcPr>
            <w:tcW w:w="198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24"/>
              </w:rPr>
              <w:t>/</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5</w:t>
            </w:r>
          </w:p>
        </w:tc>
        <w:tc>
          <w:tcPr>
            <w:tcW w:w="306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互感器外形尺寸（mm）长、宽、高</w:t>
            </w:r>
          </w:p>
        </w:tc>
        <w:tc>
          <w:tcPr>
            <w:tcW w:w="198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24"/>
              </w:rPr>
              <w:t>/</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360" w:lineRule="auto"/>
              <w:jc w:val="center"/>
              <w:rPr>
                <w:rFonts w:ascii="Times New Roman" w:hAnsi="Times New Roman"/>
                <w:sz w:val="18"/>
                <w:szCs w:val="18"/>
              </w:rPr>
            </w:pPr>
            <w:r>
              <w:rPr>
                <w:rFonts w:ascii="Times New Roman" w:hAnsi="Times New Roman"/>
                <w:sz w:val="18"/>
                <w:szCs w:val="18"/>
              </w:rPr>
              <w:t>6</w:t>
            </w:r>
          </w:p>
        </w:tc>
        <w:tc>
          <w:tcPr>
            <w:tcW w:w="3060" w:type="dxa"/>
            <w:noWrap w:val="0"/>
            <w:vAlign w:val="center"/>
          </w:tcPr>
          <w:p>
            <w:pPr>
              <w:pStyle w:val="6"/>
              <w:spacing w:line="480" w:lineRule="atLeast"/>
              <w:rPr>
                <w:rFonts w:ascii="Times New Roman" w:hAnsi="Times New Roman"/>
                <w:sz w:val="18"/>
                <w:szCs w:val="18"/>
              </w:rPr>
            </w:pPr>
            <w:r>
              <w:rPr>
                <w:rFonts w:ascii="Times New Roman" w:hAnsi="Times New Roman"/>
                <w:sz w:val="18"/>
                <w:szCs w:val="18"/>
              </w:rPr>
              <w:t>重要部件来源：</w:t>
            </w:r>
          </w:p>
          <w:p>
            <w:pPr>
              <w:pStyle w:val="6"/>
              <w:spacing w:line="360" w:lineRule="auto"/>
              <w:jc w:val="center"/>
              <w:rPr>
                <w:rFonts w:hint="eastAsia" w:ascii="Times New Roman" w:hAnsi="Times New Roman"/>
                <w:sz w:val="18"/>
                <w:szCs w:val="18"/>
              </w:rPr>
            </w:pPr>
            <w:r>
              <w:rPr>
                <w:rFonts w:ascii="Times New Roman" w:hAnsi="Times New Roman"/>
                <w:sz w:val="18"/>
                <w:szCs w:val="18"/>
              </w:rPr>
              <w:t>提供金属膨胀器、套管、绝缘油来源</w:t>
            </w:r>
            <w:r>
              <w:rPr>
                <w:rFonts w:hint="eastAsia" w:ascii="Times New Roman" w:hAnsi="Times New Roman"/>
                <w:sz w:val="18"/>
                <w:szCs w:val="18"/>
              </w:rPr>
              <w:t>及</w:t>
            </w:r>
            <w:r>
              <w:rPr>
                <w:rFonts w:ascii="Times New Roman" w:hAnsi="Times New Roman"/>
                <w:sz w:val="18"/>
                <w:szCs w:val="18"/>
              </w:rPr>
              <w:t>规格</w:t>
            </w:r>
          </w:p>
        </w:tc>
        <w:tc>
          <w:tcPr>
            <w:tcW w:w="198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24"/>
              </w:rPr>
              <w:t>/</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w:t>
            </w: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480" w:lineRule="atLeast"/>
              <w:jc w:val="center"/>
              <w:rPr>
                <w:rFonts w:ascii="Times New Roman" w:hAnsi="Times New Roman"/>
                <w:sz w:val="18"/>
                <w:szCs w:val="18"/>
              </w:rPr>
            </w:pPr>
            <w:r>
              <w:rPr>
                <w:rFonts w:ascii="Times New Roman" w:hAnsi="Times New Roman"/>
                <w:sz w:val="18"/>
                <w:szCs w:val="18"/>
              </w:rPr>
              <w:t>三</w:t>
            </w:r>
          </w:p>
        </w:tc>
        <w:tc>
          <w:tcPr>
            <w:tcW w:w="3060" w:type="dxa"/>
            <w:noWrap w:val="0"/>
            <w:vAlign w:val="center"/>
          </w:tcPr>
          <w:p>
            <w:pPr>
              <w:pStyle w:val="6"/>
              <w:spacing w:line="480" w:lineRule="atLeast"/>
              <w:jc w:val="center"/>
              <w:rPr>
                <w:rFonts w:ascii="Times New Roman" w:hAnsi="Times New Roman"/>
                <w:sz w:val="18"/>
                <w:szCs w:val="18"/>
              </w:rPr>
            </w:pPr>
            <w:r>
              <w:rPr>
                <w:rFonts w:ascii="Times New Roman" w:hAnsi="Times New Roman"/>
                <w:sz w:val="18"/>
                <w:szCs w:val="18"/>
              </w:rPr>
              <w:t>其它技术要求</w:t>
            </w:r>
          </w:p>
        </w:tc>
        <w:tc>
          <w:tcPr>
            <w:tcW w:w="1980" w:type="dxa"/>
            <w:noWrap w:val="0"/>
            <w:vAlign w:val="center"/>
          </w:tcPr>
          <w:p>
            <w:pPr>
              <w:pStyle w:val="6"/>
              <w:spacing w:line="360" w:lineRule="auto"/>
              <w:jc w:val="center"/>
              <w:rPr>
                <w:rFonts w:ascii="Times New Roman" w:hAnsi="Times New Roman"/>
                <w:sz w:val="18"/>
                <w:szCs w:val="18"/>
              </w:rPr>
            </w:pPr>
          </w:p>
        </w:tc>
        <w:tc>
          <w:tcPr>
            <w:tcW w:w="1620" w:type="dxa"/>
            <w:noWrap w:val="0"/>
            <w:vAlign w:val="top"/>
          </w:tcPr>
          <w:p>
            <w:pPr>
              <w:pStyle w:val="6"/>
              <w:spacing w:line="360" w:lineRule="auto"/>
              <w:jc w:val="center"/>
              <w:rPr>
                <w:rFonts w:ascii="Times New Roman" w:hAnsi="Times New Roman"/>
                <w:sz w:val="18"/>
                <w:szCs w:val="18"/>
              </w:rPr>
            </w:pPr>
          </w:p>
        </w:tc>
        <w:tc>
          <w:tcPr>
            <w:tcW w:w="1157" w:type="dxa"/>
            <w:noWrap w:val="0"/>
            <w:vAlign w:val="top"/>
          </w:tcPr>
          <w:p>
            <w:pPr>
              <w:pStyle w:val="6"/>
              <w:spacing w:line="360" w:lineRule="auto"/>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540" w:type="dxa"/>
            <w:noWrap w:val="0"/>
            <w:vAlign w:val="center"/>
          </w:tcPr>
          <w:p>
            <w:pPr>
              <w:pStyle w:val="6"/>
              <w:spacing w:line="480" w:lineRule="atLeast"/>
              <w:jc w:val="center"/>
              <w:rPr>
                <w:rFonts w:ascii="Times New Roman" w:hAnsi="Times New Roman"/>
                <w:sz w:val="18"/>
                <w:szCs w:val="18"/>
              </w:rPr>
            </w:pPr>
            <w:r>
              <w:rPr>
                <w:rFonts w:ascii="Times New Roman" w:hAnsi="Times New Roman"/>
                <w:sz w:val="18"/>
                <w:szCs w:val="18"/>
              </w:rPr>
              <w:t>1</w:t>
            </w:r>
          </w:p>
        </w:tc>
        <w:tc>
          <w:tcPr>
            <w:tcW w:w="3060" w:type="dxa"/>
            <w:noWrap w:val="0"/>
            <w:vAlign w:val="center"/>
          </w:tcPr>
          <w:p>
            <w:pPr>
              <w:pStyle w:val="6"/>
              <w:spacing w:line="480" w:lineRule="atLeast"/>
              <w:jc w:val="center"/>
              <w:rPr>
                <w:rFonts w:ascii="Times New Roman" w:hAnsi="Times New Roman"/>
                <w:sz w:val="18"/>
                <w:szCs w:val="18"/>
              </w:rPr>
            </w:pPr>
            <w:r>
              <w:rPr>
                <w:rFonts w:ascii="Times New Roman" w:hAnsi="Times New Roman"/>
                <w:sz w:val="18"/>
                <w:szCs w:val="18"/>
              </w:rPr>
              <w:t>铭牌中有“外绝缘总爬电距离（mm）”栏</w:t>
            </w:r>
          </w:p>
        </w:tc>
        <w:tc>
          <w:tcPr>
            <w:tcW w:w="1980" w:type="dxa"/>
            <w:noWrap w:val="0"/>
            <w:vAlign w:val="center"/>
          </w:tcPr>
          <w:p>
            <w:pPr>
              <w:pStyle w:val="6"/>
              <w:spacing w:line="360" w:lineRule="auto"/>
              <w:jc w:val="center"/>
              <w:rPr>
                <w:rFonts w:ascii="Times New Roman" w:hAnsi="Times New Roman"/>
                <w:sz w:val="18"/>
                <w:szCs w:val="18"/>
              </w:rPr>
            </w:pPr>
            <w:r>
              <w:rPr>
                <w:rFonts w:hint="eastAsia" w:ascii="Times New Roman" w:hAnsi="Times New Roman"/>
                <w:sz w:val="24"/>
              </w:rPr>
              <w:t>/</w:t>
            </w:r>
          </w:p>
        </w:tc>
        <w:tc>
          <w:tcPr>
            <w:tcW w:w="1620" w:type="dxa"/>
            <w:noWrap w:val="0"/>
            <w:vAlign w:val="top"/>
          </w:tcPr>
          <w:p>
            <w:pPr>
              <w:pStyle w:val="6"/>
              <w:spacing w:line="360" w:lineRule="auto"/>
              <w:jc w:val="center"/>
              <w:rPr>
                <w:rFonts w:ascii="Times New Roman" w:hAnsi="Times New Roman"/>
                <w:sz w:val="18"/>
                <w:szCs w:val="18"/>
              </w:rPr>
            </w:pPr>
            <w:r>
              <w:rPr>
                <w:rFonts w:hint="eastAsia" w:ascii="Times New Roman" w:hAnsi="Times New Roman"/>
                <w:sz w:val="18"/>
                <w:szCs w:val="18"/>
              </w:rPr>
              <w:t>/</w:t>
            </w:r>
          </w:p>
        </w:tc>
        <w:tc>
          <w:tcPr>
            <w:tcW w:w="1157" w:type="dxa"/>
            <w:noWrap w:val="0"/>
            <w:vAlign w:val="top"/>
          </w:tcPr>
          <w:p>
            <w:pPr>
              <w:pStyle w:val="6"/>
              <w:spacing w:line="360" w:lineRule="auto"/>
              <w:jc w:val="center"/>
              <w:rPr>
                <w:rFonts w:ascii="Times New Roman" w:hAnsi="Times New Roman"/>
                <w:sz w:val="18"/>
                <w:szCs w:val="18"/>
              </w:rPr>
            </w:pPr>
          </w:p>
        </w:tc>
      </w:tr>
    </w:tbl>
    <w:p>
      <w:pPr>
        <w:adjustRightInd w:val="0"/>
        <w:snapToGrid w:val="0"/>
        <w:spacing w:line="360" w:lineRule="auto"/>
        <w:jc w:val="center"/>
        <w:rPr>
          <w:rFonts w:hint="eastAsia"/>
          <w:spacing w:val="-2"/>
          <w:szCs w:val="21"/>
        </w:rPr>
      </w:pPr>
    </w:p>
    <w:p>
      <w:pPr>
        <w:pStyle w:val="2"/>
        <w:numPr>
          <w:ilvl w:val="0"/>
          <w:numId w:val="0"/>
        </w:numPr>
        <w:adjustRightInd w:val="0"/>
        <w:spacing w:before="156" w:beforeLines="50"/>
        <w:rPr>
          <w:rFonts w:hint="eastAsia" w:ascii="黑体" w:eastAsia="黑体"/>
          <w:b w:val="0"/>
        </w:rPr>
      </w:pPr>
      <w:bookmarkStart w:id="123" w:name="_Toc342897965"/>
      <w:bookmarkStart w:id="124" w:name="_Toc287602840"/>
      <w:r>
        <w:rPr>
          <w:rFonts w:hint="eastAsia" w:ascii="黑体" w:eastAsia="黑体"/>
          <w:b w:val="0"/>
        </w:rPr>
        <w:t>12 备品备件及专用工具</w:t>
      </w:r>
      <w:bookmarkEnd w:id="123"/>
      <w:bookmarkEnd w:id="124"/>
    </w:p>
    <w:p>
      <w:pPr>
        <w:adjustRightInd w:val="0"/>
        <w:snapToGrid w:val="0"/>
        <w:spacing w:line="360" w:lineRule="auto"/>
        <w:outlineLvl w:val="1"/>
        <w:rPr>
          <w:rFonts w:hint="eastAsia" w:ascii="黑体" w:eastAsia="黑体"/>
        </w:rPr>
      </w:pPr>
      <w:bookmarkStart w:id="125" w:name="_Toc287602841"/>
      <w:bookmarkStart w:id="126" w:name="_Toc342897966"/>
      <w:r>
        <w:rPr>
          <w:rFonts w:hint="eastAsia" w:ascii="黑体" w:eastAsia="黑体"/>
        </w:rPr>
        <w:t>12.1 必备的备品备件、专用工具和仪器仪表</w:t>
      </w:r>
      <w:bookmarkEnd w:id="125"/>
      <w:bookmarkEnd w:id="126"/>
    </w:p>
    <w:p>
      <w:pPr>
        <w:pStyle w:val="17"/>
        <w:adjustRightInd w:val="0"/>
        <w:snapToGrid w:val="0"/>
        <w:spacing w:line="360" w:lineRule="auto"/>
        <w:rPr>
          <w:rFonts w:hint="eastAsia" w:ascii="宋体" w:hAnsi="宋体" w:eastAsia="宋体"/>
        </w:rPr>
      </w:pPr>
      <w:r>
        <w:rPr>
          <w:rFonts w:hint="eastAsia" w:ascii="宋体" w:hAnsi="宋体" w:eastAsia="宋体"/>
        </w:rPr>
        <w:t>投标方应向招标方提供必备的备品备件、专用工具和仪器仪表清单见表12.1, 要求提供的备品备件、专用工具和仪器仪表应是新品, 与设备同型号、同工艺。</w:t>
      </w:r>
    </w:p>
    <w:p>
      <w:pPr>
        <w:spacing w:line="360" w:lineRule="auto"/>
        <w:jc w:val="center"/>
        <w:rPr>
          <w:rFonts w:hint="eastAsia" w:ascii="宋体" w:hAnsi="宋体"/>
          <w:szCs w:val="21"/>
        </w:rPr>
      </w:pPr>
      <w:r>
        <w:rPr>
          <w:rFonts w:hint="eastAsia" w:ascii="宋体" w:hAnsi="宋体"/>
          <w:szCs w:val="21"/>
        </w:rPr>
        <w:t>表12.1</w:t>
      </w:r>
      <w:r>
        <w:rPr>
          <w:rFonts w:hint="eastAsia" w:ascii="宋体" w:hAnsi="宋体"/>
          <w:szCs w:val="21"/>
        </w:rPr>
        <w:tab/>
      </w:r>
      <w:r>
        <w:rPr>
          <w:rFonts w:hint="eastAsia" w:ascii="宋体" w:hAnsi="宋体"/>
          <w:szCs w:val="21"/>
        </w:rPr>
        <w:t>必备的备品备件、专用工具和仪器仪表清单</w:t>
      </w:r>
      <w:r>
        <w:rPr>
          <w:rFonts w:hint="eastAsia" w:hAnsi="宋体"/>
          <w:szCs w:val="21"/>
        </w:rPr>
        <w:t xml:space="preserve"> （项目单位填写）</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1514"/>
        <w:gridCol w:w="3675"/>
        <w:gridCol w:w="420"/>
        <w:gridCol w:w="630"/>
        <w:gridCol w:w="945"/>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blHeader/>
          <w:jc w:val="center"/>
        </w:trPr>
        <w:tc>
          <w:tcPr>
            <w:tcW w:w="484" w:type="dxa"/>
            <w:noWrap w:val="0"/>
            <w:vAlign w:val="center"/>
          </w:tcPr>
          <w:p>
            <w:pPr>
              <w:pStyle w:val="6"/>
              <w:jc w:val="center"/>
              <w:rPr>
                <w:rFonts w:hint="eastAsia" w:hAnsi="宋体"/>
                <w:szCs w:val="21"/>
              </w:rPr>
            </w:pPr>
            <w:r>
              <w:rPr>
                <w:rFonts w:hint="eastAsia" w:hAnsi="宋体"/>
                <w:szCs w:val="21"/>
              </w:rPr>
              <w:t>序号</w:t>
            </w:r>
          </w:p>
        </w:tc>
        <w:tc>
          <w:tcPr>
            <w:tcW w:w="1514" w:type="dxa"/>
            <w:noWrap w:val="0"/>
            <w:vAlign w:val="center"/>
          </w:tcPr>
          <w:p>
            <w:pPr>
              <w:pStyle w:val="6"/>
              <w:jc w:val="center"/>
              <w:rPr>
                <w:rFonts w:hint="eastAsia" w:hAnsi="宋体"/>
                <w:szCs w:val="21"/>
              </w:rPr>
            </w:pPr>
            <w:r>
              <w:rPr>
                <w:rFonts w:hint="eastAsia" w:hAnsi="宋体"/>
                <w:szCs w:val="21"/>
              </w:rPr>
              <w:t>名称</w:t>
            </w:r>
          </w:p>
        </w:tc>
        <w:tc>
          <w:tcPr>
            <w:tcW w:w="3675" w:type="dxa"/>
            <w:noWrap w:val="0"/>
            <w:vAlign w:val="center"/>
          </w:tcPr>
          <w:p>
            <w:pPr>
              <w:pStyle w:val="6"/>
              <w:jc w:val="center"/>
              <w:rPr>
                <w:rFonts w:hint="eastAsia" w:hAnsi="宋体"/>
                <w:szCs w:val="21"/>
              </w:rPr>
            </w:pPr>
            <w:r>
              <w:rPr>
                <w:rFonts w:hint="eastAsia" w:hAnsi="宋体"/>
                <w:szCs w:val="21"/>
              </w:rPr>
              <w:t>型号及规格</w:t>
            </w:r>
          </w:p>
        </w:tc>
        <w:tc>
          <w:tcPr>
            <w:tcW w:w="420" w:type="dxa"/>
            <w:noWrap w:val="0"/>
            <w:vAlign w:val="center"/>
          </w:tcPr>
          <w:p>
            <w:pPr>
              <w:pStyle w:val="6"/>
              <w:jc w:val="center"/>
              <w:rPr>
                <w:rFonts w:hint="eastAsia" w:hAnsi="宋体"/>
                <w:szCs w:val="21"/>
              </w:rPr>
            </w:pPr>
            <w:r>
              <w:rPr>
                <w:rFonts w:hint="eastAsia" w:hAnsi="宋体"/>
                <w:szCs w:val="21"/>
              </w:rPr>
              <w:t>单位</w:t>
            </w:r>
          </w:p>
        </w:tc>
        <w:tc>
          <w:tcPr>
            <w:tcW w:w="630" w:type="dxa"/>
            <w:noWrap w:val="0"/>
            <w:vAlign w:val="center"/>
          </w:tcPr>
          <w:p>
            <w:pPr>
              <w:pStyle w:val="6"/>
              <w:jc w:val="center"/>
              <w:rPr>
                <w:rFonts w:hint="eastAsia" w:hAnsi="宋体"/>
                <w:szCs w:val="21"/>
              </w:rPr>
            </w:pPr>
            <w:r>
              <w:rPr>
                <w:rFonts w:hint="eastAsia" w:hAnsi="宋体"/>
                <w:szCs w:val="21"/>
              </w:rPr>
              <w:t>数量</w:t>
            </w:r>
          </w:p>
        </w:tc>
        <w:tc>
          <w:tcPr>
            <w:tcW w:w="945" w:type="dxa"/>
            <w:noWrap w:val="0"/>
            <w:vAlign w:val="center"/>
          </w:tcPr>
          <w:p>
            <w:pPr>
              <w:pStyle w:val="6"/>
              <w:jc w:val="center"/>
              <w:rPr>
                <w:rFonts w:hint="eastAsia" w:hAnsi="宋体"/>
                <w:szCs w:val="21"/>
              </w:rPr>
            </w:pPr>
            <w:r>
              <w:rPr>
                <w:rFonts w:hint="eastAsia" w:hAnsi="宋体"/>
                <w:szCs w:val="21"/>
              </w:rPr>
              <w:t>使用处</w:t>
            </w:r>
          </w:p>
        </w:tc>
        <w:tc>
          <w:tcPr>
            <w:tcW w:w="720" w:type="dxa"/>
            <w:noWrap w:val="0"/>
            <w:vAlign w:val="center"/>
          </w:tcPr>
          <w:p>
            <w:pPr>
              <w:pStyle w:val="6"/>
              <w:jc w:val="center"/>
              <w:rPr>
                <w:rFonts w:hint="eastAsia" w:hAnsi="宋体"/>
                <w:szCs w:val="21"/>
              </w:rPr>
            </w:pPr>
            <w:r>
              <w:rPr>
                <w:rFonts w:hint="eastAsia" w:hAnsi="宋体"/>
                <w:szCs w:val="21"/>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6"/>
              <w:jc w:val="center"/>
              <w:rPr>
                <w:rFonts w:hAnsi="宋体"/>
                <w:szCs w:val="21"/>
              </w:rPr>
            </w:pPr>
          </w:p>
        </w:tc>
        <w:tc>
          <w:tcPr>
            <w:tcW w:w="1514" w:type="dxa"/>
            <w:noWrap w:val="0"/>
            <w:vAlign w:val="top"/>
          </w:tcPr>
          <w:p>
            <w:pPr>
              <w:pStyle w:val="6"/>
              <w:jc w:val="center"/>
              <w:rPr>
                <w:rFonts w:hint="eastAsia" w:hAnsi="宋体"/>
                <w:szCs w:val="21"/>
              </w:rPr>
            </w:pPr>
          </w:p>
        </w:tc>
        <w:tc>
          <w:tcPr>
            <w:tcW w:w="3675" w:type="dxa"/>
            <w:noWrap w:val="0"/>
            <w:vAlign w:val="top"/>
          </w:tcPr>
          <w:p>
            <w:pPr>
              <w:pStyle w:val="6"/>
              <w:jc w:val="center"/>
              <w:rPr>
                <w:rFonts w:hint="eastAsia" w:hAnsi="宋体"/>
                <w:szCs w:val="21"/>
              </w:rPr>
            </w:pPr>
          </w:p>
        </w:tc>
        <w:tc>
          <w:tcPr>
            <w:tcW w:w="420" w:type="dxa"/>
            <w:noWrap w:val="0"/>
            <w:vAlign w:val="top"/>
          </w:tcPr>
          <w:p>
            <w:pPr>
              <w:pStyle w:val="6"/>
              <w:jc w:val="center"/>
              <w:rPr>
                <w:rFonts w:hint="eastAsia" w:hAnsi="宋体"/>
                <w:szCs w:val="21"/>
              </w:rPr>
            </w:pPr>
          </w:p>
        </w:tc>
        <w:tc>
          <w:tcPr>
            <w:tcW w:w="630" w:type="dxa"/>
            <w:noWrap w:val="0"/>
            <w:vAlign w:val="top"/>
          </w:tcPr>
          <w:p>
            <w:pPr>
              <w:pStyle w:val="6"/>
              <w:jc w:val="center"/>
              <w:rPr>
                <w:rFonts w:hint="eastAsia" w:hAnsi="宋体"/>
                <w:szCs w:val="21"/>
              </w:rPr>
            </w:pPr>
          </w:p>
        </w:tc>
        <w:tc>
          <w:tcPr>
            <w:tcW w:w="945" w:type="dxa"/>
            <w:noWrap w:val="0"/>
            <w:vAlign w:val="top"/>
          </w:tcPr>
          <w:p>
            <w:pPr>
              <w:pStyle w:val="6"/>
              <w:jc w:val="center"/>
              <w:rPr>
                <w:rFonts w:hint="eastAsia" w:hAnsi="宋体"/>
                <w:szCs w:val="21"/>
              </w:rPr>
            </w:pPr>
          </w:p>
        </w:tc>
        <w:tc>
          <w:tcPr>
            <w:tcW w:w="720" w:type="dxa"/>
            <w:noWrap w:val="0"/>
            <w:vAlign w:val="top"/>
          </w:tcPr>
          <w:p>
            <w:pPr>
              <w:pStyle w:val="6"/>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6"/>
              <w:jc w:val="center"/>
              <w:rPr>
                <w:rFonts w:hAnsi="宋体"/>
                <w:szCs w:val="21"/>
              </w:rPr>
            </w:pPr>
          </w:p>
        </w:tc>
        <w:tc>
          <w:tcPr>
            <w:tcW w:w="1514" w:type="dxa"/>
            <w:noWrap w:val="0"/>
            <w:vAlign w:val="top"/>
          </w:tcPr>
          <w:p>
            <w:pPr>
              <w:pStyle w:val="6"/>
              <w:jc w:val="center"/>
              <w:rPr>
                <w:rFonts w:hint="eastAsia" w:hAnsi="宋体"/>
                <w:szCs w:val="21"/>
              </w:rPr>
            </w:pPr>
          </w:p>
        </w:tc>
        <w:tc>
          <w:tcPr>
            <w:tcW w:w="3675" w:type="dxa"/>
            <w:noWrap w:val="0"/>
            <w:vAlign w:val="top"/>
          </w:tcPr>
          <w:p>
            <w:pPr>
              <w:pStyle w:val="6"/>
              <w:jc w:val="center"/>
              <w:rPr>
                <w:rFonts w:hint="eastAsia" w:hAnsi="宋体"/>
                <w:szCs w:val="21"/>
              </w:rPr>
            </w:pPr>
          </w:p>
        </w:tc>
        <w:tc>
          <w:tcPr>
            <w:tcW w:w="420" w:type="dxa"/>
            <w:noWrap w:val="0"/>
            <w:vAlign w:val="top"/>
          </w:tcPr>
          <w:p>
            <w:pPr>
              <w:pStyle w:val="6"/>
              <w:jc w:val="center"/>
              <w:rPr>
                <w:rFonts w:hint="eastAsia" w:hAnsi="宋体"/>
                <w:szCs w:val="21"/>
              </w:rPr>
            </w:pPr>
          </w:p>
        </w:tc>
        <w:tc>
          <w:tcPr>
            <w:tcW w:w="630" w:type="dxa"/>
            <w:noWrap w:val="0"/>
            <w:vAlign w:val="top"/>
          </w:tcPr>
          <w:p>
            <w:pPr>
              <w:pStyle w:val="6"/>
              <w:jc w:val="center"/>
              <w:rPr>
                <w:rFonts w:hint="eastAsia" w:hAnsi="宋体"/>
                <w:szCs w:val="21"/>
              </w:rPr>
            </w:pPr>
          </w:p>
        </w:tc>
        <w:tc>
          <w:tcPr>
            <w:tcW w:w="945" w:type="dxa"/>
            <w:noWrap w:val="0"/>
            <w:vAlign w:val="top"/>
          </w:tcPr>
          <w:p>
            <w:pPr>
              <w:pStyle w:val="6"/>
              <w:jc w:val="center"/>
              <w:rPr>
                <w:rFonts w:hint="eastAsia" w:hAnsi="宋体"/>
                <w:szCs w:val="21"/>
              </w:rPr>
            </w:pPr>
          </w:p>
        </w:tc>
        <w:tc>
          <w:tcPr>
            <w:tcW w:w="720" w:type="dxa"/>
            <w:noWrap w:val="0"/>
            <w:vAlign w:val="top"/>
          </w:tcPr>
          <w:p>
            <w:pPr>
              <w:pStyle w:val="6"/>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484" w:type="dxa"/>
            <w:noWrap w:val="0"/>
            <w:vAlign w:val="top"/>
          </w:tcPr>
          <w:p>
            <w:pPr>
              <w:pStyle w:val="6"/>
              <w:jc w:val="center"/>
              <w:rPr>
                <w:rFonts w:hAnsi="宋体"/>
                <w:szCs w:val="21"/>
              </w:rPr>
            </w:pPr>
          </w:p>
        </w:tc>
        <w:tc>
          <w:tcPr>
            <w:tcW w:w="1514" w:type="dxa"/>
            <w:noWrap w:val="0"/>
            <w:vAlign w:val="top"/>
          </w:tcPr>
          <w:p>
            <w:pPr>
              <w:pStyle w:val="6"/>
              <w:jc w:val="center"/>
              <w:rPr>
                <w:rFonts w:hint="eastAsia" w:hAnsi="宋体"/>
                <w:szCs w:val="21"/>
              </w:rPr>
            </w:pPr>
          </w:p>
        </w:tc>
        <w:tc>
          <w:tcPr>
            <w:tcW w:w="3675" w:type="dxa"/>
            <w:noWrap w:val="0"/>
            <w:vAlign w:val="top"/>
          </w:tcPr>
          <w:p>
            <w:pPr>
              <w:pStyle w:val="6"/>
              <w:jc w:val="center"/>
              <w:rPr>
                <w:rFonts w:hint="eastAsia" w:hAnsi="宋体"/>
                <w:szCs w:val="21"/>
              </w:rPr>
            </w:pPr>
          </w:p>
        </w:tc>
        <w:tc>
          <w:tcPr>
            <w:tcW w:w="420" w:type="dxa"/>
            <w:noWrap w:val="0"/>
            <w:vAlign w:val="top"/>
          </w:tcPr>
          <w:p>
            <w:pPr>
              <w:pStyle w:val="6"/>
              <w:jc w:val="center"/>
              <w:rPr>
                <w:rFonts w:hint="eastAsia" w:hAnsi="宋体"/>
                <w:szCs w:val="21"/>
              </w:rPr>
            </w:pPr>
          </w:p>
        </w:tc>
        <w:tc>
          <w:tcPr>
            <w:tcW w:w="630" w:type="dxa"/>
            <w:noWrap w:val="0"/>
            <w:vAlign w:val="top"/>
          </w:tcPr>
          <w:p>
            <w:pPr>
              <w:pStyle w:val="6"/>
              <w:jc w:val="center"/>
              <w:rPr>
                <w:rFonts w:hint="eastAsia" w:hAnsi="宋体"/>
                <w:szCs w:val="21"/>
              </w:rPr>
            </w:pPr>
          </w:p>
        </w:tc>
        <w:tc>
          <w:tcPr>
            <w:tcW w:w="945" w:type="dxa"/>
            <w:noWrap w:val="0"/>
            <w:vAlign w:val="top"/>
          </w:tcPr>
          <w:p>
            <w:pPr>
              <w:pStyle w:val="6"/>
              <w:jc w:val="center"/>
              <w:rPr>
                <w:rFonts w:hint="eastAsia" w:hAnsi="宋体"/>
                <w:szCs w:val="21"/>
              </w:rPr>
            </w:pPr>
          </w:p>
        </w:tc>
        <w:tc>
          <w:tcPr>
            <w:tcW w:w="720" w:type="dxa"/>
            <w:noWrap w:val="0"/>
            <w:vAlign w:val="top"/>
          </w:tcPr>
          <w:p>
            <w:pPr>
              <w:pStyle w:val="6"/>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6"/>
              <w:jc w:val="center"/>
              <w:rPr>
                <w:rFonts w:hAnsi="宋体"/>
                <w:szCs w:val="21"/>
              </w:rPr>
            </w:pPr>
          </w:p>
        </w:tc>
        <w:tc>
          <w:tcPr>
            <w:tcW w:w="1514" w:type="dxa"/>
            <w:noWrap w:val="0"/>
            <w:vAlign w:val="top"/>
          </w:tcPr>
          <w:p>
            <w:pPr>
              <w:pStyle w:val="6"/>
              <w:jc w:val="center"/>
              <w:rPr>
                <w:rFonts w:hint="eastAsia" w:hAnsi="宋体"/>
                <w:szCs w:val="21"/>
              </w:rPr>
            </w:pPr>
          </w:p>
        </w:tc>
        <w:tc>
          <w:tcPr>
            <w:tcW w:w="3675" w:type="dxa"/>
            <w:noWrap w:val="0"/>
            <w:vAlign w:val="top"/>
          </w:tcPr>
          <w:p>
            <w:pPr>
              <w:pStyle w:val="6"/>
              <w:jc w:val="center"/>
              <w:rPr>
                <w:rFonts w:hint="eastAsia" w:hAnsi="宋体"/>
                <w:szCs w:val="21"/>
              </w:rPr>
            </w:pPr>
          </w:p>
        </w:tc>
        <w:tc>
          <w:tcPr>
            <w:tcW w:w="420" w:type="dxa"/>
            <w:noWrap w:val="0"/>
            <w:vAlign w:val="top"/>
          </w:tcPr>
          <w:p>
            <w:pPr>
              <w:pStyle w:val="6"/>
              <w:jc w:val="center"/>
              <w:rPr>
                <w:rFonts w:hint="eastAsia" w:hAnsi="宋体"/>
                <w:szCs w:val="21"/>
              </w:rPr>
            </w:pPr>
          </w:p>
        </w:tc>
        <w:tc>
          <w:tcPr>
            <w:tcW w:w="630" w:type="dxa"/>
            <w:noWrap w:val="0"/>
            <w:vAlign w:val="top"/>
          </w:tcPr>
          <w:p>
            <w:pPr>
              <w:pStyle w:val="6"/>
              <w:jc w:val="center"/>
              <w:rPr>
                <w:rFonts w:hint="eastAsia" w:hAnsi="宋体"/>
                <w:szCs w:val="21"/>
              </w:rPr>
            </w:pPr>
          </w:p>
        </w:tc>
        <w:tc>
          <w:tcPr>
            <w:tcW w:w="945" w:type="dxa"/>
            <w:noWrap w:val="0"/>
            <w:vAlign w:val="top"/>
          </w:tcPr>
          <w:p>
            <w:pPr>
              <w:pStyle w:val="6"/>
              <w:jc w:val="center"/>
              <w:rPr>
                <w:rFonts w:hint="eastAsia" w:hAnsi="宋体"/>
                <w:szCs w:val="21"/>
              </w:rPr>
            </w:pPr>
          </w:p>
        </w:tc>
        <w:tc>
          <w:tcPr>
            <w:tcW w:w="720" w:type="dxa"/>
            <w:noWrap w:val="0"/>
            <w:vAlign w:val="top"/>
          </w:tcPr>
          <w:p>
            <w:pPr>
              <w:pStyle w:val="6"/>
              <w:jc w:val="center"/>
              <w:rPr>
                <w:rFonts w:hint="eastAsia" w:hAnsi="宋体"/>
                <w:szCs w:val="21"/>
              </w:rPr>
            </w:pPr>
          </w:p>
        </w:tc>
      </w:tr>
    </w:tbl>
    <w:p>
      <w:pPr>
        <w:adjustRightInd w:val="0"/>
        <w:snapToGrid w:val="0"/>
        <w:spacing w:line="360" w:lineRule="auto"/>
        <w:outlineLvl w:val="1"/>
        <w:rPr>
          <w:rFonts w:hint="eastAsia" w:ascii="黑体" w:eastAsia="黑体"/>
        </w:rPr>
      </w:pPr>
      <w:bookmarkStart w:id="127" w:name="_Toc224641197"/>
      <w:bookmarkStart w:id="128" w:name="_Toc287602842"/>
    </w:p>
    <w:p>
      <w:pPr>
        <w:adjustRightInd w:val="0"/>
        <w:snapToGrid w:val="0"/>
        <w:spacing w:line="360" w:lineRule="auto"/>
        <w:outlineLvl w:val="1"/>
        <w:rPr>
          <w:rFonts w:hint="eastAsia" w:ascii="黑体" w:eastAsia="黑体"/>
        </w:rPr>
      </w:pPr>
      <w:bookmarkStart w:id="129" w:name="_Toc342897967"/>
      <w:r>
        <w:rPr>
          <w:rFonts w:hint="eastAsia" w:ascii="黑体" w:eastAsia="黑体"/>
        </w:rPr>
        <w:t>12.2 推荐的</w:t>
      </w:r>
      <w:bookmarkEnd w:id="127"/>
      <w:r>
        <w:rPr>
          <w:rFonts w:hint="eastAsia" w:ascii="黑体" w:eastAsia="黑体"/>
        </w:rPr>
        <w:t>备品备件、专用工具和仪器仪表</w:t>
      </w:r>
      <w:bookmarkEnd w:id="128"/>
      <w:bookmarkEnd w:id="129"/>
    </w:p>
    <w:p>
      <w:pPr>
        <w:pStyle w:val="17"/>
        <w:adjustRightInd w:val="0"/>
        <w:snapToGrid w:val="0"/>
        <w:spacing w:line="360" w:lineRule="auto"/>
        <w:rPr>
          <w:rFonts w:hint="eastAsia" w:ascii="宋体" w:hAnsi="宋体" w:eastAsia="宋体"/>
        </w:rPr>
      </w:pPr>
      <w:r>
        <w:rPr>
          <w:rFonts w:hint="eastAsia" w:ascii="宋体" w:hAnsi="宋体" w:eastAsia="宋体"/>
        </w:rPr>
        <w:t>投标方向招标方推荐另购的备品备件、专用工具和仪器仪表见表12.2。</w:t>
      </w:r>
    </w:p>
    <w:p>
      <w:pPr>
        <w:spacing w:line="360" w:lineRule="auto"/>
        <w:jc w:val="center"/>
        <w:rPr>
          <w:rFonts w:hint="eastAsia" w:ascii="宋体" w:hAnsi="宋体"/>
          <w:szCs w:val="21"/>
        </w:rPr>
      </w:pPr>
      <w:r>
        <w:rPr>
          <w:rFonts w:hint="eastAsia" w:ascii="宋体" w:hAnsi="宋体"/>
          <w:szCs w:val="21"/>
        </w:rPr>
        <w:t xml:space="preserve">表12.2  推荐的备品备件、专用工具和仪器仪表清单 </w:t>
      </w:r>
      <w:r>
        <w:rPr>
          <w:rFonts w:hint="eastAsia" w:hAnsi="宋体"/>
          <w:szCs w:val="21"/>
        </w:rPr>
        <w:t xml:space="preserve"> （投标方填写）</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1504"/>
        <w:gridCol w:w="3685"/>
        <w:gridCol w:w="420"/>
        <w:gridCol w:w="816"/>
        <w:gridCol w:w="759"/>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center"/>
          </w:tcPr>
          <w:p>
            <w:pPr>
              <w:pStyle w:val="6"/>
              <w:jc w:val="center"/>
              <w:rPr>
                <w:rFonts w:hint="eastAsia" w:hAnsi="宋体"/>
                <w:szCs w:val="21"/>
              </w:rPr>
            </w:pPr>
            <w:r>
              <w:rPr>
                <w:rFonts w:hint="eastAsia" w:hAnsi="宋体"/>
                <w:szCs w:val="21"/>
              </w:rPr>
              <w:t>序号</w:t>
            </w:r>
          </w:p>
        </w:tc>
        <w:tc>
          <w:tcPr>
            <w:tcW w:w="1504" w:type="dxa"/>
            <w:noWrap w:val="0"/>
            <w:vAlign w:val="center"/>
          </w:tcPr>
          <w:p>
            <w:pPr>
              <w:pStyle w:val="6"/>
              <w:jc w:val="center"/>
              <w:rPr>
                <w:rFonts w:hint="eastAsia" w:hAnsi="宋体"/>
                <w:szCs w:val="21"/>
              </w:rPr>
            </w:pPr>
            <w:r>
              <w:rPr>
                <w:rFonts w:hint="eastAsia" w:hAnsi="宋体"/>
                <w:szCs w:val="21"/>
              </w:rPr>
              <w:t>名称</w:t>
            </w:r>
          </w:p>
        </w:tc>
        <w:tc>
          <w:tcPr>
            <w:tcW w:w="3685" w:type="dxa"/>
            <w:noWrap w:val="0"/>
            <w:vAlign w:val="center"/>
          </w:tcPr>
          <w:p>
            <w:pPr>
              <w:pStyle w:val="6"/>
              <w:jc w:val="center"/>
              <w:rPr>
                <w:rFonts w:hint="eastAsia" w:hAnsi="宋体"/>
                <w:szCs w:val="21"/>
              </w:rPr>
            </w:pPr>
            <w:r>
              <w:rPr>
                <w:rFonts w:hint="eastAsia" w:hAnsi="宋体"/>
                <w:szCs w:val="21"/>
              </w:rPr>
              <w:t>型号及规格</w:t>
            </w:r>
          </w:p>
        </w:tc>
        <w:tc>
          <w:tcPr>
            <w:tcW w:w="420" w:type="dxa"/>
            <w:noWrap w:val="0"/>
            <w:vAlign w:val="center"/>
          </w:tcPr>
          <w:p>
            <w:pPr>
              <w:pStyle w:val="6"/>
              <w:jc w:val="center"/>
              <w:rPr>
                <w:rFonts w:hint="eastAsia" w:hAnsi="宋体"/>
                <w:szCs w:val="21"/>
              </w:rPr>
            </w:pPr>
            <w:r>
              <w:rPr>
                <w:rFonts w:hint="eastAsia" w:hAnsi="宋体"/>
                <w:szCs w:val="21"/>
              </w:rPr>
              <w:t>单位</w:t>
            </w:r>
          </w:p>
        </w:tc>
        <w:tc>
          <w:tcPr>
            <w:tcW w:w="816" w:type="dxa"/>
            <w:noWrap w:val="0"/>
            <w:vAlign w:val="center"/>
          </w:tcPr>
          <w:p>
            <w:pPr>
              <w:pStyle w:val="6"/>
              <w:jc w:val="center"/>
              <w:rPr>
                <w:rFonts w:hint="eastAsia" w:hAnsi="宋体"/>
                <w:szCs w:val="21"/>
              </w:rPr>
            </w:pPr>
            <w:r>
              <w:rPr>
                <w:rFonts w:hint="eastAsia" w:hAnsi="宋体"/>
                <w:szCs w:val="21"/>
              </w:rPr>
              <w:t>数量</w:t>
            </w:r>
          </w:p>
        </w:tc>
        <w:tc>
          <w:tcPr>
            <w:tcW w:w="759" w:type="dxa"/>
            <w:noWrap w:val="0"/>
            <w:vAlign w:val="center"/>
          </w:tcPr>
          <w:p>
            <w:pPr>
              <w:pStyle w:val="6"/>
              <w:jc w:val="center"/>
              <w:rPr>
                <w:rFonts w:hint="eastAsia" w:hAnsi="宋体"/>
                <w:szCs w:val="21"/>
              </w:rPr>
            </w:pPr>
            <w:r>
              <w:rPr>
                <w:rFonts w:hint="eastAsia" w:hAnsi="宋体"/>
                <w:szCs w:val="21"/>
              </w:rPr>
              <w:t>用 途</w:t>
            </w:r>
          </w:p>
        </w:tc>
        <w:tc>
          <w:tcPr>
            <w:tcW w:w="720" w:type="dxa"/>
            <w:noWrap w:val="0"/>
            <w:vAlign w:val="center"/>
          </w:tcPr>
          <w:p>
            <w:pPr>
              <w:pStyle w:val="6"/>
              <w:jc w:val="center"/>
              <w:rPr>
                <w:rFonts w:hint="eastAsia" w:hAnsi="宋体"/>
                <w:szCs w:val="21"/>
              </w:rPr>
            </w:pPr>
            <w:r>
              <w:rPr>
                <w:rFonts w:hint="eastAsia" w:hAnsi="宋体"/>
                <w:szCs w:val="21"/>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6"/>
              <w:jc w:val="center"/>
              <w:rPr>
                <w:rFonts w:hint="eastAsia" w:hAnsi="宋体"/>
                <w:szCs w:val="21"/>
              </w:rPr>
            </w:pPr>
          </w:p>
        </w:tc>
        <w:tc>
          <w:tcPr>
            <w:tcW w:w="1504" w:type="dxa"/>
            <w:noWrap w:val="0"/>
            <w:vAlign w:val="top"/>
          </w:tcPr>
          <w:p>
            <w:pPr>
              <w:pStyle w:val="6"/>
              <w:jc w:val="center"/>
              <w:rPr>
                <w:rFonts w:hint="eastAsia" w:hAnsi="宋体"/>
                <w:szCs w:val="21"/>
              </w:rPr>
            </w:pPr>
          </w:p>
        </w:tc>
        <w:tc>
          <w:tcPr>
            <w:tcW w:w="3685" w:type="dxa"/>
            <w:noWrap w:val="0"/>
            <w:vAlign w:val="top"/>
          </w:tcPr>
          <w:p>
            <w:pPr>
              <w:pStyle w:val="6"/>
              <w:jc w:val="center"/>
              <w:rPr>
                <w:rFonts w:hint="eastAsia" w:hAnsi="宋体"/>
                <w:szCs w:val="21"/>
              </w:rPr>
            </w:pPr>
          </w:p>
        </w:tc>
        <w:tc>
          <w:tcPr>
            <w:tcW w:w="420" w:type="dxa"/>
            <w:noWrap w:val="0"/>
            <w:vAlign w:val="top"/>
          </w:tcPr>
          <w:p>
            <w:pPr>
              <w:pStyle w:val="6"/>
              <w:jc w:val="center"/>
              <w:rPr>
                <w:rFonts w:hint="eastAsia" w:hAnsi="宋体"/>
                <w:szCs w:val="21"/>
              </w:rPr>
            </w:pPr>
          </w:p>
        </w:tc>
        <w:tc>
          <w:tcPr>
            <w:tcW w:w="816" w:type="dxa"/>
            <w:noWrap w:val="0"/>
            <w:vAlign w:val="top"/>
          </w:tcPr>
          <w:p>
            <w:pPr>
              <w:pStyle w:val="6"/>
              <w:jc w:val="center"/>
              <w:rPr>
                <w:rFonts w:hint="eastAsia" w:hAnsi="宋体"/>
                <w:szCs w:val="21"/>
              </w:rPr>
            </w:pPr>
          </w:p>
        </w:tc>
        <w:tc>
          <w:tcPr>
            <w:tcW w:w="759" w:type="dxa"/>
            <w:noWrap w:val="0"/>
            <w:vAlign w:val="top"/>
          </w:tcPr>
          <w:p>
            <w:pPr>
              <w:pStyle w:val="6"/>
              <w:jc w:val="center"/>
              <w:rPr>
                <w:rFonts w:hint="eastAsia" w:hAnsi="宋体"/>
                <w:szCs w:val="21"/>
              </w:rPr>
            </w:pPr>
          </w:p>
        </w:tc>
        <w:tc>
          <w:tcPr>
            <w:tcW w:w="720" w:type="dxa"/>
            <w:noWrap w:val="0"/>
            <w:vAlign w:val="top"/>
          </w:tcPr>
          <w:p>
            <w:pPr>
              <w:pStyle w:val="6"/>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6"/>
              <w:jc w:val="center"/>
              <w:rPr>
                <w:rFonts w:hint="eastAsia" w:hAnsi="宋体"/>
                <w:szCs w:val="21"/>
              </w:rPr>
            </w:pPr>
          </w:p>
        </w:tc>
        <w:tc>
          <w:tcPr>
            <w:tcW w:w="1504" w:type="dxa"/>
            <w:noWrap w:val="0"/>
            <w:vAlign w:val="top"/>
          </w:tcPr>
          <w:p>
            <w:pPr>
              <w:pStyle w:val="6"/>
              <w:jc w:val="center"/>
              <w:rPr>
                <w:rFonts w:hint="eastAsia" w:hAnsi="宋体"/>
                <w:szCs w:val="21"/>
              </w:rPr>
            </w:pPr>
          </w:p>
        </w:tc>
        <w:tc>
          <w:tcPr>
            <w:tcW w:w="3685" w:type="dxa"/>
            <w:noWrap w:val="0"/>
            <w:vAlign w:val="top"/>
          </w:tcPr>
          <w:p>
            <w:pPr>
              <w:pStyle w:val="6"/>
              <w:jc w:val="center"/>
              <w:rPr>
                <w:rFonts w:hint="eastAsia" w:hAnsi="宋体"/>
                <w:szCs w:val="21"/>
              </w:rPr>
            </w:pPr>
          </w:p>
        </w:tc>
        <w:tc>
          <w:tcPr>
            <w:tcW w:w="420" w:type="dxa"/>
            <w:noWrap w:val="0"/>
            <w:vAlign w:val="top"/>
          </w:tcPr>
          <w:p>
            <w:pPr>
              <w:pStyle w:val="6"/>
              <w:jc w:val="center"/>
              <w:rPr>
                <w:rFonts w:hint="eastAsia" w:hAnsi="宋体"/>
                <w:szCs w:val="21"/>
              </w:rPr>
            </w:pPr>
          </w:p>
        </w:tc>
        <w:tc>
          <w:tcPr>
            <w:tcW w:w="816" w:type="dxa"/>
            <w:noWrap w:val="0"/>
            <w:vAlign w:val="top"/>
          </w:tcPr>
          <w:p>
            <w:pPr>
              <w:pStyle w:val="6"/>
              <w:jc w:val="center"/>
              <w:rPr>
                <w:rFonts w:hint="eastAsia" w:hAnsi="宋体"/>
                <w:szCs w:val="21"/>
              </w:rPr>
            </w:pPr>
          </w:p>
        </w:tc>
        <w:tc>
          <w:tcPr>
            <w:tcW w:w="759" w:type="dxa"/>
            <w:noWrap w:val="0"/>
            <w:vAlign w:val="top"/>
          </w:tcPr>
          <w:p>
            <w:pPr>
              <w:pStyle w:val="6"/>
              <w:jc w:val="center"/>
              <w:rPr>
                <w:rFonts w:hint="eastAsia" w:hAnsi="宋体"/>
                <w:szCs w:val="21"/>
              </w:rPr>
            </w:pPr>
          </w:p>
        </w:tc>
        <w:tc>
          <w:tcPr>
            <w:tcW w:w="720" w:type="dxa"/>
            <w:noWrap w:val="0"/>
            <w:vAlign w:val="top"/>
          </w:tcPr>
          <w:p>
            <w:pPr>
              <w:pStyle w:val="6"/>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484" w:type="dxa"/>
            <w:noWrap w:val="0"/>
            <w:vAlign w:val="top"/>
          </w:tcPr>
          <w:p>
            <w:pPr>
              <w:pStyle w:val="6"/>
              <w:jc w:val="center"/>
              <w:rPr>
                <w:rFonts w:hint="eastAsia" w:hAnsi="宋体"/>
                <w:szCs w:val="21"/>
              </w:rPr>
            </w:pPr>
          </w:p>
        </w:tc>
        <w:tc>
          <w:tcPr>
            <w:tcW w:w="1504" w:type="dxa"/>
            <w:noWrap w:val="0"/>
            <w:vAlign w:val="top"/>
          </w:tcPr>
          <w:p>
            <w:pPr>
              <w:pStyle w:val="6"/>
              <w:jc w:val="center"/>
              <w:rPr>
                <w:rFonts w:hint="eastAsia" w:hAnsi="宋体"/>
                <w:szCs w:val="21"/>
              </w:rPr>
            </w:pPr>
          </w:p>
        </w:tc>
        <w:tc>
          <w:tcPr>
            <w:tcW w:w="3685" w:type="dxa"/>
            <w:noWrap w:val="0"/>
            <w:vAlign w:val="top"/>
          </w:tcPr>
          <w:p>
            <w:pPr>
              <w:pStyle w:val="6"/>
              <w:jc w:val="center"/>
              <w:rPr>
                <w:rFonts w:hint="eastAsia" w:hAnsi="宋体"/>
                <w:szCs w:val="21"/>
              </w:rPr>
            </w:pPr>
          </w:p>
        </w:tc>
        <w:tc>
          <w:tcPr>
            <w:tcW w:w="420" w:type="dxa"/>
            <w:noWrap w:val="0"/>
            <w:vAlign w:val="top"/>
          </w:tcPr>
          <w:p>
            <w:pPr>
              <w:pStyle w:val="6"/>
              <w:jc w:val="center"/>
              <w:rPr>
                <w:rFonts w:hint="eastAsia" w:hAnsi="宋体"/>
                <w:szCs w:val="21"/>
              </w:rPr>
            </w:pPr>
          </w:p>
        </w:tc>
        <w:tc>
          <w:tcPr>
            <w:tcW w:w="816" w:type="dxa"/>
            <w:noWrap w:val="0"/>
            <w:vAlign w:val="top"/>
          </w:tcPr>
          <w:p>
            <w:pPr>
              <w:pStyle w:val="6"/>
              <w:jc w:val="center"/>
              <w:rPr>
                <w:rFonts w:hint="eastAsia" w:hAnsi="宋体"/>
                <w:szCs w:val="21"/>
              </w:rPr>
            </w:pPr>
          </w:p>
        </w:tc>
        <w:tc>
          <w:tcPr>
            <w:tcW w:w="759" w:type="dxa"/>
            <w:noWrap w:val="0"/>
            <w:vAlign w:val="top"/>
          </w:tcPr>
          <w:p>
            <w:pPr>
              <w:pStyle w:val="6"/>
              <w:jc w:val="center"/>
              <w:rPr>
                <w:rFonts w:hint="eastAsia" w:hAnsi="宋体"/>
                <w:szCs w:val="21"/>
              </w:rPr>
            </w:pPr>
          </w:p>
        </w:tc>
        <w:tc>
          <w:tcPr>
            <w:tcW w:w="720" w:type="dxa"/>
            <w:noWrap w:val="0"/>
            <w:vAlign w:val="top"/>
          </w:tcPr>
          <w:p>
            <w:pPr>
              <w:pStyle w:val="6"/>
              <w:jc w:val="center"/>
              <w:rPr>
                <w:rFonts w:hint="eastAsia" w:hAnsi="宋体"/>
                <w:szCs w:val="21"/>
              </w:rPr>
            </w:pPr>
          </w:p>
        </w:tc>
      </w:tr>
    </w:tbl>
    <w:p>
      <w:pPr>
        <w:pStyle w:val="2"/>
        <w:numPr>
          <w:ilvl w:val="0"/>
          <w:numId w:val="0"/>
        </w:numPr>
        <w:adjustRightInd w:val="0"/>
        <w:rPr>
          <w:rFonts w:hint="eastAsia" w:ascii="黑体" w:eastAsia="黑体"/>
          <w:b w:val="0"/>
        </w:rPr>
      </w:pPr>
      <w:bookmarkStart w:id="130" w:name="_Toc287602843"/>
      <w:bookmarkStart w:id="131" w:name="_Toc342897968"/>
      <w:r>
        <w:rPr>
          <w:rFonts w:hint="eastAsia" w:ascii="黑体" w:eastAsia="黑体"/>
          <w:b w:val="0"/>
        </w:rPr>
        <w:t>13 主要元器件来源</w:t>
      </w:r>
      <w:bookmarkEnd w:id="130"/>
      <w:bookmarkEnd w:id="131"/>
    </w:p>
    <w:p>
      <w:pPr>
        <w:pStyle w:val="17"/>
        <w:adjustRightInd w:val="0"/>
        <w:snapToGrid w:val="0"/>
        <w:spacing w:line="360" w:lineRule="auto"/>
        <w:rPr>
          <w:rFonts w:ascii="宋体" w:hAnsi="宋体" w:eastAsia="宋体"/>
        </w:rPr>
      </w:pPr>
      <w:r>
        <w:rPr>
          <w:rFonts w:hint="eastAsia" w:ascii="宋体" w:hAnsi="宋体" w:eastAsia="宋体"/>
        </w:rPr>
        <w:t>投标方应按表13如实填写主要元器件来源。</w:t>
      </w:r>
    </w:p>
    <w:p>
      <w:pPr>
        <w:pStyle w:val="17"/>
        <w:adjustRightInd w:val="0"/>
        <w:snapToGrid w:val="0"/>
        <w:spacing w:line="360" w:lineRule="auto"/>
        <w:ind w:firstLine="0" w:firstLineChars="0"/>
        <w:jc w:val="center"/>
        <w:rPr>
          <w:rFonts w:hint="eastAsia" w:ascii="宋体" w:hAnsi="宋体" w:eastAsia="宋体"/>
          <w:szCs w:val="21"/>
        </w:rPr>
      </w:pPr>
      <w:r>
        <w:rPr>
          <w:rFonts w:hint="eastAsia" w:ascii="宋体" w:hAnsi="宋体" w:eastAsia="宋体"/>
          <w:szCs w:val="21"/>
        </w:rPr>
        <w:t>表13  主要元器件来源一览表  （投标方填写）</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8"/>
        <w:gridCol w:w="1847"/>
        <w:gridCol w:w="981"/>
        <w:gridCol w:w="1877"/>
        <w:gridCol w:w="647"/>
        <w:gridCol w:w="1679"/>
        <w:gridCol w:w="6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38" w:type="dxa"/>
            <w:vMerge w:val="restart"/>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序号</w:t>
            </w:r>
          </w:p>
        </w:tc>
        <w:tc>
          <w:tcPr>
            <w:tcW w:w="1847" w:type="dxa"/>
            <w:vMerge w:val="restart"/>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名 称</w:t>
            </w:r>
          </w:p>
        </w:tc>
        <w:tc>
          <w:tcPr>
            <w:tcW w:w="981" w:type="dxa"/>
            <w:vMerge w:val="restart"/>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单位</w:t>
            </w:r>
          </w:p>
        </w:tc>
        <w:tc>
          <w:tcPr>
            <w:tcW w:w="2524" w:type="dxa"/>
            <w:gridSpan w:val="2"/>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项目单位要求</w:t>
            </w:r>
          </w:p>
        </w:tc>
        <w:tc>
          <w:tcPr>
            <w:tcW w:w="2299" w:type="dxa"/>
            <w:gridSpan w:val="2"/>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投标方响应</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38" w:type="dxa"/>
            <w:vMerge w:val="continue"/>
            <w:noWrap w:val="0"/>
            <w:vAlign w:val="center"/>
          </w:tcPr>
          <w:p>
            <w:pPr>
              <w:widowControl/>
              <w:autoSpaceDE w:val="0"/>
              <w:autoSpaceDN w:val="0"/>
              <w:spacing w:before="40"/>
              <w:jc w:val="center"/>
              <w:textAlignment w:val="bottom"/>
              <w:rPr>
                <w:rFonts w:hint="eastAsia" w:ascii="宋体" w:hAnsi="宋体"/>
                <w:sz w:val="18"/>
                <w:szCs w:val="18"/>
              </w:rPr>
            </w:pPr>
          </w:p>
        </w:tc>
        <w:tc>
          <w:tcPr>
            <w:tcW w:w="1847" w:type="dxa"/>
            <w:vMerge w:val="continue"/>
            <w:noWrap w:val="0"/>
            <w:vAlign w:val="center"/>
          </w:tcPr>
          <w:p>
            <w:pPr>
              <w:widowControl/>
              <w:autoSpaceDE w:val="0"/>
              <w:autoSpaceDN w:val="0"/>
              <w:spacing w:before="40"/>
              <w:jc w:val="center"/>
              <w:textAlignment w:val="bottom"/>
              <w:rPr>
                <w:rFonts w:hint="eastAsia" w:ascii="宋体" w:hAnsi="宋体"/>
                <w:sz w:val="18"/>
                <w:szCs w:val="18"/>
              </w:rPr>
            </w:pPr>
          </w:p>
        </w:tc>
        <w:tc>
          <w:tcPr>
            <w:tcW w:w="981" w:type="dxa"/>
            <w:vMerge w:val="continue"/>
            <w:noWrap w:val="0"/>
            <w:vAlign w:val="center"/>
          </w:tcPr>
          <w:p>
            <w:pPr>
              <w:widowControl/>
              <w:autoSpaceDE w:val="0"/>
              <w:autoSpaceDN w:val="0"/>
              <w:spacing w:before="40"/>
              <w:jc w:val="center"/>
              <w:textAlignment w:val="bottom"/>
              <w:rPr>
                <w:rFonts w:hint="eastAsia" w:ascii="宋体" w:hAnsi="宋体"/>
                <w:sz w:val="18"/>
                <w:szCs w:val="18"/>
              </w:rPr>
            </w:pPr>
          </w:p>
        </w:tc>
        <w:tc>
          <w:tcPr>
            <w:tcW w:w="1877" w:type="dxa"/>
            <w:tcBorders>
              <w:right w:val="single" w:color="auto" w:sz="4" w:space="0"/>
            </w:tcBorders>
            <w:noWrap w:val="0"/>
            <w:vAlign w:val="center"/>
          </w:tcPr>
          <w:p>
            <w:pPr>
              <w:widowControl/>
              <w:autoSpaceDE w:val="0"/>
              <w:autoSpaceDN w:val="0"/>
              <w:spacing w:before="40"/>
              <w:jc w:val="center"/>
              <w:textAlignment w:val="bottom"/>
              <w:rPr>
                <w:rFonts w:hint="eastAsia" w:ascii="宋体" w:hAnsi="宋体"/>
                <w:sz w:val="18"/>
                <w:szCs w:val="18"/>
              </w:rPr>
            </w:pPr>
            <w:r>
              <w:rPr>
                <w:rFonts w:hint="eastAsia" w:ascii="宋体" w:hAnsi="宋体"/>
                <w:sz w:val="18"/>
                <w:szCs w:val="18"/>
              </w:rPr>
              <w:t>型号、规格</w:t>
            </w:r>
          </w:p>
        </w:tc>
        <w:tc>
          <w:tcPr>
            <w:tcW w:w="647" w:type="dxa"/>
            <w:tcBorders>
              <w:left w:val="single" w:color="auto" w:sz="4" w:space="0"/>
            </w:tcBorders>
            <w:noWrap w:val="0"/>
            <w:vAlign w:val="center"/>
          </w:tcPr>
          <w:p>
            <w:pPr>
              <w:widowControl/>
              <w:autoSpaceDE w:val="0"/>
              <w:autoSpaceDN w:val="0"/>
              <w:spacing w:before="40"/>
              <w:jc w:val="center"/>
              <w:textAlignment w:val="bottom"/>
              <w:rPr>
                <w:rFonts w:hint="eastAsia" w:ascii="宋体" w:hAnsi="宋体"/>
                <w:sz w:val="18"/>
                <w:szCs w:val="18"/>
              </w:rPr>
            </w:pPr>
            <w:r>
              <w:rPr>
                <w:rFonts w:hint="eastAsia" w:ascii="宋体" w:hAnsi="宋体"/>
                <w:sz w:val="18"/>
                <w:szCs w:val="18"/>
              </w:rPr>
              <w:t>数量</w:t>
            </w:r>
          </w:p>
        </w:tc>
        <w:tc>
          <w:tcPr>
            <w:tcW w:w="1679" w:type="dxa"/>
            <w:tcBorders>
              <w:right w:val="single" w:color="auto" w:sz="4" w:space="0"/>
            </w:tcBorders>
            <w:noWrap w:val="0"/>
            <w:vAlign w:val="center"/>
          </w:tcPr>
          <w:p>
            <w:pPr>
              <w:widowControl/>
              <w:autoSpaceDE w:val="0"/>
              <w:autoSpaceDN w:val="0"/>
              <w:spacing w:before="40"/>
              <w:jc w:val="center"/>
              <w:textAlignment w:val="bottom"/>
              <w:rPr>
                <w:rFonts w:hint="eastAsia" w:ascii="宋体" w:hAnsi="宋体"/>
                <w:sz w:val="18"/>
                <w:szCs w:val="18"/>
              </w:rPr>
            </w:pPr>
            <w:r>
              <w:rPr>
                <w:rFonts w:hint="eastAsia" w:ascii="宋体" w:hAnsi="宋体"/>
                <w:sz w:val="18"/>
                <w:szCs w:val="18"/>
              </w:rPr>
              <w:t>型号、规格</w:t>
            </w:r>
          </w:p>
        </w:tc>
        <w:tc>
          <w:tcPr>
            <w:tcW w:w="620" w:type="dxa"/>
            <w:tcBorders>
              <w:left w:val="single" w:color="auto" w:sz="4" w:space="0"/>
            </w:tcBorders>
            <w:noWrap w:val="0"/>
            <w:vAlign w:val="center"/>
          </w:tcPr>
          <w:p>
            <w:pPr>
              <w:widowControl/>
              <w:autoSpaceDE w:val="0"/>
              <w:autoSpaceDN w:val="0"/>
              <w:spacing w:before="40"/>
              <w:jc w:val="center"/>
              <w:textAlignment w:val="bottom"/>
              <w:rPr>
                <w:rFonts w:hint="eastAsia" w:ascii="宋体" w:hAnsi="宋体"/>
                <w:sz w:val="18"/>
                <w:szCs w:val="18"/>
              </w:rPr>
            </w:pPr>
            <w:r>
              <w:rPr>
                <w:rFonts w:hint="eastAsia" w:ascii="宋体" w:hAnsi="宋体"/>
                <w:sz w:val="18"/>
                <w:szCs w:val="18"/>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38"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1</w:t>
            </w:r>
          </w:p>
        </w:tc>
        <w:tc>
          <w:tcPr>
            <w:tcW w:w="1847" w:type="dxa"/>
            <w:noWrap w:val="0"/>
            <w:vAlign w:val="top"/>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套管</w:t>
            </w:r>
          </w:p>
        </w:tc>
        <w:tc>
          <w:tcPr>
            <w:tcW w:w="981" w:type="dxa"/>
            <w:noWrap w:val="0"/>
            <w:vAlign w:val="center"/>
          </w:tcPr>
          <w:p>
            <w:pPr>
              <w:widowControl/>
              <w:autoSpaceDE w:val="0"/>
              <w:autoSpaceDN w:val="0"/>
              <w:jc w:val="center"/>
              <w:textAlignment w:val="bottom"/>
              <w:rPr>
                <w:rFonts w:hint="eastAsia" w:ascii="宋体" w:hAnsi="宋体"/>
                <w:sz w:val="18"/>
                <w:szCs w:val="18"/>
              </w:rPr>
            </w:pPr>
          </w:p>
        </w:tc>
        <w:tc>
          <w:tcPr>
            <w:tcW w:w="1877" w:type="dxa"/>
            <w:tcBorders>
              <w:right w:val="single" w:color="auto" w:sz="4" w:space="0"/>
            </w:tcBorders>
            <w:noWrap w:val="0"/>
            <w:vAlign w:val="center"/>
          </w:tcPr>
          <w:p>
            <w:pPr>
              <w:widowControl/>
              <w:autoSpaceDE w:val="0"/>
              <w:autoSpaceDN w:val="0"/>
              <w:ind w:left="-1327" w:leftChars="-632"/>
              <w:textAlignment w:val="bottom"/>
              <w:rPr>
                <w:rFonts w:ascii="宋体" w:hAnsi="宋体"/>
                <w:sz w:val="18"/>
                <w:szCs w:val="18"/>
              </w:rPr>
            </w:pPr>
          </w:p>
        </w:tc>
        <w:tc>
          <w:tcPr>
            <w:tcW w:w="647"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67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20"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38"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2</w:t>
            </w:r>
          </w:p>
        </w:tc>
        <w:tc>
          <w:tcPr>
            <w:tcW w:w="1847"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绝缘材料</w:t>
            </w:r>
          </w:p>
        </w:tc>
        <w:tc>
          <w:tcPr>
            <w:tcW w:w="981" w:type="dxa"/>
            <w:noWrap w:val="0"/>
            <w:vAlign w:val="center"/>
          </w:tcPr>
          <w:p>
            <w:pPr>
              <w:widowControl/>
              <w:autoSpaceDE w:val="0"/>
              <w:autoSpaceDN w:val="0"/>
              <w:jc w:val="center"/>
              <w:textAlignment w:val="bottom"/>
              <w:rPr>
                <w:rFonts w:hint="eastAsia" w:ascii="宋体" w:hAnsi="宋体"/>
                <w:sz w:val="18"/>
                <w:szCs w:val="18"/>
              </w:rPr>
            </w:pPr>
          </w:p>
        </w:tc>
        <w:tc>
          <w:tcPr>
            <w:tcW w:w="18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47"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67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20"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38"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3</w:t>
            </w:r>
          </w:p>
        </w:tc>
        <w:tc>
          <w:tcPr>
            <w:tcW w:w="1847" w:type="dxa"/>
            <w:noWrap w:val="0"/>
            <w:vAlign w:val="top"/>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一次绕组导线</w:t>
            </w:r>
          </w:p>
        </w:tc>
        <w:tc>
          <w:tcPr>
            <w:tcW w:w="981" w:type="dxa"/>
            <w:noWrap w:val="0"/>
            <w:vAlign w:val="center"/>
          </w:tcPr>
          <w:p>
            <w:pPr>
              <w:widowControl/>
              <w:autoSpaceDE w:val="0"/>
              <w:autoSpaceDN w:val="0"/>
              <w:jc w:val="center"/>
              <w:textAlignment w:val="bottom"/>
              <w:rPr>
                <w:rFonts w:ascii="宋体" w:hAnsi="宋体"/>
                <w:sz w:val="18"/>
                <w:szCs w:val="18"/>
              </w:rPr>
            </w:pPr>
          </w:p>
        </w:tc>
        <w:tc>
          <w:tcPr>
            <w:tcW w:w="18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47"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67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20"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38"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4</w:t>
            </w:r>
          </w:p>
        </w:tc>
        <w:tc>
          <w:tcPr>
            <w:tcW w:w="1847"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二次绕组导线</w:t>
            </w:r>
          </w:p>
        </w:tc>
        <w:tc>
          <w:tcPr>
            <w:tcW w:w="981" w:type="dxa"/>
            <w:noWrap w:val="0"/>
            <w:vAlign w:val="center"/>
          </w:tcPr>
          <w:p>
            <w:pPr>
              <w:widowControl/>
              <w:autoSpaceDE w:val="0"/>
              <w:autoSpaceDN w:val="0"/>
              <w:jc w:val="center"/>
              <w:textAlignment w:val="bottom"/>
              <w:rPr>
                <w:rFonts w:ascii="宋体" w:hAnsi="宋体"/>
                <w:sz w:val="18"/>
                <w:szCs w:val="18"/>
              </w:rPr>
            </w:pPr>
          </w:p>
        </w:tc>
        <w:tc>
          <w:tcPr>
            <w:tcW w:w="18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47"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67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20"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38"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5</w:t>
            </w:r>
          </w:p>
        </w:tc>
        <w:tc>
          <w:tcPr>
            <w:tcW w:w="1847" w:type="dxa"/>
            <w:noWrap w:val="0"/>
            <w:vAlign w:val="top"/>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铁心材料</w:t>
            </w:r>
          </w:p>
        </w:tc>
        <w:tc>
          <w:tcPr>
            <w:tcW w:w="981" w:type="dxa"/>
            <w:noWrap w:val="0"/>
            <w:vAlign w:val="center"/>
          </w:tcPr>
          <w:p>
            <w:pPr>
              <w:widowControl/>
              <w:autoSpaceDE w:val="0"/>
              <w:autoSpaceDN w:val="0"/>
              <w:jc w:val="center"/>
              <w:textAlignment w:val="bottom"/>
              <w:rPr>
                <w:rFonts w:ascii="宋体" w:hAnsi="宋体"/>
                <w:sz w:val="18"/>
                <w:szCs w:val="18"/>
              </w:rPr>
            </w:pPr>
          </w:p>
        </w:tc>
        <w:tc>
          <w:tcPr>
            <w:tcW w:w="18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47"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67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20"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38"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6</w:t>
            </w:r>
          </w:p>
        </w:tc>
        <w:tc>
          <w:tcPr>
            <w:tcW w:w="1847" w:type="dxa"/>
            <w:noWrap w:val="0"/>
            <w:vAlign w:val="top"/>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二次绕组</w:t>
            </w:r>
          </w:p>
        </w:tc>
        <w:tc>
          <w:tcPr>
            <w:tcW w:w="981" w:type="dxa"/>
            <w:noWrap w:val="0"/>
            <w:vAlign w:val="center"/>
          </w:tcPr>
          <w:p>
            <w:pPr>
              <w:widowControl/>
              <w:autoSpaceDE w:val="0"/>
              <w:autoSpaceDN w:val="0"/>
              <w:jc w:val="center"/>
              <w:textAlignment w:val="bottom"/>
              <w:rPr>
                <w:rFonts w:ascii="宋体" w:hAnsi="宋体"/>
                <w:sz w:val="18"/>
                <w:szCs w:val="18"/>
              </w:rPr>
            </w:pPr>
          </w:p>
        </w:tc>
        <w:tc>
          <w:tcPr>
            <w:tcW w:w="18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47"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67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20"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38" w:type="dxa"/>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7</w:t>
            </w:r>
          </w:p>
        </w:tc>
        <w:tc>
          <w:tcPr>
            <w:tcW w:w="1847" w:type="dxa"/>
            <w:noWrap w:val="0"/>
            <w:vAlign w:val="top"/>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二次绕组输出端子板</w:t>
            </w:r>
          </w:p>
        </w:tc>
        <w:tc>
          <w:tcPr>
            <w:tcW w:w="981" w:type="dxa"/>
            <w:noWrap w:val="0"/>
            <w:vAlign w:val="center"/>
          </w:tcPr>
          <w:p>
            <w:pPr>
              <w:widowControl/>
              <w:autoSpaceDE w:val="0"/>
              <w:autoSpaceDN w:val="0"/>
              <w:jc w:val="center"/>
              <w:textAlignment w:val="bottom"/>
              <w:rPr>
                <w:rFonts w:ascii="宋体" w:hAnsi="宋体"/>
                <w:sz w:val="18"/>
                <w:szCs w:val="18"/>
              </w:rPr>
            </w:pPr>
          </w:p>
        </w:tc>
        <w:tc>
          <w:tcPr>
            <w:tcW w:w="18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47"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67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620"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r>
    </w:tbl>
    <w:p>
      <w:pPr>
        <w:pStyle w:val="17"/>
        <w:adjustRightInd w:val="0"/>
        <w:snapToGrid w:val="0"/>
        <w:spacing w:line="360" w:lineRule="auto"/>
        <w:ind w:firstLine="0" w:firstLineChars="0"/>
        <w:rPr>
          <w:rFonts w:hint="eastAsia" w:ascii="宋体" w:hAnsi="宋体" w:eastAsia="宋体"/>
          <w:szCs w:val="21"/>
        </w:rPr>
      </w:pPr>
    </w:p>
    <w:p>
      <w:pPr>
        <w:pStyle w:val="2"/>
        <w:numPr>
          <w:ilvl w:val="0"/>
          <w:numId w:val="0"/>
        </w:numPr>
        <w:adjustRightInd w:val="0"/>
        <w:spacing w:before="156" w:beforeLines="50"/>
        <w:rPr>
          <w:rFonts w:hint="eastAsia" w:ascii="黑体" w:eastAsia="黑体"/>
          <w:b w:val="0"/>
        </w:rPr>
      </w:pPr>
      <w:bookmarkStart w:id="132" w:name="_Toc342897970"/>
      <w:bookmarkStart w:id="133" w:name="_Toc287602849"/>
      <w:r>
        <w:rPr>
          <w:rFonts w:hint="eastAsia" w:ascii="黑体" w:eastAsia="黑体"/>
          <w:b w:val="0"/>
        </w:rPr>
        <w:t>1</w:t>
      </w:r>
      <w:r>
        <w:rPr>
          <w:rFonts w:hint="eastAsia" w:ascii="黑体" w:eastAsia="黑体"/>
          <w:b w:val="0"/>
          <w:lang w:val="en-US" w:eastAsia="zh-CN"/>
        </w:rPr>
        <w:t>4</w:t>
      </w:r>
      <w:r>
        <w:rPr>
          <w:rFonts w:hint="eastAsia" w:ascii="黑体" w:eastAsia="黑体"/>
          <w:b w:val="0"/>
        </w:rPr>
        <w:t xml:space="preserve"> 技术差异表</w:t>
      </w:r>
      <w:bookmarkEnd w:id="132"/>
      <w:bookmarkEnd w:id="133"/>
    </w:p>
    <w:p>
      <w:pPr>
        <w:pStyle w:val="16"/>
        <w:spacing w:line="360" w:lineRule="auto"/>
        <w:ind w:firstLine="405" w:firstLineChars="193"/>
        <w:outlineLvl w:val="8"/>
        <w:rPr>
          <w:rFonts w:hint="eastAsia" w:hAnsi="宋体"/>
          <w:sz w:val="18"/>
          <w:szCs w:val="18"/>
        </w:rPr>
      </w:pPr>
      <w:bookmarkStart w:id="134" w:name="_Toc226362579"/>
      <w:r>
        <w:rPr>
          <w:rFonts w:hint="eastAsia"/>
        </w:rPr>
        <w:t>投标方应将所供设备与本招标书技术文件有差异之处，无论优于或劣于本招标书技术文件要求，均汇集成此表。</w:t>
      </w:r>
    </w:p>
    <w:p>
      <w:pPr>
        <w:pStyle w:val="16"/>
        <w:spacing w:line="360" w:lineRule="auto"/>
        <w:ind w:firstLine="0" w:firstLineChars="0"/>
        <w:jc w:val="center"/>
        <w:outlineLvl w:val="8"/>
        <w:rPr>
          <w:rFonts w:hAnsi="宋体"/>
          <w:szCs w:val="21"/>
        </w:rPr>
      </w:pPr>
      <w:r>
        <w:rPr>
          <w:rFonts w:hint="eastAsia" w:hAnsi="宋体"/>
          <w:szCs w:val="21"/>
        </w:rPr>
        <w:t>表15 技术差异表</w:t>
      </w:r>
      <w:bookmarkEnd w:id="134"/>
      <w:r>
        <w:rPr>
          <w:rFonts w:hint="eastAsia" w:hAnsi="宋体"/>
          <w:szCs w:val="21"/>
        </w:rPr>
        <w:t xml:space="preserve">  （投标方填写）</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序</w:t>
            </w:r>
          </w:p>
          <w:p>
            <w:pPr>
              <w:autoSpaceDE w:val="0"/>
              <w:autoSpaceDN w:val="0"/>
              <w:spacing w:before="40"/>
              <w:jc w:val="center"/>
              <w:textAlignment w:val="bottom"/>
              <w:rPr>
                <w:rFonts w:ascii="宋体" w:hAnsi="宋体"/>
                <w:sz w:val="18"/>
                <w:szCs w:val="18"/>
              </w:rPr>
            </w:pPr>
            <w:r>
              <w:rPr>
                <w:rFonts w:hint="eastAsia" w:ascii="宋体" w:hAnsi="宋体"/>
                <w:sz w:val="18"/>
                <w:szCs w:val="18"/>
              </w:rPr>
              <w:t>号</w:t>
            </w:r>
          </w:p>
        </w:tc>
        <w:tc>
          <w:tcPr>
            <w:tcW w:w="3876" w:type="dxa"/>
            <w:gridSpan w:val="2"/>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招 标 文 件</w:t>
            </w:r>
          </w:p>
        </w:tc>
        <w:tc>
          <w:tcPr>
            <w:tcW w:w="3833" w:type="dxa"/>
            <w:gridSpan w:val="2"/>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noWrap w:val="0"/>
            <w:vAlign w:val="center"/>
          </w:tcPr>
          <w:p>
            <w:pPr>
              <w:widowControl/>
              <w:autoSpaceDE w:val="0"/>
              <w:autoSpaceDN w:val="0"/>
              <w:spacing w:before="40"/>
              <w:jc w:val="center"/>
              <w:textAlignment w:val="bottom"/>
              <w:rPr>
                <w:rFonts w:ascii="宋体" w:hAnsi="宋体"/>
                <w:sz w:val="18"/>
                <w:szCs w:val="18"/>
              </w:rPr>
            </w:pPr>
          </w:p>
        </w:tc>
        <w:tc>
          <w:tcPr>
            <w:tcW w:w="1163" w:type="dxa"/>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条  目</w:t>
            </w:r>
          </w:p>
        </w:tc>
        <w:tc>
          <w:tcPr>
            <w:tcW w:w="2713" w:type="dxa"/>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简  要  内  容</w:t>
            </w:r>
          </w:p>
        </w:tc>
        <w:tc>
          <w:tcPr>
            <w:tcW w:w="1258" w:type="dxa"/>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条  目</w:t>
            </w:r>
          </w:p>
        </w:tc>
        <w:tc>
          <w:tcPr>
            <w:tcW w:w="2575" w:type="dxa"/>
            <w:noWrap w:val="0"/>
            <w:vAlign w:val="center"/>
          </w:tcPr>
          <w:p>
            <w:pPr>
              <w:widowControl/>
              <w:autoSpaceDE w:val="0"/>
              <w:autoSpaceDN w:val="0"/>
              <w:spacing w:before="40"/>
              <w:jc w:val="center"/>
              <w:textAlignment w:val="bottom"/>
              <w:rPr>
                <w:rFonts w:ascii="宋体" w:hAnsi="宋体"/>
                <w:sz w:val="18"/>
                <w:szCs w:val="18"/>
              </w:rPr>
            </w:pPr>
            <w:r>
              <w:rPr>
                <w:rFonts w:hint="eastAsia" w:ascii="宋体" w:hAnsi="宋体"/>
                <w:sz w:val="18"/>
                <w:szCs w:val="18"/>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1</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2</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3</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4</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5</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6</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7</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8</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9</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10</w:t>
            </w: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bl>
    <w:p>
      <w:pPr>
        <w:pStyle w:val="6"/>
        <w:adjustRightInd w:val="0"/>
        <w:snapToGrid w:val="0"/>
        <w:spacing w:before="156" w:beforeLines="50" w:line="360" w:lineRule="auto"/>
        <w:rPr>
          <w:rFonts w:hAnsi="宋体"/>
          <w:szCs w:val="21"/>
        </w:rPr>
      </w:pPr>
      <w:r>
        <w:rPr>
          <w:rFonts w:hAnsi="宋体"/>
          <w:szCs w:val="21"/>
        </w:rPr>
        <w:t>投标</w:t>
      </w:r>
      <w:r>
        <w:rPr>
          <w:rFonts w:hint="eastAsia" w:hAnsi="宋体"/>
          <w:szCs w:val="21"/>
        </w:rPr>
        <w:t>方</w:t>
      </w:r>
      <w:r>
        <w:rPr>
          <w:rFonts w:hAnsi="宋体"/>
          <w:szCs w:val="21"/>
        </w:rPr>
        <w:t>：</w:t>
      </w:r>
      <w:r>
        <w:rPr>
          <w:rFonts w:hAnsi="宋体"/>
          <w:szCs w:val="21"/>
          <w:u w:val="single"/>
        </w:rPr>
        <w:t xml:space="preserve">             </w:t>
      </w:r>
      <w:r>
        <w:rPr>
          <w:rFonts w:hAnsi="宋体"/>
          <w:szCs w:val="21"/>
        </w:rPr>
        <w:t xml:space="preserve">   盖章：</w:t>
      </w:r>
    </w:p>
    <w:p>
      <w:pPr>
        <w:pStyle w:val="2"/>
        <w:numPr>
          <w:ilvl w:val="0"/>
          <w:numId w:val="0"/>
        </w:numPr>
        <w:adjustRightInd w:val="0"/>
        <w:spacing w:before="156" w:beforeLines="50"/>
        <w:rPr>
          <w:rFonts w:hint="eastAsia" w:ascii="黑体" w:eastAsia="黑体"/>
          <w:b w:val="0"/>
        </w:rPr>
      </w:pPr>
      <w:bookmarkStart w:id="135" w:name="_Toc287602850"/>
      <w:bookmarkStart w:id="136" w:name="_Toc282420857"/>
      <w:bookmarkStart w:id="137" w:name="_Toc282421446"/>
      <w:bookmarkStart w:id="138" w:name="_Toc342897971"/>
      <w:r>
        <w:rPr>
          <w:rFonts w:hint="eastAsia" w:ascii="黑体" w:eastAsia="黑体"/>
          <w:b w:val="0"/>
        </w:rPr>
        <w:t>1</w:t>
      </w:r>
      <w:r>
        <w:rPr>
          <w:rFonts w:hint="eastAsia" w:ascii="黑体" w:eastAsia="黑体"/>
          <w:b w:val="0"/>
          <w:lang w:val="en-US" w:eastAsia="zh-CN"/>
        </w:rPr>
        <w:t>5</w:t>
      </w:r>
      <w:r>
        <w:rPr>
          <w:rFonts w:hint="eastAsia" w:ascii="黑体" w:eastAsia="黑体"/>
          <w:b w:val="0"/>
        </w:rPr>
        <w:t>投标方需说明的其他问题</w:t>
      </w:r>
      <w:bookmarkEnd w:id="135"/>
      <w:bookmarkEnd w:id="136"/>
      <w:bookmarkEnd w:id="137"/>
      <w:bookmarkEnd w:id="138"/>
    </w:p>
    <w:p>
      <w:pPr>
        <w:adjustRightInd w:val="0"/>
        <w:snapToGrid w:val="0"/>
        <w:spacing w:line="360" w:lineRule="auto"/>
        <w:rPr>
          <w:rFonts w:hint="eastAsia"/>
        </w:rPr>
      </w:pPr>
      <w:r>
        <w:rPr>
          <w:rFonts w:hint="eastAsia"/>
        </w:rPr>
        <w:t>如有需说明的其他问题，投标方应通过书面形式提交，并加盖公章。</w:t>
      </w:r>
    </w:p>
    <w:p>
      <w:pPr>
        <w:keepNext w:val="0"/>
        <w:keepLines w:val="0"/>
        <w:widowControl/>
        <w:suppressLineNumbers w:val="0"/>
        <w:spacing w:line="300" w:lineRule="atLeast"/>
        <w:jc w:val="left"/>
        <w:rPr>
          <w:rFonts w:hint="eastAsia"/>
          <w:lang w:eastAsia="zh-CN"/>
        </w:rPr>
      </w:pPr>
      <w:r>
        <w:rPr>
          <w:rFonts w:hint="eastAsia"/>
          <w:lang w:eastAsia="zh-CN"/>
        </w:rPr>
        <w:t>其他事宜：</w:t>
      </w:r>
    </w:p>
    <w:p>
      <w:pPr>
        <w:keepNext w:val="0"/>
        <w:keepLines w:val="0"/>
        <w:widowControl/>
        <w:suppressLineNumbers w:val="0"/>
        <w:spacing w:line="300" w:lineRule="atLeast"/>
        <w:jc w:val="left"/>
        <w:rPr>
          <w:rFonts w:hint="eastAsia"/>
          <w:sz w:val="24"/>
          <w:lang w:val="en-US" w:eastAsia="zh-CN"/>
        </w:rPr>
      </w:pPr>
      <w:r>
        <w:rPr>
          <w:rFonts w:hint="eastAsia"/>
          <w:lang w:val="en-US" w:eastAsia="zh-CN"/>
        </w:rPr>
        <w:t>1、</w:t>
      </w:r>
      <w:r>
        <w:rPr>
          <w:rFonts w:hint="eastAsia"/>
          <w:lang w:eastAsia="zh-CN"/>
        </w:rPr>
        <w:t>需方</w:t>
      </w:r>
      <w:r>
        <w:rPr>
          <w:rFonts w:hint="eastAsia"/>
          <w:sz w:val="24"/>
          <w:lang w:val="en-US" w:eastAsia="zh-CN"/>
        </w:rPr>
        <w:t>联系地址：广西贺州市钟山县凤凰路196号钟山供电公司；</w:t>
      </w:r>
    </w:p>
    <w:p>
      <w:pPr>
        <w:adjustRightInd w:val="0"/>
        <w:snapToGrid w:val="0"/>
        <w:spacing w:line="360" w:lineRule="auto"/>
        <w:rPr>
          <w:rFonts w:hint="default" w:eastAsia="宋体"/>
          <w:lang w:val="en-US" w:eastAsia="zh-CN"/>
        </w:rPr>
      </w:pPr>
      <w:r>
        <w:rPr>
          <w:rFonts w:hint="eastAsia"/>
          <w:sz w:val="24"/>
          <w:lang w:val="en-US" w:eastAsia="zh-CN"/>
        </w:rPr>
        <w:t>2、需方联系人： 黄立坤</w:t>
      </w:r>
      <w:r>
        <w:rPr>
          <w:rFonts w:hint="eastAsia"/>
          <w:sz w:val="24"/>
          <w:lang w:val="en-US" w:eastAsia="zh-CN"/>
        </w:rPr>
        <w:tab/>
      </w:r>
      <w:r>
        <w:rPr>
          <w:rFonts w:hint="eastAsia"/>
          <w:sz w:val="24"/>
          <w:lang w:val="en-US" w:eastAsia="zh-CN"/>
        </w:rPr>
        <w:t xml:space="preserve">    电话：18778448867 </w:t>
      </w:r>
    </w:p>
    <w:p/>
    <w:sectPr>
      <w:headerReference r:id="rId9" w:type="default"/>
      <w:footerReference r:id="rId10"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4"/>
      </w:rPr>
    </w:pPr>
    <w:r>
      <w:fldChar w:fldCharType="begin"/>
    </w:r>
    <w:r>
      <w:rPr>
        <w:rStyle w:val="14"/>
      </w:rPr>
      <w:instrText xml:space="preserve">PAGE  </w:instrText>
    </w:r>
    <w:r>
      <w:fldChar w:fldCharType="separate"/>
    </w:r>
    <w:r>
      <w:rPr>
        <w:rStyle w:val="14"/>
      </w:rPr>
      <w:t>2</w:t>
    </w:r>
    <w:r>
      <w:fldChar w:fldCharType="end"/>
    </w:r>
  </w:p>
  <w:p>
    <w:pPr>
      <w:pStyle w:val="27"/>
      <w:ind w:right="360" w:firstLine="360"/>
      <w:rPr>
        <w:rStyle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60" w:firstLine="360"/>
      <w:jc w:val="center"/>
      <w:rPr>
        <w:rStyle w:val="14"/>
      </w:rPr>
    </w:pPr>
    <w:r>
      <w:rPr>
        <w:kern w:val="2"/>
        <w:szCs w:val="18"/>
      </w:rPr>
      <w:fldChar w:fldCharType="begin"/>
    </w:r>
    <w:r>
      <w:rPr>
        <w:rStyle w:val="14"/>
        <w:kern w:val="2"/>
        <w:szCs w:val="18"/>
      </w:rPr>
      <w:instrText xml:space="preserve"> PAGE </w:instrText>
    </w:r>
    <w:r>
      <w:rPr>
        <w:kern w:val="2"/>
        <w:szCs w:val="18"/>
      </w:rPr>
      <w:fldChar w:fldCharType="separate"/>
    </w:r>
    <w:r>
      <w:rPr>
        <w:rStyle w:val="14"/>
        <w:kern w:val="2"/>
        <w:szCs w:val="18"/>
      </w:rPr>
      <w:t>4</w:t>
    </w:r>
    <w:r>
      <w:rPr>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rPr>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rPr>
    </w:pPr>
    <w:r>
      <w:rPr>
        <w:rFonts w:hint="eastAsia"/>
      </w:rPr>
      <w:t>广西电网有限责任公司10kV 干式电压互感器标准技术标书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numPr>
        <w:ilvl w:val="0"/>
        <w:numId w:val="0"/>
      </w:num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rPr>
    </w:pPr>
    <w:r>
      <w:rPr>
        <w:rFonts w:hint="eastAsia"/>
      </w:rPr>
      <w:t>广西电网有限责任公司10kV 干式电压互感器标准技术标书                       第</w:t>
    </w:r>
    <w:r>
      <w:fldChar w:fldCharType="begin"/>
    </w:r>
    <w:r>
      <w:rPr>
        <w:rStyle w:val="14"/>
      </w:rPr>
      <w:instrText xml:space="preserve"> PAGE </w:instrText>
    </w:r>
    <w:r>
      <w:fldChar w:fldCharType="separate"/>
    </w:r>
    <w:r>
      <w:rPr>
        <w:rStyle w:val="14"/>
      </w:rPr>
      <w:t>1</w:t>
    </w:r>
    <w:r>
      <w:fldChar w:fldCharType="end"/>
    </w:r>
    <w:r>
      <w:rPr>
        <w:rFonts w:hint="eastAsia"/>
      </w:rPr>
      <w:t xml:space="preserve">页 /  共23页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A132E"/>
    <w:multiLevelType w:val="multilevel"/>
    <w:tmpl w:val="046A132E"/>
    <w:lvl w:ilvl="0" w:tentative="0">
      <w:start w:val="1"/>
      <w:numFmt w:val="decimal"/>
      <w:pStyle w:val="26"/>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2C1C585D"/>
    <w:multiLevelType w:val="singleLevel"/>
    <w:tmpl w:val="2C1C585D"/>
    <w:lvl w:ilvl="0" w:tentative="0">
      <w:start w:val="1"/>
      <w:numFmt w:val="decimal"/>
      <w:pStyle w:val="20"/>
      <w:lvlText w:val="(%1)"/>
      <w:lvlJc w:val="left"/>
      <w:pPr>
        <w:tabs>
          <w:tab w:val="left" w:pos="678"/>
        </w:tabs>
        <w:ind w:left="678" w:hanging="468"/>
      </w:pPr>
      <w:rPr>
        <w:rFonts w:hint="eastAsia"/>
      </w:rPr>
    </w:lvl>
  </w:abstractNum>
  <w:abstractNum w:abstractNumId="2">
    <w:nsid w:val="3AF50C93"/>
    <w:multiLevelType w:val="multilevel"/>
    <w:tmpl w:val="3AF50C93"/>
    <w:lvl w:ilvl="0" w:tentative="0">
      <w:start w:val="10"/>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6"/>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vanish w:val="0"/>
        <w:spacing w:val="0"/>
        <w:position w:val="0"/>
        <w:u w:val="none"/>
        <w:vertAlign w:val="baseline"/>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vanish w:val="0"/>
        <w:spacing w:val="0"/>
        <w:position w:val="0"/>
        <w:u w:val="none"/>
        <w:vertAlign w:val="baseline"/>
      </w:rPr>
    </w:lvl>
    <w:lvl w:ilvl="4" w:tentative="0">
      <w:start w:val="1"/>
      <w:numFmt w:val="decimal"/>
      <w:pStyle w:val="22"/>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325CA2"/>
    <w:rsid w:val="04041DA3"/>
    <w:rsid w:val="122911A2"/>
    <w:rsid w:val="26325CA2"/>
    <w:rsid w:val="440D2D15"/>
    <w:rsid w:val="6FE107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qFormat/>
    <w:uiPriority w:val="0"/>
    <w:pPr>
      <w:numPr>
        <w:ilvl w:val="2"/>
        <w:numId w:val="1"/>
      </w:numPr>
      <w:tabs>
        <w:tab w:val="left" w:pos="1560"/>
      </w:tabs>
      <w:snapToGrid w:val="0"/>
      <w:spacing w:line="360" w:lineRule="auto"/>
      <w:outlineLvl w:val="2"/>
    </w:pPr>
    <w:rPr>
      <w:rFonts w:ascii="宋体"/>
      <w:bCs/>
      <w:szCs w:val="21"/>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60" w:lineRule="auto"/>
      <w:ind w:firstLine="420" w:firstLineChars="200"/>
    </w:pPr>
  </w:style>
  <w:style w:type="paragraph" w:styleId="6">
    <w:name w:val="Plain Text"/>
    <w:basedOn w:val="1"/>
    <w:qFormat/>
    <w:uiPriority w:val="0"/>
    <w:rPr>
      <w:rFonts w:ascii="宋体" w:hAnsi="Courier New"/>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pPr>
      <w:spacing w:before="120" w:after="120"/>
      <w:jc w:val="left"/>
    </w:pPr>
    <w:rPr>
      <w:b/>
      <w:bCs/>
      <w:caps/>
      <w:sz w:val="20"/>
      <w:szCs w:val="20"/>
    </w:rPr>
  </w:style>
  <w:style w:type="paragraph" w:styleId="10">
    <w:name w:val="toc 2"/>
    <w:basedOn w:val="1"/>
    <w:next w:val="1"/>
    <w:qFormat/>
    <w:uiPriority w:val="39"/>
    <w:pPr>
      <w:tabs>
        <w:tab w:val="left" w:pos="900"/>
        <w:tab w:val="right" w:leader="dot" w:pos="8296"/>
      </w:tabs>
      <w:ind w:left="420" w:left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Hyperlink"/>
    <w:qFormat/>
    <w:uiPriority w:val="0"/>
    <w:rPr>
      <w:color w:val="0000FF"/>
      <w:u w:val="single"/>
    </w:rPr>
  </w:style>
  <w:style w:type="paragraph" w:customStyle="1" w:styleId="16">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7">
    <w:name w:val="首行缩进"/>
    <w:basedOn w:val="1"/>
    <w:qFormat/>
    <w:uiPriority w:val="0"/>
    <w:pPr>
      <w:spacing w:line="300" w:lineRule="auto"/>
      <w:ind w:firstLine="420" w:firstLineChars="200"/>
    </w:pPr>
    <w:rPr>
      <w:rFonts w:eastAsia="方正书宋简体" w:cs="宋体"/>
      <w:szCs w:val="20"/>
    </w:rPr>
  </w:style>
  <w:style w:type="paragraph" w:customStyle="1" w:styleId="18">
    <w:name w:val="p0"/>
    <w:basedOn w:val="1"/>
    <w:qFormat/>
    <w:uiPriority w:val="0"/>
    <w:pPr>
      <w:widowControl/>
    </w:pPr>
    <w:rPr>
      <w:kern w:val="0"/>
      <w:szCs w:val="21"/>
    </w:rPr>
  </w:style>
  <w:style w:type="paragraph" w:customStyle="1" w:styleId="19">
    <w:name w:val="样式 标题 3 + 宋体"/>
    <w:basedOn w:val="4"/>
    <w:qFormat/>
    <w:uiPriority w:val="0"/>
    <w:rPr>
      <w:rFonts w:hAnsi="宋体"/>
      <w:bCs w:val="0"/>
    </w:rPr>
  </w:style>
  <w:style w:type="paragraph" w:customStyle="1" w:styleId="20">
    <w:name w:val="正文表标题"/>
    <w:next w:val="16"/>
    <w:qFormat/>
    <w:uiPriority w:val="0"/>
    <w:pPr>
      <w:numPr>
        <w:ilvl w:val="0"/>
        <w:numId w:val="2"/>
      </w:numPr>
      <w:tabs>
        <w:tab w:val="left" w:pos="360"/>
      </w:tabs>
      <w:jc w:val="center"/>
    </w:pPr>
    <w:rPr>
      <w:rFonts w:ascii="黑体" w:hAnsi="Times New Roman" w:eastAsia="黑体" w:cs="Times New Roman"/>
      <w:sz w:val="21"/>
      <w:lang w:val="en-US" w:eastAsia="zh-CN" w:bidi="ar-SA"/>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三级条标题"/>
    <w:basedOn w:val="23"/>
    <w:next w:val="16"/>
    <w:qFormat/>
    <w:uiPriority w:val="0"/>
    <w:pPr>
      <w:numPr>
        <w:ilvl w:val="4"/>
        <w:numId w:val="3"/>
      </w:numPr>
      <w:tabs>
        <w:tab w:val="left" w:pos="360"/>
      </w:tabs>
      <w:outlineLvl w:val="4"/>
    </w:pPr>
  </w:style>
  <w:style w:type="paragraph" w:customStyle="1" w:styleId="23">
    <w:name w:val="二级条标题"/>
    <w:basedOn w:val="1"/>
    <w:next w:val="16"/>
    <w:qFormat/>
    <w:uiPriority w:val="0"/>
    <w:pPr>
      <w:widowControl/>
      <w:outlineLvl w:val="3"/>
    </w:pPr>
    <w:rPr>
      <w:rFonts w:ascii="黑体" w:eastAsia="黑体"/>
      <w:kern w:val="0"/>
      <w:szCs w:val="20"/>
    </w:rPr>
  </w:style>
  <w:style w:type="paragraph" w:customStyle="1" w:styleId="24">
    <w:name w:val="CM3"/>
    <w:basedOn w:val="21"/>
    <w:next w:val="21"/>
    <w:qFormat/>
    <w:uiPriority w:val="0"/>
    <w:pPr>
      <w:spacing w:line="468" w:lineRule="atLeast"/>
    </w:pPr>
    <w:rPr>
      <w:rFonts w:ascii="黑体" w:eastAsia="黑体" w:cs="Times New Roman"/>
      <w:color w:val="auto"/>
    </w:rPr>
  </w:style>
  <w:style w:type="paragraph" w:customStyle="1" w:styleId="25">
    <w:name w:val="CM17"/>
    <w:basedOn w:val="21"/>
    <w:next w:val="21"/>
    <w:qFormat/>
    <w:uiPriority w:val="0"/>
    <w:pPr>
      <w:spacing w:line="468" w:lineRule="atLeast"/>
    </w:pPr>
    <w:rPr>
      <w:rFonts w:ascii="黑体" w:eastAsia="黑体" w:cs="Times New Roman"/>
      <w:color w:val="auto"/>
    </w:rPr>
  </w:style>
  <w:style w:type="paragraph" w:customStyle="1" w:styleId="26">
    <w:name w:val="标准书眉一"/>
    <w:qFormat/>
    <w:uiPriority w:val="0"/>
    <w:pPr>
      <w:numPr>
        <w:ilvl w:val="0"/>
        <w:numId w:val="1"/>
      </w:numPr>
      <w:jc w:val="both"/>
    </w:pPr>
    <w:rPr>
      <w:rFonts w:ascii="Times New Roman" w:hAnsi="Times New Roman" w:eastAsia="宋体" w:cs="Times New Roman"/>
      <w:lang w:val="en-US" w:eastAsia="zh-CN" w:bidi="ar-SA"/>
    </w:rPr>
  </w:style>
  <w:style w:type="paragraph" w:customStyle="1" w:styleId="2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8">
    <w:name w:val="标准书脚_偶数页"/>
    <w:qFormat/>
    <w:uiPriority w:val="0"/>
    <w:pPr>
      <w:spacing w:before="120"/>
    </w:pPr>
    <w:rPr>
      <w:rFonts w:ascii="Times New Roman" w:hAnsi="Times New Roman" w:eastAsia="宋体" w:cs="Times New Roman"/>
      <w:sz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image" Target="media/image11.wmf"/><Relationship Id="rId33" Type="http://schemas.openxmlformats.org/officeDocument/2006/relationships/oleObject" Target="embeddings/oleObject12.bin"/><Relationship Id="rId32" Type="http://schemas.openxmlformats.org/officeDocument/2006/relationships/image" Target="media/image10.emf"/><Relationship Id="rId31" Type="http://schemas.openxmlformats.org/officeDocument/2006/relationships/oleObject" Target="embeddings/oleObject11.bin"/><Relationship Id="rId30" Type="http://schemas.openxmlformats.org/officeDocument/2006/relationships/image" Target="media/image9.png"/><Relationship Id="rId3" Type="http://schemas.openxmlformats.org/officeDocument/2006/relationships/header" Target="header1.xml"/><Relationship Id="rId29" Type="http://schemas.openxmlformats.org/officeDocument/2006/relationships/image" Target="media/image8.wmf"/><Relationship Id="rId28" Type="http://schemas.openxmlformats.org/officeDocument/2006/relationships/oleObject" Target="embeddings/oleObject10.bin"/><Relationship Id="rId27" Type="http://schemas.openxmlformats.org/officeDocument/2006/relationships/oleObject" Target="embeddings/oleObject9.bin"/><Relationship Id="rId26" Type="http://schemas.openxmlformats.org/officeDocument/2006/relationships/image" Target="media/image7.wmf"/><Relationship Id="rId25" Type="http://schemas.openxmlformats.org/officeDocument/2006/relationships/oleObject" Target="embeddings/oleObject8.bin"/><Relationship Id="rId24" Type="http://schemas.openxmlformats.org/officeDocument/2006/relationships/oleObject" Target="embeddings/oleObject7.bin"/><Relationship Id="rId23" Type="http://schemas.openxmlformats.org/officeDocument/2006/relationships/oleObject" Target="embeddings/oleObject6.bin"/><Relationship Id="rId22" Type="http://schemas.openxmlformats.org/officeDocument/2006/relationships/image" Target="media/image6.wmf"/><Relationship Id="rId21" Type="http://schemas.openxmlformats.org/officeDocument/2006/relationships/oleObject" Target="embeddings/oleObject5.bin"/><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4.wmf"/><Relationship Id="rId17" Type="http://schemas.openxmlformats.org/officeDocument/2006/relationships/oleObject" Target="embeddings/oleObject3.bin"/><Relationship Id="rId16" Type="http://schemas.openxmlformats.org/officeDocument/2006/relationships/image" Target="media/image3.wmf"/><Relationship Id="rId15" Type="http://schemas.openxmlformats.org/officeDocument/2006/relationships/oleObject" Target="embeddings/oleObject2.bin"/><Relationship Id="rId14" Type="http://schemas.openxmlformats.org/officeDocument/2006/relationships/image" Target="media/image2.wmf"/><Relationship Id="rId13" Type="http://schemas.openxmlformats.org/officeDocument/2006/relationships/oleObject" Target="embeddings/oleObject1.bin"/><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5193</Words>
  <Characters>6078</Characters>
  <Lines>0</Lines>
  <Paragraphs>0</Paragraphs>
  <TotalTime>33</TotalTime>
  <ScaleCrop>false</ScaleCrop>
  <LinksUpToDate>false</LinksUpToDate>
  <CharactersWithSpaces>6395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2026-07-04T09:24:00Z</dcterms:created>
  <dc:creator>qiusirui.hzzs</dc:creator>
  <cp:lastModifiedBy>文铭</cp:lastModifiedBy>
  <dcterms:modified xsi:type="dcterms:W3CDTF">2026-08-28T03:54:27Z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605CD0BBA1CF4089B9603CAD08EC55D1_13</vt:lpwstr>
  </property>
  <property fmtid="{D5CDD505-2E9C-101B-9397-08002B2CF9AE}" pid="4" name="KSOTemplateDocerSaveRecord">
    <vt:lpwstr>eyJoZGlkIjoiNWU0M2VhMmUwNDU4ZjBlNjMwZjc3YWFjOTc3ODRjYTUiLCJ1c2VySWQiOiIxMTAwNjk4MjUzIn0=</vt:lpwstr>
  </property>
</Properties>
</file>