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4" name="文本框 3"/>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rFonts w:ascii="Times New Roman" w:hAnsi="Times New Roman" w:cs="Times New Roman"/>
                                <w:sz w:val="28"/>
                                <w:szCs w:val="28"/>
                              </w:rPr>
                            </w:pPr>
                            <w:r>
                              <w:rPr>
                                <w:rFonts w:ascii="Times New Roman" w:hAnsi="Times New Roman" w:cs="Times New Roman"/>
                                <w:sz w:val="28"/>
                                <w:szCs w:val="28"/>
                              </w:rPr>
                              <w:t>2026年</w:t>
                            </w:r>
                            <w:r>
                              <w:rPr>
                                <w:rFonts w:hint="eastAsia" w:ascii="Times New Roman" w:hAnsi="Times New Roman" w:cs="Times New Roman"/>
                                <w:sz w:val="28"/>
                                <w:szCs w:val="28"/>
                                <w:lang w:val="en-US" w:eastAsia="zh-CN"/>
                              </w:rPr>
                              <w:t>9</w:t>
                            </w:r>
                            <w:r>
                              <w:rPr>
                                <w:rFonts w:ascii="Times New Roman" w:hAnsi="Times New Roman" w:cs="Times New Roman"/>
                                <w:sz w:val="28"/>
                                <w:szCs w:val="28"/>
                              </w:rPr>
                              <w:t>月</w:t>
                            </w:r>
                          </w:p>
                        </w:txbxContent>
                      </wps:txbx>
                      <wps:bodyPr wrap="square" upright="1"/>
                    </wps:wsp>
                  </a:graphicData>
                </a:graphic>
              </wp:anchor>
            </w:drawing>
          </mc:Choice>
          <mc:Fallback>
            <w:pict>
              <v:shape id="文本框 3"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Dd79d2QAAAA0BAAAPAAAAAAAAAAEAIAAAACIAAABkcnMvZG93bnJldi54bWxQSwECFAAU&#10;AAAACACHTuJAnUfRVrcBAABcAwAADgAAAAAAAAABACAAAAAoAQAAZHJzL2Uyb0RvYy54bWxQSwUG&#10;AAAAAAYABgBZAQAAUQUAAAAA&#10;">
                <v:fill on="f" focussize="0,0"/>
                <v:stroke on="f"/>
                <v:imagedata o:title=""/>
                <o:lock v:ext="edit" aspectratio="f"/>
                <v:textbox>
                  <w:txbxContent>
                    <w:p>
                      <w:pPr>
                        <w:ind w:firstLine="0" w:firstLineChars="0"/>
                        <w:jc w:val="center"/>
                        <w:rPr>
                          <w:rFonts w:ascii="Times New Roman" w:hAnsi="Times New Roman" w:cs="Times New Roman"/>
                          <w:sz w:val="28"/>
                          <w:szCs w:val="28"/>
                        </w:rPr>
                      </w:pPr>
                      <w:r>
                        <w:rPr>
                          <w:rFonts w:ascii="Times New Roman" w:hAnsi="Times New Roman" w:cs="Times New Roman"/>
                          <w:sz w:val="28"/>
                          <w:szCs w:val="28"/>
                        </w:rPr>
                        <w:t>2026年</w:t>
                      </w:r>
                      <w:r>
                        <w:rPr>
                          <w:rFonts w:hint="eastAsia" w:ascii="Times New Roman" w:hAnsi="Times New Roman" w:cs="Times New Roman"/>
                          <w:sz w:val="28"/>
                          <w:szCs w:val="28"/>
                          <w:lang w:val="en-US" w:eastAsia="zh-CN"/>
                        </w:rPr>
                        <w:t>9</w:t>
                      </w:r>
                      <w:r>
                        <w:rPr>
                          <w:rFonts w:ascii="Times New Roman" w:hAnsi="Times New Roman" w:cs="Times New Roman"/>
                          <w:sz w:val="28"/>
                          <w:szCs w:val="28"/>
                        </w:rPr>
                        <w:t>月</w:t>
                      </w: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1" name="文本框 4"/>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sz w:val="52"/>
                                <w:szCs w:val="52"/>
                              </w:rPr>
                            </w:pPr>
                            <w:r>
                              <w:rPr>
                                <w:rFonts w:hint="eastAsia" w:ascii="黑体" w:hAnsi="黑体" w:eastAsia="黑体"/>
                                <w:sz w:val="52"/>
                                <w:szCs w:val="52"/>
                              </w:rPr>
                              <w:t>技术规范书</w:t>
                            </w:r>
                          </w:p>
                        </w:txbxContent>
                      </wps:txbx>
                      <wps:bodyPr wrap="square" upright="1"/>
                    </wps:wsp>
                  </a:graphicData>
                </a:graphic>
              </wp:anchor>
            </w:drawing>
          </mc:Choice>
          <mc:Fallback>
            <w:pict>
              <v:shape id="文本框 4"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Bi3b/dYAAAAKAQAADwAAAAAAAAABACAAAAAiAAAAZHJzL2Rvd25yZXYueG1sUEsBAhQAFAAA&#10;AAgAh07iQLpE9aG4AQAAXAMAAA4AAAAAAAAAAQAgAAAAJQEAAGRycy9lMm9Eb2MueG1sUEsFBgAA&#10;AAAGAAYAWQEAAE8FAAAAAA==&#10;">
                <v:fill on="f" focussize="0,0"/>
                <v:stroke on="f"/>
                <v:imagedata o:title=""/>
                <o:lock v:ext="edit" aspectratio="f"/>
                <v:textbox>
                  <w:txbxContent>
                    <w:p>
                      <w:pPr>
                        <w:ind w:firstLine="0" w:firstLineChars="0"/>
                        <w:jc w:val="center"/>
                        <w:rPr>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218440</wp:posOffset>
                </wp:positionH>
                <wp:positionV relativeFrom="paragraph">
                  <wp:posOffset>254635</wp:posOffset>
                </wp:positionV>
                <wp:extent cx="5327015" cy="19050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5327015" cy="1905000"/>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基于安全性远程放电及蓄电池大数据监测成套装置（48V版）检测</w:t>
                            </w:r>
                          </w:p>
                        </w:txbxContent>
                      </wps:txbx>
                      <wps:bodyPr wrap="square" upright="1"/>
                    </wps:wsp>
                  </a:graphicData>
                </a:graphic>
              </wp:anchor>
            </w:drawing>
          </mc:Choice>
          <mc:Fallback>
            <w:pict>
              <v:shape id="文本框 5" o:spid="_x0000_s1026" o:spt="202" type="#_x0000_t202" style="position:absolute;left:0pt;margin-left:17.2pt;margin-top:20.05pt;height:150pt;width:419.45pt;z-index:251660288;mso-width-relative:page;mso-height-relative:page;" filled="f" stroked="f" coordsize="21600,21600" o:gfxdata="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RFZc+dUAAAAJAQAADwAAAAAAAAABACAAAAAiAAAAZHJzL2Rvd25yZXYueG1sUEsBAhQAFAAA&#10;AAgAh07iQJTE7+65AQAAXQMAAA4AAAAAAAAAAQAgAAAAJAEAAGRycy9lMm9Eb2MueG1sUEsFBgAA&#10;AAAGAAYAWQEAAE8FA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基于安全性远程放电及蓄电池大数据监测成套装置（48V版）检测</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line="240" w:lineRule="auto"/>
        <w:ind w:firstLine="0" w:firstLineChars="0"/>
        <w:jc w:val="center"/>
        <w:rPr>
          <w:rFonts w:ascii="Times New Roman" w:hAnsi="Times New Roman" w:eastAsia="仿宋_GB2312" w:cs="Times New Roman"/>
          <w:b/>
          <w:sz w:val="36"/>
          <w:szCs w:val="20"/>
        </w:rPr>
      </w:pPr>
      <w:r>
        <w:rPr>
          <w:rFonts w:ascii="Times New Roman" w:hAnsi="Times New Roman" w:cs="Times New Roman"/>
        </w:rPr>
        <mc:AlternateContent>
          <mc:Choice Requires="wps">
            <w:drawing>
              <wp:anchor distT="0" distB="0" distL="114300" distR="114300" simplePos="0" relativeHeight="251661312" behindDoc="0" locked="0" layoutInCell="1" allowOverlap="1">
                <wp:simplePos x="0" y="0"/>
                <wp:positionH relativeFrom="column">
                  <wp:posOffset>344805</wp:posOffset>
                </wp:positionH>
                <wp:positionV relativeFrom="paragraph">
                  <wp:posOffset>506730</wp:posOffset>
                </wp:positionV>
                <wp:extent cx="4638675" cy="472440"/>
                <wp:effectExtent l="0" t="0" r="0" b="0"/>
                <wp:wrapNone/>
                <wp:docPr id="3" name="文本框 6"/>
                <wp:cNvGraphicFramePr/>
                <a:graphic xmlns:a="http://schemas.openxmlformats.org/drawingml/2006/main">
                  <a:graphicData uri="http://schemas.microsoft.com/office/word/2010/wordprocessingShape">
                    <wps:wsp>
                      <wps:cNvSpPr txBox="1"/>
                      <wps:spPr>
                        <a:xfrm>
                          <a:off x="0" y="0"/>
                          <a:ext cx="4638675" cy="472440"/>
                        </a:xfrm>
                        <a:prstGeom prst="rect">
                          <a:avLst/>
                        </a:prstGeom>
                        <a:noFill/>
                        <a:ln>
                          <a:noFill/>
                        </a:ln>
                      </wps:spPr>
                      <wps:txbx>
                        <w:txbxContent>
                          <w:p>
                            <w:pPr>
                              <w:ind w:firstLine="0" w:firstLineChars="0"/>
                              <w:jc w:val="center"/>
                              <w:rPr>
                                <w:sz w:val="28"/>
                                <w:szCs w:val="28"/>
                              </w:rPr>
                            </w:pPr>
                            <w:r>
                              <w:rPr>
                                <w:rFonts w:hint="eastAsia"/>
                                <w:sz w:val="28"/>
                                <w:szCs w:val="28"/>
                              </w:rPr>
                              <w:t>广西电网能源科技有限责任公司</w:t>
                            </w:r>
                          </w:p>
                        </w:txbxContent>
                      </wps:txbx>
                      <wps:bodyPr vert="horz" wrap="square" anchor="t" anchorCtr="0" upright="1"/>
                    </wps:wsp>
                  </a:graphicData>
                </a:graphic>
              </wp:anchor>
            </w:drawing>
          </mc:Choice>
          <mc:Fallback>
            <w:pict>
              <v:shape id="文本框 6" o:spid="_x0000_s1026" o:spt="202" type="#_x0000_t202" style="position:absolute;left:0pt;margin-left:27.15pt;margin-top:39.9pt;height:37.2pt;width:365.25pt;z-index:251661312;mso-width-relative:page;mso-height-relative:page;" filled="f" stroked="f" coordsize="21600,21600" o:gfxdata="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&#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m15U/XAAAACQEAAA8AAAAAAAAAAQAgAAAAIgAAAGRy&#10;cy9kb3ducmV2LnhtbFBLAQIUABQAAAAIAIdO4kAm41+EzQEAAIEDAAAOAAAAAAAAAAEAIAAAACYB&#10;AABkcnMvZTJvRG9jLnhtbFBLBQYAAAAABgAGAFkBAABlBQAAAAA=&#10;">
                <v:fill on="f" focussize="0,0"/>
                <v:stroke on="f"/>
                <v:imagedata o:title=""/>
                <o:lock v:ext="edit" aspectratio="f"/>
                <v:textbox>
                  <w:txbxContent>
                    <w:p>
                      <w:pPr>
                        <w:ind w:firstLine="0" w:firstLineChars="0"/>
                        <w:jc w:val="center"/>
                        <w:rPr>
                          <w:sz w:val="28"/>
                          <w:szCs w:val="28"/>
                        </w:rPr>
                      </w:pPr>
                      <w:r>
                        <w:rPr>
                          <w:rFonts w:hint="eastAsia"/>
                          <w:sz w:val="28"/>
                          <w:szCs w:val="28"/>
                        </w:rPr>
                        <w:t>广西电网能源科技有限责任公司</w:t>
                      </w:r>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sz w:val="36"/>
          <w:szCs w:val="20"/>
        </w:rPr>
      </w:pPr>
      <w:r>
        <w:rPr>
          <w:rFonts w:ascii="Times New Roman" w:hAnsi="Times New Roman" w:eastAsia="仿宋_GB2312" w:cs="Times New Roman"/>
          <w:b/>
          <w:sz w:val="36"/>
          <w:szCs w:val="20"/>
        </w:rPr>
        <w:t>目录</w:t>
      </w:r>
    </w:p>
    <w:p>
      <w:pPr>
        <w:pStyle w:val="12"/>
        <w:tabs>
          <w:tab w:val="right" w:leader="dot" w:pos="8306"/>
        </w:tabs>
      </w:pPr>
      <w:r>
        <w:rPr>
          <w:rFonts w:eastAsia="仿宋_GB2312"/>
          <w:sz w:val="36"/>
        </w:rPr>
        <w:fldChar w:fldCharType="begin"/>
      </w:r>
      <w:r>
        <w:rPr>
          <w:rFonts w:eastAsia="仿宋_GB2312"/>
          <w:sz w:val="36"/>
        </w:rPr>
        <w:instrText xml:space="preserve">TOC \o "1-3" \t "" \h \z \u </w:instrText>
      </w:r>
      <w:r>
        <w:rPr>
          <w:rFonts w:eastAsia="仿宋_GB2312"/>
          <w:sz w:val="36"/>
        </w:rPr>
        <w:fldChar w:fldCharType="separate"/>
      </w:r>
      <w:r>
        <w:rPr>
          <w:rFonts w:eastAsia="仿宋_GB2312"/>
        </w:rPr>
        <w:fldChar w:fldCharType="begin"/>
      </w:r>
      <w:r>
        <w:rPr>
          <w:rFonts w:eastAsia="仿宋_GB2312"/>
        </w:rPr>
        <w:instrText xml:space="preserve"> HYPERLINK \l _Toc8690 </w:instrText>
      </w:r>
      <w:r>
        <w:rPr>
          <w:rFonts w:eastAsia="仿宋_GB2312"/>
        </w:rPr>
        <w:fldChar w:fldCharType="separate"/>
      </w:r>
      <w:r>
        <w:rPr>
          <w:szCs w:val="32"/>
        </w:rPr>
        <w:t>一、总则</w:t>
      </w:r>
      <w:r>
        <w:tab/>
      </w:r>
      <w:r>
        <w:fldChar w:fldCharType="begin"/>
      </w:r>
      <w:r>
        <w:instrText xml:space="preserve"> PAGEREF _Toc8690 \h </w:instrText>
      </w:r>
      <w:r>
        <w:fldChar w:fldCharType="separate"/>
      </w:r>
      <w:r>
        <w:t>1</w:t>
      </w:r>
      <w:r>
        <w:fldChar w:fldCharType="end"/>
      </w:r>
      <w:r>
        <w:rPr>
          <w:rFonts w:eastAsia="仿宋_GB2312"/>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_Toc2231 </w:instrText>
      </w:r>
      <w:r>
        <w:rPr>
          <w:rFonts w:ascii="Times New Roman" w:hAnsi="Times New Roman" w:cs="Times New Roman"/>
        </w:rPr>
        <w:fldChar w:fldCharType="separate"/>
      </w:r>
      <w:r>
        <w:rPr>
          <w:rFonts w:ascii="Times New Roman" w:hAnsi="Times New Roman"/>
        </w:rPr>
        <w:t>1.1 一般要求</w:t>
      </w:r>
      <w:r>
        <w:tab/>
      </w:r>
      <w:r>
        <w:fldChar w:fldCharType="begin"/>
      </w:r>
      <w:r>
        <w:instrText xml:space="preserve"> PAGEREF _Toc2231 \h </w:instrText>
      </w:r>
      <w:r>
        <w:fldChar w:fldCharType="separate"/>
      </w:r>
      <w:r>
        <w:t>1</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_Toc14840 </w:instrText>
      </w:r>
      <w:r>
        <w:rPr>
          <w:rFonts w:ascii="Times New Roman" w:hAnsi="Times New Roman" w:cs="Times New Roman"/>
        </w:rPr>
        <w:fldChar w:fldCharType="separate"/>
      </w:r>
      <w:r>
        <w:rPr>
          <w:rFonts w:ascii="Times New Roman" w:hAnsi="Times New Roman"/>
        </w:rPr>
        <w:t>1.2标准和规范</w:t>
      </w:r>
      <w:r>
        <w:tab/>
      </w:r>
      <w:r>
        <w:fldChar w:fldCharType="begin"/>
      </w:r>
      <w:r>
        <w:instrText xml:space="preserve"> PAGEREF _Toc14840 \h </w:instrText>
      </w:r>
      <w:r>
        <w:fldChar w:fldCharType="separate"/>
      </w:r>
      <w:r>
        <w:t>2</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_Toc23734 </w:instrText>
      </w:r>
      <w:r>
        <w:rPr>
          <w:rFonts w:ascii="Times New Roman" w:hAnsi="Times New Roman" w:cs="Times New Roman"/>
        </w:rPr>
        <w:fldChar w:fldCharType="separate"/>
      </w:r>
      <w:r>
        <w:rPr>
          <w:szCs w:val="32"/>
        </w:rPr>
        <w:t>二、技术要求</w:t>
      </w:r>
      <w:r>
        <w:tab/>
      </w:r>
      <w:r>
        <w:fldChar w:fldCharType="begin"/>
      </w:r>
      <w:r>
        <w:instrText xml:space="preserve"> PAGEREF _Toc23734 \h </w:instrText>
      </w:r>
      <w:r>
        <w:fldChar w:fldCharType="separate"/>
      </w:r>
      <w:r>
        <w:t>3</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_Toc23404 </w:instrText>
      </w:r>
      <w:r>
        <w:rPr>
          <w:rFonts w:ascii="Times New Roman" w:hAnsi="Times New Roman" w:cs="Times New Roman"/>
        </w:rPr>
        <w:fldChar w:fldCharType="separate"/>
      </w:r>
      <w:r>
        <w:rPr>
          <w:rFonts w:hint="eastAsia" w:asciiTheme="minorEastAsia" w:hAnsiTheme="minorEastAsia" w:eastAsiaTheme="minorEastAsia" w:cstheme="minorEastAsia"/>
          <w:szCs w:val="24"/>
          <w:lang w:val="en-US" w:eastAsia="zh-CN"/>
        </w:rPr>
        <w:t>2.1 项目检测</w:t>
      </w:r>
      <w:r>
        <w:rPr>
          <w:rFonts w:hint="eastAsia" w:asciiTheme="minorEastAsia" w:hAnsiTheme="minorEastAsia" w:eastAsiaTheme="minorEastAsia" w:cstheme="minorEastAsia"/>
          <w:szCs w:val="24"/>
        </w:rPr>
        <w:t>对象</w:t>
      </w:r>
      <w:r>
        <w:tab/>
      </w:r>
      <w:r>
        <w:fldChar w:fldCharType="begin"/>
      </w:r>
      <w:r>
        <w:instrText xml:space="preserve"> PAGEREF _Toc23404 \h </w:instrText>
      </w:r>
      <w:r>
        <w:fldChar w:fldCharType="separate"/>
      </w:r>
      <w:r>
        <w:t>3</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_Toc19242 </w:instrText>
      </w:r>
      <w:r>
        <w:rPr>
          <w:rFonts w:ascii="Times New Roman" w:hAnsi="Times New Roman" w:cs="Times New Roman"/>
        </w:rPr>
        <w:fldChar w:fldCharType="separate"/>
      </w:r>
      <w:r>
        <w:rPr>
          <w:rFonts w:hint="eastAsia" w:asciiTheme="minorEastAsia" w:hAnsiTheme="minorEastAsia" w:eastAsiaTheme="minorEastAsia" w:cstheme="minorEastAsia"/>
          <w:szCs w:val="24"/>
        </w:rPr>
        <w:t>2.2项目</w:t>
      </w:r>
      <w:r>
        <w:rPr>
          <w:rFonts w:hint="eastAsia" w:asciiTheme="minorEastAsia" w:hAnsiTheme="minorEastAsia" w:eastAsiaTheme="minorEastAsia" w:cstheme="minorEastAsia"/>
          <w:szCs w:val="24"/>
          <w:lang w:val="en-US" w:eastAsia="zh-CN"/>
        </w:rPr>
        <w:t>检测</w:t>
      </w:r>
      <w:r>
        <w:rPr>
          <w:rFonts w:hint="eastAsia" w:asciiTheme="minorEastAsia" w:hAnsiTheme="minorEastAsia" w:eastAsiaTheme="minorEastAsia" w:cstheme="minorEastAsia"/>
          <w:szCs w:val="24"/>
        </w:rPr>
        <w:t>内容</w:t>
      </w:r>
      <w:r>
        <w:tab/>
      </w:r>
      <w:r>
        <w:fldChar w:fldCharType="begin"/>
      </w:r>
      <w:r>
        <w:instrText xml:space="preserve"> PAGEREF _Toc19242 \h </w:instrText>
      </w:r>
      <w:r>
        <w:fldChar w:fldCharType="separate"/>
      </w:r>
      <w:r>
        <w:t>3</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_Toc5699 </w:instrText>
      </w:r>
      <w:r>
        <w:rPr>
          <w:rFonts w:ascii="Times New Roman" w:hAnsi="Times New Roman" w:cs="Times New Roman"/>
        </w:rPr>
        <w:fldChar w:fldCharType="separate"/>
      </w:r>
      <w:r>
        <w:rPr>
          <w:rFonts w:hint="eastAsia" w:asciiTheme="minorEastAsia" w:hAnsiTheme="minorEastAsia" w:eastAsiaTheme="minorEastAsia" w:cstheme="minorEastAsia"/>
          <w:szCs w:val="24"/>
        </w:rPr>
        <w:t>2.3</w:t>
      </w:r>
      <w:r>
        <w:rPr>
          <w:rFonts w:hint="eastAsia" w:asciiTheme="minorEastAsia" w:hAnsiTheme="minorEastAsia" w:eastAsiaTheme="minorEastAsia" w:cstheme="minorEastAsia"/>
          <w:szCs w:val="24"/>
          <w:lang w:val="en-US" w:eastAsia="zh-CN"/>
        </w:rPr>
        <w:t>检测</w:t>
      </w:r>
      <w:r>
        <w:rPr>
          <w:rFonts w:hint="eastAsia" w:asciiTheme="minorEastAsia" w:hAnsiTheme="minorEastAsia" w:eastAsiaTheme="minorEastAsia" w:cstheme="minorEastAsia"/>
          <w:szCs w:val="24"/>
        </w:rPr>
        <w:t>技术要求</w:t>
      </w:r>
      <w:r>
        <w:tab/>
      </w:r>
      <w:r>
        <w:fldChar w:fldCharType="begin"/>
      </w:r>
      <w:r>
        <w:instrText xml:space="preserve"> PAGEREF _Toc5699 \h </w:instrText>
      </w:r>
      <w:r>
        <w:fldChar w:fldCharType="separate"/>
      </w:r>
      <w:r>
        <w:t>3</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_Toc3115 </w:instrText>
      </w:r>
      <w:r>
        <w:rPr>
          <w:rFonts w:ascii="Times New Roman" w:hAnsi="Times New Roman" w:cs="Times New Roman"/>
        </w:rPr>
        <w:fldChar w:fldCharType="separate"/>
      </w:r>
      <w:r>
        <w:rPr>
          <w:szCs w:val="32"/>
        </w:rPr>
        <w:t>三、</w:t>
      </w:r>
      <w:r>
        <w:rPr>
          <w:rFonts w:hint="eastAsia"/>
          <w:szCs w:val="32"/>
          <w:lang w:val="en-US" w:eastAsia="zh-CN"/>
        </w:rPr>
        <w:t>检测</w:t>
      </w:r>
      <w:r>
        <w:rPr>
          <w:szCs w:val="32"/>
        </w:rPr>
        <w:t>成果交付物</w:t>
      </w:r>
      <w:r>
        <w:tab/>
      </w:r>
      <w:r>
        <w:fldChar w:fldCharType="begin"/>
      </w:r>
      <w:r>
        <w:instrText xml:space="preserve"> PAGEREF _Toc3115 \h </w:instrText>
      </w:r>
      <w:r>
        <w:fldChar w:fldCharType="separate"/>
      </w:r>
      <w:r>
        <w:t>6</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_Toc29254 </w:instrText>
      </w:r>
      <w:r>
        <w:rPr>
          <w:rFonts w:ascii="Times New Roman" w:hAnsi="Times New Roman" w:cs="Times New Roman"/>
        </w:rPr>
        <w:fldChar w:fldCharType="separate"/>
      </w:r>
      <w:r>
        <w:rPr>
          <w:szCs w:val="32"/>
        </w:rPr>
        <w:t>四、项目进度</w:t>
      </w:r>
      <w:r>
        <w:tab/>
      </w:r>
      <w:r>
        <w:fldChar w:fldCharType="begin"/>
      </w:r>
      <w:r>
        <w:instrText xml:space="preserve"> PAGEREF _Toc29254 \h </w:instrText>
      </w:r>
      <w:r>
        <w:fldChar w:fldCharType="separate"/>
      </w:r>
      <w:r>
        <w:t>7</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_Toc16430 </w:instrText>
      </w:r>
      <w:r>
        <w:rPr>
          <w:rFonts w:ascii="Times New Roman" w:hAnsi="Times New Roman" w:cs="Times New Roman"/>
        </w:rPr>
        <w:fldChar w:fldCharType="separate"/>
      </w:r>
      <w:r>
        <w:rPr>
          <w:szCs w:val="32"/>
        </w:rPr>
        <w:t>五、</w:t>
      </w:r>
      <w:r>
        <w:rPr>
          <w:rFonts w:hint="eastAsia"/>
          <w:szCs w:val="32"/>
          <w:lang w:val="en-US" w:eastAsia="zh-CN"/>
        </w:rPr>
        <w:t>检测</w:t>
      </w:r>
      <w:r>
        <w:rPr>
          <w:szCs w:val="32"/>
        </w:rPr>
        <w:t>人员</w:t>
      </w:r>
      <w:r>
        <w:tab/>
      </w:r>
      <w:r>
        <w:fldChar w:fldCharType="begin"/>
      </w:r>
      <w:r>
        <w:instrText xml:space="preserve"> PAGEREF _Toc16430 \h </w:instrText>
      </w:r>
      <w:r>
        <w:fldChar w:fldCharType="separate"/>
      </w:r>
      <w:r>
        <w:t>7</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_Toc3771 </w:instrText>
      </w:r>
      <w:r>
        <w:rPr>
          <w:rFonts w:ascii="Times New Roman" w:hAnsi="Times New Roman" w:cs="Times New Roman"/>
        </w:rPr>
        <w:fldChar w:fldCharType="separate"/>
      </w:r>
      <w:r>
        <w:rPr>
          <w:szCs w:val="32"/>
        </w:rPr>
        <w:t>六、投标技术文件编制要求</w:t>
      </w:r>
      <w:r>
        <w:tab/>
      </w:r>
      <w:r>
        <w:fldChar w:fldCharType="begin"/>
      </w:r>
      <w:r>
        <w:instrText xml:space="preserve"> PAGEREF _Toc3771 \h </w:instrText>
      </w:r>
      <w:r>
        <w:fldChar w:fldCharType="separate"/>
      </w:r>
      <w:r>
        <w:t>7</w:t>
      </w:r>
      <w:r>
        <w:fldChar w:fldCharType="end"/>
      </w:r>
      <w:r>
        <w:rPr>
          <w:rFonts w:ascii="Times New Roman" w:hAnsi="Times New Roman" w:cs="Times New Roman"/>
        </w:rPr>
        <w:fldChar w:fldCharType="end"/>
      </w:r>
    </w:p>
    <w:p>
      <w:pPr>
        <w:pStyle w:val="12"/>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_Toc3960 </w:instrText>
      </w:r>
      <w:r>
        <w:rPr>
          <w:rFonts w:ascii="Times New Roman" w:hAnsi="Times New Roman" w:cs="Times New Roman"/>
        </w:rPr>
        <w:fldChar w:fldCharType="separate"/>
      </w:r>
      <w:r>
        <w:rPr>
          <w:szCs w:val="32"/>
        </w:rPr>
        <w:t>附件</w:t>
      </w:r>
      <w:r>
        <w:tab/>
      </w:r>
      <w:r>
        <w:fldChar w:fldCharType="begin"/>
      </w:r>
      <w:r>
        <w:instrText xml:space="preserve"> PAGEREF _Toc3960 \h </w:instrText>
      </w:r>
      <w:r>
        <w:fldChar w:fldCharType="separate"/>
      </w:r>
      <w:r>
        <w:t>8</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_Toc18563 </w:instrText>
      </w:r>
      <w:r>
        <w:rPr>
          <w:rFonts w:ascii="Times New Roman" w:hAnsi="Times New Roman" w:cs="Times New Roman"/>
        </w:rPr>
        <w:fldChar w:fldCharType="separate"/>
      </w:r>
      <w:r>
        <w:rPr>
          <w:rFonts w:ascii="Times New Roman" w:hAnsi="Times New Roman"/>
        </w:rPr>
        <w:t>1、差异表</w:t>
      </w:r>
      <w:r>
        <w:tab/>
      </w:r>
      <w:r>
        <w:fldChar w:fldCharType="begin"/>
      </w:r>
      <w:r>
        <w:instrText xml:space="preserve"> PAGEREF _Toc18563 \h </w:instrText>
      </w:r>
      <w:r>
        <w:fldChar w:fldCharType="separate"/>
      </w:r>
      <w:r>
        <w:t>8</w:t>
      </w:r>
      <w:r>
        <w:fldChar w:fldCharType="end"/>
      </w:r>
      <w:r>
        <w:rPr>
          <w:rFonts w:ascii="Times New Roman" w:hAnsi="Times New Roman" w:cs="Times New Roman"/>
        </w:rPr>
        <w:fldChar w:fldCharType="end"/>
      </w:r>
    </w:p>
    <w:p>
      <w:pPr>
        <w:pStyle w:val="13"/>
        <w:tabs>
          <w:tab w:val="right" w:leader="dot" w:pos="8306"/>
        </w:tabs>
      </w:pPr>
      <w:r>
        <w:rPr>
          <w:rFonts w:ascii="Times New Roman" w:hAnsi="Times New Roman" w:cs="Times New Roman"/>
        </w:rPr>
        <w:fldChar w:fldCharType="begin"/>
      </w:r>
      <w:r>
        <w:rPr>
          <w:rFonts w:ascii="Times New Roman" w:hAnsi="Times New Roman" w:cs="Times New Roman"/>
        </w:rPr>
        <w:instrText xml:space="preserve"> HYPERLINK \l _Toc10832 </w:instrText>
      </w:r>
      <w:r>
        <w:rPr>
          <w:rFonts w:ascii="Times New Roman" w:hAnsi="Times New Roman" w:cs="Times New Roman"/>
        </w:rPr>
        <w:fldChar w:fldCharType="separate"/>
      </w:r>
      <w:r>
        <w:rPr>
          <w:rFonts w:ascii="Times New Roman" w:hAnsi="Times New Roman"/>
        </w:rPr>
        <w:t>2、投标方需要说明的其它问题</w:t>
      </w:r>
      <w:r>
        <w:tab/>
      </w:r>
      <w:r>
        <w:fldChar w:fldCharType="begin"/>
      </w:r>
      <w:r>
        <w:instrText xml:space="preserve"> PAGEREF _Toc10832 \h </w:instrText>
      </w:r>
      <w:r>
        <w:fldChar w:fldCharType="separate"/>
      </w:r>
      <w:r>
        <w:t>8</w:t>
      </w:r>
      <w:r>
        <w:fldChar w:fldCharType="end"/>
      </w:r>
      <w:r>
        <w:rPr>
          <w:rFonts w:ascii="Times New Roman" w:hAnsi="Times New Roman" w:cs="Times New Roman"/>
        </w:rPr>
        <w:fldChar w:fldCharType="end"/>
      </w:r>
    </w:p>
    <w:p>
      <w:pPr>
        <w:ind w:firstLine="480"/>
        <w:rPr>
          <w:rFonts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ascii="Times New Roman" w:hAnsi="Times New Roman" w:cs="Times New Roman"/>
        </w:rPr>
        <w:fldChar w:fldCharType="end"/>
      </w:r>
    </w:p>
    <w:p>
      <w:pPr>
        <w:pStyle w:val="3"/>
        <w:numPr>
          <w:ilvl w:val="0"/>
          <w:numId w:val="0"/>
        </w:numPr>
        <w:spacing w:before="0" w:after="0" w:line="560" w:lineRule="exact"/>
        <w:rPr>
          <w:sz w:val="32"/>
          <w:szCs w:val="32"/>
        </w:rPr>
      </w:pPr>
      <w:bookmarkStart w:id="0" w:name="_Toc353940788"/>
      <w:bookmarkStart w:id="1" w:name="_Toc8690"/>
      <w:bookmarkStart w:id="2" w:name="_Toc299606277"/>
      <w:bookmarkStart w:id="3" w:name="_Toc353939550"/>
      <w:bookmarkStart w:id="4" w:name="_Toc444945507"/>
      <w:r>
        <w:rPr>
          <w:sz w:val="32"/>
          <w:szCs w:val="32"/>
        </w:rPr>
        <w:t>一、总则</w:t>
      </w:r>
      <w:bookmarkEnd w:id="0"/>
      <w:bookmarkEnd w:id="1"/>
      <w:bookmarkEnd w:id="2"/>
      <w:bookmarkEnd w:id="3"/>
      <w:bookmarkEnd w:id="4"/>
    </w:p>
    <w:p>
      <w:pPr>
        <w:pStyle w:val="4"/>
        <w:spacing w:before="0" w:after="0" w:line="560" w:lineRule="exact"/>
        <w:rPr>
          <w:rFonts w:ascii="Times New Roman" w:hAnsi="Times New Roman"/>
        </w:rPr>
      </w:pPr>
      <w:bookmarkStart w:id="5" w:name="_Toc318799924"/>
      <w:bookmarkStart w:id="6" w:name="_Toc2244"/>
      <w:bookmarkStart w:id="7" w:name="_Toc2231"/>
      <w:bookmarkStart w:id="8" w:name="_Toc444945508"/>
      <w:r>
        <w:rPr>
          <w:rFonts w:ascii="Times New Roman" w:hAnsi="Times New Roman"/>
        </w:rPr>
        <w:t>1.1 一般要求</w:t>
      </w:r>
      <w:bookmarkEnd w:id="5"/>
      <w:bookmarkEnd w:id="6"/>
      <w:bookmarkEnd w:id="7"/>
      <w:bookmarkEnd w:id="8"/>
    </w:p>
    <w:p>
      <w:pPr>
        <w:spacing w:line="560" w:lineRule="exact"/>
        <w:ind w:firstLine="480"/>
        <w:rPr>
          <w:rFonts w:ascii="Times New Roman" w:hAnsi="Times New Roman" w:cs="Times New Roman"/>
        </w:rPr>
      </w:pPr>
      <w:bookmarkStart w:id="9" w:name="_Toc299606280"/>
      <w:bookmarkStart w:id="10" w:name="_Toc353940791"/>
      <w:bookmarkStart w:id="11" w:name="_Toc444945511"/>
      <w:bookmarkStart w:id="12" w:name="_Toc353939553"/>
      <w:r>
        <w:rPr>
          <w:rFonts w:ascii="Times New Roman" w:hAnsi="Times New Roman" w:cs="Times New Roman"/>
        </w:rPr>
        <w:t>1.1.1 本技术条款主要描述</w:t>
      </w:r>
      <w:r>
        <w:rPr>
          <w:rFonts w:hint="eastAsia" w:ascii="Times New Roman" w:hAnsi="Times New Roman" w:cs="Times New Roman"/>
        </w:rPr>
        <w:t>“</w:t>
      </w:r>
      <w:r>
        <w:rPr>
          <w:rFonts w:hint="eastAsia" w:ascii="Times New Roman" w:hAnsi="Times New Roman" w:cs="Times New Roman"/>
          <w:bCs/>
          <w:u w:val="single"/>
        </w:rPr>
        <w:t>广西电网能源科技有限责任公司</w:t>
      </w:r>
      <w:r>
        <w:rPr>
          <w:rFonts w:hint="eastAsia" w:ascii="Times New Roman" w:hAnsi="Times New Roman" w:cs="Times New Roman"/>
          <w:bCs/>
          <w:u w:val="single"/>
          <w:lang w:val="en-US" w:eastAsia="zh-CN"/>
        </w:rPr>
        <w:t>基于安全性远程放电及蓄电池大数据监测成套装置（48V版）检测</w:t>
      </w:r>
      <w:r>
        <w:rPr>
          <w:rFonts w:hint="eastAsia" w:ascii="Times New Roman" w:hAnsi="Times New Roman" w:cs="Times New Roman"/>
        </w:rPr>
        <w:t>”</w:t>
      </w:r>
      <w:r>
        <w:rPr>
          <w:rFonts w:ascii="Times New Roman" w:hAnsi="Times New Roman" w:cs="Times New Roman"/>
        </w:rPr>
        <w:t>内容有关事项。投标方必须认真阅读本技术条款内容，以免造成投标失败。</w:t>
      </w:r>
    </w:p>
    <w:p>
      <w:pPr>
        <w:spacing w:line="560" w:lineRule="exact"/>
        <w:ind w:firstLine="480"/>
        <w:rPr>
          <w:rFonts w:ascii="Times New Roman" w:hAnsi="Times New Roman" w:cs="Times New Roman"/>
        </w:rPr>
      </w:pPr>
      <w:r>
        <w:rPr>
          <w:rFonts w:ascii="Times New Roman" w:hAnsi="Times New Roman" w:cs="Times New Roman"/>
        </w:rPr>
        <w:t>1.1.2 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spacing w:line="560" w:lineRule="exact"/>
        <w:ind w:firstLine="480"/>
        <w:rPr>
          <w:rFonts w:ascii="Times New Roman" w:hAnsi="Times New Roman" w:cs="Times New Roman"/>
        </w:rPr>
      </w:pPr>
      <w:r>
        <w:rPr>
          <w:rFonts w:ascii="Times New Roman" w:hAnsi="Times New Roman" w:cs="Times New Roman"/>
        </w:rPr>
        <w:t>1.1.3 本规范书指标要求中，凡标有下划线或加“</w:t>
      </w:r>
      <w:r>
        <w:rPr>
          <w:rFonts w:ascii="Segoe UI Symbol" w:hAnsi="Segoe UI Symbol" w:cs="Segoe UI Symbol"/>
        </w:rPr>
        <w:t>★</w:t>
      </w:r>
      <w:r>
        <w:rPr>
          <w:rFonts w:ascii="Times New Roman" w:hAnsi="Times New Roman" w:cs="Times New Roman"/>
        </w:rPr>
        <w:t>”的地方均被视为重要的技术指标要求或性能要求。投标方要特别加以注意，必须完全满足这些要求。</w:t>
      </w:r>
    </w:p>
    <w:p>
      <w:pPr>
        <w:spacing w:line="560" w:lineRule="exact"/>
        <w:ind w:firstLine="480"/>
        <w:rPr>
          <w:rFonts w:ascii="Times New Roman" w:hAnsi="Times New Roman" w:cs="Times New Roman"/>
        </w:rPr>
      </w:pPr>
      <w:r>
        <w:rPr>
          <w:rFonts w:ascii="Times New Roman" w:hAnsi="Times New Roman" w:cs="Times New Roman"/>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560" w:lineRule="exact"/>
        <w:ind w:firstLine="480"/>
        <w:rPr>
          <w:rFonts w:ascii="Times New Roman" w:hAnsi="Times New Roman" w:cs="Times New Roman"/>
        </w:rPr>
      </w:pPr>
      <w:r>
        <w:rPr>
          <w:rFonts w:ascii="Times New Roman" w:hAnsi="Times New Roman" w:cs="Times New Roman"/>
        </w:rPr>
        <w:t>1.1.5 如果投标方认为本技术条款所描述技术要求等存在不合理性或不明白的，可在响应原要求后陈述相关建议。</w:t>
      </w:r>
    </w:p>
    <w:p>
      <w:pPr>
        <w:spacing w:line="560" w:lineRule="exact"/>
        <w:ind w:firstLine="480"/>
        <w:rPr>
          <w:rFonts w:ascii="Times New Roman" w:hAnsi="Times New Roman" w:cs="Times New Roman"/>
        </w:rPr>
      </w:pPr>
      <w:r>
        <w:rPr>
          <w:rFonts w:ascii="Times New Roman" w:hAnsi="Times New Roman" w:cs="Times New Roman"/>
        </w:rPr>
        <w:t>1.1.6 投标方也可提出满足本技术规范书要求，且技术先进、成熟、价格合理的其他建议，供招标方选择。</w:t>
      </w:r>
    </w:p>
    <w:p>
      <w:pPr>
        <w:spacing w:line="560" w:lineRule="exact"/>
        <w:ind w:firstLine="480"/>
        <w:rPr>
          <w:rFonts w:ascii="Times New Roman" w:hAnsi="Times New Roman" w:cs="Times New Roman"/>
        </w:rPr>
      </w:pPr>
      <w:r>
        <w:rPr>
          <w:rFonts w:ascii="Times New Roman" w:hAnsi="Times New Roman" w:cs="Times New Roman"/>
        </w:rPr>
        <w:t>1.1.7 投标方应提供满足本技术规范书要求的完整的服务、工作产品，满足国家及用户提出的有关质量标准要求。所有工作产品必须具有在中国境内的合法使用权。</w:t>
      </w:r>
    </w:p>
    <w:p>
      <w:pPr>
        <w:spacing w:line="560" w:lineRule="exact"/>
        <w:ind w:firstLine="480"/>
        <w:rPr>
          <w:rFonts w:ascii="Times New Roman" w:hAnsi="Times New Roman" w:cs="Times New Roman"/>
        </w:rPr>
      </w:pPr>
      <w:r>
        <w:rPr>
          <w:rFonts w:ascii="Times New Roman" w:hAnsi="Times New Roman" w:cs="Times New Roman"/>
        </w:rPr>
        <w:t>1.1.8 本技术规范书所使用的标准如与投标方所执行的标准不一致，按较高标准执行。</w:t>
      </w:r>
    </w:p>
    <w:p>
      <w:pPr>
        <w:spacing w:line="560" w:lineRule="exact"/>
        <w:ind w:firstLine="480"/>
        <w:rPr>
          <w:rFonts w:ascii="Times New Roman" w:hAnsi="Times New Roman" w:cs="Times New Roman"/>
        </w:rPr>
      </w:pPr>
      <w:r>
        <w:rPr>
          <w:rFonts w:ascii="Times New Roman" w:hAnsi="Times New Roman" w:cs="Times New Roman"/>
        </w:rPr>
        <w:t>1.1.9 如果因为无法提供的原因而提供其他产品、服务，投标方应明确说明并提出质量保证承诺。</w:t>
      </w:r>
    </w:p>
    <w:p>
      <w:pPr>
        <w:spacing w:line="560" w:lineRule="exact"/>
        <w:ind w:firstLine="480"/>
        <w:rPr>
          <w:rFonts w:ascii="Times New Roman" w:hAnsi="Times New Roman" w:cs="Times New Roman"/>
        </w:rPr>
      </w:pPr>
      <w:r>
        <w:rPr>
          <w:rFonts w:ascii="Times New Roman" w:hAnsi="Times New Roman" w:cs="Times New Roman"/>
        </w:rPr>
        <w:t>1.1.10 投标方应保证为今后招标方开发的或招标方委托第三方开发的其他工作产品提供可靠的性能和兼容性。</w:t>
      </w:r>
    </w:p>
    <w:p>
      <w:pPr>
        <w:spacing w:line="560" w:lineRule="exact"/>
        <w:ind w:firstLine="480"/>
        <w:rPr>
          <w:rFonts w:ascii="Times New Roman" w:hAnsi="Times New Roman" w:cs="Times New Roman"/>
        </w:rPr>
      </w:pPr>
      <w:r>
        <w:rPr>
          <w:rFonts w:ascii="Times New Roman" w:hAnsi="Times New Roman" w:cs="Times New Roman"/>
        </w:rPr>
        <w:t>1.1.11 投标方应对本次投标所有文件保密，不得向其他单位公布或泄漏招标项目的有关信息。</w:t>
      </w:r>
    </w:p>
    <w:p>
      <w:pPr>
        <w:spacing w:line="560" w:lineRule="exact"/>
        <w:ind w:firstLine="480"/>
        <w:rPr>
          <w:rFonts w:ascii="Times New Roman" w:hAnsi="Times New Roman" w:cs="Times New Roman"/>
        </w:rPr>
      </w:pPr>
      <w:r>
        <w:rPr>
          <w:rFonts w:ascii="Times New Roman" w:hAnsi="Times New Roman" w:cs="Times New Roman"/>
        </w:rPr>
        <w:t>1.1.12 招标方保留技术规范书修改的权利，可以提出变更的意见和建议，最终签订的技术协议与合同具有同等效力。</w:t>
      </w:r>
    </w:p>
    <w:p>
      <w:pPr>
        <w:spacing w:line="560" w:lineRule="exact"/>
        <w:ind w:firstLine="480"/>
        <w:rPr>
          <w:rFonts w:ascii="Times New Roman" w:hAnsi="Times New Roman" w:cs="Times New Roman"/>
        </w:rPr>
      </w:pPr>
      <w:r>
        <w:rPr>
          <w:rFonts w:ascii="Times New Roman" w:hAnsi="Times New Roman" w:cs="Times New Roman"/>
        </w:rPr>
        <w:t>1.1.13 在不超出本技术规范书要求的情况下，投标方应对招标方提出的所有细化要求予以满足。</w:t>
      </w:r>
    </w:p>
    <w:p>
      <w:pPr>
        <w:spacing w:line="560" w:lineRule="exact"/>
        <w:ind w:firstLine="480"/>
        <w:rPr>
          <w:rFonts w:ascii="Times New Roman" w:hAnsi="Times New Roman" w:cs="Times New Roman"/>
        </w:rPr>
      </w:pPr>
      <w:r>
        <w:rPr>
          <w:rFonts w:ascii="Times New Roman" w:hAnsi="Times New Roman" w:cs="Times New Roman"/>
        </w:rPr>
        <w:t>1.1.14 有文件、图纸、通信的均使用中文。所有计算、说明、图纸文件、手册等使用国际单位制。</w:t>
      </w:r>
    </w:p>
    <w:p>
      <w:pPr>
        <w:pStyle w:val="4"/>
        <w:spacing w:before="0" w:after="0" w:line="560" w:lineRule="exact"/>
        <w:rPr>
          <w:rFonts w:ascii="Times New Roman" w:hAnsi="Times New Roman"/>
        </w:rPr>
      </w:pPr>
      <w:bookmarkStart w:id="13" w:name="_Toc445194080"/>
      <w:bookmarkStart w:id="14" w:name="_Toc293665071"/>
      <w:bookmarkStart w:id="15" w:name="_Toc222711875"/>
      <w:bookmarkStart w:id="16" w:name="_Toc252485428"/>
      <w:bookmarkStart w:id="17" w:name="_Toc252486971"/>
      <w:bookmarkStart w:id="18" w:name="_Toc582"/>
      <w:bookmarkStart w:id="19" w:name="_Toc14840"/>
      <w:bookmarkStart w:id="20" w:name="_Toc4729"/>
      <w:bookmarkStart w:id="21" w:name="_Toc261810243"/>
      <w:bookmarkStart w:id="22" w:name="_Toc255894290"/>
      <w:r>
        <w:rPr>
          <w:rFonts w:ascii="Times New Roman" w:hAnsi="Times New Roman"/>
        </w:rPr>
        <w:t>1.2标准和规范</w:t>
      </w:r>
      <w:bookmarkEnd w:id="13"/>
      <w:bookmarkEnd w:id="14"/>
      <w:bookmarkEnd w:id="15"/>
      <w:bookmarkEnd w:id="16"/>
      <w:bookmarkEnd w:id="17"/>
      <w:bookmarkEnd w:id="18"/>
      <w:bookmarkEnd w:id="19"/>
      <w:bookmarkEnd w:id="20"/>
      <w:bookmarkEnd w:id="21"/>
      <w:bookmarkEnd w:id="22"/>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szCs w:val="21"/>
          <w:lang w:val="zh-CN"/>
        </w:rPr>
        <w:t>投标方如果采用自己的标准或规范，必须向招标方提供中文复印件并经招标方同意后方可采用，但不能低于</w:t>
      </w:r>
      <w:r>
        <w:rPr>
          <w:rFonts w:ascii="Times New Roman" w:hAnsi="Times New Roman" w:cs="Times New Roman"/>
          <w:szCs w:val="21"/>
        </w:rPr>
        <w:t>国家标准</w:t>
      </w:r>
      <w:r>
        <w:rPr>
          <w:rFonts w:ascii="Times New Roman" w:hAnsi="Times New Roman" w:cs="Times New Roman"/>
          <w:szCs w:val="21"/>
          <w:lang w:val="zh-CN"/>
        </w:rPr>
        <w:t>GB、</w:t>
      </w:r>
      <w:r>
        <w:rPr>
          <w:rFonts w:ascii="Times New Roman" w:hAnsi="Times New Roman" w:cs="Times New Roman"/>
          <w:szCs w:val="21"/>
        </w:rPr>
        <w:t>行业标准</w:t>
      </w:r>
      <w:r>
        <w:rPr>
          <w:rFonts w:ascii="Times New Roman" w:hAnsi="Times New Roman" w:cs="Times New Roman"/>
          <w:szCs w:val="21"/>
          <w:lang w:val="zh-CN"/>
        </w:rPr>
        <w:t>JB有关规定。</w:t>
      </w:r>
    </w:p>
    <w:p>
      <w:pPr>
        <w:autoSpaceDE w:val="0"/>
        <w:autoSpaceDN w:val="0"/>
        <w:adjustRightInd w:val="0"/>
        <w:spacing w:line="560" w:lineRule="exact"/>
        <w:ind w:firstLine="480"/>
        <w:rPr>
          <w:rFonts w:ascii="Times New Roman" w:hAnsi="Times New Roman" w:cs="Times New Roman"/>
          <w:szCs w:val="21"/>
          <w:lang w:val="zh-CN"/>
        </w:rPr>
      </w:pPr>
      <w:r>
        <w:rPr>
          <w:rFonts w:ascii="Times New Roman" w:hAnsi="Times New Roman" w:cs="Times New Roman"/>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YD/T 1058-2015 通信用高频开关电源系统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YD/T 731-2018 通信用48V整流器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DL/T 860.10-2018 电力自动化通信网络和系统 第10部分：一致性测试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DL/T 459-2017 电力用直流电源设备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DL/T 1909-2018 -48V电力通信直流电源系统技术规范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Q/CSG 1204027-2018 南方电网通信电源监控系统技术规范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Q/CSG 1204081-2020 南方电网通信电源技术规范</w:t>
      </w:r>
    </w:p>
    <w:p>
      <w:pPr>
        <w:pStyle w:val="7"/>
        <w:spacing w:line="560" w:lineRule="exact"/>
        <w:ind w:firstLine="480"/>
        <w:rPr>
          <w:rFonts w:ascii="Times New Roman" w:hAnsi="Times New Roman" w:cs="Times New Roman"/>
        </w:rPr>
      </w:pPr>
      <w:r>
        <w:rPr>
          <w:rFonts w:hint="eastAsia" w:asciiTheme="minorEastAsia" w:hAnsiTheme="minorEastAsia" w:eastAsiaTheme="minorEastAsia" w:cstheme="minorEastAsia"/>
          <w:sz w:val="24"/>
          <w:szCs w:val="24"/>
        </w:rPr>
        <w:t>南方电网通信蓄电池远程核容系统送样检测标准（2026版)</w:t>
      </w:r>
      <w:r>
        <w:rPr>
          <w:rFonts w:ascii="Times New Roman" w:hAnsi="Times New Roman" w:cs="Times New Roman"/>
        </w:rPr>
        <w:t>‌</w:t>
      </w:r>
    </w:p>
    <w:bookmarkEnd w:id="9"/>
    <w:bookmarkEnd w:id="10"/>
    <w:bookmarkEnd w:id="11"/>
    <w:bookmarkEnd w:id="12"/>
    <w:p>
      <w:pPr>
        <w:pStyle w:val="3"/>
        <w:numPr>
          <w:ilvl w:val="0"/>
          <w:numId w:val="0"/>
        </w:numPr>
        <w:spacing w:before="0" w:after="0" w:line="560" w:lineRule="exact"/>
        <w:rPr>
          <w:sz w:val="32"/>
          <w:szCs w:val="32"/>
        </w:rPr>
      </w:pPr>
      <w:bookmarkStart w:id="23" w:name="_Toc444945516"/>
      <w:bookmarkStart w:id="24" w:name="_Toc23734"/>
      <w:r>
        <w:rPr>
          <w:sz w:val="32"/>
          <w:szCs w:val="32"/>
        </w:rPr>
        <w:t>二、技术要求</w:t>
      </w:r>
      <w:bookmarkEnd w:id="23"/>
      <w:bookmarkEnd w:id="24"/>
    </w:p>
    <w:p>
      <w:pPr>
        <w:pStyle w:val="4"/>
        <w:spacing w:before="0" w:after="0" w:line="560" w:lineRule="exact"/>
        <w:rPr>
          <w:rFonts w:hint="eastAsia" w:asciiTheme="minorEastAsia" w:hAnsiTheme="minorEastAsia" w:eastAsiaTheme="minorEastAsia" w:cstheme="minorEastAsia"/>
          <w:sz w:val="24"/>
          <w:szCs w:val="24"/>
          <w:highlight w:val="yellow"/>
        </w:rPr>
      </w:pPr>
      <w:bookmarkStart w:id="25" w:name="_Toc437603900"/>
      <w:bookmarkStart w:id="26" w:name="_Toc444945517"/>
      <w:bookmarkStart w:id="27" w:name="_Toc23404"/>
      <w:bookmarkStart w:id="28" w:name="_Toc2517"/>
      <w:r>
        <w:rPr>
          <w:rFonts w:hint="eastAsia" w:asciiTheme="minorEastAsia" w:hAnsiTheme="minorEastAsia" w:eastAsiaTheme="minorEastAsia" w:cstheme="minorEastAsia"/>
          <w:sz w:val="24"/>
          <w:szCs w:val="24"/>
          <w:lang w:val="en-US" w:eastAsia="zh-CN"/>
        </w:rPr>
        <w:t>2.1 项目</w:t>
      </w:r>
      <w:bookmarkEnd w:id="25"/>
      <w:bookmarkEnd w:id="26"/>
      <w:r>
        <w:rPr>
          <w:rFonts w:hint="eastAsia" w:asciiTheme="minorEastAsia" w:hAnsiTheme="minorEastAsia" w:eastAsiaTheme="minorEastAsia" w:cstheme="minorEastAsia"/>
          <w:sz w:val="24"/>
          <w:szCs w:val="24"/>
          <w:lang w:val="en-US" w:eastAsia="zh-CN"/>
        </w:rPr>
        <w:t>检测</w:t>
      </w:r>
      <w:r>
        <w:rPr>
          <w:rFonts w:hint="eastAsia" w:asciiTheme="minorEastAsia" w:hAnsiTheme="minorEastAsia" w:eastAsiaTheme="minorEastAsia" w:cstheme="minorEastAsia"/>
          <w:sz w:val="24"/>
          <w:szCs w:val="24"/>
        </w:rPr>
        <w:t>对象</w:t>
      </w:r>
      <w:bookmarkEnd w:id="27"/>
      <w:bookmarkEnd w:id="28"/>
    </w:p>
    <w:p>
      <w:pPr>
        <w:pStyle w:val="7"/>
        <w:spacing w:line="560" w:lineRule="exact"/>
        <w:ind w:firstLine="480"/>
        <w:rPr>
          <w:rFonts w:hint="eastAsia" w:asciiTheme="minorEastAsia" w:hAnsiTheme="minorEastAsia" w:eastAsiaTheme="minorEastAsia" w:cstheme="minorEastAsia"/>
          <w:sz w:val="24"/>
          <w:szCs w:val="24"/>
        </w:rPr>
      </w:pPr>
      <w:bookmarkStart w:id="29" w:name="_Toc437603901"/>
      <w:bookmarkStart w:id="30" w:name="_Toc25580"/>
      <w:bookmarkStart w:id="31" w:name="_Toc444945518"/>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lang w:val="en-US" w:eastAsia="zh-CN"/>
        </w:rPr>
        <w:t>检测对象是广西电网能源科技有限责任公司 基于安全性远程放电及蓄电池大数据监测成套装置（48V版）</w:t>
      </w:r>
      <w:r>
        <w:rPr>
          <w:rFonts w:hint="eastAsia" w:asciiTheme="minorEastAsia" w:hAnsiTheme="minorEastAsia" w:eastAsiaTheme="minorEastAsia" w:cstheme="minorEastAsia"/>
          <w:sz w:val="24"/>
          <w:szCs w:val="24"/>
        </w:rPr>
        <w:t>。</w:t>
      </w:r>
    </w:p>
    <w:p>
      <w:pPr>
        <w:pStyle w:val="4"/>
        <w:spacing w:before="0" w:after="0" w:line="560" w:lineRule="exact"/>
        <w:rPr>
          <w:rFonts w:hint="eastAsia" w:asciiTheme="minorEastAsia" w:hAnsiTheme="minorEastAsia" w:eastAsiaTheme="minorEastAsia" w:cstheme="minorEastAsia"/>
          <w:sz w:val="24"/>
          <w:szCs w:val="24"/>
        </w:rPr>
      </w:pPr>
      <w:bookmarkStart w:id="32" w:name="_Toc19242"/>
      <w:r>
        <w:rPr>
          <w:rFonts w:hint="eastAsia" w:asciiTheme="minorEastAsia" w:hAnsiTheme="minorEastAsia" w:eastAsiaTheme="minorEastAsia" w:cstheme="minorEastAsia"/>
          <w:sz w:val="24"/>
          <w:szCs w:val="24"/>
        </w:rPr>
        <w:t>2.2项目</w:t>
      </w:r>
      <w:r>
        <w:rPr>
          <w:rFonts w:hint="eastAsia" w:asciiTheme="minorEastAsia" w:hAnsiTheme="minorEastAsia" w:eastAsiaTheme="minorEastAsia" w:cstheme="minorEastAsia"/>
          <w:sz w:val="24"/>
          <w:szCs w:val="24"/>
          <w:lang w:val="en-US" w:eastAsia="zh-CN"/>
        </w:rPr>
        <w:t>检测</w:t>
      </w:r>
      <w:r>
        <w:rPr>
          <w:rFonts w:hint="eastAsia" w:asciiTheme="minorEastAsia" w:hAnsiTheme="minorEastAsia" w:eastAsiaTheme="minorEastAsia" w:cstheme="minorEastAsia"/>
          <w:sz w:val="24"/>
          <w:szCs w:val="24"/>
        </w:rPr>
        <w:t>内容</w:t>
      </w:r>
      <w:bookmarkEnd w:id="29"/>
      <w:bookmarkEnd w:id="30"/>
      <w:bookmarkEnd w:id="31"/>
      <w:bookmarkEnd w:id="32"/>
    </w:p>
    <w:p>
      <w:pPr>
        <w:pStyle w:val="7"/>
        <w:spacing w:line="560" w:lineRule="exact"/>
        <w:ind w:firstLine="480"/>
        <w:rPr>
          <w:rFonts w:hint="eastAsia" w:asciiTheme="minorEastAsia" w:hAnsiTheme="minorEastAsia" w:eastAsiaTheme="minorEastAsia" w:cstheme="minorEastAsia"/>
          <w:sz w:val="24"/>
          <w:szCs w:val="24"/>
          <w:lang w:val="en-US" w:eastAsia="zh-CN"/>
        </w:rPr>
      </w:pPr>
      <w:bookmarkStart w:id="33" w:name="_Toc444945519"/>
      <w:bookmarkStart w:id="34" w:name="_Toc437603902"/>
      <w:bookmarkStart w:id="35" w:name="_Toc25189"/>
      <w:r>
        <w:rPr>
          <w:rFonts w:hint="eastAsia" w:asciiTheme="minorEastAsia" w:hAnsiTheme="minorEastAsia" w:eastAsiaTheme="minorEastAsia" w:cstheme="minorEastAsia"/>
          <w:sz w:val="24"/>
          <w:szCs w:val="24"/>
          <w:lang w:val="en-US" w:eastAsia="zh-CN"/>
        </w:rPr>
        <w:t>依据</w:t>
      </w:r>
      <w:r>
        <w:rPr>
          <w:rFonts w:hint="eastAsia" w:asciiTheme="minorEastAsia" w:hAnsiTheme="minorEastAsia" w:eastAsiaTheme="minorEastAsia" w:cstheme="minorEastAsia"/>
          <w:sz w:val="24"/>
          <w:szCs w:val="24"/>
        </w:rPr>
        <w:t>南方电网通信蓄电池远程核容系统送样检测</w:t>
      </w:r>
      <w:r>
        <w:rPr>
          <w:rFonts w:hint="eastAsia" w:asciiTheme="minorEastAsia" w:hAnsiTheme="minorEastAsia" w:eastAsiaTheme="minorEastAsia" w:cstheme="minorEastAsia"/>
          <w:sz w:val="24"/>
          <w:szCs w:val="24"/>
          <w:lang w:val="en-US" w:eastAsia="zh-CN"/>
        </w:rPr>
        <w:t>标准对基于安全性远程放电及蓄电池大数据监测成套装置（48V版）进行送样检测。</w:t>
      </w:r>
    </w:p>
    <w:p>
      <w:pPr>
        <w:pStyle w:val="4"/>
        <w:spacing w:before="0" w:after="0" w:line="560" w:lineRule="exact"/>
        <w:rPr>
          <w:rFonts w:hint="eastAsia" w:asciiTheme="minorEastAsia" w:hAnsiTheme="minorEastAsia" w:eastAsiaTheme="minorEastAsia" w:cstheme="minorEastAsia"/>
          <w:sz w:val="24"/>
          <w:szCs w:val="24"/>
        </w:rPr>
      </w:pPr>
      <w:bookmarkStart w:id="36" w:name="_Toc5699"/>
      <w:r>
        <w:rPr>
          <w:rFonts w:hint="eastAsia" w:asciiTheme="minorEastAsia" w:hAnsiTheme="minorEastAsia" w:eastAsiaTheme="minorEastAsia" w:cstheme="minorEastAsia"/>
          <w:sz w:val="24"/>
          <w:szCs w:val="24"/>
        </w:rPr>
        <w:t>2.3</w:t>
      </w:r>
      <w:bookmarkEnd w:id="33"/>
      <w:bookmarkEnd w:id="34"/>
      <w:r>
        <w:rPr>
          <w:rFonts w:hint="eastAsia" w:asciiTheme="minorEastAsia" w:hAnsiTheme="minorEastAsia" w:eastAsiaTheme="minorEastAsia" w:cstheme="minorEastAsia"/>
          <w:sz w:val="24"/>
          <w:szCs w:val="24"/>
          <w:lang w:val="en-US" w:eastAsia="zh-CN"/>
        </w:rPr>
        <w:t>检测</w:t>
      </w:r>
      <w:r>
        <w:rPr>
          <w:rFonts w:hint="eastAsia" w:asciiTheme="minorEastAsia" w:hAnsiTheme="minorEastAsia" w:eastAsiaTheme="minorEastAsia" w:cstheme="minorEastAsia"/>
          <w:sz w:val="24"/>
          <w:szCs w:val="24"/>
        </w:rPr>
        <w:t>技术要求</w:t>
      </w:r>
      <w:bookmarkEnd w:id="35"/>
      <w:bookmarkEnd w:id="36"/>
    </w:p>
    <w:p>
      <w:pPr>
        <w:keepNext w:val="0"/>
        <w:keepLines w:val="0"/>
        <w:widowControl/>
        <w:suppressLineNumbers w:val="0"/>
        <w:jc w:val="left"/>
        <w:rPr>
          <w:rFonts w:hint="eastAsia" w:asciiTheme="minorEastAsia" w:hAnsiTheme="minorEastAsia" w:eastAsiaTheme="minorEastAsia" w:cstheme="minorEastAsia"/>
          <w:sz w:val="24"/>
          <w:szCs w:val="24"/>
        </w:rPr>
      </w:pPr>
      <w:bookmarkStart w:id="37" w:name="_Toc30098"/>
      <w:bookmarkStart w:id="38" w:name="_Toc19025"/>
      <w:bookmarkStart w:id="39" w:name="_Toc8448"/>
      <w:bookmarkStart w:id="40" w:name="_Toc20165"/>
      <w:bookmarkStart w:id="41" w:name="_Toc528869043"/>
      <w:bookmarkStart w:id="42" w:name="_Toc31936"/>
      <w:bookmarkStart w:id="43" w:name="_Toc20274"/>
      <w:bookmarkStart w:id="44" w:name="_Toc279"/>
      <w:bookmarkStart w:id="45" w:name="_Toc355594785"/>
      <w:bookmarkStart w:id="46" w:name="_Toc23916"/>
      <w:bookmarkStart w:id="47" w:name="_Toc23044"/>
      <w:r>
        <w:rPr>
          <w:rFonts w:hint="eastAsia" w:asciiTheme="minorEastAsia" w:hAnsiTheme="minorEastAsia" w:eastAsiaTheme="minorEastAsia" w:cstheme="minorEastAsia"/>
          <w:b/>
          <w:bCs/>
          <w:sz w:val="24"/>
          <w:szCs w:val="24"/>
        </w:rPr>
        <w:t>2.3.1</w:t>
      </w:r>
      <w:bookmarkEnd w:id="37"/>
      <w:bookmarkEnd w:id="38"/>
      <w:bookmarkEnd w:id="39"/>
      <w:bookmarkEnd w:id="40"/>
      <w:bookmarkEnd w:id="41"/>
      <w:bookmarkEnd w:id="42"/>
      <w:bookmarkEnd w:id="43"/>
      <w:bookmarkEnd w:id="44"/>
      <w:bookmarkEnd w:id="45"/>
      <w:bookmarkEnd w:id="46"/>
      <w:bookmarkEnd w:id="47"/>
      <w:r>
        <w:rPr>
          <w:rFonts w:hint="eastAsia" w:asciiTheme="minorEastAsia" w:hAnsiTheme="minorEastAsia" w:eastAsiaTheme="minorEastAsia" w:cstheme="minorEastAsia"/>
          <w:b/>
          <w:bCs/>
          <w:color w:val="000000"/>
          <w:kern w:val="0"/>
          <w:sz w:val="24"/>
          <w:szCs w:val="24"/>
          <w:lang w:val="en-US" w:eastAsia="zh-CN" w:bidi="ar"/>
        </w:rPr>
        <w:t>技术资料编制</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根据测试要求及方法编写测试说明书，要求对应测试项目的详细的操作步骤予以配置说明，必要时需附接线图并标明接线方法。  </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按招标方要求完成送样检测承诺函，并加盖公章。</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2.3.2 </w:t>
      </w:r>
      <w:r>
        <w:rPr>
          <w:rFonts w:hint="eastAsia" w:asciiTheme="minorEastAsia" w:hAnsiTheme="minorEastAsia" w:eastAsiaTheme="minorEastAsia" w:cstheme="minorEastAsia"/>
          <w:b/>
          <w:bCs/>
          <w:sz w:val="24"/>
          <w:szCs w:val="24"/>
          <w:lang w:val="en-US" w:eastAsia="zh-CN"/>
        </w:rPr>
        <w:t>基于安全性远程放电及蓄电池大数据监测成套装置（48V版）</w:t>
      </w:r>
      <w:r>
        <w:rPr>
          <w:rFonts w:hint="eastAsia" w:asciiTheme="minorEastAsia" w:hAnsiTheme="minorEastAsia" w:eastAsiaTheme="minorEastAsia" w:cstheme="minorEastAsia"/>
          <w:b/>
          <w:bCs/>
          <w:color w:val="000000"/>
          <w:kern w:val="0"/>
          <w:sz w:val="24"/>
          <w:szCs w:val="24"/>
          <w:lang w:val="en-US" w:eastAsia="zh-CN" w:bidi="ar"/>
        </w:rPr>
        <w:t>性能测试</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2.3.2.1 直流母线电压测量精度测试</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技术要求：直流母线要求测量电压范围40V-60V,测量误差不超过±0.2V,装置显示的电压小数点后应保留两位有效位。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2.3.2.2 蓄电池组电压测量精度测试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技术要求：蓄电池组电压测量范围40V-60V,测量误差不超过±0.2V,装置显示的电压小数点后应保留两位有效位。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2.3.2.3 单体蓄电池电压测量精度测试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技术要求：单体蓄电池电压测量范围2V模块电压检测范围应为1.000V～3.000V，12V模块电压检测范围应为4.500V～18.000V，检测精度±0.2%,装置显示的电压小数点后应保留三位有效位。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2.3.2.4蓄电池组充放电电流测量精度测试</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技术要求：蓄电池组放电电流测量，装置显示的电流小数点后应保留两位有效位，测量范围、测量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2.3.2.5 单体蓄电池温度测量精度 </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 xml:space="preserve">技术要求：温度测量范围为-10℃-85℃，装置显示的电流小数点后应保留以一位有效位，测量误差不超过±1.0℃。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2.3.2.6 单体电池内阻重复测量误差测试 </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技术要求：内阻测试分辨率不大于0.001mΩ（小数点后面应保留三位有效位），测量重复精度误差不超过±2%。</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2.3.2.7 单体电池监测模块测试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a)要求使用一拖一单体分布式监测方案，即一个单体电池安装一个单体监测模块，不能使用集线式或一拖多的单体监测模块方案；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b)一托一单体监测模块支持自动顺序编号功能；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c)应采用 RJ45 端口由网线实现供电和通信，取电来自直流母线或蓄电池远程核容装置,不应采用交流供电或从电池上取电；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d)测试电池内阻时峰值电流不超过 1.5A；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e)远程核容装置与监控单元、通信电源、汇集器及远程核容装置之间的通信物理接口均应采用 RJ45接口。</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2.3.2.8 蓄电池在线监测装置均衡功能测试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a)单体电池监测模块具备主动均衡功能，应能对高电压单体电池进行放电，低电压单体电池进行充电；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b)2V 模块均衡输出电压不应超过 2.5V，输出电流不应超过 2A；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c)12V 模块均衡输出电压不应超过 15V，输出电流不宜超过 0.5A；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d)可控制均衡功能单体数据采集模块的均衡启用和关闭。</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2.3.2.9 干接点测试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技术要求：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a)开关量输入检测应采用光耦隔离采集输入信号，为输入信号提供的电源应与系统电源(蓄电池组)隔离，电源电压应不大于 48VDC;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b)干接点告警输出，应为继电器触点输出形式，触点采用一组转换形式（1 常闭 1 常开），触点切换容量应大于 220VDC 1A；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c)通信蓄电池远程核容装置应能接收外部开关量输入信号，且在核容过程中接收到该外部开关输入信号后能够自动停止核容，并发出相关告警信息.核容装置干接点输入端口应不少于 4 路；</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d)通信蓄电池远程核容装置配置干接点告警输出接口，干接点输出通道数量不少于 4 路，且支持告警类型自定义配置输出。</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2.3.2.10系统功能测试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color w:val="000000"/>
          <w:kern w:val="0"/>
          <w:sz w:val="24"/>
          <w:szCs w:val="24"/>
          <w:lang w:val="en-US" w:eastAsia="zh-CN" w:bidi="ar"/>
        </w:rPr>
        <w:t xml:space="preserve">技术要求：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a)运行状态指示功能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设备状态指示至少包含电源指示灯、通信指示灯、告警指示灯、直连充电状态灯、预充电状态灯，K1/D1测试灯、内阻测试指示灯、核容测试状态灯、停电放电指示灯。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注：0：直连充电；1：预充电（限流充电）；2：核容测试；3：停电放电；4：内阻测试；5：K1/D1测试。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b)自动预充电功能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蓄电池组在线放电后自动转预充电，当充电电流小于预充电流阀值（5～10A可设置）下限以及与直流母线的压差≤0.8V时转直连充电。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c)自动充放电功能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升压DC-DC使用带变压器隔离的方案，保证系统安全，在设备额定的充放电电流值范围内，能根据设定的电流值大小进行充放电。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d)输入过、欠压保护及故障管理功能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在输入过压（直流母线电压＞58.5V）时，系统提示告警信息并禁止启动核容；在输入欠压（直流母线电压＜43.2V）时，系统提示告警信息并禁止启动核容。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e)电池组故障在线功能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在系统接入直流电源系统后，在通信蓄电池远程核容装置核容状态下、预充电状态下、浮充电状态下分别模拟交流停电、系统关机、网络中断等操作，均能保持电池组不离线。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f)在线二极管故障诊断和告警功能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应采用两只独立二极管并联设计，通信蓄电池远程核容装置正常工作时，能在线检测和显示二极管的工作状态。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g)常闭开关故障诊断和告警功能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通信蓄电池远程核容装置正常工作时，能在线检测和显示常闭开关的工作状态。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h)KD 测试电路功能KD测试应具备通过不低于60A的电流的内部测试环路，并能准确测量常闭接触器的接触电阻和在线二极管的导通压降。接触电阻应不大于10mΩ，导通压降应不大于1V,同时不影响到在线系统电压的波动和系统设备的正常工作。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i)DC-DC 模块功能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通信蓄电池远程核容装置内部所使用的DC-DC模块电路应采用输入输出高频变压器隔离型的DC/DC技术，保证核容测试时负载设备的安全。模块应支持热插拔功能。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j)通信蓄电池远程核容装置在线查询显示功能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在后台监控平台搜索“核容状态”的设备，能准确搜索处于核容状态的设备。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k)极限带载功能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通信蓄电池远程核容装置在其最大核容放电及最大带载能力下应能长时间正常运行，运行过程中核容电流波形应稳定无波动、尖峰等异常现象，装置在最大核容放电电流运行时，其核容启动电流稳定响应时间应不大于5min，核容电流稳定运行后其电流稳定度应不超过±1%。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l)双机联动测试功能 </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通信蓄电池远程核容装置在双路蓄电池核容场景中应具备三重保护功能，即监测保护、干接点保护及双机联动保护，双机联动启用后当任意一套蓄电池远程核容装置故障、监控数据异常、干节点输入异常，另外一套禁止启动核容测试，正在放电测试时应终止放电测试。</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2.3.3 </w:t>
      </w:r>
      <w:r>
        <w:rPr>
          <w:rFonts w:hint="eastAsia" w:asciiTheme="minorEastAsia" w:hAnsiTheme="minorEastAsia" w:eastAsiaTheme="minorEastAsia" w:cstheme="minorEastAsia"/>
          <w:b/>
          <w:bCs/>
          <w:sz w:val="24"/>
          <w:szCs w:val="24"/>
          <w:lang w:val="en-US" w:eastAsia="zh-CN"/>
        </w:rPr>
        <w:t>基于安全性远程放电及蓄电池大数据监测成套装置（48V版）</w:t>
      </w:r>
      <w:r>
        <w:rPr>
          <w:rFonts w:hint="eastAsia" w:asciiTheme="minorEastAsia" w:hAnsiTheme="minorEastAsia" w:eastAsiaTheme="minorEastAsia" w:cstheme="minorEastAsia"/>
          <w:b/>
          <w:bCs/>
          <w:color w:val="000000"/>
          <w:kern w:val="0"/>
          <w:sz w:val="24"/>
          <w:szCs w:val="24"/>
          <w:lang w:val="en-US" w:eastAsia="zh-CN" w:bidi="ar"/>
        </w:rPr>
        <w:t>安全可靠性能</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2.3.3.1 温升性能</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2.3.3.2 接地性能</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2.3.3.3 绝缘电阻</w:t>
      </w:r>
    </w:p>
    <w:p>
      <w:pPr>
        <w:keepNext w:val="0"/>
        <w:keepLines w:val="0"/>
        <w:widowControl/>
        <w:suppressLineNumbers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2.3.3.4 介质强度</w:t>
      </w:r>
    </w:p>
    <w:p>
      <w:pPr>
        <w:keepNext w:val="0"/>
        <w:keepLines w:val="0"/>
        <w:widowControl/>
        <w:suppressLineNumbers w:val="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kern w:val="0"/>
          <w:sz w:val="24"/>
          <w:szCs w:val="24"/>
          <w:lang w:val="en-US" w:eastAsia="zh-CN" w:bidi="ar"/>
        </w:rPr>
        <w:t>2.3.4 通信信息安全测试</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2.3.4.1通信蓄电池远程核容系统安全接入测试</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2.3.4.2通信蓄电池远程核容系统非法接入测试</w:t>
      </w:r>
    </w:p>
    <w:p>
      <w:pPr>
        <w:keepNext w:val="0"/>
        <w:keepLines w:val="0"/>
        <w:widowControl/>
        <w:suppressLineNumbers w:val="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2.3.4.3安全模块管理测试</w:t>
      </w:r>
    </w:p>
    <w:p>
      <w:pPr>
        <w:keepNext w:val="0"/>
        <w:keepLines w:val="0"/>
        <w:widowControl/>
        <w:suppressLineNumbers w:val="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color w:val="000000"/>
          <w:kern w:val="0"/>
          <w:sz w:val="24"/>
          <w:szCs w:val="24"/>
          <w:lang w:val="en-US" w:eastAsia="zh-CN" w:bidi="ar"/>
        </w:rPr>
        <w:t>2.3.4.4 通信规约一致性测试</w:t>
      </w:r>
    </w:p>
    <w:p>
      <w:pPr>
        <w:pStyle w:val="3"/>
        <w:numPr>
          <w:ilvl w:val="0"/>
          <w:numId w:val="0"/>
        </w:numPr>
        <w:spacing w:before="312" w:beforeLines="100" w:after="0" w:line="360" w:lineRule="auto"/>
        <w:rPr>
          <w:sz w:val="32"/>
          <w:szCs w:val="32"/>
        </w:rPr>
      </w:pPr>
      <w:bookmarkStart w:id="48" w:name="_Toc480800900"/>
      <w:bookmarkStart w:id="49" w:name="_Toc3115"/>
      <w:r>
        <w:rPr>
          <w:sz w:val="32"/>
          <w:szCs w:val="32"/>
        </w:rPr>
        <w:t>三、</w:t>
      </w:r>
      <w:r>
        <w:rPr>
          <w:rFonts w:hint="eastAsia"/>
          <w:sz w:val="32"/>
          <w:szCs w:val="32"/>
          <w:lang w:val="en-US" w:eastAsia="zh-CN"/>
        </w:rPr>
        <w:t>检测服务</w:t>
      </w:r>
      <w:r>
        <w:rPr>
          <w:sz w:val="32"/>
          <w:szCs w:val="32"/>
        </w:rPr>
        <w:t>交付</w:t>
      </w:r>
      <w:bookmarkEnd w:id="48"/>
      <w:r>
        <w:rPr>
          <w:sz w:val="32"/>
          <w:szCs w:val="32"/>
        </w:rPr>
        <w:t>物</w:t>
      </w:r>
      <w:bookmarkEnd w:id="49"/>
    </w:p>
    <w:p>
      <w:pPr>
        <w:ind w:firstLine="480"/>
        <w:rPr>
          <w:rFonts w:ascii="Times New Roman" w:hAnsi="Times New Roman" w:cs="Times New Roman"/>
        </w:rPr>
      </w:pPr>
      <w:r>
        <w:rPr>
          <w:rFonts w:hint="eastAsia" w:ascii="Times New Roman" w:hAnsi="Times New Roman" w:cs="Times New Roman"/>
          <w:lang w:val="en-US" w:eastAsia="zh-CN"/>
        </w:rPr>
        <w:t>检测服务</w:t>
      </w:r>
      <w:r>
        <w:rPr>
          <w:rFonts w:ascii="Times New Roman" w:hAnsi="Times New Roman" w:cs="Times New Roman"/>
        </w:rPr>
        <w:t>交付的形式和数量</w:t>
      </w:r>
      <w:r>
        <w:rPr>
          <w:rFonts w:hint="eastAsia" w:ascii="Times New Roman" w:hAnsi="Times New Roman" w:cs="Times New Roman"/>
        </w:rPr>
        <w:t>如下表所示。</w:t>
      </w:r>
    </w:p>
    <w:tbl>
      <w:tblPr>
        <w:tblStyle w:val="15"/>
        <w:tblW w:w="9196" w:type="dxa"/>
        <w:jc w:val="center"/>
        <w:tblLayout w:type="fixed"/>
        <w:tblCellMar>
          <w:top w:w="0" w:type="dxa"/>
          <w:left w:w="57" w:type="dxa"/>
          <w:bottom w:w="0" w:type="dxa"/>
          <w:right w:w="57" w:type="dxa"/>
        </w:tblCellMar>
      </w:tblPr>
      <w:tblGrid>
        <w:gridCol w:w="616"/>
        <w:gridCol w:w="3240"/>
        <w:gridCol w:w="1283"/>
        <w:gridCol w:w="767"/>
        <w:gridCol w:w="1200"/>
        <w:gridCol w:w="2090"/>
      </w:tblGrid>
      <w:tr>
        <w:tblPrEx>
          <w:tblCellMar>
            <w:top w:w="0" w:type="dxa"/>
            <w:left w:w="57" w:type="dxa"/>
            <w:bottom w:w="0" w:type="dxa"/>
            <w:right w:w="57" w:type="dxa"/>
          </w:tblCellMar>
        </w:tblPrEx>
        <w:trPr>
          <w:trHeight w:val="535" w:hRule="atLeast"/>
          <w:tblHeader/>
          <w:jc w:val="center"/>
        </w:trPr>
        <w:tc>
          <w:tcPr>
            <w:tcW w:w="616"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序号</w:t>
            </w:r>
          </w:p>
        </w:tc>
        <w:tc>
          <w:tcPr>
            <w:tcW w:w="3240" w:type="dxa"/>
            <w:tcBorders>
              <w:top w:val="single" w:color="000000" w:sz="4" w:space="0"/>
              <w:left w:val="nil"/>
              <w:bottom w:val="single" w:color="auto" w:sz="4" w:space="0"/>
              <w:right w:val="single" w:color="000000"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lang w:val="en-US" w:eastAsia="zh-CN"/>
              </w:rPr>
              <w:t>交付物</w:t>
            </w:r>
            <w:r>
              <w:rPr>
                <w:rFonts w:ascii="Times New Roman" w:hAnsi="Times New Roman" w:cs="Times New Roman"/>
                <w:szCs w:val="24"/>
              </w:rPr>
              <w:t>名称</w:t>
            </w:r>
          </w:p>
        </w:tc>
        <w:tc>
          <w:tcPr>
            <w:tcW w:w="1283" w:type="dxa"/>
            <w:tcBorders>
              <w:top w:val="single" w:color="000000" w:sz="4" w:space="0"/>
              <w:left w:val="single" w:color="auto" w:sz="4" w:space="0"/>
              <w:bottom w:val="single" w:color="auto" w:sz="4" w:space="0"/>
              <w:right w:val="nil"/>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型号规格</w:t>
            </w:r>
          </w:p>
          <w:p>
            <w:pPr>
              <w:ind w:firstLine="0" w:firstLineChars="0"/>
              <w:jc w:val="center"/>
              <w:rPr>
                <w:rFonts w:ascii="Times New Roman" w:hAnsi="Times New Roman" w:cs="Times New Roman"/>
                <w:szCs w:val="24"/>
              </w:rPr>
            </w:pPr>
            <w:r>
              <w:rPr>
                <w:rFonts w:ascii="Times New Roman" w:hAnsi="Times New Roman" w:cs="Times New Roman"/>
                <w:szCs w:val="24"/>
              </w:rPr>
              <w:t>（如有）</w:t>
            </w: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数量</w:t>
            </w:r>
          </w:p>
        </w:tc>
        <w:tc>
          <w:tcPr>
            <w:tcW w:w="120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交付地点</w:t>
            </w:r>
          </w:p>
        </w:tc>
        <w:tc>
          <w:tcPr>
            <w:tcW w:w="209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ascii="Times New Roman" w:hAnsi="Times New Roman" w:cs="Times New Roman"/>
                <w:szCs w:val="24"/>
              </w:rPr>
              <w:t>备注</w:t>
            </w:r>
          </w:p>
        </w:tc>
      </w:tr>
      <w:tr>
        <w:tblPrEx>
          <w:tblCellMar>
            <w:top w:w="0" w:type="dxa"/>
            <w:left w:w="57" w:type="dxa"/>
            <w:bottom w:w="0" w:type="dxa"/>
            <w:right w:w="57" w:type="dxa"/>
          </w:tblCellMar>
        </w:tblPrEx>
        <w:trPr>
          <w:cantSplit/>
          <w:trHeight w:val="564" w:hRule="atLeast"/>
          <w:jc w:val="center"/>
        </w:trPr>
        <w:tc>
          <w:tcPr>
            <w:tcW w:w="6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Times New Roman" w:hAnsi="Times New Roman" w:cs="Times New Roman"/>
                <w:szCs w:val="24"/>
              </w:rPr>
            </w:pPr>
            <w:r>
              <w:rPr>
                <w:rFonts w:hint="eastAsia" w:ascii="Times New Roman" w:hAnsi="Times New Roman" w:cs="Times New Roman"/>
                <w:szCs w:val="24"/>
              </w:rPr>
              <w:t>1</w:t>
            </w:r>
          </w:p>
        </w:tc>
        <w:tc>
          <w:tcPr>
            <w:tcW w:w="324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lef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color w:val="000000"/>
                <w:kern w:val="0"/>
                <w:sz w:val="24"/>
                <w:szCs w:val="24"/>
                <w:lang w:val="en-US" w:eastAsia="zh-CN" w:bidi="ar"/>
              </w:rPr>
              <w:t>基于安全性远程放电及蓄电池大数据监测成套装置（48V版）检测报告</w:t>
            </w:r>
          </w:p>
        </w:tc>
        <w:tc>
          <w:tcPr>
            <w:tcW w:w="128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sz w:val="24"/>
                <w:szCs w:val="24"/>
              </w:rPr>
            </w:pPr>
          </w:p>
        </w:tc>
        <w:tc>
          <w:tcPr>
            <w:tcW w:w="76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份</w:t>
            </w:r>
          </w:p>
        </w:tc>
        <w:tc>
          <w:tcPr>
            <w:tcW w:w="120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招标方指定地址</w:t>
            </w:r>
          </w:p>
        </w:tc>
        <w:tc>
          <w:tcPr>
            <w:tcW w:w="2090" w:type="dxa"/>
            <w:tcBorders>
              <w:top w:val="single" w:color="auto" w:sz="4" w:space="0"/>
              <w:left w:val="single" w:color="auto" w:sz="4" w:space="0"/>
              <w:bottom w:val="single" w:color="auto" w:sz="4" w:space="0"/>
              <w:right w:val="single" w:color="auto" w:sz="4" w:space="0"/>
            </w:tcBorders>
            <w:vAlign w:val="center"/>
          </w:tcPr>
          <w:p>
            <w:pPr>
              <w:adjustRightInd w:val="0"/>
              <w:ind w:firstLine="0" w:firstLineChars="0"/>
              <w:jc w:val="center"/>
              <w:rPr>
                <w:rFonts w:ascii="Times New Roman" w:hAnsi="Times New Roman" w:cs="Times New Roman"/>
                <w:szCs w:val="24"/>
              </w:rPr>
            </w:pPr>
          </w:p>
        </w:tc>
      </w:tr>
    </w:tbl>
    <w:p>
      <w:pPr>
        <w:ind w:firstLine="480"/>
        <w:rPr>
          <w:rFonts w:ascii="Times New Roman" w:hAnsi="Times New Roman" w:cs="Times New Roman"/>
          <w:bCs/>
          <w:szCs w:val="24"/>
        </w:rPr>
      </w:pPr>
    </w:p>
    <w:p>
      <w:pPr>
        <w:pStyle w:val="3"/>
        <w:numPr>
          <w:ilvl w:val="0"/>
          <w:numId w:val="0"/>
        </w:numPr>
        <w:spacing w:before="312" w:beforeLines="100" w:after="0" w:line="360" w:lineRule="auto"/>
        <w:rPr>
          <w:sz w:val="32"/>
          <w:szCs w:val="32"/>
        </w:rPr>
      </w:pPr>
      <w:bookmarkStart w:id="50" w:name="_Toc29254"/>
      <w:r>
        <w:rPr>
          <w:sz w:val="32"/>
          <w:szCs w:val="32"/>
        </w:rPr>
        <w:t>四、项目进度</w:t>
      </w:r>
      <w:bookmarkEnd w:id="50"/>
      <w:r>
        <w:rPr>
          <w:sz w:val="32"/>
          <w:szCs w:val="32"/>
        </w:rPr>
        <w:t xml:space="preserve"> </w:t>
      </w:r>
    </w:p>
    <w:tbl>
      <w:tblPr>
        <w:tblStyle w:val="15"/>
        <w:tblW w:w="917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584"/>
        <w:gridCol w:w="1871"/>
        <w:gridCol w:w="572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2" w:hRule="atLeast"/>
          <w:tblHeader/>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时间安排</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主要节点</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before="156" w:beforeLines="50" w:after="156" w:afterLines="50"/>
              <w:ind w:firstLine="0" w:firstLineChars="0"/>
              <w:jc w:val="center"/>
              <w:rPr>
                <w:rFonts w:ascii="Times New Roman" w:hAnsi="Times New Roman" w:cs="Times New Roman"/>
                <w:b/>
                <w:szCs w:val="21"/>
              </w:rPr>
            </w:pPr>
            <w:r>
              <w:rPr>
                <w:rFonts w:ascii="Times New Roman" w:hAnsi="Times New Roman" w:cs="Times New Roman"/>
                <w:b/>
                <w:szCs w:val="21"/>
              </w:rPr>
              <w:t>主要工作内容及成果交付物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64"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ascii="Times New Roman" w:hAnsi="Times New Roman" w:cs="Times New Roman"/>
                <w:szCs w:val="21"/>
              </w:rPr>
            </w:pPr>
            <w:r>
              <w:rPr>
                <w:rFonts w:hint="eastAsia" w:ascii="Times New Roman" w:hAnsi="Times New Roman" w:cs="Times New Roman"/>
                <w:szCs w:val="21"/>
              </w:rPr>
              <w:t>2026年</w:t>
            </w:r>
            <w:r>
              <w:rPr>
                <w:rFonts w:hint="eastAsia" w:ascii="Times New Roman" w:hAnsi="Times New Roman" w:cs="Times New Roman"/>
                <w:szCs w:val="21"/>
                <w:lang w:val="en-US" w:eastAsia="zh-CN"/>
              </w:rPr>
              <w:t>9-10</w:t>
            </w:r>
            <w:r>
              <w:rPr>
                <w:rFonts w:hint="eastAsia" w:ascii="Times New Roman" w:hAnsi="Times New Roman" w:cs="Times New Roman"/>
                <w:szCs w:val="21"/>
              </w:rPr>
              <w:t>月</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设备检测初稿</w:t>
            </w:r>
          </w:p>
        </w:tc>
        <w:tc>
          <w:tcPr>
            <w:tcW w:w="572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出具检测报告初稿</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1584"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2026年11月</w:t>
            </w:r>
          </w:p>
        </w:tc>
        <w:tc>
          <w:tcPr>
            <w:tcW w:w="1871" w:type="dxa"/>
            <w:tcBorders>
              <w:top w:val="single" w:color="000000" w:sz="8" w:space="0"/>
              <w:left w:val="single" w:color="000000" w:sz="8" w:space="0"/>
              <w:bottom w:val="single" w:color="000000" w:sz="8" w:space="0"/>
              <w:right w:val="single" w:color="000000" w:sz="8" w:space="0"/>
            </w:tcBorders>
            <w:vAlign w:val="center"/>
          </w:tcPr>
          <w:p>
            <w:pPr>
              <w:spacing w:line="288" w:lineRule="auto"/>
              <w:ind w:firstLine="0" w:firstLineChars="0"/>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正式报告</w:t>
            </w:r>
          </w:p>
        </w:tc>
        <w:tc>
          <w:tcPr>
            <w:tcW w:w="5721" w:type="dxa"/>
            <w:tcBorders>
              <w:top w:val="single" w:color="000000" w:sz="8" w:space="0"/>
              <w:left w:val="single" w:color="000000" w:sz="8" w:space="0"/>
              <w:bottom w:val="single" w:color="000000" w:sz="8" w:space="0"/>
              <w:right w:val="single" w:color="000000" w:sz="8" w:space="0"/>
            </w:tcBorders>
            <w:vAlign w:val="center"/>
          </w:tcPr>
          <w:p>
            <w:pPr>
              <w:pStyle w:val="7"/>
              <w:ind w:firstLine="0" w:firstLineChars="0"/>
              <w:rPr>
                <w:rFonts w:hint="default" w:eastAsia="宋体"/>
                <w:lang w:val="en-US" w:eastAsia="zh-CN"/>
              </w:rPr>
            </w:pPr>
            <w:r>
              <w:rPr>
                <w:rFonts w:hint="eastAsia"/>
                <w:lang w:val="en-US" w:eastAsia="zh-CN"/>
              </w:rPr>
              <w:t>出具正式检测报告</w:t>
            </w:r>
          </w:p>
        </w:tc>
      </w:tr>
    </w:tbl>
    <w:p>
      <w:pPr>
        <w:pStyle w:val="3"/>
        <w:numPr>
          <w:ilvl w:val="0"/>
          <w:numId w:val="0"/>
        </w:numPr>
        <w:spacing w:before="312" w:beforeLines="100" w:after="0" w:line="360" w:lineRule="auto"/>
        <w:rPr>
          <w:sz w:val="32"/>
          <w:szCs w:val="32"/>
        </w:rPr>
      </w:pPr>
      <w:bookmarkStart w:id="51" w:name="_Toc16430"/>
      <w:r>
        <w:rPr>
          <w:sz w:val="32"/>
          <w:szCs w:val="32"/>
        </w:rPr>
        <w:t>五、</w:t>
      </w:r>
      <w:r>
        <w:rPr>
          <w:rFonts w:hint="eastAsia"/>
          <w:sz w:val="32"/>
          <w:szCs w:val="32"/>
          <w:lang w:val="en-US" w:eastAsia="zh-CN"/>
        </w:rPr>
        <w:t>检测</w:t>
      </w:r>
      <w:r>
        <w:rPr>
          <w:sz w:val="32"/>
          <w:szCs w:val="32"/>
        </w:rPr>
        <w:t>人员</w:t>
      </w:r>
      <w:bookmarkEnd w:id="51"/>
    </w:p>
    <w:p>
      <w:pPr>
        <w:pStyle w:val="13"/>
        <w:ind w:firstLine="480"/>
        <w:rPr>
          <w:rFonts w:ascii="Times New Roman" w:hAnsi="Times New Roman" w:cs="Times New Roman"/>
        </w:rPr>
      </w:pPr>
      <w:bookmarkStart w:id="52" w:name="_Toc444945521"/>
      <w:r>
        <w:rPr>
          <w:rFonts w:hint="eastAsia" w:ascii="Times New Roman" w:hAnsi="Times New Roman" w:cs="Times New Roman"/>
        </w:rPr>
        <w:t>投标方需</w:t>
      </w:r>
      <w:r>
        <w:rPr>
          <w:rFonts w:hint="eastAsia" w:ascii="Times New Roman" w:hAnsi="Times New Roman" w:cs="Times New Roman"/>
          <w:lang w:val="en-US" w:eastAsia="zh-CN"/>
        </w:rPr>
        <w:t>明确检测</w:t>
      </w:r>
      <w:r>
        <w:rPr>
          <w:rFonts w:hint="eastAsia" w:ascii="Times New Roman" w:hAnsi="Times New Roman" w:cs="Times New Roman"/>
        </w:rPr>
        <w:t>项目</w:t>
      </w:r>
      <w:r>
        <w:rPr>
          <w:rFonts w:hint="eastAsia" w:ascii="Times New Roman" w:hAnsi="Times New Roman" w:cs="Times New Roman"/>
          <w:lang w:val="en-US" w:eastAsia="zh-CN"/>
        </w:rPr>
        <w:t>检测</w:t>
      </w:r>
      <w:r>
        <w:rPr>
          <w:rFonts w:hint="eastAsia" w:ascii="Times New Roman" w:hAnsi="Times New Roman" w:cs="Times New Roman"/>
        </w:rPr>
        <w:t>人员</w:t>
      </w:r>
      <w:r>
        <w:rPr>
          <w:rFonts w:hint="eastAsia" w:ascii="Times New Roman" w:hAnsi="Times New Roman" w:cs="Times New Roman"/>
          <w:lang w:val="en-US" w:eastAsia="zh-CN"/>
        </w:rPr>
        <w:t>及相关的检测资质，并提供支撑材料。</w:t>
      </w:r>
      <w:bookmarkStart w:id="66" w:name="_GoBack"/>
      <w:bookmarkEnd w:id="66"/>
    </w:p>
    <w:p>
      <w:pPr>
        <w:pStyle w:val="3"/>
        <w:numPr>
          <w:ilvl w:val="0"/>
          <w:numId w:val="0"/>
        </w:numPr>
        <w:spacing w:before="312" w:beforeLines="100" w:after="0" w:line="360" w:lineRule="auto"/>
        <w:rPr>
          <w:sz w:val="32"/>
          <w:szCs w:val="32"/>
        </w:rPr>
      </w:pPr>
      <w:bookmarkStart w:id="53" w:name="_Toc3771"/>
      <w:r>
        <w:rPr>
          <w:sz w:val="32"/>
          <w:szCs w:val="32"/>
        </w:rPr>
        <w:t>六、投标技术文件编制要求</w:t>
      </w:r>
      <w:bookmarkEnd w:id="52"/>
      <w:bookmarkEnd w:id="53"/>
    </w:p>
    <w:p>
      <w:pPr>
        <w:pStyle w:val="18"/>
        <w:spacing w:line="360" w:lineRule="auto"/>
        <w:ind w:firstLine="480"/>
        <w:rPr>
          <w:rFonts w:eastAsia="宋体" w:cs="Times New Roman"/>
          <w:szCs w:val="24"/>
        </w:rPr>
      </w:pPr>
      <w:r>
        <w:rPr>
          <w:rFonts w:eastAsia="宋体" w:cs="Times New Roman"/>
          <w:szCs w:val="24"/>
        </w:rPr>
        <w:t>投标方根据项目总体目标和招标技术文件提出自己的</w:t>
      </w:r>
      <w:r>
        <w:rPr>
          <w:rFonts w:hint="eastAsia" w:eastAsia="宋体" w:cs="Times New Roman"/>
          <w:szCs w:val="24"/>
          <w:lang w:val="en-US" w:eastAsia="zh-CN"/>
        </w:rPr>
        <w:t>检测</w:t>
      </w:r>
      <w:r>
        <w:rPr>
          <w:rFonts w:eastAsia="宋体" w:cs="Times New Roman"/>
          <w:szCs w:val="24"/>
        </w:rPr>
        <w:t>方案、进度表和商务报价，技术文件应包含（不仅限于）以下内容：</w:t>
      </w:r>
    </w:p>
    <w:p>
      <w:pPr>
        <w:ind w:firstLine="482"/>
        <w:rPr>
          <w:rFonts w:ascii="Times New Roman" w:hAnsi="Times New Roman" w:cs="Times New Roman"/>
          <w:b/>
          <w:bCs/>
          <w:szCs w:val="24"/>
        </w:rPr>
      </w:pPr>
      <w:r>
        <w:rPr>
          <w:rFonts w:ascii="Times New Roman" w:hAnsi="Times New Roman" w:cs="Times New Roman"/>
          <w:b/>
          <w:bCs/>
          <w:szCs w:val="24"/>
        </w:rPr>
        <w:t>6.</w:t>
      </w:r>
      <w:r>
        <w:rPr>
          <w:rFonts w:hint="eastAsia" w:ascii="Times New Roman" w:hAnsi="Times New Roman" w:cs="Times New Roman"/>
          <w:b/>
          <w:bCs/>
          <w:szCs w:val="24"/>
          <w:lang w:val="en-US" w:eastAsia="zh-CN"/>
        </w:rPr>
        <w:t>1</w:t>
      </w:r>
      <w:r>
        <w:rPr>
          <w:rFonts w:ascii="Times New Roman" w:hAnsi="Times New Roman" w:cs="Times New Roman"/>
          <w:b/>
          <w:bCs/>
          <w:szCs w:val="24"/>
        </w:rPr>
        <w:t xml:space="preserve"> </w:t>
      </w:r>
      <w:r>
        <w:rPr>
          <w:rFonts w:hint="eastAsia" w:ascii="Times New Roman" w:hAnsi="Times New Roman" w:cs="Times New Roman"/>
          <w:b/>
          <w:bCs/>
          <w:szCs w:val="24"/>
          <w:lang w:val="en-US" w:eastAsia="zh-CN"/>
        </w:rPr>
        <w:t>检测</w:t>
      </w:r>
      <w:r>
        <w:rPr>
          <w:rFonts w:ascii="Times New Roman" w:hAnsi="Times New Roman" w:cs="Times New Roman"/>
          <w:b/>
          <w:bCs/>
          <w:szCs w:val="24"/>
        </w:rPr>
        <w:t>进度目标及指标</w:t>
      </w:r>
    </w:p>
    <w:p>
      <w:pPr>
        <w:ind w:firstLine="480"/>
        <w:rPr>
          <w:rFonts w:ascii="Times New Roman" w:hAnsi="Times New Roman" w:cs="Times New Roman"/>
          <w:szCs w:val="24"/>
        </w:rPr>
      </w:pPr>
      <w:r>
        <w:rPr>
          <w:rFonts w:ascii="Times New Roman" w:hAnsi="Times New Roman" w:cs="Times New Roman"/>
          <w:szCs w:val="24"/>
        </w:rPr>
        <w:t>描述项目工作计划，并明确标出完成各项工作预计所需时间及达到的阶段目标及项目结束时所要达到的总目标。</w:t>
      </w:r>
    </w:p>
    <w:p>
      <w:pPr>
        <w:ind w:firstLine="480"/>
        <w:rPr>
          <w:rFonts w:ascii="Times New Roman" w:hAnsi="Times New Roman" w:cs="Times New Roman"/>
          <w:szCs w:val="24"/>
        </w:rPr>
      </w:pPr>
      <w:r>
        <w:rPr>
          <w:rFonts w:ascii="Times New Roman" w:hAnsi="Times New Roman" w:cs="Times New Roman"/>
          <w:szCs w:val="24"/>
        </w:rPr>
        <w:t>指标：与招标方提出的功能要求、主要技术经济指标的响应情况。</w:t>
      </w:r>
    </w:p>
    <w:p>
      <w:pPr>
        <w:spacing w:before="156" w:beforeLines="50" w:line="300" w:lineRule="auto"/>
        <w:ind w:firstLine="480"/>
        <w:jc w:val="center"/>
        <w:rPr>
          <w:rFonts w:ascii="Times New Roman" w:hAnsi="Times New Roman" w:cs="Times New Roman"/>
          <w:szCs w:val="21"/>
        </w:rPr>
      </w:pPr>
      <w:r>
        <w:rPr>
          <w:rFonts w:ascii="Times New Roman" w:hAnsi="Times New Roman" w:cs="Times New Roman"/>
          <w:szCs w:val="21"/>
        </w:rPr>
        <w:t>技术参数响应表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序号</w:t>
            </w:r>
          </w:p>
        </w:tc>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交付成果名称</w:t>
            </w:r>
          </w:p>
        </w:tc>
        <w:tc>
          <w:tcPr>
            <w:tcW w:w="1704"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招标人要求值</w:t>
            </w:r>
          </w:p>
        </w:tc>
        <w:tc>
          <w:tcPr>
            <w:tcW w:w="1705"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投标人保证值</w:t>
            </w:r>
          </w:p>
        </w:tc>
        <w:tc>
          <w:tcPr>
            <w:tcW w:w="1705" w:type="dxa"/>
          </w:tcPr>
          <w:p>
            <w:pPr>
              <w:ind w:firstLine="0" w:firstLineChars="0"/>
              <w:jc w:val="center"/>
              <w:rPr>
                <w:rFonts w:ascii="Times New Roman" w:hAnsi="Times New Roman" w:cs="Times New Roman"/>
                <w:szCs w:val="21"/>
              </w:rPr>
            </w:pPr>
            <w:r>
              <w:rPr>
                <w:rFonts w:ascii="Times New Roman" w:hAnsi="Times New Roman" w:cs="Times New Roman"/>
                <w:kern w:val="1"/>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4"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c>
          <w:tcPr>
            <w:tcW w:w="1705" w:type="dxa"/>
          </w:tcPr>
          <w:p>
            <w:pPr>
              <w:ind w:firstLine="0" w:firstLineChars="0"/>
              <w:jc w:val="center"/>
              <w:rPr>
                <w:rFonts w:ascii="Times New Roman" w:hAnsi="Times New Roman" w:cs="Times New Roman"/>
                <w:szCs w:val="21"/>
              </w:rPr>
            </w:pPr>
          </w:p>
        </w:tc>
      </w:tr>
    </w:tbl>
    <w:p>
      <w:pPr>
        <w:ind w:firstLine="482"/>
        <w:rPr>
          <w:rFonts w:ascii="Times New Roman" w:hAnsi="Times New Roman" w:cs="Times New Roman"/>
          <w:b/>
          <w:bCs/>
          <w:szCs w:val="24"/>
        </w:rPr>
      </w:pPr>
      <w:r>
        <w:rPr>
          <w:rFonts w:ascii="Times New Roman" w:hAnsi="Times New Roman" w:cs="Times New Roman"/>
          <w:b/>
          <w:bCs/>
          <w:szCs w:val="24"/>
        </w:rPr>
        <w:t>6.</w:t>
      </w:r>
      <w:r>
        <w:rPr>
          <w:rFonts w:hint="eastAsia" w:ascii="Times New Roman" w:hAnsi="Times New Roman" w:cs="Times New Roman"/>
          <w:b/>
          <w:bCs/>
          <w:szCs w:val="24"/>
          <w:lang w:val="en-US" w:eastAsia="zh-CN"/>
        </w:rPr>
        <w:t>2</w:t>
      </w:r>
      <w:r>
        <w:rPr>
          <w:rFonts w:ascii="Times New Roman" w:hAnsi="Times New Roman" w:cs="Times New Roman"/>
          <w:b/>
          <w:bCs/>
          <w:szCs w:val="24"/>
        </w:rPr>
        <w:t xml:space="preserve"> 项目实施的组织、管理</w:t>
      </w:r>
    </w:p>
    <w:p>
      <w:pPr>
        <w:ind w:firstLine="480"/>
        <w:rPr>
          <w:rFonts w:ascii="Times New Roman" w:hAnsi="Times New Roman" w:cs="Times New Roman"/>
          <w:szCs w:val="24"/>
        </w:rPr>
      </w:pPr>
      <w:r>
        <w:rPr>
          <w:rFonts w:ascii="Times New Roman" w:hAnsi="Times New Roman" w:cs="Times New Roman"/>
          <w:szCs w:val="24"/>
        </w:rPr>
        <w:t>描述保障项目的顺利实施的组织形式和管理措施。</w:t>
      </w:r>
    </w:p>
    <w:p>
      <w:pPr>
        <w:ind w:firstLine="0" w:firstLineChars="0"/>
        <w:rPr>
          <w:rFonts w:hint="eastAsia"/>
          <w:b/>
          <w:bCs/>
          <w:sz w:val="32"/>
          <w:szCs w:val="32"/>
        </w:rPr>
      </w:pPr>
      <w:r>
        <w:rPr>
          <w:b/>
          <w:bCs/>
          <w:sz w:val="32"/>
          <w:szCs w:val="32"/>
        </w:rPr>
        <w:t>七、</w:t>
      </w:r>
      <w:r>
        <w:rPr>
          <w:rFonts w:hint="eastAsia"/>
          <w:b/>
          <w:bCs/>
          <w:sz w:val="32"/>
          <w:szCs w:val="32"/>
        </w:rPr>
        <w:t>售后服务与配合要求</w:t>
      </w:r>
    </w:p>
    <w:p>
      <w:pPr>
        <w:tabs>
          <w:tab w:val="left" w:pos="995"/>
        </w:tabs>
        <w:ind w:firstLine="480"/>
        <w:rPr>
          <w:rFonts w:hint="eastAsia"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hint="eastAsia" w:ascii="Times New Roman" w:hAnsi="Times New Roman" w:eastAsia="宋体" w:cs="Times New Roman"/>
          <w:szCs w:val="24"/>
        </w:rPr>
        <w:t>1.项目评审全过程配合答疑、补充说明、资料完善；</w:t>
      </w:r>
    </w:p>
    <w:p>
      <w:pPr>
        <w:tabs>
          <w:tab w:val="left" w:pos="995"/>
        </w:tabs>
        <w:ind w:firstLine="480"/>
        <w:rPr>
          <w:rFonts w:hint="eastAsia"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hint="eastAsia" w:ascii="Times New Roman" w:hAnsi="Times New Roman" w:eastAsia="宋体" w:cs="Times New Roman"/>
          <w:szCs w:val="24"/>
        </w:rPr>
        <w:t>2.针对</w:t>
      </w:r>
      <w:r>
        <w:rPr>
          <w:rFonts w:hint="eastAsia" w:ascii="Times New Roman" w:hAnsi="Times New Roman" w:eastAsia="宋体" w:cs="Times New Roman"/>
          <w:szCs w:val="24"/>
          <w:lang w:val="en-US" w:eastAsia="zh-CN"/>
        </w:rPr>
        <w:t>检测结果</w:t>
      </w:r>
      <w:r>
        <w:rPr>
          <w:rFonts w:hint="eastAsia" w:ascii="Times New Roman" w:hAnsi="Times New Roman" w:eastAsia="宋体" w:cs="Times New Roman"/>
          <w:szCs w:val="24"/>
        </w:rPr>
        <w:t>后续核查工作，无偿提供技术配合与解释服务；</w:t>
      </w:r>
    </w:p>
    <w:p>
      <w:pPr>
        <w:tabs>
          <w:tab w:val="left" w:pos="995"/>
        </w:tabs>
        <w:ind w:firstLine="480"/>
        <w:rPr>
          <w:rFonts w:hint="eastAsia"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hint="eastAsia" w:ascii="Times New Roman" w:hAnsi="Times New Roman" w:eastAsia="宋体" w:cs="Times New Roman"/>
          <w:szCs w:val="24"/>
        </w:rPr>
        <w:t>3.若项目</w:t>
      </w:r>
      <w:r>
        <w:rPr>
          <w:rFonts w:hint="eastAsia" w:ascii="Times New Roman" w:hAnsi="Times New Roman" w:eastAsia="宋体" w:cs="Times New Roman"/>
          <w:szCs w:val="24"/>
          <w:lang w:val="en-US" w:eastAsia="zh-CN"/>
        </w:rPr>
        <w:t>相关技术标准</w:t>
      </w:r>
      <w:r>
        <w:rPr>
          <w:rFonts w:hint="eastAsia" w:ascii="Times New Roman" w:hAnsi="Times New Roman" w:eastAsia="宋体" w:cs="Times New Roman"/>
          <w:szCs w:val="24"/>
        </w:rPr>
        <w:t>更新，需无偿提供对应内容的补充优化建议；</w:t>
      </w:r>
    </w:p>
    <w:p>
      <w:pPr>
        <w:tabs>
          <w:tab w:val="left" w:pos="995"/>
        </w:tabs>
        <w:ind w:firstLine="480"/>
        <w:rPr>
          <w:rFonts w:hint="eastAsia" w:ascii="Times New Roman" w:hAnsi="Times New Roman" w:eastAsia="宋体" w:cs="Times New Roman"/>
          <w:szCs w:val="24"/>
        </w:rPr>
      </w:pPr>
      <w:r>
        <w:rPr>
          <w:rFonts w:hint="eastAsia" w:ascii="Times New Roman" w:hAnsi="Times New Roman" w:eastAsia="宋体" w:cs="Times New Roman"/>
          <w:szCs w:val="24"/>
          <w:lang w:val="en-US" w:eastAsia="zh-CN"/>
        </w:rPr>
        <w:t>7.</w:t>
      </w:r>
      <w:r>
        <w:rPr>
          <w:rFonts w:hint="eastAsia" w:ascii="Times New Roman" w:hAnsi="Times New Roman" w:eastAsia="宋体" w:cs="Times New Roman"/>
          <w:szCs w:val="24"/>
        </w:rPr>
        <w:t>4.建立专属对接人员，全程对接项目</w:t>
      </w:r>
      <w:r>
        <w:rPr>
          <w:rFonts w:hint="eastAsia" w:ascii="Times New Roman" w:hAnsi="Times New Roman" w:eastAsia="宋体" w:cs="Times New Roman"/>
          <w:szCs w:val="24"/>
          <w:lang w:val="en-US" w:eastAsia="zh-CN"/>
        </w:rPr>
        <w:t>检测</w:t>
      </w:r>
      <w:r>
        <w:rPr>
          <w:rFonts w:hint="eastAsia" w:ascii="Times New Roman" w:hAnsi="Times New Roman" w:eastAsia="宋体" w:cs="Times New Roman"/>
          <w:szCs w:val="24"/>
        </w:rPr>
        <w:t>各项工作，保障沟通高效、问题快速闭环。</w:t>
      </w:r>
    </w:p>
    <w:p>
      <w:pPr>
        <w:pStyle w:val="3"/>
        <w:numPr>
          <w:ilvl w:val="0"/>
          <w:numId w:val="0"/>
        </w:numPr>
        <w:spacing w:before="312" w:beforeLines="100" w:after="0" w:line="360" w:lineRule="auto"/>
        <w:rPr>
          <w:sz w:val="32"/>
          <w:szCs w:val="32"/>
        </w:rPr>
      </w:pPr>
      <w:bookmarkStart w:id="54" w:name="_Toc93490801"/>
      <w:bookmarkStart w:id="55" w:name="_Toc167003829"/>
      <w:bookmarkStart w:id="56" w:name="_Toc137397828"/>
      <w:bookmarkStart w:id="57" w:name="_Toc351129176"/>
      <w:bookmarkStart w:id="58" w:name="_Toc3960"/>
      <w:bookmarkStart w:id="59" w:name="_Toc93490580"/>
      <w:bookmarkStart w:id="60" w:name="_Toc93490630"/>
      <w:bookmarkStart w:id="61" w:name="_Toc506186791"/>
      <w:r>
        <w:rPr>
          <w:sz w:val="32"/>
          <w:szCs w:val="32"/>
        </w:rPr>
        <w:t>附件</w:t>
      </w:r>
      <w:bookmarkEnd w:id="54"/>
      <w:bookmarkEnd w:id="55"/>
      <w:bookmarkEnd w:id="56"/>
      <w:bookmarkEnd w:id="57"/>
      <w:bookmarkEnd w:id="58"/>
      <w:bookmarkEnd w:id="59"/>
      <w:bookmarkEnd w:id="60"/>
      <w:bookmarkEnd w:id="61"/>
    </w:p>
    <w:p>
      <w:pPr>
        <w:pStyle w:val="4"/>
        <w:spacing w:before="200" w:after="100" w:line="360" w:lineRule="auto"/>
        <w:rPr>
          <w:rFonts w:ascii="Times New Roman" w:hAnsi="Times New Roman"/>
        </w:rPr>
      </w:pPr>
      <w:bookmarkStart w:id="62" w:name="_Toc18563"/>
      <w:bookmarkStart w:id="63" w:name="_Toc5388"/>
      <w:r>
        <w:rPr>
          <w:rFonts w:ascii="Times New Roman" w:hAnsi="Times New Roman"/>
        </w:rPr>
        <w:t>1、差异表</w:t>
      </w:r>
      <w:bookmarkEnd w:id="62"/>
      <w:bookmarkEnd w:id="63"/>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bl>
    <w:p>
      <w:pPr>
        <w:pStyle w:val="4"/>
        <w:spacing w:before="200" w:after="100" w:line="360" w:lineRule="auto"/>
        <w:rPr>
          <w:rFonts w:ascii="Times New Roman" w:hAnsi="Times New Roman"/>
        </w:rPr>
      </w:pPr>
      <w:bookmarkStart w:id="64" w:name="_Toc7139"/>
      <w:bookmarkStart w:id="65" w:name="_Toc10832"/>
      <w:r>
        <w:rPr>
          <w:rFonts w:ascii="Times New Roman" w:hAnsi="Times New Roman"/>
        </w:rPr>
        <w:t>2、投标方需要说明的其它问题</w:t>
      </w:r>
      <w:bookmarkEnd w:id="64"/>
      <w:bookmarkEnd w:id="65"/>
    </w:p>
    <w:p>
      <w:pPr>
        <w:ind w:firstLine="0" w:firstLineChars="0"/>
        <w:rPr>
          <w:rFonts w:hint="default" w:ascii="Times New Roman" w:hAnsi="Times New Roman" w:eastAsia="宋体" w:cs="Times New Roman"/>
          <w:szCs w:val="24"/>
          <w:lang w:val="en-US" w:eastAsia="zh-CN"/>
        </w:rPr>
      </w:pPr>
      <w:r>
        <w:rPr>
          <w:rFonts w:hint="eastAsia" w:ascii="Times New Roman" w:hAnsi="Times New Roman" w:cs="Times New Roman"/>
          <w:szCs w:val="24"/>
          <w:lang w:val="en-US" w:eastAsia="zh-CN"/>
        </w:rPr>
        <w:t xml:space="preserve">    无。</w:t>
      </w:r>
    </w:p>
    <w:p>
      <w:pPr>
        <w:ind w:firstLine="480"/>
      </w:pPr>
    </w:p>
    <w:sectPr>
      <w:headerReference r:id="rId11" w:type="default"/>
      <w:footerReference r:id="rId12" w:type="default"/>
      <w:pgSz w:w="11906" w:h="16838"/>
      <w:pgMar w:top="1440" w:right="1080" w:bottom="1440" w:left="108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8305" cy="219710"/>
              <wp:effectExtent l="0" t="0" r="0" b="0"/>
              <wp:wrapNone/>
              <wp:docPr id="5" name="文本框 1"/>
              <wp:cNvGraphicFramePr/>
              <a:graphic xmlns:a="http://schemas.openxmlformats.org/drawingml/2006/main">
                <a:graphicData uri="http://schemas.microsoft.com/office/word/2010/wordprocessingShape">
                  <wps:wsp>
                    <wps:cNvSpPr txBox="1"/>
                    <wps:spPr>
                      <a:xfrm>
                        <a:off x="0" y="0"/>
                        <a:ext cx="408305" cy="219710"/>
                      </a:xfrm>
                      <a:prstGeom prst="rect">
                        <a:avLst/>
                      </a:prstGeom>
                      <a:noFill/>
                      <a:ln>
                        <a:noFill/>
                      </a:ln>
                    </wps:spPr>
                    <wps:txbx>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7.3pt;width:32.15pt;mso-position-horizontal:center;mso-position-horizontal-relative:margin;z-index:251659264;mso-width-relative:page;mso-height-relative:page;" filled="f" stroked="f" coordsize="21600,21600" o:gfxdata="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VEH7rUAAAAAwEAAA8AAAAAAAAAAQAgAAAAIgAAAGRycy9kb3ducmV2Lnht&#10;bFBLAQIUABQAAAAIAIdO4kAWgb4dxAEAAH8DAAAOAAAAAAAAAAEAIAAAACMBAABkcnMvZTJvRG9j&#10;LnhtbFBLBQYAAAAABgAGAFkBAABZBQAAAAA=&#10;">
              <v:fill on="f" focussize="0,0"/>
              <v:stroke on="f"/>
              <v:imagedata o:title=""/>
              <o:lock v:ext="edit" aspectratio="f"/>
              <v:textbox inset="0mm,0mm,0mm,0mm">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pStyle w:val="3"/>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B0AA2"/>
    <w:rsid w:val="000D638B"/>
    <w:rsid w:val="00156A4B"/>
    <w:rsid w:val="001B4389"/>
    <w:rsid w:val="001D392E"/>
    <w:rsid w:val="00285770"/>
    <w:rsid w:val="00331D53"/>
    <w:rsid w:val="0036636D"/>
    <w:rsid w:val="0039252B"/>
    <w:rsid w:val="004059B4"/>
    <w:rsid w:val="004164D0"/>
    <w:rsid w:val="00437CA4"/>
    <w:rsid w:val="00454FD3"/>
    <w:rsid w:val="004B0B8A"/>
    <w:rsid w:val="0057589B"/>
    <w:rsid w:val="005915F7"/>
    <w:rsid w:val="00591D1D"/>
    <w:rsid w:val="005A01B6"/>
    <w:rsid w:val="00622D5D"/>
    <w:rsid w:val="00671386"/>
    <w:rsid w:val="006A1396"/>
    <w:rsid w:val="00765881"/>
    <w:rsid w:val="00767CAB"/>
    <w:rsid w:val="007E44C5"/>
    <w:rsid w:val="008E4472"/>
    <w:rsid w:val="00912BF5"/>
    <w:rsid w:val="00937922"/>
    <w:rsid w:val="00A82843"/>
    <w:rsid w:val="00AA3D7D"/>
    <w:rsid w:val="00AB4873"/>
    <w:rsid w:val="00B82125"/>
    <w:rsid w:val="00B87FDB"/>
    <w:rsid w:val="00B96045"/>
    <w:rsid w:val="00D2600A"/>
    <w:rsid w:val="00DB66E2"/>
    <w:rsid w:val="00DF4421"/>
    <w:rsid w:val="00ED2CF4"/>
    <w:rsid w:val="00F634DD"/>
    <w:rsid w:val="00FA051D"/>
    <w:rsid w:val="01F42AE6"/>
    <w:rsid w:val="03122A29"/>
    <w:rsid w:val="084A72A4"/>
    <w:rsid w:val="08836BD0"/>
    <w:rsid w:val="0B6B0AA2"/>
    <w:rsid w:val="0BC57A2A"/>
    <w:rsid w:val="0DAB60AA"/>
    <w:rsid w:val="0E084F64"/>
    <w:rsid w:val="101C3B92"/>
    <w:rsid w:val="144E4F25"/>
    <w:rsid w:val="14826128"/>
    <w:rsid w:val="14B52D81"/>
    <w:rsid w:val="1CDB48A6"/>
    <w:rsid w:val="1F4D64A7"/>
    <w:rsid w:val="26A06E73"/>
    <w:rsid w:val="2971700B"/>
    <w:rsid w:val="2C172B7F"/>
    <w:rsid w:val="2C5350BD"/>
    <w:rsid w:val="2C6E2E0D"/>
    <w:rsid w:val="2D16021E"/>
    <w:rsid w:val="31C74937"/>
    <w:rsid w:val="3FE71217"/>
    <w:rsid w:val="4D201D94"/>
    <w:rsid w:val="501F67AB"/>
    <w:rsid w:val="51920A8B"/>
    <w:rsid w:val="523E5985"/>
    <w:rsid w:val="53165C44"/>
    <w:rsid w:val="59E72AA3"/>
    <w:rsid w:val="5A1E1882"/>
    <w:rsid w:val="60C377E6"/>
    <w:rsid w:val="67A92C00"/>
    <w:rsid w:val="69E50D29"/>
    <w:rsid w:val="71E42A63"/>
    <w:rsid w:val="72A84D33"/>
    <w:rsid w:val="794C090E"/>
    <w:rsid w:val="7ACE4B97"/>
    <w:rsid w:val="7B1146B9"/>
    <w:rsid w:val="E1E76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3">
    <w:name w:val="heading 1"/>
    <w:basedOn w:val="1"/>
    <w:next w:val="1"/>
    <w:qFormat/>
    <w:uiPriority w:val="0"/>
    <w:pPr>
      <w:keepNext/>
      <w:keepLines/>
      <w:numPr>
        <w:ilvl w:val="0"/>
        <w:numId w:val="1"/>
      </w:numPr>
      <w:spacing w:before="340" w:after="330" w:line="578" w:lineRule="auto"/>
      <w:ind w:firstLine="0" w:firstLineChars="0"/>
      <w:outlineLvl w:val="0"/>
    </w:pPr>
    <w:rPr>
      <w:rFonts w:ascii="Times New Roman" w:hAnsi="Times New Roman" w:cs="Times New Roman"/>
      <w:b/>
      <w:bCs/>
      <w:kern w:val="44"/>
      <w:sz w:val="44"/>
      <w:szCs w:val="44"/>
    </w:rPr>
  </w:style>
  <w:style w:type="paragraph" w:styleId="4">
    <w:name w:val="heading 2"/>
    <w:basedOn w:val="1"/>
    <w:next w:val="1"/>
    <w:qFormat/>
    <w:uiPriority w:val="0"/>
    <w:pPr>
      <w:keepNext/>
      <w:keepLines/>
      <w:spacing w:before="260" w:after="260" w:line="416" w:lineRule="auto"/>
      <w:ind w:firstLine="0" w:firstLineChars="0"/>
      <w:outlineLvl w:val="1"/>
    </w:pPr>
    <w:rPr>
      <w:rFonts w:ascii="Calibri Light" w:hAnsi="Calibri Light" w:cs="Times New Roman"/>
      <w:b/>
      <w:bCs/>
      <w:sz w:val="32"/>
      <w:szCs w:val="32"/>
    </w:rPr>
  </w:style>
  <w:style w:type="paragraph" w:styleId="5">
    <w:name w:val="heading 3"/>
    <w:basedOn w:val="1"/>
    <w:next w:val="1"/>
    <w:link w:val="22"/>
    <w:semiHidden/>
    <w:unhideWhenUsed/>
    <w:qFormat/>
    <w:uiPriority w:val="0"/>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annotation text"/>
    <w:basedOn w:val="1"/>
    <w:qFormat/>
    <w:uiPriority w:val="0"/>
    <w:pPr>
      <w:jc w:val="left"/>
    </w:pPr>
  </w:style>
  <w:style w:type="paragraph" w:styleId="7">
    <w:name w:val="Body Text"/>
    <w:basedOn w:val="1"/>
    <w:next w:val="8"/>
    <w:qFormat/>
    <w:uiPriority w:val="99"/>
    <w:pPr>
      <w:spacing w:after="120"/>
    </w:pPr>
  </w:style>
  <w:style w:type="paragraph" w:styleId="8">
    <w:name w:val="Title"/>
    <w:basedOn w:val="1"/>
    <w:next w:val="1"/>
    <w:link w:val="25"/>
    <w:qFormat/>
    <w:uiPriority w:val="99"/>
    <w:pPr>
      <w:spacing w:before="240" w:after="60"/>
      <w:jc w:val="center"/>
      <w:outlineLvl w:val="0"/>
    </w:pPr>
    <w:rPr>
      <w:rFonts w:ascii="Cambria" w:hAnsi="Cambria"/>
      <w:b/>
      <w:bCs/>
      <w:sz w:val="32"/>
      <w:szCs w:val="32"/>
    </w:rPr>
  </w:style>
  <w:style w:type="paragraph" w:styleId="9">
    <w:name w:val="Date"/>
    <w:basedOn w:val="1"/>
    <w:next w:val="1"/>
    <w:link w:val="24"/>
    <w:qFormat/>
    <w:uiPriority w:val="0"/>
    <w:pPr>
      <w:ind w:left="100" w:leftChars="2500"/>
    </w:pPr>
  </w:style>
  <w:style w:type="paragraph" w:styleId="10">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2">
    <w:name w:val="toc 1"/>
    <w:next w:val="1"/>
    <w:qFormat/>
    <w:uiPriority w:val="39"/>
    <w:pPr>
      <w:spacing w:beforeLines="38" w:afterLines="38"/>
    </w:pPr>
    <w:rPr>
      <w:rFonts w:ascii="Times New Roman" w:hAnsi="Times New Roman" w:eastAsia="宋体" w:cs="Times New Roman"/>
      <w:b/>
      <w:bCs/>
      <w:lang w:val="en-US" w:eastAsia="zh-CN" w:bidi="ar-SA"/>
    </w:rPr>
  </w:style>
  <w:style w:type="paragraph" w:styleId="13">
    <w:name w:val="toc 2"/>
    <w:basedOn w:val="1"/>
    <w:next w:val="1"/>
    <w:qFormat/>
    <w:uiPriority w:val="39"/>
    <w:pPr>
      <w:ind w:left="210"/>
    </w:pPr>
    <w:rPr>
      <w:smallCaps/>
    </w:rPr>
  </w:style>
  <w:style w:type="paragraph" w:styleId="14">
    <w:name w:val="Normal (Web)"/>
    <w:basedOn w:val="1"/>
    <w:unhideWhenUsed/>
    <w:qFormat/>
    <w:uiPriority w:val="99"/>
    <w:pPr>
      <w:widowControl/>
      <w:spacing w:before="100" w:beforeAutospacing="1" w:after="100" w:afterAutospacing="1" w:line="240" w:lineRule="auto"/>
      <w:ind w:firstLine="0" w:firstLineChars="0"/>
      <w:jc w:val="left"/>
    </w:pPr>
    <w:rPr>
      <w:rFonts w:ascii="宋体" w:hAnsi="宋体" w:cs="宋体"/>
      <w:kern w:val="0"/>
      <w:szCs w:val="24"/>
    </w:rPr>
  </w:style>
  <w:style w:type="character" w:styleId="17">
    <w:name w:val="Strong"/>
    <w:basedOn w:val="16"/>
    <w:qFormat/>
    <w:uiPriority w:val="22"/>
    <w:rPr>
      <w:b/>
      <w:bCs/>
    </w:rPr>
  </w:style>
  <w:style w:type="paragraph" w:customStyle="1" w:styleId="18">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19">
    <w:name w:val="List Paragraph1"/>
    <w:basedOn w:val="1"/>
    <w:qFormat/>
    <w:uiPriority w:val="0"/>
    <w:pPr>
      <w:ind w:firstLine="420"/>
    </w:pPr>
    <w:rPr>
      <w:rFonts w:ascii="Times New Roman" w:hAnsi="Times New Roman" w:cs="Times New Roman"/>
    </w:rPr>
  </w:style>
  <w:style w:type="paragraph" w:customStyle="1" w:styleId="20">
    <w:name w:val="列出段落1"/>
    <w:basedOn w:val="1"/>
    <w:qFormat/>
    <w:uiPriority w:val="0"/>
    <w:pPr>
      <w:ind w:firstLine="420"/>
    </w:pPr>
    <w:rPr>
      <w:rFonts w:ascii="Times New Roman" w:hAnsi="Times New Roman" w:cs="Times New Roman"/>
    </w:rPr>
  </w:style>
  <w:style w:type="paragraph" w:customStyle="1" w:styleId="21">
    <w:name w:val="BodyText"/>
    <w:basedOn w:val="1"/>
    <w:next w:val="8"/>
    <w:qFormat/>
    <w:uiPriority w:val="0"/>
    <w:pPr>
      <w:spacing w:after="120"/>
      <w:textAlignment w:val="baseline"/>
    </w:pPr>
  </w:style>
  <w:style w:type="character" w:customStyle="1" w:styleId="22">
    <w:name w:val="标题 3 字符"/>
    <w:basedOn w:val="16"/>
    <w:link w:val="5"/>
    <w:semiHidden/>
    <w:qFormat/>
    <w:uiPriority w:val="0"/>
    <w:rPr>
      <w:rFonts w:ascii="Calibri" w:hAnsi="Calibri" w:eastAsia="宋体" w:cs="黑体"/>
      <w:b/>
      <w:bCs/>
      <w:kern w:val="2"/>
      <w:sz w:val="32"/>
      <w:szCs w:val="32"/>
    </w:rPr>
  </w:style>
  <w:style w:type="paragraph" w:styleId="23">
    <w:name w:val="List Paragraph"/>
    <w:basedOn w:val="1"/>
    <w:qFormat/>
    <w:uiPriority w:val="99"/>
    <w:pPr>
      <w:ind w:firstLine="420"/>
    </w:pPr>
  </w:style>
  <w:style w:type="character" w:customStyle="1" w:styleId="24">
    <w:name w:val="日期 字符"/>
    <w:basedOn w:val="16"/>
    <w:link w:val="9"/>
    <w:qFormat/>
    <w:uiPriority w:val="0"/>
    <w:rPr>
      <w:rFonts w:ascii="Calibri" w:hAnsi="Calibri" w:eastAsia="宋体" w:cs="黑体"/>
      <w:kern w:val="2"/>
      <w:sz w:val="24"/>
      <w:szCs w:val="22"/>
    </w:rPr>
  </w:style>
  <w:style w:type="character" w:customStyle="1" w:styleId="25">
    <w:name w:val="标题 字符"/>
    <w:basedOn w:val="16"/>
    <w:link w:val="8"/>
    <w:qFormat/>
    <w:uiPriority w:val="99"/>
    <w:rPr>
      <w:rFonts w:ascii="Cambria" w:hAnsi="Cambria" w:eastAsia="宋体" w:cs="黑体"/>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7192</Words>
  <Characters>7729</Characters>
  <Lines>49</Lines>
  <Paragraphs>13</Paragraphs>
  <TotalTime>7</TotalTime>
  <ScaleCrop>false</ScaleCrop>
  <LinksUpToDate>false</LinksUpToDate>
  <CharactersWithSpaces>7958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2025-10-29T16:02:00Z</dcterms:created>
  <dc:creator>嘧芮哆</dc:creator>
  <cp:lastModifiedBy>伍建华</cp:lastModifiedBy>
  <dcterms:modified xsi:type="dcterms:W3CDTF">2026-09-03T07:27:18Z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A3EB61BBD1E9469D80BF56BC22AAB815</vt:lpwstr>
  </property>
  <property fmtid="{D5CDD505-2E9C-101B-9397-08002B2CF9AE}" pid="4" name="KSOTemplateDocerSaveRecord">
    <vt:lpwstr>eyJoZGlkIjoiOTJiYjE5NGQzODllZGI0MDMzMTY2Mzg0YWIwZTA3MzciLCJ1c2VySWQiOiIyNzAxNjkwNDkifQ==</vt:lpwstr>
  </property>
</Properties>
</file>