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0" w:beforeLines="500" w:line="240" w:lineRule="auto"/>
        <w:ind w:firstLine="0" w:firstLineChars="0"/>
        <w:jc w:val="left"/>
        <w:rPr>
          <w:rFonts w:ascii="Times New Roman" w:hAnsi="Times New Roman" w:eastAsia="仿宋_GB2312" w:cs="Times New Roman"/>
          <w:b/>
          <w:color w:val="auto"/>
          <w:sz w:val="36"/>
          <w:szCs w:val="20"/>
          <w:highlight w:val="none"/>
        </w:rPr>
      </w:pPr>
      <w:r>
        <w:rPr>
          <w:rFonts w:hint="eastAsia"/>
          <w:b/>
          <w:bCs/>
          <w:color w:val="auto"/>
          <w:sz w:val="44"/>
          <w:szCs w:val="44"/>
          <w:highlight w:val="none"/>
        </w:rPr>
        <w:drawing>
          <wp:anchor distT="0" distB="0" distL="114300" distR="114300" simplePos="0" relativeHeight="251663360" behindDoc="0" locked="0" layoutInCell="1" allowOverlap="1">
            <wp:simplePos x="0" y="0"/>
            <wp:positionH relativeFrom="column">
              <wp:posOffset>-1920875</wp:posOffset>
            </wp:positionH>
            <wp:positionV relativeFrom="paragraph">
              <wp:posOffset>-1148080</wp:posOffset>
            </wp:positionV>
            <wp:extent cx="8447405" cy="2751455"/>
            <wp:effectExtent l="0" t="0" r="10795" b="4445"/>
            <wp:wrapNone/>
            <wp:docPr id="5"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模板-3"/>
                    <pic:cNvPicPr>
                      <a:picLocks noChangeAspect="1"/>
                    </pic:cNvPicPr>
                  </pic:nvPicPr>
                  <pic:blipFill>
                    <a:blip r:embed="rId14"/>
                    <a:srcRect b="75984"/>
                    <a:stretch>
                      <a:fillRect/>
                    </a:stretch>
                  </pic:blipFill>
                  <pic:spPr>
                    <a:xfrm>
                      <a:off x="0" y="0"/>
                      <a:ext cx="8447405" cy="2751455"/>
                    </a:xfrm>
                    <a:prstGeom prst="rect">
                      <a:avLst/>
                    </a:prstGeom>
                    <a:noFill/>
                    <a:ln>
                      <a:noFill/>
                    </a:ln>
                  </pic:spPr>
                </pic:pic>
              </a:graphicData>
            </a:graphic>
          </wp:anchor>
        </w:drawing>
      </w:r>
    </w:p>
    <w:p>
      <w:pPr>
        <w:spacing w:before="1560" w:beforeLines="500" w:line="240" w:lineRule="auto"/>
        <w:ind w:firstLine="0" w:firstLineChars="0"/>
        <w:jc w:val="left"/>
        <w:rPr>
          <w:rFonts w:ascii="Times New Roman" w:hAnsi="Times New Roman" w:eastAsia="仿宋_GB2312" w:cs="Times New Roman"/>
          <w:b/>
          <w:color w:val="auto"/>
          <w:sz w:val="36"/>
          <w:szCs w:val="20"/>
          <w:highlight w:val="none"/>
        </w:rPr>
      </w:pPr>
      <w:r>
        <w:rPr>
          <w:rFonts w:ascii="Times New Roman" w:hAnsi="Times New Roman" w:cs="Times New Roman"/>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85090</wp:posOffset>
                </wp:positionH>
                <wp:positionV relativeFrom="paragraph">
                  <wp:posOffset>1039495</wp:posOffset>
                </wp:positionV>
                <wp:extent cx="5601970" cy="1937385"/>
                <wp:effectExtent l="0" t="0" r="0" b="0"/>
                <wp:wrapNone/>
                <wp:docPr id="2" name="文本框 5"/>
                <wp:cNvGraphicFramePr/>
                <a:graphic xmlns:a="http://schemas.openxmlformats.org/drawingml/2006/main">
                  <a:graphicData uri="http://schemas.microsoft.com/office/word/2010/wordprocessingShape">
                    <wps:wsp>
                      <wps:cNvSpPr txBox="1"/>
                      <wps:spPr>
                        <a:xfrm>
                          <a:off x="0" y="0"/>
                          <a:ext cx="5601970" cy="1937385"/>
                        </a:xfrm>
                        <a:prstGeom prst="rect">
                          <a:avLst/>
                        </a:prstGeom>
                        <a:noFill/>
                        <a:ln>
                          <a:noFill/>
                        </a:ln>
                      </wps:spPr>
                      <wps:txbx>
                        <w:txbxContent>
                          <w:p>
                            <w:pPr>
                              <w:keepNext w:val="0"/>
                              <w:keepLines w:val="0"/>
                              <w:pageBreakBefore w:val="0"/>
                              <w:widowControl w:val="0"/>
                              <w:kinsoku/>
                              <w:wordWrap/>
                              <w:overflowPunct/>
                              <w:topLinePunct w:val="0"/>
                              <w:autoSpaceDE/>
                              <w:autoSpaceDN/>
                              <w:bidi w:val="0"/>
                              <w:adjustRightInd/>
                              <w:snapToGrid/>
                              <w:spacing w:line="580" w:lineRule="exact"/>
                              <w:ind w:left="0" w:leftChars="0" w:firstLine="0" w:firstLineChars="0"/>
                              <w:jc w:val="center"/>
                              <w:textAlignment w:val="auto"/>
                              <w:rPr>
                                <w:rFonts w:hint="eastAsia" w:ascii="黑体" w:hAnsi="黑体" w:eastAsia="黑体" w:cs="黑体"/>
                                <w:sz w:val="52"/>
                                <w:szCs w:val="52"/>
                                <w:highlight w:val="none"/>
                              </w:rPr>
                            </w:pPr>
                            <w:r>
                              <w:rPr>
                                <w:rFonts w:hint="eastAsia" w:ascii="黑体" w:hAnsi="黑体" w:eastAsia="黑体" w:cs="黑体"/>
                                <w:sz w:val="52"/>
                                <w:szCs w:val="52"/>
                                <w:highlight w:val="none"/>
                                <w:lang w:val="en-US" w:eastAsia="zh-CN"/>
                              </w:rPr>
                              <w:t>科创产品产线装修</w:t>
                            </w:r>
                            <w:r>
                              <w:rPr>
                                <w:rFonts w:hint="eastAsia" w:ascii="黑体" w:hAnsi="黑体" w:eastAsia="黑体" w:cs="黑体"/>
                                <w:sz w:val="52"/>
                                <w:szCs w:val="52"/>
                                <w:highlight w:val="none"/>
                              </w:rPr>
                              <w:t>技术规范书</w:t>
                            </w:r>
                          </w:p>
                        </w:txbxContent>
                      </wps:txbx>
                      <wps:bodyPr vert="horz" wrap="square" anchor="t" anchorCtr="0" upright="1"/>
                    </wps:wsp>
                  </a:graphicData>
                </a:graphic>
              </wp:anchor>
            </w:drawing>
          </mc:Choice>
          <mc:Fallback>
            <w:pict>
              <v:shape id="文本框 5" o:spid="_x0000_s1026" o:spt="202" type="#_x0000_t202" style="position:absolute;left:0pt;margin-left:6.7pt;margin-top:81.85pt;height:152.55pt;width:441.1pt;z-index:251660288;mso-width-relative:page;mso-height-relative:page;" filled="f" stroked="f" coordsize="21600,21600" o:gfxdata="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fs4d82AAAAAoBAAAPAAAAAAAAAAEAIAAAACIAAABk&#10;cnMvZG93bnJldi54bWxQSwECFAAUAAAACACHTuJAwl4YLs0BAACCAwAADgAAAAAAAAABACAAAAAn&#10;AQAAZHJzL2Uyb0RvYy54bWxQSwUGAAAAAAYABgBZAQAAZgUAAAAA&#10;">
                <v:fill on="f" focussize="0,0"/>
                <v:stroke on="f"/>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580" w:lineRule="exact"/>
                        <w:ind w:left="0" w:leftChars="0" w:firstLine="0" w:firstLineChars="0"/>
                        <w:jc w:val="center"/>
                        <w:textAlignment w:val="auto"/>
                        <w:rPr>
                          <w:rFonts w:hint="eastAsia" w:ascii="黑体" w:hAnsi="黑体" w:eastAsia="黑体" w:cs="黑体"/>
                          <w:sz w:val="52"/>
                          <w:szCs w:val="52"/>
                          <w:highlight w:val="none"/>
                        </w:rPr>
                      </w:pPr>
                      <w:r>
                        <w:rPr>
                          <w:rFonts w:hint="eastAsia" w:ascii="黑体" w:hAnsi="黑体" w:eastAsia="黑体" w:cs="黑体"/>
                          <w:sz w:val="52"/>
                          <w:szCs w:val="52"/>
                          <w:highlight w:val="none"/>
                          <w:lang w:val="en-US" w:eastAsia="zh-CN"/>
                        </w:rPr>
                        <w:t>科创产品产线装修</w:t>
                      </w:r>
                      <w:r>
                        <w:rPr>
                          <w:rFonts w:hint="eastAsia" w:ascii="黑体" w:hAnsi="黑体" w:eastAsia="黑体" w:cs="黑体"/>
                          <w:sz w:val="52"/>
                          <w:szCs w:val="52"/>
                          <w:highlight w:val="none"/>
                        </w:rPr>
                        <w:t>技术规范书</w:t>
                      </w:r>
                    </w:p>
                  </w:txbxContent>
                </v:textbox>
              </v:shape>
            </w:pict>
          </mc:Fallback>
        </mc:AlternateContent>
      </w:r>
    </w:p>
    <w:p>
      <w:pPr>
        <w:spacing w:before="1560" w:beforeLines="500" w:line="240" w:lineRule="auto"/>
        <w:ind w:firstLine="0" w:firstLineChars="0"/>
        <w:jc w:val="left"/>
        <w:rPr>
          <w:rFonts w:ascii="Times New Roman" w:hAnsi="Times New Roman" w:eastAsia="仿宋_GB2312" w:cs="Times New Roman"/>
          <w:b/>
          <w:color w:val="auto"/>
          <w:sz w:val="36"/>
          <w:szCs w:val="20"/>
          <w:highlight w:val="none"/>
        </w:rPr>
      </w:pPr>
      <w:r>
        <w:rPr>
          <w:rFonts w:ascii="Times New Roman" w:hAnsi="Times New Roman" w:cs="Times New Roman"/>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306070</wp:posOffset>
                </wp:positionH>
                <wp:positionV relativeFrom="paragraph">
                  <wp:posOffset>108585</wp:posOffset>
                </wp:positionV>
                <wp:extent cx="5387975" cy="568960"/>
                <wp:effectExtent l="0" t="0" r="0" b="0"/>
                <wp:wrapNone/>
                <wp:docPr id="1" name="文本框 4"/>
                <wp:cNvGraphicFramePr/>
                <a:graphic xmlns:a="http://schemas.openxmlformats.org/drawingml/2006/main">
                  <a:graphicData uri="http://schemas.microsoft.com/office/word/2010/wordprocessingShape">
                    <wps:wsp>
                      <wps:cNvSpPr txBox="1"/>
                      <wps:spPr>
                        <a:xfrm>
                          <a:off x="0" y="0"/>
                          <a:ext cx="5387975" cy="568960"/>
                        </a:xfrm>
                        <a:prstGeom prst="rect">
                          <a:avLst/>
                        </a:prstGeom>
                        <a:noFill/>
                        <a:ln>
                          <a:noFill/>
                        </a:ln>
                      </wps:spPr>
                      <wps:txbx>
                        <w:txbxContent>
                          <w:p>
                            <w:pPr>
                              <w:rPr>
                                <w:rFonts w:hint="eastAsia"/>
                              </w:rPr>
                            </w:pPr>
                          </w:p>
                        </w:txbxContent>
                      </wps:txbx>
                      <wps:bodyPr vert="horz" wrap="square" anchor="t" anchorCtr="0" upright="1"/>
                    </wps:wsp>
                  </a:graphicData>
                </a:graphic>
              </wp:anchor>
            </w:drawing>
          </mc:Choice>
          <mc:Fallback>
            <w:pict>
              <v:shape id="文本框 4" o:spid="_x0000_s1026" o:spt="202" type="#_x0000_t202" style="position:absolute;left:0pt;margin-left:24.1pt;margin-top:8.55pt;height:44.8pt;width:424.25pt;z-index:251659264;mso-width-relative:page;mso-height-relative:page;" filled="f" stroked="f" coordsize="21600,21600" o:gfxdata="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&#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Lrt1MNYAAAAJAQAADwAAAAAAAAABACAAAAAiAAAAZHJz&#10;L2Rvd25yZXYueG1sUEsBAhQAFAAAAAgAh07iQMqcPsnNAQAAgQMAAA4AAAAAAAAAAQAgAAAAJQEA&#10;AGRycy9lMm9Eb2MueG1sUEsFBgAAAAAGAAYAWQEAAGQFAAAAAA==&#10;">
                <v:fill on="f" focussize="0,0"/>
                <v:stroke on="f"/>
                <v:imagedata o:title=""/>
                <o:lock v:ext="edit" aspectratio="f"/>
                <v:textbox>
                  <w:txbxContent>
                    <w:p>
                      <w:pPr>
                        <w:rPr>
                          <w:rFonts w:hint="eastAsia"/>
                        </w:rPr>
                      </w:pPr>
                    </w:p>
                  </w:txbxContent>
                </v:textbox>
              </v:shape>
            </w:pict>
          </mc:Fallback>
        </mc:AlternateContent>
      </w:r>
    </w:p>
    <w:p>
      <w:pPr>
        <w:spacing w:before="1560" w:beforeLines="500" w:line="240" w:lineRule="auto"/>
        <w:ind w:firstLine="0" w:firstLineChars="0"/>
        <w:jc w:val="left"/>
        <w:rPr>
          <w:rFonts w:ascii="Times New Roman" w:hAnsi="Times New Roman" w:eastAsia="仿宋_GB2312" w:cs="Times New Roman"/>
          <w:b/>
          <w:color w:val="auto"/>
          <w:sz w:val="36"/>
          <w:szCs w:val="20"/>
          <w:highlight w:val="none"/>
        </w:rPr>
      </w:pPr>
    </w:p>
    <w:p>
      <w:pPr>
        <w:spacing w:before="1560" w:beforeLines="500" w:line="240" w:lineRule="auto"/>
        <w:ind w:firstLine="0" w:firstLineChars="0"/>
        <w:jc w:val="center"/>
        <w:rPr>
          <w:rFonts w:ascii="Times New Roman" w:hAnsi="Times New Roman" w:eastAsia="仿宋_GB2312" w:cs="Times New Roman"/>
          <w:b/>
          <w:color w:val="auto"/>
          <w:sz w:val="36"/>
          <w:szCs w:val="20"/>
          <w:highlight w:val="none"/>
        </w:rPr>
      </w:pPr>
      <w:r>
        <w:rPr>
          <w:rFonts w:ascii="Times New Roman" w:hAnsi="Times New Roman" w:cs="Times New Roman"/>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823595</wp:posOffset>
                </wp:positionH>
                <wp:positionV relativeFrom="paragraph">
                  <wp:posOffset>1076325</wp:posOffset>
                </wp:positionV>
                <wp:extent cx="4453255" cy="479425"/>
                <wp:effectExtent l="0" t="0" r="0" b="0"/>
                <wp:wrapNone/>
                <wp:docPr id="4" name="文本框 3"/>
                <wp:cNvGraphicFramePr/>
                <a:graphic xmlns:a="http://schemas.openxmlformats.org/drawingml/2006/main">
                  <a:graphicData uri="http://schemas.microsoft.com/office/word/2010/wordprocessingShape">
                    <wps:wsp>
                      <wps:cNvSpPr txBox="1"/>
                      <wps:spPr>
                        <a:xfrm>
                          <a:off x="0" y="0"/>
                          <a:ext cx="4453255" cy="479425"/>
                        </a:xfrm>
                        <a:prstGeom prst="rect">
                          <a:avLst/>
                        </a:prstGeom>
                        <a:noFill/>
                        <a:ln>
                          <a:noFill/>
                        </a:ln>
                      </wps:spPr>
                      <wps:txbx>
                        <w:txbxContent>
                          <w:p>
                            <w:pPr>
                              <w:ind w:firstLine="1807" w:firstLineChars="500"/>
                              <w:jc w:val="both"/>
                              <w:rPr>
                                <w:b/>
                                <w:bCs/>
                              </w:rPr>
                            </w:pPr>
                            <w:r>
                              <w:rPr>
                                <w:rFonts w:hint="eastAsia" w:ascii="宋体" w:hAnsi="宋体"/>
                                <w:b/>
                                <w:bCs/>
                                <w:sz w:val="36"/>
                                <w:szCs w:val="36"/>
                              </w:rPr>
                              <w:t>20</w:t>
                            </w:r>
                            <w:r>
                              <w:rPr>
                                <w:rFonts w:ascii="宋体" w:hAnsi="宋体"/>
                                <w:b/>
                                <w:bCs/>
                                <w:sz w:val="36"/>
                                <w:szCs w:val="36"/>
                              </w:rPr>
                              <w:t>2</w:t>
                            </w:r>
                            <w:r>
                              <w:rPr>
                                <w:rFonts w:hint="eastAsia" w:ascii="宋体" w:hAnsi="宋体"/>
                                <w:b/>
                                <w:bCs/>
                                <w:sz w:val="36"/>
                                <w:szCs w:val="36"/>
                                <w:lang w:val="en-US" w:eastAsia="zh-CN"/>
                              </w:rPr>
                              <w:t>6</w:t>
                            </w:r>
                            <w:r>
                              <w:rPr>
                                <w:rFonts w:hint="eastAsia" w:ascii="宋体" w:hAnsi="宋体"/>
                                <w:b/>
                                <w:bCs/>
                                <w:sz w:val="36"/>
                                <w:szCs w:val="36"/>
                              </w:rPr>
                              <w:t>年</w:t>
                            </w:r>
                            <w:r>
                              <w:rPr>
                                <w:rFonts w:hint="eastAsia" w:ascii="宋体" w:hAnsi="宋体"/>
                                <w:b/>
                                <w:bCs/>
                                <w:sz w:val="36"/>
                                <w:szCs w:val="36"/>
                                <w:lang w:val="en-US" w:eastAsia="zh-CN"/>
                              </w:rPr>
                              <w:t>9</w:t>
                            </w:r>
                            <w:r>
                              <w:rPr>
                                <w:rFonts w:hint="eastAsia" w:ascii="宋体" w:hAnsi="宋体"/>
                                <w:b/>
                                <w:bCs/>
                                <w:sz w:val="36"/>
                                <w:szCs w:val="36"/>
                              </w:rPr>
                              <w:t>月</w:t>
                            </w:r>
                          </w:p>
                        </w:txbxContent>
                      </wps:txbx>
                      <wps:bodyPr vert="horz" wrap="square" anchor="t" anchorCtr="0" upright="1"/>
                    </wps:wsp>
                  </a:graphicData>
                </a:graphic>
              </wp:anchor>
            </w:drawing>
          </mc:Choice>
          <mc:Fallback>
            <w:pict>
              <v:shape id="文本框 3" o:spid="_x0000_s1026" o:spt="202" type="#_x0000_t202" style="position:absolute;left:0pt;margin-left:64.85pt;margin-top:84.75pt;height:37.75pt;width:350.65pt;z-index:251662336;mso-width-relative:page;mso-height-relative:page;" filled="f" stroked="f" coordsize="21600,21600" o:gfxdata="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Hv4xs9cAAAALAQAADwAAAAAAAAABACAAAAAiAAAAZHJz&#10;L2Rvd25yZXYueG1sUEsBAhQAFAAAAAgAh07iQMmlbmXMAQAAgQMAAA4AAAAAAAAAAQAgAAAAJgEA&#10;AGRycy9lMm9Eb2MueG1sUEsFBgAAAAAGAAYAWQEAAGQFAAAAAA==&#10;">
                <v:fill on="f" focussize="0,0"/>
                <v:stroke on="f"/>
                <v:imagedata o:title=""/>
                <o:lock v:ext="edit" aspectratio="f"/>
                <v:textbox>
                  <w:txbxContent>
                    <w:p>
                      <w:pPr>
                        <w:ind w:firstLine="1807" w:firstLineChars="500"/>
                        <w:jc w:val="both"/>
                        <w:rPr>
                          <w:b/>
                          <w:bCs/>
                        </w:rPr>
                      </w:pPr>
                      <w:r>
                        <w:rPr>
                          <w:rFonts w:hint="eastAsia" w:ascii="宋体" w:hAnsi="宋体"/>
                          <w:b/>
                          <w:bCs/>
                          <w:sz w:val="36"/>
                          <w:szCs w:val="36"/>
                        </w:rPr>
                        <w:t>20</w:t>
                      </w:r>
                      <w:r>
                        <w:rPr>
                          <w:rFonts w:ascii="宋体" w:hAnsi="宋体"/>
                          <w:b/>
                          <w:bCs/>
                          <w:sz w:val="36"/>
                          <w:szCs w:val="36"/>
                        </w:rPr>
                        <w:t>2</w:t>
                      </w:r>
                      <w:r>
                        <w:rPr>
                          <w:rFonts w:hint="eastAsia" w:ascii="宋体" w:hAnsi="宋体"/>
                          <w:b/>
                          <w:bCs/>
                          <w:sz w:val="36"/>
                          <w:szCs w:val="36"/>
                          <w:lang w:val="en-US" w:eastAsia="zh-CN"/>
                        </w:rPr>
                        <w:t>6</w:t>
                      </w:r>
                      <w:r>
                        <w:rPr>
                          <w:rFonts w:hint="eastAsia" w:ascii="宋体" w:hAnsi="宋体"/>
                          <w:b/>
                          <w:bCs/>
                          <w:sz w:val="36"/>
                          <w:szCs w:val="36"/>
                        </w:rPr>
                        <w:t>年</w:t>
                      </w:r>
                      <w:r>
                        <w:rPr>
                          <w:rFonts w:hint="eastAsia" w:ascii="宋体" w:hAnsi="宋体"/>
                          <w:b/>
                          <w:bCs/>
                          <w:sz w:val="36"/>
                          <w:szCs w:val="36"/>
                          <w:lang w:val="en-US" w:eastAsia="zh-CN"/>
                        </w:rPr>
                        <w:t>9</w:t>
                      </w:r>
                      <w:r>
                        <w:rPr>
                          <w:rFonts w:hint="eastAsia" w:ascii="宋体" w:hAnsi="宋体"/>
                          <w:b/>
                          <w:bCs/>
                          <w:sz w:val="36"/>
                          <w:szCs w:val="36"/>
                        </w:rPr>
                        <w:t>月</w:t>
                      </w:r>
                    </w:p>
                  </w:txbxContent>
                </v:textbox>
              </v:shape>
            </w:pict>
          </mc:Fallback>
        </mc:AlternateContent>
      </w:r>
      <w:r>
        <w:rPr>
          <w:rFonts w:ascii="Times New Roman" w:hAnsi="Times New Roman" w:cs="Times New Roman"/>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1012190</wp:posOffset>
                </wp:positionH>
                <wp:positionV relativeFrom="paragraph">
                  <wp:posOffset>546100</wp:posOffset>
                </wp:positionV>
                <wp:extent cx="3472180" cy="472440"/>
                <wp:effectExtent l="0" t="0" r="0" b="0"/>
                <wp:wrapNone/>
                <wp:docPr id="3" name="文本框 6"/>
                <wp:cNvGraphicFramePr/>
                <a:graphic xmlns:a="http://schemas.openxmlformats.org/drawingml/2006/main">
                  <a:graphicData uri="http://schemas.microsoft.com/office/word/2010/wordprocessingShape">
                    <wps:wsp>
                      <wps:cNvSpPr txBox="1"/>
                      <wps:spPr>
                        <a:xfrm>
                          <a:off x="0" y="0"/>
                          <a:ext cx="3472180" cy="472440"/>
                        </a:xfrm>
                        <a:prstGeom prst="rect">
                          <a:avLst/>
                        </a:prstGeom>
                        <a:noFill/>
                        <a:ln>
                          <a:noFill/>
                        </a:ln>
                      </wps:spPr>
                      <wps:txbx>
                        <w:txbxContent>
                          <w:p>
                            <w:pPr>
                              <w:ind w:left="0" w:leftChars="0" w:firstLine="0" w:firstLineChars="0"/>
                              <w:jc w:val="both"/>
                              <w:rPr>
                                <w:rFonts w:ascii="华文中宋" w:hAnsi="华文中宋" w:eastAsia="华文中宋"/>
                                <w:b/>
                                <w:bCs/>
                                <w:sz w:val="36"/>
                                <w:szCs w:val="44"/>
                              </w:rPr>
                            </w:pPr>
                            <w:r>
                              <w:rPr>
                                <w:rFonts w:hint="eastAsia" w:ascii="华文中宋" w:hAnsi="华文中宋" w:eastAsia="华文中宋"/>
                                <w:b/>
                                <w:bCs/>
                                <w:sz w:val="36"/>
                                <w:szCs w:val="44"/>
                              </w:rPr>
                              <w:t>广西电网能源科技有限责任公司</w:t>
                            </w:r>
                          </w:p>
                          <w:p>
                            <w:pPr>
                              <w:ind w:firstLine="0" w:firstLineChars="0"/>
                              <w:jc w:val="center"/>
                              <w:rPr>
                                <w:rFonts w:hint="eastAsia"/>
                                <w:sz w:val="28"/>
                                <w:szCs w:val="28"/>
                                <w:highlight w:val="none"/>
                              </w:rPr>
                            </w:pPr>
                          </w:p>
                          <w:p>
                            <w:pPr>
                              <w:ind w:firstLine="0" w:firstLineChars="0"/>
                              <w:jc w:val="center"/>
                              <w:rPr>
                                <w:rFonts w:hint="eastAsia"/>
                                <w:sz w:val="28"/>
                                <w:szCs w:val="28"/>
                              </w:rPr>
                            </w:pPr>
                          </w:p>
                        </w:txbxContent>
                      </wps:txbx>
                      <wps:bodyPr wrap="square" upright="1"/>
                    </wps:wsp>
                  </a:graphicData>
                </a:graphic>
              </wp:anchor>
            </w:drawing>
          </mc:Choice>
          <mc:Fallback>
            <w:pict>
              <v:shape id="文本框 6" o:spid="_x0000_s1026" o:spt="202" type="#_x0000_t202" style="position:absolute;left:0pt;margin-left:79.7pt;margin-top:43pt;height:37.2pt;width:273.4pt;z-index:251661312;mso-width-relative:page;mso-height-relative:page;" filled="f" stroked="f" coordsize="21600,21600" o:gfxdata="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MrMbiNYAAAAKAQAADwAAAAAAAAABACAAAAAiAAAAZHJzL2Rvd25yZXYueG1sUEsBAhQAFAAAAAgA&#10;h07iQHN1aMq1AQAAXAMAAA4AAAAAAAAAAQAgAAAAJQEAAGRycy9lMm9Eb2MueG1sUEsFBgAAAAAG&#10;AAYAWQEAAEwFAAAAAA==&#10;">
                <v:fill on="f" focussize="0,0"/>
                <v:stroke on="f"/>
                <v:imagedata o:title=""/>
                <o:lock v:ext="edit" aspectratio="f"/>
                <v:textbox>
                  <w:txbxContent>
                    <w:p>
                      <w:pPr>
                        <w:ind w:left="0" w:leftChars="0" w:firstLine="0" w:firstLineChars="0"/>
                        <w:jc w:val="both"/>
                        <w:rPr>
                          <w:rFonts w:ascii="华文中宋" w:hAnsi="华文中宋" w:eastAsia="华文中宋"/>
                          <w:b/>
                          <w:bCs/>
                          <w:sz w:val="36"/>
                          <w:szCs w:val="44"/>
                        </w:rPr>
                      </w:pPr>
                      <w:r>
                        <w:rPr>
                          <w:rFonts w:hint="eastAsia" w:ascii="华文中宋" w:hAnsi="华文中宋" w:eastAsia="华文中宋"/>
                          <w:b/>
                          <w:bCs/>
                          <w:sz w:val="36"/>
                          <w:szCs w:val="44"/>
                        </w:rPr>
                        <w:t>广西电网能源科技有限责任公司</w:t>
                      </w:r>
                    </w:p>
                    <w:p>
                      <w:pPr>
                        <w:ind w:firstLine="0" w:firstLineChars="0"/>
                        <w:jc w:val="center"/>
                        <w:rPr>
                          <w:rFonts w:hint="eastAsia"/>
                          <w:sz w:val="28"/>
                          <w:szCs w:val="28"/>
                          <w:highlight w:val="none"/>
                        </w:rPr>
                      </w:pPr>
                    </w:p>
                    <w:p>
                      <w:pPr>
                        <w:ind w:firstLine="0" w:firstLineChars="0"/>
                        <w:jc w:val="center"/>
                        <w:rPr>
                          <w:rFonts w:hint="eastAsia"/>
                          <w:sz w:val="28"/>
                          <w:szCs w:val="28"/>
                        </w:rPr>
                      </w:pPr>
                    </w:p>
                  </w:txbxContent>
                </v:textbox>
              </v:shape>
            </w:pict>
          </mc:Fallback>
        </mc:AlternateContent>
      </w:r>
    </w:p>
    <w:p>
      <w:pPr>
        <w:spacing w:before="1560" w:beforeLines="500" w:line="240" w:lineRule="auto"/>
        <w:ind w:firstLine="0" w:firstLineChars="0"/>
        <w:jc w:val="center"/>
        <w:rPr>
          <w:rFonts w:ascii="Times New Roman" w:hAnsi="Times New Roman" w:eastAsia="仿宋_GB2312" w:cs="Times New Roman"/>
          <w:b/>
          <w:color w:val="auto"/>
          <w:sz w:val="36"/>
          <w:szCs w:val="20"/>
          <w:highlight w:val="none"/>
        </w:rPr>
      </w:pPr>
      <w:r>
        <w:rPr>
          <w:rFonts w:ascii="Times New Roman" w:hAnsi="Times New Roman" w:eastAsia="仿宋_GB2312" w:cs="Times New Roman"/>
          <w:b/>
          <w:color w:val="auto"/>
          <w:sz w:val="36"/>
          <w:szCs w:val="20"/>
          <w:highlight w:val="none"/>
        </w:rPr>
        <w:t>目录</w:t>
      </w:r>
    </w:p>
    <w:p>
      <w:pPr>
        <w:pStyle w:val="24"/>
        <w:tabs>
          <w:tab w:val="right" w:leader="dot" w:pos="8826"/>
        </w:tabs>
      </w:pPr>
      <w:r>
        <w:rPr>
          <w:rFonts w:eastAsia="仿宋_GB2312"/>
          <w:color w:val="auto"/>
          <w:sz w:val="24"/>
          <w:szCs w:val="24"/>
          <w:highlight w:val="none"/>
        </w:rPr>
        <w:fldChar w:fldCharType="begin"/>
      </w:r>
      <w:r>
        <w:rPr>
          <w:rFonts w:eastAsia="仿宋_GB2312"/>
          <w:color w:val="auto"/>
          <w:sz w:val="24"/>
          <w:szCs w:val="24"/>
          <w:highlight w:val="none"/>
        </w:rPr>
        <w:instrText xml:space="preserve">TOC \o "1-3" \t "" \h \z \u </w:instrText>
      </w:r>
      <w:r>
        <w:rPr>
          <w:rFonts w:eastAsia="仿宋_GB2312"/>
          <w:color w:val="auto"/>
          <w:sz w:val="24"/>
          <w:szCs w:val="24"/>
          <w:highlight w:val="none"/>
        </w:rPr>
        <w:fldChar w:fldCharType="separate"/>
      </w:r>
      <w:r>
        <w:rPr>
          <w:rFonts w:eastAsia="仿宋_GB2312"/>
          <w:color w:val="auto"/>
          <w:szCs w:val="24"/>
          <w:highlight w:val="none"/>
        </w:rPr>
        <w:fldChar w:fldCharType="begin"/>
      </w:r>
      <w:r>
        <w:rPr>
          <w:rFonts w:eastAsia="仿宋_GB2312"/>
          <w:szCs w:val="24"/>
          <w:highlight w:val="none"/>
        </w:rPr>
        <w:instrText xml:space="preserve"> HYPERLINK \l _Toc19744 </w:instrText>
      </w:r>
      <w:r>
        <w:rPr>
          <w:rFonts w:eastAsia="仿宋_GB2312"/>
          <w:szCs w:val="24"/>
          <w:highlight w:val="none"/>
        </w:rPr>
        <w:fldChar w:fldCharType="separate"/>
      </w:r>
      <w:r>
        <w:rPr>
          <w:rFonts w:hint="eastAsia" w:ascii="宋体" w:hAnsi="宋体" w:eastAsia="宋体" w:cs="宋体"/>
          <w:szCs w:val="32"/>
          <w:highlight w:val="none"/>
        </w:rPr>
        <w:t>一、总则</w:t>
      </w:r>
      <w:r>
        <w:tab/>
      </w:r>
      <w:r>
        <w:fldChar w:fldCharType="begin"/>
      </w:r>
      <w:r>
        <w:instrText xml:space="preserve"> PAGEREF _Toc19744 \h </w:instrText>
      </w:r>
      <w:r>
        <w:fldChar w:fldCharType="separate"/>
      </w:r>
      <w:r>
        <w:t>1</w:t>
      </w:r>
      <w:r>
        <w:fldChar w:fldCharType="end"/>
      </w:r>
      <w:r>
        <w:rPr>
          <w:rFonts w:eastAsia="仿宋_GB2312"/>
          <w:color w:val="auto"/>
          <w:szCs w:val="24"/>
          <w:highlight w:val="none"/>
        </w:rPr>
        <w:fldChar w:fldCharType="end"/>
      </w:r>
    </w:p>
    <w:p>
      <w:pPr>
        <w:pStyle w:val="27"/>
        <w:tabs>
          <w:tab w:val="right" w:leader="dot" w:pos="8826"/>
        </w:tabs>
      </w:pPr>
      <w:r>
        <w:rPr>
          <w:rFonts w:ascii="Times New Roman" w:hAnsi="Times New Roman" w:cs="Times New Roman"/>
          <w:color w:val="auto"/>
          <w:szCs w:val="24"/>
          <w:highlight w:val="none"/>
        </w:rPr>
        <w:fldChar w:fldCharType="begin"/>
      </w:r>
      <w:r>
        <w:rPr>
          <w:rFonts w:ascii="Times New Roman" w:hAnsi="Times New Roman" w:cs="Times New Roman"/>
          <w:szCs w:val="24"/>
          <w:highlight w:val="none"/>
        </w:rPr>
        <w:instrText xml:space="preserve"> HYPERLINK \l _Toc12658 </w:instrText>
      </w:r>
      <w:r>
        <w:rPr>
          <w:rFonts w:ascii="Times New Roman" w:hAnsi="Times New Roman" w:cs="Times New Roman"/>
          <w:szCs w:val="24"/>
          <w:highlight w:val="none"/>
        </w:rPr>
        <w:fldChar w:fldCharType="separate"/>
      </w:r>
      <w:r>
        <w:rPr>
          <w:rFonts w:hint="eastAsia" w:ascii="宋体" w:hAnsi="宋体" w:eastAsia="宋体" w:cs="宋体"/>
          <w:szCs w:val="32"/>
          <w:highlight w:val="none"/>
        </w:rPr>
        <w:t>1.1 一般要求</w:t>
      </w:r>
      <w:r>
        <w:tab/>
      </w:r>
      <w:r>
        <w:fldChar w:fldCharType="begin"/>
      </w:r>
      <w:r>
        <w:instrText xml:space="preserve"> PAGEREF _Toc12658 \h </w:instrText>
      </w:r>
      <w:r>
        <w:fldChar w:fldCharType="separate"/>
      </w:r>
      <w:r>
        <w:t>1</w:t>
      </w:r>
      <w:r>
        <w:fldChar w:fldCharType="end"/>
      </w:r>
      <w:r>
        <w:rPr>
          <w:rFonts w:ascii="Times New Roman" w:hAnsi="Times New Roman" w:cs="Times New Roman"/>
          <w:color w:val="auto"/>
          <w:szCs w:val="24"/>
          <w:highlight w:val="none"/>
        </w:rPr>
        <w:fldChar w:fldCharType="end"/>
      </w:r>
    </w:p>
    <w:p>
      <w:pPr>
        <w:pStyle w:val="27"/>
        <w:tabs>
          <w:tab w:val="right" w:leader="dot" w:pos="8826"/>
        </w:tabs>
      </w:pPr>
      <w:r>
        <w:rPr>
          <w:rFonts w:ascii="Times New Roman" w:hAnsi="Times New Roman" w:cs="Times New Roman"/>
          <w:color w:val="auto"/>
          <w:szCs w:val="24"/>
          <w:highlight w:val="none"/>
        </w:rPr>
        <w:fldChar w:fldCharType="begin"/>
      </w:r>
      <w:r>
        <w:rPr>
          <w:rFonts w:ascii="Times New Roman" w:hAnsi="Times New Roman" w:cs="Times New Roman"/>
          <w:szCs w:val="24"/>
          <w:highlight w:val="none"/>
        </w:rPr>
        <w:instrText xml:space="preserve"> HYPERLINK \l _Toc1313 </w:instrText>
      </w:r>
      <w:r>
        <w:rPr>
          <w:rFonts w:ascii="Times New Roman" w:hAnsi="Times New Roman" w:cs="Times New Roman"/>
          <w:szCs w:val="24"/>
          <w:highlight w:val="none"/>
        </w:rPr>
        <w:fldChar w:fldCharType="separate"/>
      </w:r>
      <w:r>
        <w:rPr>
          <w:rFonts w:hint="eastAsia" w:ascii="宋体" w:hAnsi="宋体" w:eastAsia="宋体" w:cs="宋体"/>
          <w:szCs w:val="32"/>
          <w:highlight w:val="none"/>
        </w:rPr>
        <w:t>1.2标准和规范</w:t>
      </w:r>
      <w:r>
        <w:tab/>
      </w:r>
      <w:r>
        <w:fldChar w:fldCharType="begin"/>
      </w:r>
      <w:r>
        <w:instrText xml:space="preserve"> PAGEREF _Toc1313 \h </w:instrText>
      </w:r>
      <w:r>
        <w:fldChar w:fldCharType="separate"/>
      </w:r>
      <w:r>
        <w:t>2</w:t>
      </w:r>
      <w:r>
        <w:fldChar w:fldCharType="end"/>
      </w:r>
      <w:r>
        <w:rPr>
          <w:rFonts w:ascii="Times New Roman" w:hAnsi="Times New Roman" w:cs="Times New Roman"/>
          <w:color w:val="auto"/>
          <w:szCs w:val="24"/>
          <w:highlight w:val="none"/>
        </w:rPr>
        <w:fldChar w:fldCharType="end"/>
      </w:r>
    </w:p>
    <w:p>
      <w:pPr>
        <w:pStyle w:val="27"/>
        <w:tabs>
          <w:tab w:val="right" w:leader="dot" w:pos="8826"/>
        </w:tabs>
      </w:pPr>
      <w:r>
        <w:rPr>
          <w:rFonts w:ascii="Times New Roman" w:hAnsi="Times New Roman" w:cs="Times New Roman"/>
          <w:color w:val="auto"/>
          <w:szCs w:val="24"/>
          <w:highlight w:val="none"/>
        </w:rPr>
        <w:fldChar w:fldCharType="begin"/>
      </w:r>
      <w:r>
        <w:rPr>
          <w:rFonts w:ascii="Times New Roman" w:hAnsi="Times New Roman" w:cs="Times New Roman"/>
          <w:szCs w:val="24"/>
          <w:highlight w:val="none"/>
        </w:rPr>
        <w:instrText xml:space="preserve"> HYPERLINK \l _Toc24273 </w:instrText>
      </w:r>
      <w:r>
        <w:rPr>
          <w:rFonts w:ascii="Times New Roman" w:hAnsi="Times New Roman" w:cs="Times New Roman"/>
          <w:szCs w:val="24"/>
          <w:highlight w:val="none"/>
        </w:rPr>
        <w:fldChar w:fldCharType="separate"/>
      </w:r>
      <w:r>
        <w:rPr>
          <w:rFonts w:hint="eastAsia" w:ascii="宋体" w:hAnsi="宋体" w:eastAsia="宋体" w:cs="宋体"/>
          <w:szCs w:val="32"/>
          <w:highlight w:val="none"/>
        </w:rPr>
        <w:t>1</w:t>
      </w:r>
      <w:r>
        <w:rPr>
          <w:rFonts w:hint="eastAsia" w:ascii="宋体" w:hAnsi="宋体" w:eastAsia="宋体" w:cs="宋体"/>
          <w:szCs w:val="32"/>
          <w:highlight w:val="none"/>
          <w:lang w:val="en-US" w:eastAsia="zh-CN"/>
        </w:rPr>
        <w:t>.</w:t>
      </w:r>
      <w:r>
        <w:rPr>
          <w:rFonts w:hint="eastAsia" w:ascii="宋体" w:hAnsi="宋体" w:cs="宋体"/>
          <w:szCs w:val="32"/>
          <w:highlight w:val="none"/>
          <w:lang w:val="en-US" w:eastAsia="zh-CN"/>
        </w:rPr>
        <w:t>3</w:t>
      </w:r>
      <w:r>
        <w:rPr>
          <w:rFonts w:hint="eastAsia" w:ascii="宋体" w:hAnsi="宋体" w:eastAsia="宋体" w:cs="宋体"/>
          <w:szCs w:val="32"/>
          <w:highlight w:val="none"/>
        </w:rPr>
        <w:t xml:space="preserve"> </w:t>
      </w:r>
      <w:r>
        <w:rPr>
          <w:rFonts w:hint="eastAsia" w:ascii="宋体" w:hAnsi="宋体" w:eastAsia="宋体" w:cs="宋体"/>
          <w:szCs w:val="32"/>
          <w:highlight w:val="none"/>
          <w:lang w:val="en-US" w:eastAsia="zh-CN"/>
        </w:rPr>
        <w:t>工程概况</w:t>
      </w:r>
      <w:r>
        <w:tab/>
      </w:r>
      <w:r>
        <w:fldChar w:fldCharType="begin"/>
      </w:r>
      <w:r>
        <w:instrText xml:space="preserve"> PAGEREF _Toc24273 \h </w:instrText>
      </w:r>
      <w:r>
        <w:fldChar w:fldCharType="separate"/>
      </w:r>
      <w:r>
        <w:t>3</w:t>
      </w:r>
      <w:r>
        <w:fldChar w:fldCharType="end"/>
      </w:r>
      <w:r>
        <w:rPr>
          <w:rFonts w:ascii="Times New Roman" w:hAnsi="Times New Roman" w:cs="Times New Roman"/>
          <w:color w:val="auto"/>
          <w:szCs w:val="24"/>
          <w:highlight w:val="none"/>
        </w:rPr>
        <w:fldChar w:fldCharType="end"/>
      </w:r>
    </w:p>
    <w:p>
      <w:pPr>
        <w:pStyle w:val="24"/>
        <w:tabs>
          <w:tab w:val="right" w:leader="dot" w:pos="8826"/>
        </w:tabs>
      </w:pPr>
      <w:r>
        <w:rPr>
          <w:rFonts w:ascii="Times New Roman" w:hAnsi="Times New Roman" w:cs="Times New Roman"/>
          <w:color w:val="auto"/>
          <w:szCs w:val="24"/>
          <w:highlight w:val="none"/>
        </w:rPr>
        <w:fldChar w:fldCharType="begin"/>
      </w:r>
      <w:r>
        <w:rPr>
          <w:rFonts w:ascii="Times New Roman" w:hAnsi="Times New Roman" w:cs="Times New Roman"/>
          <w:szCs w:val="24"/>
          <w:highlight w:val="none"/>
        </w:rPr>
        <w:instrText xml:space="preserve"> HYPERLINK \l _Toc3957 </w:instrText>
      </w:r>
      <w:r>
        <w:rPr>
          <w:rFonts w:ascii="Times New Roman" w:hAnsi="Times New Roman" w:cs="Times New Roman"/>
          <w:szCs w:val="24"/>
          <w:highlight w:val="none"/>
        </w:rPr>
        <w:fldChar w:fldCharType="separate"/>
      </w:r>
      <w:r>
        <w:rPr>
          <w:rFonts w:hint="eastAsia" w:ascii="宋体" w:hAnsi="宋体" w:eastAsia="宋体" w:cs="宋体"/>
          <w:szCs w:val="32"/>
          <w:highlight w:val="none"/>
        </w:rPr>
        <w:t>二、技术要求</w:t>
      </w:r>
      <w:r>
        <w:tab/>
      </w:r>
      <w:r>
        <w:fldChar w:fldCharType="begin"/>
      </w:r>
      <w:r>
        <w:instrText xml:space="preserve"> PAGEREF _Toc3957 \h </w:instrText>
      </w:r>
      <w:r>
        <w:fldChar w:fldCharType="separate"/>
      </w:r>
      <w:r>
        <w:t>3</w:t>
      </w:r>
      <w:r>
        <w:fldChar w:fldCharType="end"/>
      </w:r>
      <w:r>
        <w:rPr>
          <w:rFonts w:ascii="Times New Roman" w:hAnsi="Times New Roman" w:cs="Times New Roman"/>
          <w:color w:val="auto"/>
          <w:szCs w:val="24"/>
          <w:highlight w:val="none"/>
        </w:rPr>
        <w:fldChar w:fldCharType="end"/>
      </w:r>
    </w:p>
    <w:p>
      <w:pPr>
        <w:pStyle w:val="27"/>
        <w:tabs>
          <w:tab w:val="right" w:leader="dot" w:pos="8826"/>
        </w:tabs>
      </w:pPr>
      <w:r>
        <w:rPr>
          <w:rFonts w:ascii="Times New Roman" w:hAnsi="Times New Roman" w:cs="Times New Roman"/>
          <w:color w:val="auto"/>
          <w:szCs w:val="24"/>
          <w:highlight w:val="none"/>
        </w:rPr>
        <w:fldChar w:fldCharType="begin"/>
      </w:r>
      <w:r>
        <w:rPr>
          <w:rFonts w:ascii="Times New Roman" w:hAnsi="Times New Roman" w:cs="Times New Roman"/>
          <w:szCs w:val="24"/>
          <w:highlight w:val="none"/>
        </w:rPr>
        <w:instrText xml:space="preserve"> HYPERLINK \l _Toc20634 </w:instrText>
      </w:r>
      <w:r>
        <w:rPr>
          <w:rFonts w:ascii="Times New Roman" w:hAnsi="Times New Roman" w:cs="Times New Roman"/>
          <w:szCs w:val="24"/>
          <w:highlight w:val="none"/>
        </w:rPr>
        <w:fldChar w:fldCharType="separate"/>
      </w:r>
      <w:r>
        <w:rPr>
          <w:rFonts w:hint="eastAsia" w:ascii="宋体" w:hAnsi="宋体" w:eastAsia="宋体" w:cs="宋体"/>
          <w:szCs w:val="32"/>
          <w:highlight w:val="none"/>
        </w:rPr>
        <w:t xml:space="preserve">2.1 </w:t>
      </w:r>
      <w:r>
        <w:rPr>
          <w:rFonts w:hint="eastAsia" w:ascii="宋体" w:hAnsi="宋体" w:eastAsia="宋体" w:cs="宋体"/>
          <w:szCs w:val="32"/>
          <w:highlight w:val="none"/>
          <w:lang w:val="en-US" w:eastAsia="zh-CN"/>
        </w:rPr>
        <w:t>材料及功能</w:t>
      </w:r>
      <w:r>
        <w:rPr>
          <w:rFonts w:hint="eastAsia" w:ascii="宋体" w:hAnsi="宋体" w:eastAsia="宋体" w:cs="宋体"/>
          <w:szCs w:val="32"/>
          <w:highlight w:val="none"/>
        </w:rPr>
        <w:t>要求</w:t>
      </w:r>
      <w:r>
        <w:tab/>
      </w:r>
      <w:r>
        <w:fldChar w:fldCharType="begin"/>
      </w:r>
      <w:r>
        <w:instrText xml:space="preserve"> PAGEREF _Toc20634 \h </w:instrText>
      </w:r>
      <w:r>
        <w:fldChar w:fldCharType="separate"/>
      </w:r>
      <w:r>
        <w:t>3</w:t>
      </w:r>
      <w:r>
        <w:fldChar w:fldCharType="end"/>
      </w:r>
      <w:r>
        <w:rPr>
          <w:rFonts w:ascii="Times New Roman" w:hAnsi="Times New Roman" w:cs="Times New Roman"/>
          <w:color w:val="auto"/>
          <w:szCs w:val="24"/>
          <w:highlight w:val="none"/>
        </w:rPr>
        <w:fldChar w:fldCharType="end"/>
      </w:r>
    </w:p>
    <w:p>
      <w:pPr>
        <w:pStyle w:val="24"/>
        <w:tabs>
          <w:tab w:val="right" w:leader="dot" w:pos="8826"/>
        </w:tabs>
      </w:pPr>
      <w:r>
        <w:rPr>
          <w:rFonts w:ascii="Times New Roman" w:hAnsi="Times New Roman" w:cs="Times New Roman"/>
          <w:color w:val="auto"/>
          <w:szCs w:val="24"/>
          <w:highlight w:val="none"/>
        </w:rPr>
        <w:fldChar w:fldCharType="begin"/>
      </w:r>
      <w:r>
        <w:rPr>
          <w:rFonts w:ascii="Times New Roman" w:hAnsi="Times New Roman" w:cs="Times New Roman"/>
          <w:szCs w:val="24"/>
          <w:highlight w:val="none"/>
        </w:rPr>
        <w:instrText xml:space="preserve"> HYPERLINK \l _Toc12140 </w:instrText>
      </w:r>
      <w:r>
        <w:rPr>
          <w:rFonts w:ascii="Times New Roman" w:hAnsi="Times New Roman" w:cs="Times New Roman"/>
          <w:szCs w:val="24"/>
          <w:highlight w:val="none"/>
        </w:rPr>
        <w:fldChar w:fldCharType="separate"/>
      </w:r>
      <w:r>
        <w:rPr>
          <w:rFonts w:hint="eastAsia" w:ascii="宋体" w:hAnsi="宋体" w:eastAsia="宋体" w:cs="宋体"/>
          <w:szCs w:val="32"/>
          <w:highlight w:val="none"/>
          <w:lang w:val="en-US" w:eastAsia="zh-CN"/>
        </w:rPr>
        <w:t>三、安全文明施工要求</w:t>
      </w:r>
      <w:r>
        <w:tab/>
      </w:r>
      <w:r>
        <w:fldChar w:fldCharType="begin"/>
      </w:r>
      <w:r>
        <w:instrText xml:space="preserve"> PAGEREF _Toc12140 \h </w:instrText>
      </w:r>
      <w:r>
        <w:fldChar w:fldCharType="separate"/>
      </w:r>
      <w:r>
        <w:t>5</w:t>
      </w:r>
      <w:r>
        <w:fldChar w:fldCharType="end"/>
      </w:r>
      <w:r>
        <w:rPr>
          <w:rFonts w:ascii="Times New Roman" w:hAnsi="Times New Roman" w:cs="Times New Roman"/>
          <w:color w:val="auto"/>
          <w:szCs w:val="24"/>
          <w:highlight w:val="none"/>
        </w:rPr>
        <w:fldChar w:fldCharType="end"/>
      </w:r>
    </w:p>
    <w:p>
      <w:pPr>
        <w:pStyle w:val="24"/>
        <w:tabs>
          <w:tab w:val="right" w:leader="dot" w:pos="8826"/>
        </w:tabs>
      </w:pPr>
      <w:r>
        <w:rPr>
          <w:rFonts w:ascii="Times New Roman" w:hAnsi="Times New Roman" w:cs="Times New Roman"/>
          <w:color w:val="auto"/>
          <w:szCs w:val="24"/>
          <w:highlight w:val="none"/>
        </w:rPr>
        <w:fldChar w:fldCharType="begin"/>
      </w:r>
      <w:r>
        <w:rPr>
          <w:rFonts w:ascii="Times New Roman" w:hAnsi="Times New Roman" w:cs="Times New Roman"/>
          <w:szCs w:val="24"/>
          <w:highlight w:val="none"/>
        </w:rPr>
        <w:instrText xml:space="preserve"> HYPERLINK \l _Toc6629 </w:instrText>
      </w:r>
      <w:r>
        <w:rPr>
          <w:rFonts w:ascii="Times New Roman" w:hAnsi="Times New Roman" w:cs="Times New Roman"/>
          <w:szCs w:val="24"/>
          <w:highlight w:val="none"/>
        </w:rPr>
        <w:fldChar w:fldCharType="separate"/>
      </w:r>
      <w:r>
        <w:rPr>
          <w:rFonts w:hint="eastAsia" w:ascii="宋体" w:hAnsi="宋体" w:eastAsia="宋体" w:cs="宋体"/>
          <w:szCs w:val="32"/>
          <w:highlight w:val="none"/>
          <w:lang w:val="en-US" w:eastAsia="zh-CN"/>
        </w:rPr>
        <w:t>四、交付要求及项目验收</w:t>
      </w:r>
      <w:r>
        <w:tab/>
      </w:r>
      <w:r>
        <w:fldChar w:fldCharType="begin"/>
      </w:r>
      <w:r>
        <w:instrText xml:space="preserve"> PAGEREF _Toc6629 \h </w:instrText>
      </w:r>
      <w:r>
        <w:fldChar w:fldCharType="separate"/>
      </w:r>
      <w:r>
        <w:t>5</w:t>
      </w:r>
      <w:r>
        <w:fldChar w:fldCharType="end"/>
      </w:r>
      <w:r>
        <w:rPr>
          <w:rFonts w:ascii="Times New Roman" w:hAnsi="Times New Roman" w:cs="Times New Roman"/>
          <w:color w:val="auto"/>
          <w:szCs w:val="24"/>
          <w:highlight w:val="none"/>
        </w:rPr>
        <w:fldChar w:fldCharType="end"/>
      </w:r>
    </w:p>
    <w:p>
      <w:pPr>
        <w:pStyle w:val="24"/>
        <w:tabs>
          <w:tab w:val="right" w:leader="dot" w:pos="8826"/>
        </w:tabs>
      </w:pPr>
      <w:r>
        <w:rPr>
          <w:rFonts w:ascii="Times New Roman" w:hAnsi="Times New Roman" w:cs="Times New Roman"/>
          <w:color w:val="auto"/>
          <w:szCs w:val="24"/>
          <w:highlight w:val="none"/>
        </w:rPr>
        <w:fldChar w:fldCharType="begin"/>
      </w:r>
      <w:r>
        <w:rPr>
          <w:rFonts w:ascii="Times New Roman" w:hAnsi="Times New Roman" w:cs="Times New Roman"/>
          <w:szCs w:val="24"/>
          <w:highlight w:val="none"/>
        </w:rPr>
        <w:instrText xml:space="preserve"> HYPERLINK \l _Toc15512 </w:instrText>
      </w:r>
      <w:r>
        <w:rPr>
          <w:rFonts w:ascii="Times New Roman" w:hAnsi="Times New Roman" w:cs="Times New Roman"/>
          <w:szCs w:val="24"/>
          <w:highlight w:val="none"/>
        </w:rPr>
        <w:fldChar w:fldCharType="separate"/>
      </w:r>
      <w:r>
        <w:rPr>
          <w:rFonts w:hint="eastAsia" w:ascii="宋体" w:hAnsi="宋体" w:cs="宋体"/>
          <w:szCs w:val="32"/>
          <w:highlight w:val="none"/>
          <w:lang w:val="en-US" w:eastAsia="zh-CN"/>
        </w:rPr>
        <w:t>五</w:t>
      </w:r>
      <w:r>
        <w:rPr>
          <w:rFonts w:hint="eastAsia" w:ascii="宋体" w:hAnsi="宋体" w:eastAsia="宋体" w:cs="宋体"/>
          <w:szCs w:val="32"/>
          <w:highlight w:val="none"/>
        </w:rPr>
        <w:t>、质量保证</w:t>
      </w:r>
      <w:r>
        <w:rPr>
          <w:rFonts w:hint="eastAsia" w:ascii="宋体" w:hAnsi="宋体" w:eastAsia="宋体" w:cs="宋体"/>
          <w:szCs w:val="32"/>
          <w:highlight w:val="none"/>
          <w:lang w:val="en-US" w:eastAsia="zh-CN"/>
        </w:rPr>
        <w:t>及</w:t>
      </w:r>
      <w:r>
        <w:rPr>
          <w:rFonts w:hint="eastAsia" w:ascii="宋体" w:hAnsi="宋体" w:eastAsia="宋体" w:cs="宋体"/>
          <w:szCs w:val="32"/>
          <w:highlight w:val="none"/>
        </w:rPr>
        <w:t>售后服务</w:t>
      </w:r>
      <w:r>
        <w:tab/>
      </w:r>
      <w:r>
        <w:fldChar w:fldCharType="begin"/>
      </w:r>
      <w:r>
        <w:instrText xml:space="preserve"> PAGEREF _Toc15512 \h </w:instrText>
      </w:r>
      <w:r>
        <w:fldChar w:fldCharType="separate"/>
      </w:r>
      <w:r>
        <w:t>5</w:t>
      </w:r>
      <w:r>
        <w:fldChar w:fldCharType="end"/>
      </w:r>
      <w:r>
        <w:rPr>
          <w:rFonts w:ascii="Times New Roman" w:hAnsi="Times New Roman" w:cs="Times New Roman"/>
          <w:color w:val="auto"/>
          <w:szCs w:val="24"/>
          <w:highlight w:val="none"/>
        </w:rPr>
        <w:fldChar w:fldCharType="end"/>
      </w:r>
    </w:p>
    <w:p>
      <w:pPr>
        <w:pStyle w:val="24"/>
        <w:tabs>
          <w:tab w:val="right" w:leader="dot" w:pos="8826"/>
        </w:tabs>
      </w:pPr>
      <w:r>
        <w:rPr>
          <w:rFonts w:ascii="Times New Roman" w:hAnsi="Times New Roman" w:cs="Times New Roman"/>
          <w:color w:val="auto"/>
          <w:szCs w:val="24"/>
          <w:highlight w:val="none"/>
        </w:rPr>
        <w:fldChar w:fldCharType="begin"/>
      </w:r>
      <w:r>
        <w:rPr>
          <w:rFonts w:ascii="Times New Roman" w:hAnsi="Times New Roman" w:cs="Times New Roman"/>
          <w:szCs w:val="24"/>
          <w:highlight w:val="none"/>
        </w:rPr>
        <w:instrText xml:space="preserve"> HYPERLINK \l _Toc2394 </w:instrText>
      </w:r>
      <w:r>
        <w:rPr>
          <w:rFonts w:ascii="Times New Roman" w:hAnsi="Times New Roman" w:cs="Times New Roman"/>
          <w:szCs w:val="24"/>
          <w:highlight w:val="none"/>
        </w:rPr>
        <w:fldChar w:fldCharType="separate"/>
      </w:r>
      <w:r>
        <w:rPr>
          <w:rFonts w:hint="eastAsia"/>
          <w:highlight w:val="none"/>
        </w:rPr>
        <w:t>附件一</w:t>
      </w:r>
      <w:r>
        <w:tab/>
      </w:r>
      <w:r>
        <w:fldChar w:fldCharType="begin"/>
      </w:r>
      <w:r>
        <w:instrText xml:space="preserve"> PAGEREF _Toc2394 \h </w:instrText>
      </w:r>
      <w:r>
        <w:fldChar w:fldCharType="separate"/>
      </w:r>
      <w:r>
        <w:t>6</w:t>
      </w:r>
      <w:r>
        <w:fldChar w:fldCharType="end"/>
      </w:r>
      <w:r>
        <w:rPr>
          <w:rFonts w:ascii="Times New Roman" w:hAnsi="Times New Roman" w:cs="Times New Roman"/>
          <w:color w:val="auto"/>
          <w:szCs w:val="24"/>
          <w:highlight w:val="none"/>
        </w:rPr>
        <w:fldChar w:fldCharType="end"/>
      </w:r>
    </w:p>
    <w:p>
      <w:pPr>
        <w:pStyle w:val="24"/>
        <w:tabs>
          <w:tab w:val="right" w:leader="dot" w:pos="8826"/>
        </w:tabs>
      </w:pPr>
      <w:r>
        <w:rPr>
          <w:rFonts w:ascii="Times New Roman" w:hAnsi="Times New Roman" w:cs="Times New Roman"/>
          <w:color w:val="auto"/>
          <w:szCs w:val="24"/>
          <w:highlight w:val="none"/>
        </w:rPr>
        <w:fldChar w:fldCharType="begin"/>
      </w:r>
      <w:r>
        <w:rPr>
          <w:rFonts w:ascii="Times New Roman" w:hAnsi="Times New Roman" w:cs="Times New Roman"/>
          <w:szCs w:val="24"/>
          <w:highlight w:val="none"/>
        </w:rPr>
        <w:instrText xml:space="preserve"> HYPERLINK \l _Toc13049 </w:instrText>
      </w:r>
      <w:r>
        <w:rPr>
          <w:rFonts w:ascii="Times New Roman" w:hAnsi="Times New Roman" w:cs="Times New Roman"/>
          <w:szCs w:val="24"/>
          <w:highlight w:val="none"/>
        </w:rPr>
        <w:fldChar w:fldCharType="separate"/>
      </w:r>
      <w:r>
        <w:rPr>
          <w:rFonts w:hint="eastAsia"/>
          <w:highlight w:val="none"/>
        </w:rPr>
        <w:t>投标差异表（格式）</w:t>
      </w:r>
      <w:r>
        <w:tab/>
      </w:r>
      <w:r>
        <w:fldChar w:fldCharType="begin"/>
      </w:r>
      <w:r>
        <w:instrText xml:space="preserve"> PAGEREF _Toc13049 \h </w:instrText>
      </w:r>
      <w:r>
        <w:fldChar w:fldCharType="separate"/>
      </w:r>
      <w:r>
        <w:t>6</w:t>
      </w:r>
      <w:r>
        <w:fldChar w:fldCharType="end"/>
      </w:r>
      <w:r>
        <w:rPr>
          <w:rFonts w:ascii="Times New Roman" w:hAnsi="Times New Roman" w:cs="Times New Roman"/>
          <w:color w:val="auto"/>
          <w:szCs w:val="24"/>
          <w:highlight w:val="none"/>
        </w:rPr>
        <w:fldChar w:fldCharType="end"/>
      </w:r>
    </w:p>
    <w:p>
      <w:pPr>
        <w:ind w:firstLine="480"/>
        <w:rPr>
          <w:rFonts w:ascii="Times New Roman" w:hAnsi="Times New Roman" w:cs="Times New Roman"/>
          <w:color w:val="auto"/>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2100" w:right="1480" w:bottom="1980" w:left="1600" w:header="851" w:footer="992" w:gutter="0"/>
          <w:cols w:space="720" w:num="1"/>
          <w:docGrid w:type="lines" w:linePitch="312" w:charSpace="0"/>
        </w:sectPr>
      </w:pPr>
      <w:r>
        <w:rPr>
          <w:rFonts w:ascii="Times New Roman" w:hAnsi="Times New Roman" w:cs="Times New Roman"/>
          <w:color w:val="auto"/>
          <w:szCs w:val="24"/>
          <w:highlight w:val="none"/>
        </w:rPr>
        <w:fldChar w:fldCharType="end"/>
      </w:r>
    </w:p>
    <w:p>
      <w:pPr>
        <w:pStyle w:val="4"/>
        <w:numPr>
          <w:ilvl w:val="0"/>
          <w:numId w:val="0"/>
        </w:numPr>
        <w:spacing w:before="312" w:beforeLines="100" w:after="0" w:line="360" w:lineRule="auto"/>
        <w:rPr>
          <w:rFonts w:hint="eastAsia" w:ascii="宋体" w:hAnsi="宋体" w:eastAsia="宋体" w:cs="宋体"/>
          <w:color w:val="auto"/>
          <w:sz w:val="32"/>
          <w:szCs w:val="32"/>
          <w:highlight w:val="none"/>
        </w:rPr>
      </w:pPr>
      <w:bookmarkStart w:id="0" w:name="_Toc9778"/>
      <w:bookmarkStart w:id="1" w:name="_Toc353939550"/>
      <w:bookmarkStart w:id="2" w:name="_Toc353940788"/>
      <w:bookmarkStart w:id="3" w:name="_Toc299606277"/>
      <w:bookmarkStart w:id="4" w:name="_Toc19744"/>
      <w:bookmarkStart w:id="5" w:name="_Toc444945507"/>
      <w:r>
        <w:rPr>
          <w:rFonts w:hint="eastAsia" w:ascii="宋体" w:hAnsi="宋体" w:eastAsia="宋体" w:cs="宋体"/>
          <w:color w:val="auto"/>
          <w:sz w:val="32"/>
          <w:szCs w:val="32"/>
          <w:highlight w:val="none"/>
        </w:rPr>
        <w:t>一、总则</w:t>
      </w:r>
      <w:bookmarkEnd w:id="0"/>
      <w:bookmarkEnd w:id="1"/>
      <w:bookmarkEnd w:id="2"/>
      <w:bookmarkEnd w:id="3"/>
      <w:bookmarkEnd w:id="4"/>
      <w:bookmarkEnd w:id="5"/>
    </w:p>
    <w:p>
      <w:pPr>
        <w:pStyle w:val="5"/>
        <w:spacing w:before="20" w:after="0" w:line="360" w:lineRule="auto"/>
        <w:rPr>
          <w:rFonts w:hint="eastAsia" w:ascii="宋体" w:hAnsi="宋体" w:eastAsia="宋体" w:cs="宋体"/>
          <w:color w:val="auto"/>
          <w:sz w:val="32"/>
          <w:szCs w:val="32"/>
          <w:highlight w:val="none"/>
        </w:rPr>
      </w:pPr>
      <w:bookmarkStart w:id="6" w:name="_Toc15154"/>
      <w:bookmarkStart w:id="7" w:name="_Toc444945508"/>
      <w:bookmarkStart w:id="8" w:name="_Toc318799924"/>
      <w:bookmarkStart w:id="9" w:name="_Toc12658"/>
      <w:r>
        <w:rPr>
          <w:rFonts w:hint="eastAsia" w:ascii="宋体" w:hAnsi="宋体" w:eastAsia="宋体" w:cs="宋体"/>
          <w:color w:val="auto"/>
          <w:sz w:val="32"/>
          <w:szCs w:val="32"/>
          <w:highlight w:val="none"/>
        </w:rPr>
        <w:t>1.1 一般要求</w:t>
      </w:r>
      <w:bookmarkEnd w:id="6"/>
      <w:bookmarkEnd w:id="7"/>
      <w:bookmarkEnd w:id="8"/>
      <w:bookmarkEnd w:id="9"/>
    </w:p>
    <w:p>
      <w:pPr>
        <w:spacing w:line="560" w:lineRule="exact"/>
        <w:ind w:firstLine="480" w:firstLineChars="200"/>
        <w:jc w:val="both"/>
        <w:rPr>
          <w:rFonts w:hint="eastAsia" w:ascii="宋体" w:hAnsi="宋体" w:eastAsia="宋体" w:cs="宋体"/>
          <w:color w:val="auto"/>
          <w:sz w:val="24"/>
          <w:szCs w:val="24"/>
          <w:highlight w:val="none"/>
        </w:rPr>
      </w:pPr>
      <w:bookmarkStart w:id="10" w:name="_Toc299606280"/>
      <w:bookmarkStart w:id="11" w:name="_Toc353940791"/>
      <w:bookmarkStart w:id="12" w:name="_Toc353939553"/>
      <w:bookmarkStart w:id="13" w:name="_Toc444945511"/>
      <w:r>
        <w:rPr>
          <w:rFonts w:hint="eastAsia" w:ascii="宋体" w:hAnsi="宋体" w:eastAsia="宋体" w:cs="宋体"/>
          <w:color w:val="auto"/>
          <w:sz w:val="24"/>
          <w:szCs w:val="24"/>
          <w:highlight w:val="none"/>
        </w:rPr>
        <w:t>1.1.1 本技术</w:t>
      </w:r>
      <w:r>
        <w:rPr>
          <w:rFonts w:hint="eastAsia" w:ascii="宋体" w:hAnsi="宋体" w:eastAsia="宋体" w:cs="宋体"/>
          <w:color w:val="auto"/>
          <w:sz w:val="24"/>
          <w:szCs w:val="24"/>
          <w:highlight w:val="none"/>
          <w:lang w:val="en-US" w:eastAsia="zh-CN"/>
        </w:rPr>
        <w:t>规范书适用于</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u w:val="single"/>
        </w:rPr>
        <w:t>广西电网能源科技有限责任公司</w:t>
      </w:r>
      <w:r>
        <w:rPr>
          <w:rFonts w:hint="eastAsia" w:ascii="宋体" w:hAnsi="宋体" w:eastAsia="宋体" w:cs="宋体"/>
          <w:color w:val="auto"/>
          <w:sz w:val="24"/>
          <w:szCs w:val="24"/>
          <w:highlight w:val="none"/>
          <w:u w:val="single"/>
        </w:rPr>
        <w:t>（以下简称 “招标人”）的 “科创产品产线</w:t>
      </w:r>
      <w:r>
        <w:rPr>
          <w:rFonts w:hint="eastAsia" w:ascii="宋体" w:hAnsi="宋体" w:eastAsia="宋体" w:cs="宋体"/>
          <w:color w:val="auto"/>
          <w:sz w:val="24"/>
          <w:szCs w:val="24"/>
          <w:highlight w:val="none"/>
          <w:u w:val="single"/>
          <w:lang w:val="en-US" w:eastAsia="zh-CN"/>
        </w:rPr>
        <w:t>装修</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lang w:val="en-US" w:eastAsia="zh-CN"/>
        </w:rPr>
        <w:t>项目的基本要求</w:t>
      </w:r>
      <w:r>
        <w:rPr>
          <w:rFonts w:hint="eastAsia" w:ascii="宋体" w:hAnsi="宋体" w:eastAsia="宋体" w:cs="宋体"/>
          <w:color w:val="auto"/>
          <w:sz w:val="24"/>
          <w:szCs w:val="24"/>
          <w:highlight w:val="none"/>
        </w:rPr>
        <w:t>内容有关事项。投标方必须认真阅读本技术条款内容，以免造成投标失败。</w:t>
      </w:r>
    </w:p>
    <w:p>
      <w:pPr>
        <w:spacing w:line="56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本技术规范书提出的是最低限度的技术要求, 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spacing w:line="56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本规范书指标要求中，凡标有下划线或加“”的地方均被视为重要的技术指标要求或性能要求。投标方要特别加以注意，必须完全满足这些要求。</w:t>
      </w:r>
    </w:p>
    <w:p>
      <w:pPr>
        <w:spacing w:line="560" w:lineRule="exact"/>
        <w:ind w:firstLine="480" w:firstLineChars="200"/>
        <w:jc w:val="both"/>
        <w:rPr>
          <w:rFonts w:hint="eastAsia" w:ascii="宋体" w:hAnsi="宋体" w:eastAsia="宋体" w:cs="宋体"/>
          <w:color w:val="auto"/>
          <w:sz w:val="24"/>
          <w:szCs w:val="24"/>
          <w:highlight w:val="none"/>
        </w:rPr>
      </w:pPr>
      <w:bookmarkStart w:id="14" w:name="_Toc445194080"/>
      <w:bookmarkStart w:id="15" w:name="_Toc582"/>
      <w:bookmarkStart w:id="16" w:name="_Toc261810243"/>
      <w:bookmarkStart w:id="17" w:name="_Toc252486971"/>
      <w:bookmarkStart w:id="18" w:name="_Toc222711875"/>
      <w:bookmarkStart w:id="19" w:name="_Toc255894290"/>
      <w:bookmarkStart w:id="20" w:name="_Toc968"/>
      <w:bookmarkStart w:id="21" w:name="_Toc252485428"/>
      <w:bookmarkStart w:id="22" w:name="_Toc293665071"/>
      <w:r>
        <w:rPr>
          <w:rFonts w:hint="eastAsia" w:ascii="宋体" w:hAnsi="宋体" w:eastAsia="宋体" w:cs="宋体"/>
          <w:color w:val="auto"/>
          <w:sz w:val="24"/>
          <w:szCs w:val="24"/>
          <w:highlight w:val="none"/>
        </w:rPr>
        <w:t>1.1.4 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spacing w:line="56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 如果投标方认为本技术条款所描述技术要求等存在不合理性或不明白的，可在响应原要求后陈述相关建议。</w:t>
      </w:r>
    </w:p>
    <w:p>
      <w:pPr>
        <w:spacing w:line="56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 投标方也可提出满足本技术规范书要求，且技术先进、成熟、价格合理的其他建议，供招标方选择。</w:t>
      </w:r>
    </w:p>
    <w:p>
      <w:pPr>
        <w:spacing w:line="56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1.1.7 投标方应提供满足本技术规范书要求的完整的服务、产品，满足国家及用户提出的有关质量标准要求。所有工作产品必须具有在中国境内的合法使用权。</w:t>
      </w:r>
    </w:p>
    <w:p>
      <w:pPr>
        <w:spacing w:line="56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1.1.8 本技术规范书所使用的标准如与投标方所执行的标准不一致，按较高标准执行。</w:t>
      </w:r>
    </w:p>
    <w:p>
      <w:pPr>
        <w:spacing w:line="56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1.1.9投标方应对本次投标所有文件保密，不得向其他单位公布或泄漏招标项目的有关信息。</w:t>
      </w:r>
    </w:p>
    <w:p>
      <w:pPr>
        <w:spacing w:line="56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rPr>
        <w:t xml:space="preserve"> 招标方保留技术规范书修改的权利，可以提出变更的意见和建议，最终签订的技术协议与合同具有同等效力。</w:t>
      </w:r>
    </w:p>
    <w:p>
      <w:pPr>
        <w:spacing w:line="56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在不超出本技术规范书要求的情况下，投标方应对招标方提出的所有细化要求予以满足。</w:t>
      </w:r>
    </w:p>
    <w:p>
      <w:pPr>
        <w:pStyle w:val="5"/>
        <w:spacing w:before="20" w:after="0" w:line="560" w:lineRule="exact"/>
        <w:ind w:firstLine="643" w:firstLineChars="200"/>
        <w:jc w:val="both"/>
        <w:rPr>
          <w:rFonts w:hint="eastAsia" w:ascii="宋体" w:hAnsi="宋体" w:eastAsia="宋体" w:cs="宋体"/>
          <w:color w:val="auto"/>
          <w:sz w:val="32"/>
          <w:szCs w:val="32"/>
          <w:highlight w:val="none"/>
        </w:rPr>
      </w:pPr>
      <w:bookmarkStart w:id="23" w:name="_Toc1313"/>
      <w:r>
        <w:rPr>
          <w:rFonts w:hint="eastAsia" w:ascii="宋体" w:hAnsi="宋体" w:eastAsia="宋体" w:cs="宋体"/>
          <w:color w:val="auto"/>
          <w:sz w:val="32"/>
          <w:szCs w:val="32"/>
          <w:highlight w:val="none"/>
        </w:rPr>
        <w:t>1.2标准和规范</w:t>
      </w:r>
      <w:bookmarkEnd w:id="14"/>
      <w:bookmarkEnd w:id="15"/>
      <w:bookmarkEnd w:id="16"/>
      <w:bookmarkEnd w:id="17"/>
      <w:bookmarkEnd w:id="18"/>
      <w:bookmarkEnd w:id="19"/>
      <w:bookmarkEnd w:id="20"/>
      <w:bookmarkEnd w:id="21"/>
      <w:bookmarkEnd w:id="22"/>
      <w:bookmarkEnd w:id="23"/>
    </w:p>
    <w:p>
      <w:pPr>
        <w:autoSpaceDE w:val="0"/>
        <w:autoSpaceDN w:val="0"/>
        <w:adjustRightInd w:val="0"/>
        <w:spacing w:line="560" w:lineRule="exact"/>
        <w:ind w:firstLine="480" w:firstLineChars="200"/>
        <w:jc w:val="both"/>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本规范书中涉及的所有规范、标准或材料规格均应为最新版本，即以招标方发出本定单之日作为采用最新版本的截止日期。若发现本规范书与所列标准之间有不一致之处，投标方应向招标方指明，并由招标方确定采用哪一个规范。</w:t>
      </w:r>
    </w:p>
    <w:p>
      <w:pPr>
        <w:autoSpaceDE w:val="0"/>
        <w:autoSpaceDN w:val="0"/>
        <w:adjustRightInd w:val="0"/>
        <w:spacing w:line="560" w:lineRule="exact"/>
        <w:ind w:firstLine="480" w:firstLineChars="200"/>
        <w:jc w:val="both"/>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投标方如果采用自己的标准或规范，必须向招标方提供中文复印件并经招标方同意后方可采用，但不能低于</w:t>
      </w:r>
      <w:r>
        <w:rPr>
          <w:rFonts w:hint="eastAsia" w:ascii="宋体" w:hAnsi="宋体" w:eastAsia="宋体" w:cs="宋体"/>
          <w:color w:val="auto"/>
          <w:sz w:val="24"/>
          <w:szCs w:val="24"/>
          <w:highlight w:val="none"/>
        </w:rPr>
        <w:t>国家标准</w:t>
      </w:r>
      <w:r>
        <w:rPr>
          <w:rFonts w:hint="eastAsia" w:ascii="宋体" w:hAnsi="宋体" w:eastAsia="宋体" w:cs="宋体"/>
          <w:color w:val="auto"/>
          <w:sz w:val="24"/>
          <w:szCs w:val="24"/>
          <w:highlight w:val="none"/>
          <w:lang w:val="zh-CN"/>
        </w:rPr>
        <w:t>GB、</w:t>
      </w:r>
      <w:r>
        <w:rPr>
          <w:rFonts w:hint="eastAsia" w:ascii="宋体" w:hAnsi="宋体" w:eastAsia="宋体" w:cs="宋体"/>
          <w:color w:val="auto"/>
          <w:sz w:val="24"/>
          <w:szCs w:val="24"/>
          <w:highlight w:val="none"/>
        </w:rPr>
        <w:t>行业标准</w:t>
      </w:r>
      <w:r>
        <w:rPr>
          <w:rFonts w:hint="eastAsia" w:ascii="宋体" w:hAnsi="宋体" w:eastAsia="宋体" w:cs="宋体"/>
          <w:color w:val="auto"/>
          <w:sz w:val="24"/>
          <w:szCs w:val="24"/>
          <w:highlight w:val="none"/>
          <w:lang w:val="zh-CN"/>
        </w:rPr>
        <w:t>JB有关规定。</w:t>
      </w:r>
    </w:p>
    <w:p>
      <w:pPr>
        <w:autoSpaceDE w:val="0"/>
        <w:autoSpaceDN w:val="0"/>
        <w:adjustRightInd w:val="0"/>
        <w:spacing w:line="560" w:lineRule="exact"/>
        <w:ind w:firstLine="480" w:firstLineChars="200"/>
        <w:jc w:val="both"/>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下列标准所包括的条文，通过在本规定中引用而构成本规定的条文。本标准出版时所示版本均为有效。所有标准都会被修订，使用本标准的各方应探讨使用下列标准最新版本的可能性。</w:t>
      </w:r>
    </w:p>
    <w:bookmarkEnd w:id="10"/>
    <w:bookmarkEnd w:id="11"/>
    <w:bookmarkEnd w:id="12"/>
    <w:bookmarkEnd w:id="13"/>
    <w:p>
      <w:pPr>
        <w:autoSpaceDE w:val="0"/>
        <w:autoSpaceDN w:val="0"/>
        <w:adjustRightInd w:val="0"/>
        <w:spacing w:line="560" w:lineRule="exact"/>
        <w:ind w:firstLine="480" w:firstLineChars="200"/>
        <w:jc w:val="both"/>
        <w:rPr>
          <w:rFonts w:hint="eastAsia" w:ascii="宋体" w:hAnsi="宋体" w:eastAsia="宋体" w:cs="宋体"/>
          <w:color w:val="auto"/>
          <w:sz w:val="24"/>
          <w:szCs w:val="24"/>
          <w:highlight w:val="none"/>
          <w:lang w:val="en-US" w:eastAsia="zh-CN"/>
        </w:rPr>
      </w:pPr>
      <w:bookmarkStart w:id="24" w:name="_Toc444945516"/>
      <w:r>
        <w:rPr>
          <w:rFonts w:hint="eastAsia" w:ascii="宋体" w:hAnsi="宋体" w:eastAsia="宋体" w:cs="宋体"/>
          <w:color w:val="auto"/>
          <w:sz w:val="24"/>
          <w:szCs w:val="24"/>
          <w:highlight w:val="none"/>
        </w:rPr>
        <w:t>GB 50210-2018</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建筑装饰装修工程质量验收标准</w:t>
      </w:r>
      <w:r>
        <w:rPr>
          <w:rFonts w:hint="eastAsia" w:ascii="宋体" w:hAnsi="宋体" w:eastAsia="宋体" w:cs="宋体"/>
          <w:color w:val="auto"/>
          <w:sz w:val="24"/>
          <w:szCs w:val="24"/>
          <w:highlight w:val="none"/>
          <w:lang w:val="en-US" w:eastAsia="zh-CN"/>
        </w:rPr>
        <w:t xml:space="preserve"> </w:t>
      </w:r>
    </w:p>
    <w:p>
      <w:pPr>
        <w:autoSpaceDE w:val="0"/>
        <w:autoSpaceDN w:val="0"/>
        <w:adjustRightInd w:val="0"/>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GB 50325-2020</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民用建筑工程室内环境污染控制标准</w:t>
      </w:r>
      <w:r>
        <w:rPr>
          <w:rFonts w:hint="eastAsia" w:ascii="宋体" w:hAnsi="宋体" w:eastAsia="宋体" w:cs="宋体"/>
          <w:color w:val="auto"/>
          <w:sz w:val="24"/>
          <w:szCs w:val="24"/>
          <w:highlight w:val="none"/>
          <w:lang w:val="en-US" w:eastAsia="zh-CN"/>
        </w:rPr>
        <w:t xml:space="preserve"> </w:t>
      </w:r>
    </w:p>
    <w:p>
      <w:pPr>
        <w:autoSpaceDE w:val="0"/>
        <w:autoSpaceDN w:val="0"/>
        <w:adjustRightInd w:val="0"/>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GB 50016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建筑设计防火规范</w:t>
      </w:r>
      <w:r>
        <w:rPr>
          <w:rFonts w:hint="eastAsia" w:ascii="宋体" w:hAnsi="宋体" w:eastAsia="宋体" w:cs="宋体"/>
          <w:color w:val="auto"/>
          <w:sz w:val="24"/>
          <w:szCs w:val="24"/>
          <w:highlight w:val="none"/>
          <w:lang w:val="en-US" w:eastAsia="zh-CN"/>
        </w:rPr>
        <w:t xml:space="preserve"> </w:t>
      </w:r>
    </w:p>
    <w:p>
      <w:pPr>
        <w:autoSpaceDE w:val="0"/>
        <w:autoSpaceDN w:val="0"/>
        <w:adjustRightInd w:val="0"/>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GB 50209-2010</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建筑地面工程施工质量验收规范</w:t>
      </w:r>
      <w:r>
        <w:rPr>
          <w:rFonts w:hint="eastAsia" w:ascii="宋体" w:hAnsi="宋体" w:eastAsia="宋体" w:cs="宋体"/>
          <w:color w:val="auto"/>
          <w:sz w:val="24"/>
          <w:szCs w:val="24"/>
          <w:highlight w:val="none"/>
          <w:lang w:val="en-US" w:eastAsia="zh-CN"/>
        </w:rPr>
        <w:t xml:space="preserve"> </w:t>
      </w:r>
    </w:p>
    <w:p>
      <w:pPr>
        <w:autoSpaceDE w:val="0"/>
        <w:autoSpaceDN w:val="0"/>
        <w:adjustRightInd w:val="0"/>
        <w:spacing w:line="56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GB 50210</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建筑装饰装修工程质量验收标准</w:t>
      </w:r>
    </w:p>
    <w:p>
      <w:pPr>
        <w:autoSpaceDE w:val="0"/>
        <w:autoSpaceDN w:val="0"/>
        <w:adjustRightInd w:val="0"/>
        <w:spacing w:line="56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GB 50222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建筑内部装修设计防火规范</w:t>
      </w:r>
      <w:bookmarkStart w:id="48" w:name="_GoBack"/>
      <w:bookmarkEnd w:id="48"/>
    </w:p>
    <w:p>
      <w:pPr>
        <w:autoSpaceDE w:val="0"/>
        <w:autoSpaceDN w:val="0"/>
        <w:adjustRightInd w:val="0"/>
        <w:spacing w:line="56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JGJ 298</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住宅室内防水工程技术规范</w:t>
      </w:r>
    </w:p>
    <w:p>
      <w:pPr>
        <w:autoSpaceDE w:val="0"/>
        <w:autoSpaceDN w:val="0"/>
        <w:adjustRightInd w:val="0"/>
        <w:spacing w:line="56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GB 50054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低压配电设计规范</w:t>
      </w:r>
    </w:p>
    <w:p>
      <w:pPr>
        <w:autoSpaceDE w:val="0"/>
        <w:autoSpaceDN w:val="0"/>
        <w:adjustRightInd w:val="0"/>
        <w:spacing w:line="56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GB 18580~18588</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室内装饰装修有害物质限量系列标准</w:t>
      </w:r>
    </w:p>
    <w:p>
      <w:pPr>
        <w:pStyle w:val="2"/>
        <w:ind w:left="0" w:leftChars="0" w:firstLine="0" w:firstLineChars="0"/>
        <w:rPr>
          <w:rFonts w:hint="default"/>
          <w:lang w:val="en-US" w:eastAsia="zh-CN"/>
        </w:rPr>
      </w:pPr>
    </w:p>
    <w:p>
      <w:pPr>
        <w:pStyle w:val="5"/>
        <w:keepNext/>
        <w:keepLines/>
        <w:pageBreakBefore w:val="0"/>
        <w:widowControl w:val="0"/>
        <w:numPr>
          <w:ilvl w:val="0"/>
          <w:numId w:val="0"/>
        </w:numPr>
        <w:tabs>
          <w:tab w:val="left" w:pos="786"/>
        </w:tabs>
        <w:kinsoku/>
        <w:wordWrap/>
        <w:overflowPunct/>
        <w:topLinePunct w:val="0"/>
        <w:autoSpaceDE/>
        <w:autoSpaceDN/>
        <w:bidi w:val="0"/>
        <w:adjustRightInd/>
        <w:snapToGrid/>
        <w:spacing w:before="0" w:after="0" w:line="560" w:lineRule="exact"/>
        <w:ind w:firstLine="643" w:firstLineChars="200"/>
        <w:jc w:val="both"/>
        <w:textAlignment w:val="auto"/>
        <w:rPr>
          <w:rFonts w:hint="eastAsia" w:ascii="宋体" w:hAnsi="宋体" w:eastAsia="宋体" w:cs="宋体"/>
          <w:color w:val="auto"/>
          <w:sz w:val="32"/>
          <w:szCs w:val="32"/>
          <w:highlight w:val="none"/>
          <w:lang w:eastAsia="zh-CN"/>
        </w:rPr>
      </w:pPr>
      <w:bookmarkStart w:id="25" w:name="_Toc19199"/>
      <w:bookmarkStart w:id="26" w:name="_Toc270"/>
      <w:bookmarkStart w:id="27" w:name="_Toc21309"/>
      <w:bookmarkStart w:id="28" w:name="_Toc19617"/>
      <w:bookmarkStart w:id="29" w:name="_Toc24273"/>
      <w:r>
        <w:rPr>
          <w:rFonts w:hint="eastAsia" w:ascii="宋体" w:hAnsi="宋体" w:eastAsia="宋体" w:cs="宋体"/>
          <w:color w:val="auto"/>
          <w:sz w:val="32"/>
          <w:szCs w:val="32"/>
          <w:highlight w:val="none"/>
        </w:rPr>
        <w:t>1</w:t>
      </w:r>
      <w:r>
        <w:rPr>
          <w:rFonts w:hint="eastAsia" w:ascii="宋体" w:hAnsi="宋体" w:eastAsia="宋体" w:cs="宋体"/>
          <w:color w:val="auto"/>
          <w:sz w:val="32"/>
          <w:szCs w:val="32"/>
          <w:highlight w:val="none"/>
          <w:lang w:val="en-US" w:eastAsia="zh-CN"/>
        </w:rPr>
        <w:t>.</w:t>
      </w:r>
      <w:r>
        <w:rPr>
          <w:rFonts w:hint="eastAsia" w:ascii="宋体" w:hAnsi="宋体" w:cs="宋体"/>
          <w:color w:val="auto"/>
          <w:sz w:val="32"/>
          <w:szCs w:val="32"/>
          <w:highlight w:val="none"/>
          <w:lang w:val="en-US" w:eastAsia="zh-CN"/>
        </w:rPr>
        <w:t>3</w:t>
      </w:r>
      <w:r>
        <w:rPr>
          <w:rFonts w:hint="eastAsia" w:ascii="宋体" w:hAnsi="宋体" w:eastAsia="宋体" w:cs="宋体"/>
          <w:color w:val="auto"/>
          <w:sz w:val="32"/>
          <w:szCs w:val="32"/>
          <w:highlight w:val="none"/>
        </w:rPr>
        <w:t xml:space="preserve"> </w:t>
      </w:r>
      <w:r>
        <w:rPr>
          <w:rFonts w:hint="eastAsia" w:ascii="宋体" w:hAnsi="宋体" w:eastAsia="宋体" w:cs="宋体"/>
          <w:color w:val="auto"/>
          <w:sz w:val="32"/>
          <w:szCs w:val="32"/>
          <w:highlight w:val="none"/>
          <w:lang w:val="en-US" w:eastAsia="zh-CN"/>
        </w:rPr>
        <w:t>工程</w:t>
      </w:r>
      <w:bookmarkEnd w:id="25"/>
      <w:bookmarkEnd w:id="26"/>
      <w:bookmarkEnd w:id="27"/>
      <w:bookmarkEnd w:id="28"/>
      <w:r>
        <w:rPr>
          <w:rFonts w:hint="eastAsia" w:ascii="宋体" w:hAnsi="宋体" w:eastAsia="宋体" w:cs="宋体"/>
          <w:color w:val="auto"/>
          <w:sz w:val="32"/>
          <w:szCs w:val="32"/>
          <w:highlight w:val="none"/>
          <w:lang w:val="en-US" w:eastAsia="zh-CN"/>
        </w:rPr>
        <w:t>概况</w:t>
      </w:r>
      <w:bookmarkEnd w:id="29"/>
    </w:p>
    <w:p>
      <w:pPr>
        <w:spacing w:line="560" w:lineRule="exact"/>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val="en-US" w:eastAsia="zh-CN"/>
        </w:rPr>
        <w:t>建设地点：南宁市</w:t>
      </w:r>
      <w:r>
        <w:rPr>
          <w:rFonts w:hint="eastAsia" w:ascii="宋体" w:hAnsi="宋体" w:eastAsia="宋体" w:cs="宋体"/>
          <w:color w:val="auto"/>
          <w:kern w:val="2"/>
          <w:sz w:val="24"/>
          <w:szCs w:val="24"/>
          <w:highlight w:val="none"/>
        </w:rPr>
        <w:t>高新三路1-1号3号厂房一层</w:t>
      </w:r>
      <w:r>
        <w:rPr>
          <w:rFonts w:hint="eastAsia" w:ascii="宋体" w:hAnsi="宋体" w:eastAsia="宋体" w:cs="宋体"/>
          <w:color w:val="auto"/>
          <w:kern w:val="2"/>
          <w:sz w:val="24"/>
          <w:szCs w:val="24"/>
          <w:highlight w:val="none"/>
          <w:lang w:val="en-US" w:eastAsia="zh-CN"/>
        </w:rPr>
        <w:t>东面（495㎡）及三层（1121㎡）</w:t>
      </w:r>
      <w:r>
        <w:rPr>
          <w:rFonts w:hint="eastAsia" w:ascii="宋体" w:hAnsi="宋体" w:eastAsia="宋体" w:cs="宋体"/>
          <w:color w:val="auto"/>
          <w:kern w:val="2"/>
          <w:sz w:val="24"/>
          <w:szCs w:val="24"/>
          <w:highlight w:val="none"/>
          <w:lang w:eastAsia="zh-CN"/>
        </w:rPr>
        <w:t>。</w:t>
      </w:r>
    </w:p>
    <w:p>
      <w:pPr>
        <w:spacing w:line="560" w:lineRule="exact"/>
        <w:ind w:left="480" w:leftChars="200" w:firstLine="0" w:firstLineChars="0"/>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w:t>
      </w:r>
      <w:r>
        <w:rPr>
          <w:rFonts w:hint="eastAsia" w:ascii="宋体" w:hAnsi="宋体" w:cs="宋体"/>
          <w:color w:val="auto"/>
          <w:kern w:val="2"/>
          <w:sz w:val="24"/>
          <w:szCs w:val="24"/>
          <w:highlight w:val="none"/>
          <w:lang w:val="en-US" w:eastAsia="zh-CN"/>
        </w:rPr>
        <w:t>5</w:t>
      </w: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sz w:val="24"/>
          <w:szCs w:val="24"/>
        </w:rPr>
        <w:t>建设规模：总装修</w:t>
      </w:r>
      <w:r>
        <w:rPr>
          <w:rFonts w:hint="eastAsia" w:ascii="宋体" w:hAnsi="宋体" w:eastAsia="宋体" w:cs="宋体"/>
          <w:sz w:val="24"/>
          <w:szCs w:val="24"/>
          <w:lang w:val="en-US" w:eastAsia="zh-CN"/>
        </w:rPr>
        <w:t>建筑</w:t>
      </w:r>
      <w:r>
        <w:rPr>
          <w:rFonts w:hint="eastAsia" w:ascii="宋体" w:hAnsi="宋体" w:eastAsia="宋体" w:cs="宋体"/>
          <w:sz w:val="24"/>
          <w:szCs w:val="24"/>
        </w:rPr>
        <w:t>面积约</w:t>
      </w:r>
      <w:r>
        <w:rPr>
          <w:rFonts w:hint="eastAsia" w:ascii="宋体" w:hAnsi="宋体" w:eastAsia="宋体" w:cs="宋体"/>
          <w:sz w:val="24"/>
          <w:szCs w:val="24"/>
          <w:lang w:val="en-US" w:eastAsia="zh-CN"/>
        </w:rPr>
        <w:t>1616㎡</w:t>
      </w:r>
      <w:r>
        <w:rPr>
          <w:rFonts w:hint="eastAsia" w:ascii="宋体" w:hAnsi="宋体" w:eastAsia="宋体" w:cs="宋体"/>
          <w:sz w:val="24"/>
          <w:szCs w:val="24"/>
        </w:rPr>
        <w:t>，涵盖</w:t>
      </w:r>
      <w:r>
        <w:rPr>
          <w:rFonts w:hint="eastAsia" w:ascii="宋体" w:hAnsi="宋体" w:eastAsia="宋体" w:cs="宋体"/>
          <w:color w:val="auto"/>
          <w:kern w:val="2"/>
          <w:sz w:val="24"/>
          <w:szCs w:val="24"/>
          <w:highlight w:val="none"/>
        </w:rPr>
        <w:t>厂房一层</w:t>
      </w:r>
      <w:r>
        <w:rPr>
          <w:rFonts w:hint="eastAsia" w:ascii="宋体" w:hAnsi="宋体" w:eastAsia="宋体" w:cs="宋体"/>
          <w:color w:val="auto"/>
          <w:kern w:val="2"/>
          <w:sz w:val="24"/>
          <w:szCs w:val="24"/>
          <w:highlight w:val="none"/>
          <w:lang w:val="en-US" w:eastAsia="zh-CN"/>
        </w:rPr>
        <w:t>东面及三层。</w:t>
      </w:r>
    </w:p>
    <w:p>
      <w:pPr>
        <w:spacing w:line="560" w:lineRule="exact"/>
        <w:ind w:left="480" w:leftChars="200" w:firstLine="0" w:firstLineChars="0"/>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w:t>
      </w:r>
      <w:r>
        <w:rPr>
          <w:rFonts w:hint="eastAsia" w:ascii="宋体" w:hAnsi="宋体" w:cs="宋体"/>
          <w:color w:val="auto"/>
          <w:kern w:val="2"/>
          <w:sz w:val="24"/>
          <w:szCs w:val="24"/>
          <w:highlight w:val="none"/>
          <w:lang w:val="en-US" w:eastAsia="zh-CN"/>
        </w:rPr>
        <w:t>5</w:t>
      </w:r>
      <w:r>
        <w:rPr>
          <w:rFonts w:hint="eastAsia" w:ascii="宋体" w:hAnsi="宋体" w:eastAsia="宋体" w:cs="宋体"/>
          <w:color w:val="auto"/>
          <w:kern w:val="2"/>
          <w:sz w:val="24"/>
          <w:szCs w:val="24"/>
          <w:highlight w:val="none"/>
          <w:lang w:val="en-US" w:eastAsia="zh-CN"/>
        </w:rPr>
        <w:t>.3承包方式：包工包料</w:t>
      </w:r>
      <w:r>
        <w:rPr>
          <w:rFonts w:hint="eastAsia" w:ascii="宋体" w:hAnsi="宋体" w:cs="宋体"/>
          <w:color w:val="auto"/>
          <w:kern w:val="2"/>
          <w:sz w:val="24"/>
          <w:szCs w:val="24"/>
          <w:highlight w:val="none"/>
          <w:lang w:val="en-US" w:eastAsia="zh-CN"/>
        </w:rPr>
        <w:t>。</w:t>
      </w:r>
    </w:p>
    <w:p>
      <w:pPr>
        <w:pStyle w:val="2"/>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.4工程范围：水电改造、灯具安装、风扇安装、应急照明、消防设施配置、简易视频监控等（详见工程量清单）</w:t>
      </w:r>
      <w:r>
        <w:rPr>
          <w:rFonts w:hint="eastAsia" w:ascii="宋体" w:hAnsi="宋体" w:eastAsia="宋体" w:cs="宋体"/>
          <w:color w:val="auto"/>
          <w:sz w:val="24"/>
          <w:szCs w:val="24"/>
        </w:rPr>
        <w:t>。</w:t>
      </w:r>
    </w:p>
    <w:p>
      <w:pPr>
        <w:pStyle w:val="4"/>
        <w:numPr>
          <w:ilvl w:val="0"/>
          <w:numId w:val="0"/>
        </w:numPr>
        <w:spacing w:before="312" w:beforeLines="100" w:after="0" w:line="560" w:lineRule="exact"/>
        <w:ind w:firstLine="643" w:firstLineChars="200"/>
        <w:jc w:val="both"/>
        <w:rPr>
          <w:rFonts w:hint="eastAsia" w:ascii="宋体" w:hAnsi="宋体" w:eastAsia="宋体" w:cs="宋体"/>
          <w:color w:val="auto"/>
          <w:sz w:val="32"/>
          <w:szCs w:val="32"/>
          <w:highlight w:val="none"/>
        </w:rPr>
      </w:pPr>
      <w:bookmarkStart w:id="30" w:name="_Toc16057"/>
      <w:bookmarkStart w:id="31" w:name="_Toc3957"/>
      <w:r>
        <w:rPr>
          <w:rFonts w:hint="eastAsia" w:ascii="宋体" w:hAnsi="宋体" w:eastAsia="宋体" w:cs="宋体"/>
          <w:color w:val="auto"/>
          <w:sz w:val="32"/>
          <w:szCs w:val="32"/>
          <w:highlight w:val="none"/>
        </w:rPr>
        <w:t>二、技术要求</w:t>
      </w:r>
      <w:bookmarkEnd w:id="24"/>
      <w:bookmarkEnd w:id="30"/>
      <w:bookmarkEnd w:id="31"/>
    </w:p>
    <w:p>
      <w:pPr>
        <w:pStyle w:val="5"/>
        <w:spacing w:before="20" w:after="0" w:line="560" w:lineRule="exact"/>
        <w:ind w:firstLine="643" w:firstLineChars="200"/>
        <w:jc w:val="both"/>
        <w:rPr>
          <w:rFonts w:hint="eastAsia" w:ascii="宋体" w:hAnsi="宋体" w:eastAsia="宋体" w:cs="宋体"/>
          <w:color w:val="auto"/>
          <w:sz w:val="32"/>
          <w:szCs w:val="32"/>
          <w:highlight w:val="none"/>
        </w:rPr>
      </w:pPr>
      <w:bookmarkStart w:id="32" w:name="_Toc437603900"/>
      <w:bookmarkStart w:id="33" w:name="_Toc20634"/>
      <w:bookmarkStart w:id="34" w:name="_Toc444945517"/>
      <w:bookmarkStart w:id="35" w:name="_Toc3452"/>
      <w:r>
        <w:rPr>
          <w:rFonts w:hint="eastAsia" w:ascii="宋体" w:hAnsi="宋体" w:eastAsia="宋体" w:cs="宋体"/>
          <w:color w:val="auto"/>
          <w:sz w:val="32"/>
          <w:szCs w:val="32"/>
          <w:highlight w:val="none"/>
        </w:rPr>
        <w:t xml:space="preserve">2.1 </w:t>
      </w:r>
      <w:r>
        <w:rPr>
          <w:rFonts w:hint="eastAsia" w:ascii="宋体" w:hAnsi="宋体" w:eastAsia="宋体" w:cs="宋体"/>
          <w:color w:val="auto"/>
          <w:sz w:val="32"/>
          <w:szCs w:val="32"/>
          <w:highlight w:val="none"/>
          <w:lang w:val="en-US" w:eastAsia="zh-CN"/>
        </w:rPr>
        <w:t>材料及功能</w:t>
      </w:r>
      <w:r>
        <w:rPr>
          <w:rFonts w:hint="eastAsia" w:ascii="宋体" w:hAnsi="宋体" w:eastAsia="宋体" w:cs="宋体"/>
          <w:color w:val="auto"/>
          <w:sz w:val="32"/>
          <w:szCs w:val="32"/>
          <w:highlight w:val="none"/>
        </w:rPr>
        <w:t>要求</w:t>
      </w:r>
      <w:bookmarkEnd w:id="32"/>
      <w:bookmarkEnd w:id="33"/>
      <w:bookmarkEnd w:id="34"/>
      <w:bookmarkEnd w:id="35"/>
    </w:p>
    <w:p>
      <w:pPr>
        <w:spacing w:line="560" w:lineRule="exact"/>
        <w:ind w:firstLine="480" w:firstLineChars="200"/>
        <w:jc w:val="both"/>
        <w:rPr>
          <w:rFonts w:hint="eastAsia" w:ascii="宋体" w:hAnsi="宋体" w:eastAsia="宋体" w:cs="宋体"/>
          <w:sz w:val="24"/>
          <w:szCs w:val="24"/>
        </w:rPr>
      </w:pPr>
      <w:bookmarkStart w:id="36" w:name="_Toc26699"/>
      <w:r>
        <w:rPr>
          <w:rFonts w:hint="eastAsia" w:ascii="宋体" w:hAnsi="宋体" w:eastAsia="宋体" w:cs="宋体"/>
          <w:sz w:val="24"/>
          <w:szCs w:val="24"/>
        </w:rPr>
        <w:t>2.</w:t>
      </w:r>
      <w:r>
        <w:rPr>
          <w:rFonts w:hint="eastAsia" w:ascii="宋体" w:hAnsi="宋体" w:eastAsia="宋体" w:cs="宋体"/>
          <w:sz w:val="24"/>
          <w:szCs w:val="24"/>
          <w:lang w:val="en-US" w:eastAsia="zh-CN"/>
        </w:rPr>
        <w:t>1</w:t>
      </w:r>
      <w:r>
        <w:rPr>
          <w:rFonts w:hint="eastAsia" w:ascii="宋体" w:hAnsi="宋体" w:eastAsia="宋体" w:cs="宋体"/>
          <w:sz w:val="24"/>
          <w:szCs w:val="24"/>
        </w:rPr>
        <w:t>.</w:t>
      </w:r>
      <w:r>
        <w:rPr>
          <w:rFonts w:hint="eastAsia" w:ascii="宋体" w:hAnsi="宋体" w:cs="宋体"/>
          <w:sz w:val="24"/>
          <w:szCs w:val="24"/>
          <w:lang w:val="en-US" w:eastAsia="zh-CN"/>
        </w:rPr>
        <w:t>1</w:t>
      </w:r>
      <w:r>
        <w:rPr>
          <w:rFonts w:hint="eastAsia" w:ascii="宋体" w:hAnsi="宋体" w:eastAsia="宋体" w:cs="宋体"/>
          <w:sz w:val="24"/>
          <w:szCs w:val="24"/>
        </w:rPr>
        <w:t xml:space="preserve"> 强弱电线缆材质</w:t>
      </w:r>
    </w:p>
    <w:p>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强电电线采用铜芯聚氯乙烯绝缘阻燃电线</w:t>
      </w:r>
      <w:r>
        <w:rPr>
          <w:rFonts w:hint="eastAsia" w:ascii="宋体" w:hAnsi="宋体" w:cs="宋体"/>
          <w:sz w:val="24"/>
          <w:szCs w:val="24"/>
          <w:lang w:eastAsia="zh-CN"/>
        </w:rPr>
        <w:t>，</w:t>
      </w:r>
      <w:r>
        <w:rPr>
          <w:rFonts w:hint="eastAsia" w:ascii="宋体" w:hAnsi="宋体" w:eastAsia="宋体" w:cs="宋体"/>
          <w:sz w:val="24"/>
          <w:szCs w:val="24"/>
        </w:rPr>
        <w:t>动力主线不低于10mm²，普通插座回路2.5mm²，照明回路1.5mm²，大功率设备独立回路4mm²；所有线缆阻燃等级ZR-BV。</w:t>
      </w:r>
    </w:p>
    <w:p>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弱电网线、监控线为无氧铜导体，导体铜纯度≥99.9%，禁止铜包铝、回收杂铜线缆。</w:t>
      </w:r>
    </w:p>
    <w:p>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1</w:t>
      </w:r>
      <w:r>
        <w:rPr>
          <w:rFonts w:hint="eastAsia" w:ascii="宋体" w:hAnsi="宋体" w:eastAsia="宋体" w:cs="宋体"/>
          <w:sz w:val="24"/>
          <w:szCs w:val="24"/>
        </w:rPr>
        <w:t>.</w:t>
      </w:r>
      <w:r>
        <w:rPr>
          <w:rFonts w:hint="eastAsia" w:ascii="宋体" w:hAnsi="宋体" w:cs="宋体"/>
          <w:sz w:val="24"/>
          <w:szCs w:val="24"/>
          <w:lang w:val="en-US" w:eastAsia="zh-CN"/>
        </w:rPr>
        <w:t>2</w:t>
      </w:r>
      <w:r>
        <w:rPr>
          <w:rFonts w:hint="eastAsia" w:ascii="宋体" w:hAnsi="宋体" w:eastAsia="宋体" w:cs="宋体"/>
          <w:sz w:val="24"/>
          <w:szCs w:val="24"/>
        </w:rPr>
        <w:t xml:space="preserve"> 厂房照明系统</w:t>
      </w:r>
    </w:p>
    <w:p>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灯具选型标准</w:t>
      </w:r>
    </w:p>
    <w:p>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车间主照明采用LED工业平板灯/LED工矿灯，光源显色指数Ra≥80，色温5000K-5700K中性白光；光效≥110lm/W，功率因数≥0.95，无频闪，蓝光等级RG0。</w:t>
      </w:r>
    </w:p>
    <w:p>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库房、通道选用LED三防灯，具备防水、防尘、防腐蚀功能，防护等级不低于IP65；门窗潮湿区域灯具IP65以上。</w:t>
      </w:r>
    </w:p>
    <w:p>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照度指标</w:t>
      </w:r>
    </w:p>
    <w:p>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柔性生产作业区平均照度≥300lx；照度均匀度≥0.7。</w:t>
      </w:r>
    </w:p>
    <w:p>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1</w:t>
      </w:r>
      <w:r>
        <w:rPr>
          <w:rFonts w:hint="eastAsia" w:ascii="宋体" w:hAnsi="宋体" w:eastAsia="宋体" w:cs="宋体"/>
          <w:sz w:val="24"/>
          <w:szCs w:val="24"/>
        </w:rPr>
        <w:t>.</w:t>
      </w:r>
      <w:r>
        <w:rPr>
          <w:rFonts w:hint="eastAsia" w:ascii="宋体" w:hAnsi="宋体" w:cs="宋体"/>
          <w:sz w:val="24"/>
          <w:szCs w:val="24"/>
          <w:lang w:val="en-US" w:eastAsia="zh-CN"/>
        </w:rPr>
        <w:t>3</w:t>
      </w:r>
      <w:r>
        <w:rPr>
          <w:rFonts w:hint="eastAsia" w:ascii="宋体" w:hAnsi="宋体" w:eastAsia="宋体" w:cs="宋体"/>
          <w:sz w:val="24"/>
          <w:szCs w:val="24"/>
        </w:rPr>
        <w:t xml:space="preserve"> 通风、风扇、排气扇系统 </w:t>
      </w:r>
    </w:p>
    <w:p>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车间壁挂工业电风扇：电机纯铜绕组，绝缘等级B级，运行噪音≤65dB，具备过热断电保护；扇叶金属加厚材质，防锈喷涂，风量满足区域空气循环置换。</w:t>
      </w:r>
    </w:p>
    <w:p>
      <w:pPr>
        <w:spacing w:line="560" w:lineRule="exact"/>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2.1.</w:t>
      </w: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所有使用的材料长期释放不得导致车间空气超标：</w:t>
      </w:r>
    </w:p>
    <w:p>
      <w:pPr>
        <w:spacing w:line="560" w:lineRule="exact"/>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甲醛：8小时均值≤0.5mg/m³，瞬时15min≤1.0mg/m³，苯：≤6mg/m³；甲苯/二甲苯≤50mg/m³；TVOC室内验收符合GB 50325-2020标准限值。</w:t>
      </w:r>
    </w:p>
    <w:p>
      <w:pPr>
        <w:pStyle w:val="2"/>
        <w:rPr>
          <w:rFonts w:hint="eastAsia"/>
        </w:rPr>
      </w:pPr>
    </w:p>
    <w:p>
      <w:pPr>
        <w:spacing w:line="560" w:lineRule="exact"/>
        <w:ind w:firstLine="643" w:firstLineChars="200"/>
        <w:jc w:val="both"/>
        <w:rPr>
          <w:rFonts w:hint="eastAsia" w:ascii="宋体" w:hAnsi="宋体" w:eastAsia="宋体" w:cs="宋体"/>
          <w:b/>
          <w:bCs/>
          <w:sz w:val="32"/>
          <w:szCs w:val="32"/>
        </w:rPr>
      </w:pPr>
      <w:r>
        <w:rPr>
          <w:rFonts w:hint="eastAsia" w:ascii="宋体" w:hAnsi="宋体" w:eastAsia="宋体" w:cs="宋体"/>
          <w:b/>
          <w:bCs/>
          <w:sz w:val="32"/>
          <w:szCs w:val="32"/>
        </w:rPr>
        <w:t>2.</w:t>
      </w:r>
      <w:r>
        <w:rPr>
          <w:rFonts w:hint="eastAsia" w:ascii="宋体" w:hAnsi="宋体" w:eastAsia="宋体" w:cs="宋体"/>
          <w:b/>
          <w:bCs/>
          <w:sz w:val="32"/>
          <w:szCs w:val="32"/>
          <w:lang w:val="en-US" w:eastAsia="zh-CN"/>
        </w:rPr>
        <w:t>2</w:t>
      </w:r>
      <w:r>
        <w:rPr>
          <w:rFonts w:hint="eastAsia" w:ascii="宋体" w:hAnsi="宋体" w:eastAsia="宋体" w:cs="宋体"/>
          <w:b/>
          <w:bCs/>
          <w:sz w:val="32"/>
          <w:szCs w:val="32"/>
        </w:rPr>
        <w:t xml:space="preserve"> </w:t>
      </w:r>
      <w:r>
        <w:rPr>
          <w:rFonts w:hint="eastAsia" w:ascii="宋体" w:hAnsi="宋体" w:eastAsia="宋体" w:cs="宋体"/>
          <w:b/>
          <w:bCs/>
          <w:sz w:val="32"/>
          <w:szCs w:val="32"/>
          <w:lang w:val="en-US" w:eastAsia="zh-CN"/>
        </w:rPr>
        <w:t>施工技术要求</w:t>
      </w:r>
    </w:p>
    <w:p>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lang w:val="en-US" w:eastAsia="zh-CN"/>
        </w:rPr>
        <w:t>2.2.1</w:t>
      </w:r>
      <w:bookmarkEnd w:id="36"/>
      <w:bookmarkStart w:id="37" w:name="_Toc27376"/>
      <w:r>
        <w:rPr>
          <w:rFonts w:hint="eastAsia" w:ascii="宋体" w:hAnsi="宋体" w:eastAsia="宋体" w:cs="宋体"/>
          <w:sz w:val="24"/>
          <w:szCs w:val="24"/>
          <w:lang w:val="en-US" w:eastAsia="zh-CN"/>
        </w:rPr>
        <w:t>强弱电</w:t>
      </w:r>
      <w:r>
        <w:rPr>
          <w:rFonts w:hint="eastAsia" w:ascii="宋体" w:hAnsi="宋体" w:eastAsia="宋体" w:cs="宋体"/>
          <w:sz w:val="24"/>
          <w:szCs w:val="24"/>
        </w:rPr>
        <w:t>工程</w:t>
      </w:r>
    </w:p>
    <w:p>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强弱电分槽敷设，间距≥30cm，交叉处屏蔽处理；大功率电器独立回路。</w:t>
      </w:r>
    </w:p>
    <w:p>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强弱电分管分槽，水平间距≥300mm，交叉位置金属屏蔽隔离。</w:t>
      </w:r>
    </w:p>
    <w:p>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 xml:space="preserve">回路配置匹配额定电流断路器，所有插座回路加装漏电保护器；动力设备设置过载、短路、缺相保护。 </w:t>
      </w:r>
    </w:p>
    <w:p>
      <w:pPr>
        <w:spacing w:line="560" w:lineRule="exact"/>
        <w:ind w:firstLine="480" w:firstLineChars="200"/>
        <w:jc w:val="both"/>
        <w:rPr>
          <w:rFonts w:hint="eastAsia" w:eastAsia="宋体"/>
          <w:color w:val="auto"/>
          <w:lang w:val="en-US" w:eastAsia="zh-CN"/>
        </w:rPr>
      </w:pPr>
      <w:r>
        <w:rPr>
          <w:rFonts w:hint="eastAsia" w:ascii="宋体" w:hAnsi="宋体" w:cs="宋体"/>
          <w:color w:val="auto"/>
          <w:sz w:val="24"/>
          <w:szCs w:val="24"/>
          <w:lang w:val="en-US" w:eastAsia="zh-CN"/>
        </w:rPr>
        <w:t>2.2.2</w:t>
      </w:r>
      <w:r>
        <w:rPr>
          <w:rFonts w:hint="eastAsia" w:ascii="宋体" w:hAnsi="宋体" w:eastAsia="宋体" w:cs="宋体"/>
          <w:color w:val="auto"/>
          <w:sz w:val="24"/>
          <w:szCs w:val="24"/>
        </w:rPr>
        <w:t>厂房照明系统</w:t>
      </w:r>
      <w:r>
        <w:rPr>
          <w:rFonts w:hint="eastAsia" w:eastAsia="宋体"/>
          <w:color w:val="auto"/>
          <w:lang w:val="en-US" w:eastAsia="zh-CN"/>
        </w:rPr>
        <w:t>：</w:t>
      </w:r>
    </w:p>
    <w:p>
      <w:pPr>
        <w:spacing w:line="560" w:lineRule="exact"/>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照明分区域独立开关控制，大面积车间可分组分区控制。</w:t>
      </w:r>
    </w:p>
    <w:p>
      <w:pPr>
        <w:spacing w:line="560" w:lineRule="exact"/>
        <w:ind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2.2.</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视频监控</w:t>
      </w:r>
    </w:p>
    <w:p>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摄像头安装牢固，视野无遮挡；所有接头防水绝缘处理。</w:t>
      </w:r>
    </w:p>
    <w:p>
      <w:pPr>
        <w:spacing w:line="560" w:lineRule="exact"/>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w:t>
      </w:r>
      <w:r>
        <w:rPr>
          <w:rFonts w:hint="eastAsia" w:ascii="宋体" w:hAnsi="宋体" w:cs="宋体"/>
          <w:sz w:val="24"/>
          <w:szCs w:val="24"/>
          <w:lang w:val="en-US" w:eastAsia="zh-CN"/>
        </w:rPr>
        <w:t>4</w:t>
      </w:r>
      <w:r>
        <w:rPr>
          <w:rFonts w:hint="eastAsia" w:ascii="宋体" w:hAnsi="宋体" w:eastAsia="宋体" w:cs="宋体"/>
          <w:sz w:val="24"/>
          <w:szCs w:val="24"/>
        </w:rPr>
        <w:t>收尾</w:t>
      </w:r>
      <w:r>
        <w:rPr>
          <w:rFonts w:hint="eastAsia" w:ascii="宋体" w:hAnsi="宋体" w:cs="宋体"/>
          <w:sz w:val="24"/>
          <w:szCs w:val="24"/>
          <w:lang w:val="en-US" w:eastAsia="zh-CN"/>
        </w:rPr>
        <w:t>工作</w:t>
      </w:r>
    </w:p>
    <w:p>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完工精细保洁，清除全部胶渍、水泥印、施工废料。</w:t>
      </w:r>
    </w:p>
    <w:p>
      <w:pPr>
        <w:pStyle w:val="2"/>
        <w:rPr>
          <w:rFonts w:hint="eastAsia"/>
        </w:rPr>
      </w:pPr>
    </w:p>
    <w:p>
      <w:pPr>
        <w:pStyle w:val="4"/>
        <w:numPr>
          <w:ilvl w:val="0"/>
          <w:numId w:val="0"/>
        </w:numPr>
        <w:spacing w:before="312" w:beforeLines="100" w:after="0" w:line="560" w:lineRule="exact"/>
        <w:ind w:firstLine="643" w:firstLineChars="200"/>
        <w:jc w:val="both"/>
        <w:rPr>
          <w:rFonts w:hint="eastAsia" w:ascii="宋体" w:hAnsi="宋体" w:eastAsia="宋体" w:cs="宋体"/>
          <w:color w:val="auto"/>
          <w:sz w:val="32"/>
          <w:szCs w:val="32"/>
          <w:highlight w:val="none"/>
          <w:lang w:val="en-US" w:eastAsia="zh-CN"/>
        </w:rPr>
      </w:pPr>
      <w:bookmarkStart w:id="38" w:name="_Toc12140"/>
      <w:r>
        <w:rPr>
          <w:rFonts w:hint="eastAsia" w:ascii="宋体" w:hAnsi="宋体" w:eastAsia="宋体" w:cs="宋体"/>
          <w:color w:val="auto"/>
          <w:sz w:val="32"/>
          <w:szCs w:val="32"/>
          <w:highlight w:val="none"/>
          <w:lang w:val="en-US" w:eastAsia="zh-CN"/>
        </w:rPr>
        <w:t>三、安全文明施工要求</w:t>
      </w:r>
      <w:bookmarkEnd w:id="38"/>
    </w:p>
    <w:p>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1. 现场配齐消防器材，动火作业持证监护；施工人员佩戴劳保用品，高空作业搭设标准防护。</w:t>
      </w:r>
    </w:p>
    <w:p>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2. 严格遵守场地施工时间管控，严控噪音、扬尘。</w:t>
      </w:r>
    </w:p>
    <w:p>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3. 材料分区堆放，通道保持畅通，严禁私拉乱接电线。</w:t>
      </w:r>
    </w:p>
    <w:p>
      <w:pPr>
        <w:spacing w:line="560" w:lineRule="exact"/>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rPr>
        <w:t>4. 损坏原有建筑、消防、配套设施，全部损失由中标单位承担。</w:t>
      </w:r>
    </w:p>
    <w:p>
      <w:pPr>
        <w:pStyle w:val="4"/>
        <w:numPr>
          <w:ilvl w:val="0"/>
          <w:numId w:val="0"/>
        </w:numPr>
        <w:spacing w:before="312" w:beforeLines="100" w:after="0" w:line="560" w:lineRule="exact"/>
        <w:ind w:firstLine="643" w:firstLineChars="200"/>
        <w:jc w:val="both"/>
        <w:rPr>
          <w:rFonts w:hint="eastAsia" w:ascii="宋体" w:hAnsi="宋体" w:eastAsia="宋体" w:cs="宋体"/>
          <w:color w:val="auto"/>
          <w:sz w:val="32"/>
          <w:szCs w:val="32"/>
          <w:highlight w:val="none"/>
          <w:lang w:val="en-US" w:eastAsia="zh-CN"/>
        </w:rPr>
      </w:pPr>
      <w:bookmarkStart w:id="39" w:name="_Toc6629"/>
      <w:r>
        <w:rPr>
          <w:rFonts w:hint="eastAsia" w:ascii="宋体" w:hAnsi="宋体" w:eastAsia="宋体" w:cs="宋体"/>
          <w:color w:val="auto"/>
          <w:sz w:val="32"/>
          <w:szCs w:val="32"/>
          <w:highlight w:val="none"/>
          <w:lang w:val="en-US" w:eastAsia="zh-CN"/>
        </w:rPr>
        <w:t>四、</w:t>
      </w:r>
      <w:bookmarkEnd w:id="37"/>
      <w:r>
        <w:rPr>
          <w:rFonts w:hint="eastAsia" w:ascii="宋体" w:hAnsi="宋体" w:eastAsia="宋体" w:cs="宋体"/>
          <w:color w:val="auto"/>
          <w:sz w:val="32"/>
          <w:szCs w:val="32"/>
          <w:highlight w:val="none"/>
          <w:lang w:val="en-US" w:eastAsia="zh-CN"/>
        </w:rPr>
        <w:t>交付要求及项目验收</w:t>
      </w:r>
      <w:bookmarkEnd w:id="39"/>
    </w:p>
    <w:p>
      <w:pPr>
        <w:spacing w:line="560" w:lineRule="exact"/>
        <w:ind w:firstLine="480" w:firstLineChars="200"/>
        <w:jc w:val="both"/>
        <w:rPr>
          <w:rFonts w:hint="eastAsia" w:ascii="宋体" w:hAnsi="宋体" w:eastAsia="宋体" w:cs="宋体"/>
          <w:sz w:val="24"/>
          <w:szCs w:val="24"/>
          <w:lang w:val="en-US" w:eastAsia="zh-CN"/>
        </w:rPr>
      </w:pPr>
      <w:r>
        <w:rPr>
          <w:rFonts w:hint="eastAsia" w:ascii="宋体" w:hAnsi="宋体" w:cs="宋体"/>
          <w:sz w:val="24"/>
          <w:szCs w:val="24"/>
          <w:lang w:val="en-US" w:eastAsia="zh-CN"/>
        </w:rPr>
        <w:t>4</w:t>
      </w:r>
      <w:r>
        <w:rPr>
          <w:rFonts w:hint="eastAsia" w:ascii="宋体" w:hAnsi="宋体" w:eastAsia="宋体" w:cs="宋体"/>
          <w:sz w:val="24"/>
          <w:szCs w:val="24"/>
        </w:rPr>
        <w:t>.1 中标方应在</w:t>
      </w:r>
      <w:r>
        <w:rPr>
          <w:rFonts w:hint="eastAsia" w:ascii="宋体" w:hAnsi="宋体" w:eastAsia="宋体" w:cs="宋体"/>
          <w:sz w:val="24"/>
          <w:szCs w:val="24"/>
          <w:lang w:val="en-US" w:eastAsia="zh-CN"/>
        </w:rPr>
        <w:t>50天</w:t>
      </w:r>
      <w:r>
        <w:rPr>
          <w:rFonts w:hint="eastAsia" w:ascii="宋体" w:hAnsi="宋体" w:eastAsia="宋体" w:cs="宋体"/>
          <w:sz w:val="24"/>
          <w:szCs w:val="24"/>
        </w:rPr>
        <w:t>内</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从合同签订之日起计算</w:t>
      </w:r>
      <w:r>
        <w:rPr>
          <w:rFonts w:hint="eastAsia" w:ascii="宋体" w:hAnsi="宋体" w:eastAsia="宋体" w:cs="宋体"/>
          <w:sz w:val="24"/>
          <w:szCs w:val="24"/>
          <w:lang w:eastAsia="zh-CN"/>
        </w:rPr>
        <w:t>）</w:t>
      </w:r>
      <w:r>
        <w:rPr>
          <w:rFonts w:hint="eastAsia" w:ascii="宋体" w:hAnsi="宋体" w:eastAsia="宋体" w:cs="宋体"/>
          <w:sz w:val="24"/>
          <w:szCs w:val="24"/>
        </w:rPr>
        <w:t>，将</w:t>
      </w:r>
      <w:r>
        <w:rPr>
          <w:rFonts w:hint="eastAsia" w:ascii="宋体" w:hAnsi="宋体" w:eastAsia="宋体" w:cs="宋体"/>
          <w:sz w:val="24"/>
          <w:szCs w:val="24"/>
          <w:lang w:val="en-US" w:eastAsia="zh-CN"/>
        </w:rPr>
        <w:t>产线装修交付到位</w:t>
      </w:r>
      <w:r>
        <w:rPr>
          <w:rFonts w:hint="eastAsia" w:ascii="宋体" w:hAnsi="宋体" w:eastAsia="宋体" w:cs="宋体"/>
          <w:sz w:val="24"/>
          <w:szCs w:val="24"/>
        </w:rPr>
        <w:t>，</w:t>
      </w:r>
      <w:r>
        <w:rPr>
          <w:rFonts w:hint="eastAsia" w:ascii="宋体" w:hAnsi="宋体" w:eastAsia="宋体" w:cs="宋体"/>
          <w:sz w:val="24"/>
          <w:szCs w:val="24"/>
          <w:lang w:val="en-US" w:eastAsia="zh-CN"/>
        </w:rPr>
        <w:t>提供装修合格证明、图纸、保修卡等</w:t>
      </w:r>
      <w:r>
        <w:rPr>
          <w:rFonts w:hint="eastAsia" w:ascii="宋体" w:hAnsi="宋体" w:eastAsia="宋体" w:cs="宋体"/>
          <w:sz w:val="24"/>
          <w:szCs w:val="24"/>
        </w:rPr>
        <w:t>，其中包括</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设计图、施工图、竣工图。</w:t>
      </w:r>
    </w:p>
    <w:p>
      <w:pPr>
        <w:spacing w:line="560" w:lineRule="exact"/>
        <w:ind w:firstLine="480" w:firstLineChars="200"/>
        <w:jc w:val="both"/>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 xml:space="preserve"> 材料进场验收：所有材料</w:t>
      </w:r>
      <w:r>
        <w:rPr>
          <w:rFonts w:hint="eastAsia" w:ascii="宋体" w:hAnsi="宋体" w:eastAsia="宋体" w:cs="宋体"/>
          <w:sz w:val="24"/>
          <w:szCs w:val="24"/>
          <w:lang w:val="en-US" w:eastAsia="zh-CN"/>
        </w:rPr>
        <w:t>前通知甲方</w:t>
      </w:r>
      <w:r>
        <w:rPr>
          <w:rFonts w:hint="eastAsia" w:ascii="宋体" w:hAnsi="宋体" w:eastAsia="宋体" w:cs="宋体"/>
          <w:sz w:val="24"/>
          <w:szCs w:val="24"/>
        </w:rPr>
        <w:t>核验样品，不合格材料立即清场。</w:t>
      </w:r>
    </w:p>
    <w:p>
      <w:pPr>
        <w:spacing w:line="560" w:lineRule="exact"/>
        <w:ind w:firstLine="480" w:firstLineChars="200"/>
        <w:jc w:val="both"/>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lang w:val="en-US" w:eastAsia="zh-CN"/>
        </w:rPr>
        <w:t>.3</w:t>
      </w:r>
      <w:r>
        <w:rPr>
          <w:rFonts w:hint="eastAsia" w:ascii="宋体" w:hAnsi="宋体" w:eastAsia="宋体" w:cs="宋体"/>
          <w:sz w:val="24"/>
          <w:szCs w:val="24"/>
        </w:rPr>
        <w:t>.专项检测：电路绝缘测试、室内空气质量检测；电路通电全负荷测试、监控画面及存储功能测试。</w:t>
      </w:r>
    </w:p>
    <w:p>
      <w:pPr>
        <w:spacing w:line="560" w:lineRule="exact"/>
        <w:ind w:firstLine="480" w:firstLineChars="200"/>
        <w:jc w:val="both"/>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lang w:val="en-US" w:eastAsia="zh-CN"/>
        </w:rPr>
        <w:t>.6</w:t>
      </w:r>
      <w:r>
        <w:rPr>
          <w:rFonts w:hint="eastAsia" w:ascii="宋体" w:hAnsi="宋体" w:eastAsia="宋体" w:cs="宋体"/>
          <w:sz w:val="24"/>
          <w:szCs w:val="24"/>
        </w:rPr>
        <w:t>.验收存在质量缺陷，中标人3日内无偿返工，工期不予顺延，逾期承担相应违约损失。</w:t>
      </w:r>
    </w:p>
    <w:p>
      <w:pPr>
        <w:pStyle w:val="4"/>
        <w:numPr>
          <w:ilvl w:val="0"/>
          <w:numId w:val="0"/>
        </w:numPr>
        <w:spacing w:before="312" w:beforeLines="100" w:after="0" w:line="560" w:lineRule="exact"/>
        <w:ind w:firstLine="643" w:firstLineChars="200"/>
        <w:jc w:val="both"/>
        <w:rPr>
          <w:rFonts w:hint="eastAsia" w:ascii="宋体" w:hAnsi="宋体" w:eastAsia="宋体" w:cs="宋体"/>
          <w:color w:val="auto"/>
          <w:sz w:val="24"/>
          <w:szCs w:val="24"/>
          <w:highlight w:val="none"/>
        </w:rPr>
      </w:pPr>
      <w:bookmarkStart w:id="40" w:name="_Toc1736"/>
      <w:bookmarkStart w:id="41" w:name="_Toc444945521"/>
      <w:bookmarkStart w:id="42" w:name="_Toc15512"/>
      <w:r>
        <w:rPr>
          <w:rFonts w:hint="eastAsia" w:ascii="宋体" w:hAnsi="宋体" w:cs="宋体"/>
          <w:color w:val="auto"/>
          <w:sz w:val="32"/>
          <w:szCs w:val="32"/>
          <w:highlight w:val="none"/>
          <w:lang w:val="en-US" w:eastAsia="zh-CN"/>
        </w:rPr>
        <w:t>五</w:t>
      </w:r>
      <w:r>
        <w:rPr>
          <w:rFonts w:hint="eastAsia" w:ascii="宋体" w:hAnsi="宋体" w:eastAsia="宋体" w:cs="宋体"/>
          <w:color w:val="auto"/>
          <w:sz w:val="32"/>
          <w:szCs w:val="32"/>
          <w:highlight w:val="none"/>
        </w:rPr>
        <w:t>、</w:t>
      </w:r>
      <w:bookmarkEnd w:id="40"/>
      <w:bookmarkEnd w:id="41"/>
      <w:r>
        <w:rPr>
          <w:rFonts w:hint="eastAsia" w:ascii="宋体" w:hAnsi="宋体" w:eastAsia="宋体" w:cs="宋体"/>
          <w:color w:val="auto"/>
          <w:sz w:val="32"/>
          <w:szCs w:val="32"/>
          <w:highlight w:val="none"/>
        </w:rPr>
        <w:t>质量保证</w:t>
      </w:r>
      <w:r>
        <w:rPr>
          <w:rFonts w:hint="eastAsia" w:ascii="宋体" w:hAnsi="宋体" w:eastAsia="宋体" w:cs="宋体"/>
          <w:color w:val="auto"/>
          <w:sz w:val="32"/>
          <w:szCs w:val="32"/>
          <w:highlight w:val="none"/>
          <w:lang w:val="en-US" w:eastAsia="zh-CN"/>
        </w:rPr>
        <w:t>及</w:t>
      </w:r>
      <w:r>
        <w:rPr>
          <w:rFonts w:hint="eastAsia" w:ascii="宋体" w:hAnsi="宋体" w:eastAsia="宋体" w:cs="宋体"/>
          <w:color w:val="auto"/>
          <w:sz w:val="32"/>
          <w:szCs w:val="32"/>
          <w:highlight w:val="none"/>
        </w:rPr>
        <w:t>售后服务</w:t>
      </w:r>
      <w:bookmarkEnd w:id="42"/>
      <w:r>
        <w:rPr>
          <w:rFonts w:hint="eastAsia" w:ascii="宋体" w:hAnsi="宋体" w:eastAsia="宋体" w:cs="宋体"/>
          <w:color w:val="auto"/>
          <w:sz w:val="24"/>
          <w:szCs w:val="24"/>
          <w:highlight w:val="none"/>
        </w:rPr>
        <w:t xml:space="preserve"> </w:t>
      </w:r>
    </w:p>
    <w:p>
      <w:pPr>
        <w:spacing w:line="560" w:lineRule="exact"/>
        <w:ind w:firstLine="480" w:firstLineChars="200"/>
        <w:jc w:val="both"/>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.1中标人必须严格按照</w:t>
      </w:r>
      <w:r>
        <w:rPr>
          <w:rFonts w:hint="eastAsia" w:ascii="宋体" w:hAnsi="宋体" w:cs="宋体"/>
          <w:color w:val="auto"/>
          <w:sz w:val="24"/>
          <w:szCs w:val="24"/>
          <w:highlight w:val="none"/>
          <w:lang w:val="en-US" w:eastAsia="zh-CN"/>
        </w:rPr>
        <w:t>现场平面图及</w:t>
      </w:r>
      <w:r>
        <w:rPr>
          <w:rFonts w:hint="eastAsia" w:ascii="宋体" w:hAnsi="宋体" w:eastAsia="宋体" w:cs="宋体"/>
          <w:color w:val="auto"/>
          <w:sz w:val="24"/>
          <w:szCs w:val="24"/>
          <w:highlight w:val="none"/>
          <w:lang w:val="en-US" w:eastAsia="zh-CN"/>
        </w:rPr>
        <w:t>工程量清单</w:t>
      </w:r>
      <w:r>
        <w:rPr>
          <w:rFonts w:hint="eastAsia" w:ascii="宋体" w:hAnsi="宋体" w:cs="宋体"/>
          <w:color w:val="auto"/>
          <w:sz w:val="24"/>
          <w:szCs w:val="24"/>
          <w:highlight w:val="none"/>
          <w:lang w:val="en-US" w:eastAsia="zh-CN"/>
        </w:rPr>
        <w:t>施工</w:t>
      </w:r>
      <w:r>
        <w:rPr>
          <w:rFonts w:hint="eastAsia" w:ascii="宋体" w:hAnsi="宋体" w:eastAsia="宋体" w:cs="宋体"/>
          <w:color w:val="auto"/>
          <w:sz w:val="24"/>
          <w:szCs w:val="24"/>
          <w:highlight w:val="none"/>
          <w:lang w:val="en-US" w:eastAsia="zh-CN"/>
        </w:rPr>
        <w:t>。工程质量标准必须符合现行国家有关工程施工质量验收规范和标准的要求,严格执行广西壮族自治区住房和城乡建设厅《关于严格实行房屋建筑和市政基础设施工程质量终身责任承诺、永久性质量责任标牌、终身责任信息档案等制度的通知》(桂建管[2014]96号)要求，落实建设工程质量终身责任</w:t>
      </w:r>
      <w:r>
        <w:rPr>
          <w:rFonts w:hint="eastAsia" w:ascii="宋体" w:hAnsi="宋体" w:eastAsia="宋体" w:cs="宋体"/>
          <w:color w:val="auto"/>
          <w:sz w:val="24"/>
          <w:szCs w:val="24"/>
          <w:highlight w:val="none"/>
        </w:rPr>
        <w:t>。</w:t>
      </w:r>
    </w:p>
    <w:p>
      <w:pPr>
        <w:spacing w:line="560" w:lineRule="exact"/>
        <w:ind w:firstLine="480" w:firstLineChars="200"/>
        <w:jc w:val="both"/>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所有</w:t>
      </w:r>
      <w:r>
        <w:rPr>
          <w:rFonts w:hint="eastAsia" w:ascii="宋体" w:hAnsi="宋体" w:cs="宋体"/>
          <w:color w:val="auto"/>
          <w:sz w:val="24"/>
          <w:szCs w:val="24"/>
          <w:highlight w:val="none"/>
          <w:lang w:val="en-US" w:eastAsia="zh-CN"/>
        </w:rPr>
        <w:t>装修设备</w:t>
      </w:r>
      <w:r>
        <w:rPr>
          <w:rFonts w:hint="eastAsia" w:ascii="宋体" w:hAnsi="宋体" w:eastAsia="宋体" w:cs="宋体"/>
          <w:color w:val="auto"/>
          <w:sz w:val="24"/>
          <w:szCs w:val="24"/>
          <w:highlight w:val="none"/>
        </w:rPr>
        <w:t>均须由投标方提供免费维护、保修服务，自</w:t>
      </w:r>
      <w:r>
        <w:rPr>
          <w:rFonts w:hint="eastAsia" w:ascii="宋体" w:hAnsi="宋体" w:eastAsia="宋体" w:cs="宋体"/>
          <w:color w:val="auto"/>
          <w:sz w:val="24"/>
          <w:szCs w:val="24"/>
          <w:highlight w:val="none"/>
          <w:lang w:val="en-US" w:eastAsia="zh-CN"/>
        </w:rPr>
        <w:t>验收通过双方</w:t>
      </w:r>
      <w:r>
        <w:rPr>
          <w:rFonts w:hint="eastAsia" w:ascii="宋体" w:hAnsi="宋体" w:eastAsia="宋体" w:cs="宋体"/>
          <w:color w:val="auto"/>
          <w:sz w:val="24"/>
          <w:szCs w:val="24"/>
          <w:highlight w:val="none"/>
        </w:rPr>
        <w:t>签字之日起计算设备质保期</w:t>
      </w:r>
      <w:r>
        <w:rPr>
          <w:rFonts w:hint="eastAsia" w:ascii="宋体" w:hAnsi="宋体" w:eastAsia="宋体" w:cs="宋体"/>
          <w:color w:val="auto"/>
          <w:sz w:val="24"/>
          <w:szCs w:val="24"/>
          <w:highlight w:val="none"/>
          <w:lang w:val="en-US" w:eastAsia="zh-CN"/>
        </w:rPr>
        <w:t>，</w:t>
      </w:r>
      <w:r>
        <w:rPr>
          <w:rFonts w:hint="eastAsia" w:ascii="宋体" w:hAnsi="宋体" w:eastAsia="宋体" w:cs="宋体"/>
          <w:sz w:val="24"/>
          <w:szCs w:val="24"/>
        </w:rPr>
        <w:t>整体装修</w:t>
      </w:r>
      <w:r>
        <w:rPr>
          <w:rFonts w:hint="eastAsia" w:ascii="宋体" w:hAnsi="宋体" w:cs="宋体"/>
          <w:sz w:val="24"/>
          <w:szCs w:val="24"/>
          <w:lang w:val="en-US" w:eastAsia="zh-CN"/>
        </w:rPr>
        <w:t>1</w:t>
      </w:r>
      <w:r>
        <w:rPr>
          <w:rFonts w:hint="eastAsia" w:ascii="宋体" w:hAnsi="宋体" w:eastAsia="宋体" w:cs="宋体"/>
          <w:sz w:val="24"/>
          <w:szCs w:val="24"/>
        </w:rPr>
        <w:t>年，水电</w:t>
      </w:r>
      <w:r>
        <w:rPr>
          <w:rFonts w:hint="eastAsia" w:ascii="宋体" w:hAnsi="宋体" w:cs="宋体"/>
          <w:sz w:val="24"/>
          <w:szCs w:val="24"/>
          <w:lang w:val="en-US" w:eastAsia="zh-CN"/>
        </w:rPr>
        <w:t>5</w:t>
      </w:r>
      <w:r>
        <w:rPr>
          <w:rFonts w:hint="eastAsia" w:ascii="宋体" w:hAnsi="宋体" w:eastAsia="宋体" w:cs="宋体"/>
          <w:sz w:val="24"/>
          <w:szCs w:val="24"/>
        </w:rPr>
        <w:t>年</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质保期内免费更换或维修。</w:t>
      </w:r>
    </w:p>
    <w:p>
      <w:pPr>
        <w:spacing w:line="5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质保期内，中标人应提供7*8小时现场保修和技术支持服务，负责解答招标人在</w:t>
      </w:r>
      <w:r>
        <w:rPr>
          <w:rFonts w:hint="eastAsia" w:ascii="宋体" w:hAnsi="宋体" w:cs="宋体"/>
          <w:color w:val="auto"/>
          <w:sz w:val="24"/>
          <w:szCs w:val="24"/>
          <w:highlight w:val="none"/>
          <w:lang w:val="en-US" w:eastAsia="zh-CN"/>
        </w:rPr>
        <w:t>用电</w:t>
      </w:r>
      <w:r>
        <w:rPr>
          <w:rFonts w:hint="eastAsia" w:ascii="宋体" w:hAnsi="宋体" w:eastAsia="宋体" w:cs="宋体"/>
          <w:color w:val="auto"/>
          <w:sz w:val="24"/>
          <w:szCs w:val="24"/>
          <w:highlight w:val="none"/>
        </w:rPr>
        <w:t>设备使用中遇到的问题，并及时提出解决问题的建议和操作方法；</w:t>
      </w:r>
      <w:r>
        <w:rPr>
          <w:rFonts w:hint="eastAsia" w:ascii="宋体" w:hAnsi="宋体" w:eastAsia="宋体" w:cs="宋体"/>
          <w:color w:val="auto"/>
          <w:sz w:val="24"/>
          <w:szCs w:val="24"/>
          <w:highlight w:val="none"/>
          <w:lang w:val="en-US" w:eastAsia="zh-CN"/>
        </w:rPr>
        <w:t>并于</w:t>
      </w:r>
      <w:r>
        <w:rPr>
          <w:rFonts w:hint="eastAsia" w:ascii="宋体" w:hAnsi="宋体" w:eastAsia="宋体" w:cs="宋体"/>
          <w:color w:val="auto"/>
          <w:sz w:val="24"/>
          <w:szCs w:val="24"/>
          <w:highlight w:val="none"/>
        </w:rPr>
        <w:t>第二个工作日上门服务（24小时内上门响应）</w:t>
      </w:r>
      <w:r>
        <w:rPr>
          <w:rFonts w:hint="eastAsia" w:ascii="宋体" w:hAnsi="宋体" w:eastAsia="宋体" w:cs="宋体"/>
          <w:color w:val="auto"/>
          <w:sz w:val="24"/>
          <w:szCs w:val="24"/>
          <w:highlight w:val="none"/>
          <w:lang w:eastAsia="zh-CN"/>
        </w:rPr>
        <w:t>。</w:t>
      </w:r>
    </w:p>
    <w:p>
      <w:pPr>
        <w:spacing w:line="560" w:lineRule="exact"/>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所有售后服务方式均为投标方上门，由此产生的一切费用均由投标方承担</w:t>
      </w:r>
      <w:r>
        <w:rPr>
          <w:rFonts w:hint="eastAsia" w:ascii="宋体" w:hAnsi="宋体" w:eastAsia="宋体" w:cs="宋体"/>
          <w:color w:val="auto"/>
          <w:sz w:val="24"/>
          <w:szCs w:val="24"/>
          <w:highlight w:val="none"/>
          <w:lang w:eastAsia="zh-CN"/>
        </w:rPr>
        <w:t>。</w:t>
      </w:r>
    </w:p>
    <w:p>
      <w:pPr>
        <w:spacing w:line="560" w:lineRule="exact"/>
        <w:ind w:left="0" w:leftChars="0" w:firstLine="0" w:firstLineChars="0"/>
        <w:outlineLvl w:val="0"/>
        <w:rPr>
          <w:rFonts w:hint="eastAsia" w:ascii="仿宋_GB2312" w:hAnsi="仿宋_GB2312" w:eastAsia="仿宋_GB2312" w:cs="仿宋_GB2312"/>
          <w:b/>
          <w:color w:val="auto"/>
          <w:sz w:val="32"/>
          <w:highlight w:val="none"/>
        </w:rPr>
      </w:pPr>
      <w:bookmarkStart w:id="43" w:name="_Toc415424920"/>
      <w:bookmarkStart w:id="44" w:name="_Toc333303610"/>
    </w:p>
    <w:bookmarkEnd w:id="43"/>
    <w:bookmarkEnd w:id="44"/>
    <w:p>
      <w:pPr>
        <w:widowControl w:val="0"/>
        <w:spacing w:before="156" w:beforeLines="50" w:after="156" w:afterLines="50" w:line="560" w:lineRule="exact"/>
        <w:ind w:firstLine="643" w:firstLineChars="200"/>
        <w:jc w:val="both"/>
        <w:rPr>
          <w:rFonts w:hint="eastAsia" w:ascii="仿宋_GB2312" w:hAnsi="仿宋_GB2312" w:eastAsia="仿宋_GB2312" w:cs="仿宋_GB2312"/>
          <w:b/>
          <w:sz w:val="32"/>
          <w:szCs w:val="30"/>
        </w:rPr>
      </w:pPr>
    </w:p>
    <w:p>
      <w:pPr>
        <w:spacing w:line="360" w:lineRule="auto"/>
        <w:outlineLvl w:val="0"/>
        <w:rPr>
          <w:rFonts w:hint="eastAsia"/>
          <w:b/>
          <w:color w:val="auto"/>
          <w:sz w:val="24"/>
          <w:highlight w:val="none"/>
        </w:rPr>
      </w:pPr>
      <w:bookmarkStart w:id="45" w:name="_Toc2394"/>
      <w:r>
        <w:rPr>
          <w:rFonts w:hint="eastAsia"/>
          <w:b/>
          <w:color w:val="auto"/>
          <w:sz w:val="24"/>
          <w:highlight w:val="none"/>
        </w:rPr>
        <w:t>附件一</w:t>
      </w:r>
      <w:bookmarkEnd w:id="45"/>
    </w:p>
    <w:p>
      <w:pPr>
        <w:spacing w:line="360" w:lineRule="auto"/>
        <w:jc w:val="center"/>
        <w:outlineLvl w:val="0"/>
        <w:rPr>
          <w:rFonts w:hint="eastAsia"/>
          <w:b/>
          <w:color w:val="auto"/>
          <w:sz w:val="24"/>
          <w:highlight w:val="none"/>
        </w:rPr>
      </w:pPr>
      <w:bookmarkStart w:id="46" w:name="_Toc415424921"/>
      <w:bookmarkStart w:id="47" w:name="_Toc13049"/>
      <w:r>
        <w:rPr>
          <w:rFonts w:hint="eastAsia"/>
          <w:b/>
          <w:color w:val="auto"/>
          <w:sz w:val="24"/>
          <w:highlight w:val="none"/>
        </w:rPr>
        <w:t>投标差异表（格式）</w:t>
      </w:r>
      <w:bookmarkEnd w:id="46"/>
      <w:bookmarkEnd w:id="47"/>
    </w:p>
    <w:p>
      <w:pPr>
        <w:pStyle w:val="2"/>
        <w:rPr>
          <w:rFonts w:hint="eastAsia"/>
        </w:rPr>
      </w:pPr>
    </w:p>
    <w:p>
      <w:pPr>
        <w:spacing w:line="360" w:lineRule="auto"/>
        <w:ind w:firstLine="425"/>
        <w:rPr>
          <w:rFonts w:hint="eastAsia"/>
          <w:color w:val="auto"/>
          <w:sz w:val="24"/>
          <w:highlight w:val="none"/>
        </w:rPr>
      </w:pPr>
      <w:r>
        <w:rPr>
          <w:rFonts w:hint="eastAsia"/>
          <w:color w:val="auto"/>
          <w:sz w:val="24"/>
          <w:highlight w:val="none"/>
        </w:rPr>
        <w:t>投标人要将投标文件中，与招标文件有差异之处，无论优于或劣于招标文件要求，均汇集成此表。</w:t>
      </w:r>
    </w:p>
    <w:p>
      <w:pPr>
        <w:spacing w:line="360" w:lineRule="auto"/>
        <w:rPr>
          <w:rFonts w:hint="eastAsia"/>
          <w:color w:val="auto"/>
          <w:sz w:val="24"/>
          <w:highlight w:val="none"/>
        </w:rPr>
      </w:pPr>
    </w:p>
    <w:p>
      <w:pPr>
        <w:widowControl/>
        <w:spacing w:line="360" w:lineRule="auto"/>
        <w:rPr>
          <w:rFonts w:hint="eastAsia"/>
          <w:color w:val="auto"/>
          <w:sz w:val="24"/>
          <w:highlight w:val="none"/>
        </w:rPr>
      </w:pPr>
      <w:r>
        <w:rPr>
          <w:rFonts w:hint="eastAsia"/>
          <w:color w:val="auto"/>
          <w:sz w:val="24"/>
          <w:highlight w:val="none"/>
        </w:rPr>
        <w:t>投标人：</w:t>
      </w:r>
      <w:r>
        <w:rPr>
          <w:rFonts w:hint="eastAsia"/>
          <w:color w:val="auto"/>
          <w:sz w:val="24"/>
          <w:highlight w:val="none"/>
          <w:u w:val="single"/>
        </w:rPr>
        <w:t xml:space="preserve">             </w:t>
      </w:r>
      <w:r>
        <w:rPr>
          <w:rFonts w:hint="eastAsia"/>
          <w:color w:val="auto"/>
          <w:sz w:val="24"/>
          <w:highlight w:val="none"/>
        </w:rPr>
        <w:t xml:space="preserve">   盖章：</w:t>
      </w:r>
    </w:p>
    <w:tbl>
      <w:tblPr>
        <w:tblStyle w:val="32"/>
        <w:tblW w:w="0" w:type="auto"/>
        <w:tblInd w:w="0" w:type="dxa"/>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8"/>
        <w:gridCol w:w="1050"/>
        <w:gridCol w:w="2940"/>
        <w:gridCol w:w="945"/>
        <w:gridCol w:w="2625"/>
      </w:tblGrid>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738" w:type="dxa"/>
            <w:vMerge w:val="restart"/>
            <w:noWrap w:val="0"/>
            <w:vAlign w:val="center"/>
          </w:tcPr>
          <w:p>
            <w:pPr>
              <w:spacing w:line="360" w:lineRule="auto"/>
              <w:ind w:left="0" w:leftChars="0" w:firstLine="0" w:firstLineChars="0"/>
              <w:jc w:val="both"/>
              <w:rPr>
                <w:rFonts w:hint="eastAsia" w:eastAsia="宋体"/>
                <w:caps/>
                <w:color w:val="auto"/>
                <w:sz w:val="24"/>
                <w:highlight w:val="none"/>
              </w:rPr>
            </w:pPr>
            <w:r>
              <w:rPr>
                <w:rFonts w:hint="eastAsia" w:eastAsia="宋体"/>
                <w:caps/>
                <w:color w:val="auto"/>
                <w:sz w:val="24"/>
                <w:highlight w:val="none"/>
              </w:rPr>
              <w:t>序号</w:t>
            </w:r>
          </w:p>
        </w:tc>
        <w:tc>
          <w:tcPr>
            <w:tcW w:w="3990" w:type="dxa"/>
            <w:gridSpan w:val="2"/>
            <w:noWrap w:val="0"/>
            <w:vAlign w:val="center"/>
          </w:tcPr>
          <w:p>
            <w:pPr>
              <w:spacing w:line="360" w:lineRule="auto"/>
              <w:jc w:val="center"/>
              <w:rPr>
                <w:rFonts w:hint="eastAsia" w:eastAsia="宋体"/>
                <w:caps/>
                <w:color w:val="auto"/>
                <w:sz w:val="24"/>
                <w:highlight w:val="none"/>
              </w:rPr>
            </w:pPr>
            <w:r>
              <w:rPr>
                <w:rFonts w:hint="eastAsia" w:eastAsia="宋体"/>
                <w:caps/>
                <w:color w:val="auto"/>
                <w:sz w:val="24"/>
                <w:highlight w:val="none"/>
              </w:rPr>
              <w:t>招标文件</w:t>
            </w:r>
          </w:p>
        </w:tc>
        <w:tc>
          <w:tcPr>
            <w:tcW w:w="3570" w:type="dxa"/>
            <w:gridSpan w:val="2"/>
            <w:noWrap w:val="0"/>
            <w:vAlign w:val="center"/>
          </w:tcPr>
          <w:p>
            <w:pPr>
              <w:spacing w:line="360" w:lineRule="auto"/>
              <w:jc w:val="center"/>
              <w:rPr>
                <w:rFonts w:hint="eastAsia" w:eastAsia="宋体"/>
                <w:caps/>
                <w:color w:val="auto"/>
                <w:sz w:val="24"/>
                <w:highlight w:val="none"/>
              </w:rPr>
            </w:pPr>
            <w:r>
              <w:rPr>
                <w:rFonts w:hint="eastAsia" w:eastAsia="宋体"/>
                <w:caps/>
                <w:color w:val="auto"/>
                <w:sz w:val="24"/>
                <w:highlight w:val="none"/>
              </w:rPr>
              <w:t>投标文件</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738" w:type="dxa"/>
            <w:vMerge w:val="continue"/>
            <w:noWrap w:val="0"/>
            <w:vAlign w:val="center"/>
          </w:tcPr>
          <w:p>
            <w:pPr>
              <w:spacing w:line="360" w:lineRule="auto"/>
              <w:jc w:val="center"/>
              <w:rPr>
                <w:rFonts w:hint="eastAsia" w:eastAsia="宋体"/>
                <w:color w:val="auto"/>
                <w:sz w:val="24"/>
                <w:highlight w:val="none"/>
              </w:rPr>
            </w:pPr>
          </w:p>
        </w:tc>
        <w:tc>
          <w:tcPr>
            <w:tcW w:w="1050" w:type="dxa"/>
            <w:noWrap w:val="0"/>
            <w:vAlign w:val="center"/>
          </w:tcPr>
          <w:p>
            <w:pPr>
              <w:spacing w:line="360" w:lineRule="auto"/>
              <w:jc w:val="center"/>
              <w:rPr>
                <w:rFonts w:hint="eastAsia" w:eastAsia="宋体"/>
                <w:color w:val="auto"/>
                <w:sz w:val="24"/>
                <w:highlight w:val="none"/>
              </w:rPr>
            </w:pPr>
            <w:r>
              <w:rPr>
                <w:rFonts w:hint="eastAsia" w:eastAsia="宋体"/>
                <w:color w:val="auto"/>
                <w:sz w:val="24"/>
                <w:highlight w:val="none"/>
              </w:rPr>
              <w:t>条目</w:t>
            </w:r>
          </w:p>
        </w:tc>
        <w:tc>
          <w:tcPr>
            <w:tcW w:w="2940" w:type="dxa"/>
            <w:noWrap w:val="0"/>
            <w:vAlign w:val="center"/>
          </w:tcPr>
          <w:p>
            <w:pPr>
              <w:spacing w:line="360" w:lineRule="auto"/>
              <w:jc w:val="center"/>
              <w:rPr>
                <w:rFonts w:hint="eastAsia" w:eastAsia="宋体"/>
                <w:color w:val="auto"/>
                <w:sz w:val="24"/>
                <w:highlight w:val="none"/>
              </w:rPr>
            </w:pPr>
            <w:r>
              <w:rPr>
                <w:rFonts w:hint="eastAsia" w:eastAsia="宋体"/>
                <w:color w:val="auto"/>
                <w:sz w:val="24"/>
                <w:highlight w:val="none"/>
              </w:rPr>
              <w:t>简要内容</w:t>
            </w:r>
          </w:p>
        </w:tc>
        <w:tc>
          <w:tcPr>
            <w:tcW w:w="945" w:type="dxa"/>
            <w:noWrap w:val="0"/>
            <w:vAlign w:val="center"/>
          </w:tcPr>
          <w:p>
            <w:pPr>
              <w:spacing w:line="360" w:lineRule="auto"/>
              <w:jc w:val="center"/>
              <w:rPr>
                <w:rFonts w:hint="eastAsia" w:eastAsia="宋体"/>
                <w:color w:val="auto"/>
                <w:sz w:val="24"/>
                <w:highlight w:val="none"/>
              </w:rPr>
            </w:pPr>
            <w:r>
              <w:rPr>
                <w:rFonts w:hint="eastAsia" w:eastAsia="宋体"/>
                <w:color w:val="auto"/>
                <w:sz w:val="24"/>
                <w:highlight w:val="none"/>
              </w:rPr>
              <w:t>条目</w:t>
            </w:r>
          </w:p>
        </w:tc>
        <w:tc>
          <w:tcPr>
            <w:tcW w:w="2625" w:type="dxa"/>
            <w:noWrap w:val="0"/>
            <w:vAlign w:val="center"/>
          </w:tcPr>
          <w:p>
            <w:pPr>
              <w:spacing w:line="360" w:lineRule="auto"/>
              <w:jc w:val="center"/>
              <w:rPr>
                <w:rFonts w:hint="eastAsia" w:eastAsia="宋体"/>
                <w:color w:val="auto"/>
                <w:sz w:val="24"/>
                <w:highlight w:val="none"/>
              </w:rPr>
            </w:pPr>
            <w:r>
              <w:rPr>
                <w:rFonts w:hint="eastAsia" w:eastAsia="宋体"/>
                <w:color w:val="auto"/>
                <w:sz w:val="24"/>
                <w:highlight w:val="none"/>
              </w:rPr>
              <w:t>简要内容</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738" w:type="dxa"/>
            <w:noWrap w:val="0"/>
            <w:vAlign w:val="center"/>
          </w:tcPr>
          <w:p>
            <w:pPr>
              <w:spacing w:line="360" w:lineRule="auto"/>
              <w:jc w:val="center"/>
              <w:rPr>
                <w:rFonts w:hint="eastAsia" w:eastAsia="宋体"/>
                <w:color w:val="auto"/>
                <w:sz w:val="24"/>
                <w:highlight w:val="none"/>
              </w:rPr>
            </w:pPr>
          </w:p>
        </w:tc>
        <w:tc>
          <w:tcPr>
            <w:tcW w:w="1050" w:type="dxa"/>
            <w:noWrap w:val="0"/>
            <w:vAlign w:val="center"/>
          </w:tcPr>
          <w:p>
            <w:pPr>
              <w:spacing w:line="360" w:lineRule="auto"/>
              <w:jc w:val="center"/>
              <w:rPr>
                <w:rFonts w:hint="eastAsia" w:eastAsia="宋体"/>
                <w:color w:val="auto"/>
                <w:sz w:val="24"/>
                <w:highlight w:val="none"/>
              </w:rPr>
            </w:pPr>
          </w:p>
        </w:tc>
        <w:tc>
          <w:tcPr>
            <w:tcW w:w="2940" w:type="dxa"/>
            <w:noWrap w:val="0"/>
            <w:vAlign w:val="center"/>
          </w:tcPr>
          <w:p>
            <w:pPr>
              <w:spacing w:line="360" w:lineRule="auto"/>
              <w:jc w:val="center"/>
              <w:rPr>
                <w:rFonts w:hint="eastAsia" w:eastAsia="宋体"/>
                <w:color w:val="auto"/>
                <w:sz w:val="24"/>
                <w:highlight w:val="none"/>
              </w:rPr>
            </w:pPr>
          </w:p>
        </w:tc>
        <w:tc>
          <w:tcPr>
            <w:tcW w:w="945" w:type="dxa"/>
            <w:noWrap w:val="0"/>
            <w:vAlign w:val="center"/>
          </w:tcPr>
          <w:p>
            <w:pPr>
              <w:spacing w:line="360" w:lineRule="auto"/>
              <w:jc w:val="center"/>
              <w:rPr>
                <w:rFonts w:hint="eastAsia" w:eastAsia="宋体"/>
                <w:color w:val="auto"/>
                <w:sz w:val="24"/>
                <w:highlight w:val="none"/>
              </w:rPr>
            </w:pPr>
          </w:p>
        </w:tc>
        <w:tc>
          <w:tcPr>
            <w:tcW w:w="2625" w:type="dxa"/>
            <w:noWrap w:val="0"/>
            <w:vAlign w:val="center"/>
          </w:tcPr>
          <w:p>
            <w:pPr>
              <w:spacing w:line="360" w:lineRule="auto"/>
              <w:jc w:val="center"/>
              <w:rPr>
                <w:rFonts w:hint="eastAsia" w:eastAsia="宋体"/>
                <w:color w:val="auto"/>
                <w:sz w:val="24"/>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738" w:type="dxa"/>
            <w:noWrap w:val="0"/>
            <w:vAlign w:val="top"/>
          </w:tcPr>
          <w:p>
            <w:pPr>
              <w:spacing w:line="360" w:lineRule="auto"/>
              <w:rPr>
                <w:rFonts w:hint="eastAsia" w:eastAsia="宋体"/>
                <w:color w:val="auto"/>
                <w:sz w:val="24"/>
                <w:highlight w:val="none"/>
              </w:rPr>
            </w:pPr>
          </w:p>
        </w:tc>
        <w:tc>
          <w:tcPr>
            <w:tcW w:w="1050" w:type="dxa"/>
            <w:noWrap w:val="0"/>
            <w:vAlign w:val="top"/>
          </w:tcPr>
          <w:p>
            <w:pPr>
              <w:spacing w:line="360" w:lineRule="auto"/>
              <w:rPr>
                <w:rFonts w:hint="eastAsia" w:eastAsia="宋体"/>
                <w:color w:val="auto"/>
                <w:sz w:val="24"/>
                <w:highlight w:val="none"/>
              </w:rPr>
            </w:pPr>
          </w:p>
        </w:tc>
        <w:tc>
          <w:tcPr>
            <w:tcW w:w="2940" w:type="dxa"/>
            <w:noWrap w:val="0"/>
            <w:vAlign w:val="top"/>
          </w:tcPr>
          <w:p>
            <w:pPr>
              <w:spacing w:line="360" w:lineRule="auto"/>
              <w:rPr>
                <w:rFonts w:hint="eastAsia" w:eastAsia="宋体"/>
                <w:color w:val="auto"/>
                <w:sz w:val="24"/>
                <w:highlight w:val="none"/>
              </w:rPr>
            </w:pPr>
          </w:p>
        </w:tc>
        <w:tc>
          <w:tcPr>
            <w:tcW w:w="945" w:type="dxa"/>
            <w:noWrap w:val="0"/>
            <w:vAlign w:val="top"/>
          </w:tcPr>
          <w:p>
            <w:pPr>
              <w:spacing w:line="360" w:lineRule="auto"/>
              <w:rPr>
                <w:rFonts w:hint="eastAsia" w:eastAsia="宋体"/>
                <w:color w:val="auto"/>
                <w:sz w:val="24"/>
                <w:highlight w:val="none"/>
              </w:rPr>
            </w:pPr>
          </w:p>
        </w:tc>
        <w:tc>
          <w:tcPr>
            <w:tcW w:w="2625" w:type="dxa"/>
            <w:noWrap w:val="0"/>
            <w:vAlign w:val="top"/>
          </w:tcPr>
          <w:p>
            <w:pPr>
              <w:spacing w:line="360" w:lineRule="auto"/>
              <w:rPr>
                <w:rFonts w:hint="eastAsia" w:eastAsia="宋体"/>
                <w:color w:val="auto"/>
                <w:sz w:val="24"/>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738" w:type="dxa"/>
            <w:noWrap w:val="0"/>
            <w:vAlign w:val="top"/>
          </w:tcPr>
          <w:p>
            <w:pPr>
              <w:spacing w:line="360" w:lineRule="auto"/>
              <w:rPr>
                <w:rFonts w:hint="eastAsia" w:eastAsia="宋体"/>
                <w:color w:val="auto"/>
                <w:sz w:val="24"/>
                <w:highlight w:val="none"/>
              </w:rPr>
            </w:pPr>
          </w:p>
        </w:tc>
        <w:tc>
          <w:tcPr>
            <w:tcW w:w="1050" w:type="dxa"/>
            <w:noWrap w:val="0"/>
            <w:vAlign w:val="top"/>
          </w:tcPr>
          <w:p>
            <w:pPr>
              <w:spacing w:line="360" w:lineRule="auto"/>
              <w:rPr>
                <w:rFonts w:hint="eastAsia" w:eastAsia="宋体"/>
                <w:color w:val="auto"/>
                <w:sz w:val="24"/>
                <w:highlight w:val="none"/>
              </w:rPr>
            </w:pPr>
          </w:p>
        </w:tc>
        <w:tc>
          <w:tcPr>
            <w:tcW w:w="2940" w:type="dxa"/>
            <w:noWrap w:val="0"/>
            <w:vAlign w:val="top"/>
          </w:tcPr>
          <w:p>
            <w:pPr>
              <w:spacing w:line="360" w:lineRule="auto"/>
              <w:rPr>
                <w:rFonts w:hint="eastAsia" w:eastAsia="宋体"/>
                <w:color w:val="auto"/>
                <w:sz w:val="24"/>
                <w:highlight w:val="none"/>
              </w:rPr>
            </w:pPr>
          </w:p>
        </w:tc>
        <w:tc>
          <w:tcPr>
            <w:tcW w:w="945" w:type="dxa"/>
            <w:noWrap w:val="0"/>
            <w:vAlign w:val="top"/>
          </w:tcPr>
          <w:p>
            <w:pPr>
              <w:spacing w:line="360" w:lineRule="auto"/>
              <w:rPr>
                <w:rFonts w:hint="eastAsia" w:eastAsia="宋体"/>
                <w:color w:val="auto"/>
                <w:sz w:val="24"/>
                <w:highlight w:val="none"/>
              </w:rPr>
            </w:pPr>
          </w:p>
        </w:tc>
        <w:tc>
          <w:tcPr>
            <w:tcW w:w="2625" w:type="dxa"/>
            <w:noWrap w:val="0"/>
            <w:vAlign w:val="top"/>
          </w:tcPr>
          <w:p>
            <w:pPr>
              <w:spacing w:line="360" w:lineRule="auto"/>
              <w:rPr>
                <w:rFonts w:hint="eastAsia" w:eastAsia="宋体"/>
                <w:color w:val="auto"/>
                <w:sz w:val="24"/>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738" w:type="dxa"/>
            <w:noWrap w:val="0"/>
            <w:vAlign w:val="top"/>
          </w:tcPr>
          <w:p>
            <w:pPr>
              <w:spacing w:line="360" w:lineRule="auto"/>
              <w:rPr>
                <w:rFonts w:hint="eastAsia" w:eastAsia="宋体"/>
                <w:color w:val="auto"/>
                <w:sz w:val="24"/>
                <w:highlight w:val="none"/>
              </w:rPr>
            </w:pPr>
          </w:p>
        </w:tc>
        <w:tc>
          <w:tcPr>
            <w:tcW w:w="1050" w:type="dxa"/>
            <w:noWrap w:val="0"/>
            <w:vAlign w:val="top"/>
          </w:tcPr>
          <w:p>
            <w:pPr>
              <w:spacing w:line="360" w:lineRule="auto"/>
              <w:rPr>
                <w:rFonts w:hint="eastAsia" w:eastAsia="宋体"/>
                <w:color w:val="auto"/>
                <w:sz w:val="24"/>
                <w:highlight w:val="none"/>
              </w:rPr>
            </w:pPr>
          </w:p>
        </w:tc>
        <w:tc>
          <w:tcPr>
            <w:tcW w:w="2940" w:type="dxa"/>
            <w:noWrap w:val="0"/>
            <w:vAlign w:val="top"/>
          </w:tcPr>
          <w:p>
            <w:pPr>
              <w:spacing w:line="360" w:lineRule="auto"/>
              <w:rPr>
                <w:rFonts w:hint="eastAsia" w:eastAsia="宋体"/>
                <w:color w:val="auto"/>
                <w:sz w:val="24"/>
                <w:highlight w:val="none"/>
              </w:rPr>
            </w:pPr>
          </w:p>
        </w:tc>
        <w:tc>
          <w:tcPr>
            <w:tcW w:w="945" w:type="dxa"/>
            <w:noWrap w:val="0"/>
            <w:vAlign w:val="top"/>
          </w:tcPr>
          <w:p>
            <w:pPr>
              <w:pStyle w:val="20"/>
              <w:spacing w:line="360" w:lineRule="auto"/>
              <w:ind w:left="5250"/>
              <w:rPr>
                <w:rFonts w:hint="eastAsia" w:ascii="Times New Roman" w:hAnsi="Times New Roman"/>
                <w:color w:val="auto"/>
                <w:sz w:val="24"/>
                <w:highlight w:val="none"/>
              </w:rPr>
            </w:pPr>
          </w:p>
        </w:tc>
        <w:tc>
          <w:tcPr>
            <w:tcW w:w="2625" w:type="dxa"/>
            <w:noWrap w:val="0"/>
            <w:vAlign w:val="top"/>
          </w:tcPr>
          <w:p>
            <w:pPr>
              <w:spacing w:line="360" w:lineRule="auto"/>
              <w:rPr>
                <w:rFonts w:hint="eastAsia" w:eastAsia="宋体"/>
                <w:color w:val="auto"/>
                <w:sz w:val="24"/>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738" w:type="dxa"/>
            <w:noWrap w:val="0"/>
            <w:vAlign w:val="top"/>
          </w:tcPr>
          <w:p>
            <w:pPr>
              <w:spacing w:line="360" w:lineRule="auto"/>
              <w:rPr>
                <w:rFonts w:hint="eastAsia" w:eastAsia="宋体"/>
                <w:color w:val="auto"/>
                <w:sz w:val="24"/>
                <w:highlight w:val="none"/>
              </w:rPr>
            </w:pPr>
          </w:p>
        </w:tc>
        <w:tc>
          <w:tcPr>
            <w:tcW w:w="1050" w:type="dxa"/>
            <w:noWrap w:val="0"/>
            <w:vAlign w:val="top"/>
          </w:tcPr>
          <w:p>
            <w:pPr>
              <w:spacing w:line="360" w:lineRule="auto"/>
              <w:rPr>
                <w:rFonts w:hint="eastAsia" w:eastAsia="宋体"/>
                <w:color w:val="auto"/>
                <w:sz w:val="24"/>
                <w:highlight w:val="none"/>
              </w:rPr>
            </w:pPr>
          </w:p>
        </w:tc>
        <w:tc>
          <w:tcPr>
            <w:tcW w:w="2940" w:type="dxa"/>
            <w:noWrap w:val="0"/>
            <w:vAlign w:val="top"/>
          </w:tcPr>
          <w:p>
            <w:pPr>
              <w:spacing w:line="360" w:lineRule="auto"/>
              <w:rPr>
                <w:rFonts w:hint="eastAsia" w:eastAsia="宋体"/>
                <w:color w:val="auto"/>
                <w:sz w:val="24"/>
                <w:highlight w:val="none"/>
              </w:rPr>
            </w:pPr>
          </w:p>
        </w:tc>
        <w:tc>
          <w:tcPr>
            <w:tcW w:w="945" w:type="dxa"/>
            <w:noWrap w:val="0"/>
            <w:vAlign w:val="top"/>
          </w:tcPr>
          <w:p>
            <w:pPr>
              <w:spacing w:line="360" w:lineRule="auto"/>
              <w:rPr>
                <w:rFonts w:hint="eastAsia" w:eastAsia="宋体"/>
                <w:color w:val="auto"/>
                <w:sz w:val="24"/>
                <w:highlight w:val="none"/>
              </w:rPr>
            </w:pPr>
          </w:p>
        </w:tc>
        <w:tc>
          <w:tcPr>
            <w:tcW w:w="2625" w:type="dxa"/>
            <w:noWrap w:val="0"/>
            <w:vAlign w:val="top"/>
          </w:tcPr>
          <w:p>
            <w:pPr>
              <w:spacing w:line="360" w:lineRule="auto"/>
              <w:rPr>
                <w:rFonts w:hint="eastAsia" w:eastAsia="宋体"/>
                <w:color w:val="auto"/>
                <w:sz w:val="24"/>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738" w:type="dxa"/>
            <w:noWrap w:val="0"/>
            <w:vAlign w:val="top"/>
          </w:tcPr>
          <w:p>
            <w:pPr>
              <w:spacing w:line="360" w:lineRule="auto"/>
              <w:rPr>
                <w:rFonts w:hint="eastAsia" w:eastAsia="宋体"/>
                <w:color w:val="auto"/>
                <w:sz w:val="24"/>
                <w:highlight w:val="none"/>
              </w:rPr>
            </w:pPr>
          </w:p>
        </w:tc>
        <w:tc>
          <w:tcPr>
            <w:tcW w:w="1050" w:type="dxa"/>
            <w:noWrap w:val="0"/>
            <w:vAlign w:val="top"/>
          </w:tcPr>
          <w:p>
            <w:pPr>
              <w:spacing w:line="360" w:lineRule="auto"/>
              <w:rPr>
                <w:rFonts w:hint="eastAsia" w:eastAsia="宋体"/>
                <w:color w:val="auto"/>
                <w:sz w:val="24"/>
                <w:highlight w:val="none"/>
              </w:rPr>
            </w:pPr>
          </w:p>
        </w:tc>
        <w:tc>
          <w:tcPr>
            <w:tcW w:w="2940" w:type="dxa"/>
            <w:noWrap w:val="0"/>
            <w:vAlign w:val="top"/>
          </w:tcPr>
          <w:p>
            <w:pPr>
              <w:spacing w:line="360" w:lineRule="auto"/>
              <w:rPr>
                <w:rFonts w:hint="eastAsia" w:eastAsia="宋体"/>
                <w:color w:val="auto"/>
                <w:sz w:val="24"/>
                <w:highlight w:val="none"/>
              </w:rPr>
            </w:pPr>
          </w:p>
        </w:tc>
        <w:tc>
          <w:tcPr>
            <w:tcW w:w="945" w:type="dxa"/>
            <w:noWrap w:val="0"/>
            <w:vAlign w:val="top"/>
          </w:tcPr>
          <w:p>
            <w:pPr>
              <w:spacing w:line="360" w:lineRule="auto"/>
              <w:rPr>
                <w:rFonts w:hint="eastAsia" w:eastAsia="宋体"/>
                <w:color w:val="auto"/>
                <w:sz w:val="24"/>
                <w:highlight w:val="none"/>
              </w:rPr>
            </w:pPr>
          </w:p>
        </w:tc>
        <w:tc>
          <w:tcPr>
            <w:tcW w:w="2625" w:type="dxa"/>
            <w:noWrap w:val="0"/>
            <w:vAlign w:val="top"/>
          </w:tcPr>
          <w:p>
            <w:pPr>
              <w:spacing w:line="360" w:lineRule="auto"/>
              <w:rPr>
                <w:rFonts w:hint="eastAsia" w:eastAsia="宋体"/>
                <w:color w:val="auto"/>
                <w:sz w:val="24"/>
                <w:highlight w:val="none"/>
              </w:rPr>
            </w:pPr>
          </w:p>
        </w:tc>
      </w:tr>
    </w:tbl>
    <w:p>
      <w:pPr>
        <w:spacing w:line="360" w:lineRule="auto"/>
        <w:rPr>
          <w:rFonts w:hint="eastAsia"/>
          <w:color w:val="auto"/>
          <w:sz w:val="24"/>
          <w:highlight w:val="none"/>
        </w:rPr>
      </w:pPr>
    </w:p>
    <w:p>
      <w:pPr>
        <w:spacing w:line="360" w:lineRule="auto"/>
        <w:rPr>
          <w:rFonts w:hint="eastAsia"/>
          <w:color w:val="auto"/>
          <w:sz w:val="24"/>
          <w:highlight w:val="none"/>
        </w:rPr>
      </w:pPr>
      <w:r>
        <w:rPr>
          <w:rFonts w:hint="eastAsia"/>
          <w:color w:val="auto"/>
          <w:sz w:val="24"/>
          <w:highlight w:val="none"/>
        </w:rPr>
        <w:t>说明：投标差异表中未提及部分均响应招标文件要求。</w:t>
      </w:r>
    </w:p>
    <w:p>
      <w:pPr>
        <w:widowControl/>
        <w:spacing w:line="360" w:lineRule="auto"/>
        <w:rPr>
          <w:rFonts w:hint="eastAsia"/>
          <w:color w:val="auto"/>
          <w:sz w:val="24"/>
          <w:highlight w:val="none"/>
        </w:rPr>
      </w:pPr>
      <w:r>
        <w:rPr>
          <w:rFonts w:hint="eastAsia"/>
          <w:color w:val="auto"/>
          <w:sz w:val="24"/>
          <w:highlight w:val="none"/>
        </w:rPr>
        <w:t xml:space="preserve">                                       投标授权人签字：</w:t>
      </w:r>
    </w:p>
    <w:p>
      <w:pPr>
        <w:widowControl/>
        <w:spacing w:line="360" w:lineRule="auto"/>
        <w:rPr>
          <w:color w:val="auto"/>
          <w:highlight w:val="none"/>
        </w:rPr>
      </w:pPr>
      <w:r>
        <w:rPr>
          <w:rFonts w:hint="eastAsia"/>
          <w:color w:val="auto"/>
          <w:sz w:val="24"/>
          <w:highlight w:val="none"/>
        </w:rPr>
        <w:t xml:space="preserve">                                                 时间：</w:t>
      </w:r>
    </w:p>
    <w:sectPr>
      <w:headerReference r:id="rId11" w:type="default"/>
      <w:footerReference r:id="rId12" w:type="default"/>
      <w:pgSz w:w="11906" w:h="16838"/>
      <w:pgMar w:top="2100" w:right="1480" w:bottom="1980" w:left="1600"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center"/>
      <w:rPr>
        <w:rFonts w:hint="eastAsia" w:ascii="宋体" w:hAnsi="宋体" w:eastAsia="宋体" w:cs="宋体"/>
        <w:sz w:val="28"/>
        <w:lang w:eastAsia="zh-CN"/>
      </w:rPr>
    </w:pPr>
    <w:r>
      <w:rPr>
        <w:rFonts w:hint="eastAsia" w:ascii="宋体" w:hAnsi="宋体" w:eastAsia="宋体" w:cs="宋体"/>
        <w:sz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ind w:firstLine="360"/>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08305" cy="219710"/>
              <wp:effectExtent l="0" t="0" r="0" b="0"/>
              <wp:wrapNone/>
              <wp:docPr id="6" name="文本框 1"/>
              <wp:cNvGraphicFramePr/>
              <a:graphic xmlns:a="http://schemas.openxmlformats.org/drawingml/2006/main">
                <a:graphicData uri="http://schemas.microsoft.com/office/word/2010/wordprocessingShape">
                  <wps:wsp>
                    <wps:cNvSpPr txBox="1"/>
                    <wps:spPr>
                      <a:xfrm>
                        <a:off x="0" y="0"/>
                        <a:ext cx="408305" cy="219710"/>
                      </a:xfrm>
                      <a:prstGeom prst="rect">
                        <a:avLst/>
                      </a:prstGeom>
                      <a:noFill/>
                      <a:ln>
                        <a:noFill/>
                      </a:ln>
                    </wps:spPr>
                    <wps:txbx>
                      <w:txbxContent>
                        <w:p>
                          <w:pPr>
                            <w:pStyle w:val="22"/>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t>16</w:t>
                          </w:r>
                          <w:r>
                            <w:rPr>
                              <w:rFonts w:hint="eastAsia"/>
                            </w:rPr>
                            <w:fldChar w:fldCharType="end"/>
                          </w:r>
                        </w:p>
                      </w:txbxContent>
                    </wps:txbx>
                    <wps:bodyPr wrap="square" lIns="0" tIns="0" rIns="0" bIns="0" upright="1"/>
                  </wps:wsp>
                </a:graphicData>
              </a:graphic>
            </wp:anchor>
          </w:drawing>
        </mc:Choice>
        <mc:Fallback>
          <w:pict>
            <v:shape id="文本框 1" o:spid="_x0000_s1026" o:spt="202" type="#_x0000_t202" style="position:absolute;left:0pt;margin-top:0pt;height:17.3pt;width:32.15pt;mso-position-horizontal:center;mso-position-horizontal-relative:margin;z-index:251659264;mso-width-relative:page;mso-height-relative:page;" filled="f" stroked="f" coordsize="21600,21600" o:gfxdata="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VRB+61AAAAAMBAAAPAAAAAAAAAAEAIAAAACIAAABkcnMvZG93bnJldi54&#10;bWxQSwECFAAUAAAACACHTuJAfVChJ8UBAAB/AwAADgAAAAAAAAABACAAAAAjAQAAZHJzL2Uyb0Rv&#10;Yy54bWxQSwUGAAAAAAYABgBZAQAAWgUAAAAA&#10;">
              <v:fill on="f" focussize="0,0"/>
              <v:stroke on="f"/>
              <v:imagedata o:title=""/>
              <o:lock v:ext="edit" aspectratio="f"/>
              <v:textbox inset="0mm,0mm,0mm,0mm">
                <w:txbxContent>
                  <w:p>
                    <w:pPr>
                      <w:pStyle w:val="22"/>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t>16</w:t>
                    </w:r>
                    <w:r>
                      <w:rPr>
                        <w:rFonts w:hint="eastAsia"/>
                      </w:rPr>
                      <w:fldChar w:fldCharType="end"/>
                    </w:r>
                  </w:p>
                </w:txbxContent>
              </v:textbox>
            </v:shape>
          </w:pict>
        </mc:Fallback>
      </mc:AlternateContent>
    </w:r>
    <w:r>
      <w:rPr>
        <w:rFonts w:hint="eastAsia"/>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decimal"/>
      <w:pStyle w:val="4"/>
      <w:lvlText w:val="%1"/>
      <w:lvlJc w:val="left"/>
      <w:pPr>
        <w:tabs>
          <w:tab w:val="left" w:pos="432"/>
        </w:tabs>
        <w:ind w:left="432" w:hanging="432"/>
      </w:pPr>
      <w:rPr>
        <w:rFonts w:cs="Times New Roman"/>
      </w:rPr>
    </w:lvl>
    <w:lvl w:ilvl="1" w:tentative="0">
      <w:start w:val="1"/>
      <w:numFmt w:val="decimal"/>
      <w:lvlText w:val="%1.%2"/>
      <w:lvlJc w:val="left"/>
      <w:pPr>
        <w:tabs>
          <w:tab w:val="left" w:pos="1116"/>
        </w:tabs>
        <w:ind w:left="1116" w:hanging="576"/>
      </w:pPr>
      <w:rPr>
        <w:rFonts w:cs="Times New Roman"/>
      </w:rPr>
    </w:lvl>
    <w:lvl w:ilvl="2" w:tentative="0">
      <w:start w:val="1"/>
      <w:numFmt w:val="decimal"/>
      <w:pStyle w:val="6"/>
      <w:lvlText w:val="%1.%2.%3"/>
      <w:lvlJc w:val="left"/>
      <w:pPr>
        <w:tabs>
          <w:tab w:val="left" w:pos="1200"/>
        </w:tabs>
        <w:ind w:left="1200" w:hanging="720"/>
      </w:pPr>
      <w:rPr>
        <w:rFonts w:cs="Times New Roman"/>
        <w:b w:val="0"/>
      </w:rPr>
    </w:lvl>
    <w:lvl w:ilvl="3" w:tentative="0">
      <w:start w:val="1"/>
      <w:numFmt w:val="decimal"/>
      <w:pStyle w:val="7"/>
      <w:lvlText w:val="%1.%2.%3.%4"/>
      <w:lvlJc w:val="left"/>
      <w:pPr>
        <w:tabs>
          <w:tab w:val="left" w:pos="1006"/>
        </w:tabs>
        <w:ind w:left="1006" w:hanging="864"/>
      </w:pPr>
      <w:rPr>
        <w:rFonts w:hint="default" w:ascii="Times New Roman" w:hAnsi="Times New Roman" w:cs="Times New Roman"/>
      </w:rPr>
    </w:lvl>
    <w:lvl w:ilvl="4" w:tentative="0">
      <w:start w:val="1"/>
      <w:numFmt w:val="decimal"/>
      <w:pStyle w:val="8"/>
      <w:lvlText w:val="%1.%2.%3.%4.%5"/>
      <w:lvlJc w:val="left"/>
      <w:pPr>
        <w:tabs>
          <w:tab w:val="left" w:pos="1008"/>
        </w:tabs>
        <w:ind w:left="1008" w:hanging="1008"/>
      </w:pPr>
      <w:rPr>
        <w:rFonts w:cs="Times New Roman"/>
      </w:rPr>
    </w:lvl>
    <w:lvl w:ilvl="5" w:tentative="0">
      <w:start w:val="1"/>
      <w:numFmt w:val="decimal"/>
      <w:pStyle w:val="9"/>
      <w:lvlText w:val="%1.%2.%3.%4.%5.%6"/>
      <w:lvlJc w:val="left"/>
      <w:pPr>
        <w:tabs>
          <w:tab w:val="left" w:pos="1152"/>
        </w:tabs>
        <w:ind w:left="1152" w:hanging="1152"/>
      </w:pPr>
      <w:rPr>
        <w:rFonts w:cs="Times New Roman"/>
      </w:rPr>
    </w:lvl>
    <w:lvl w:ilvl="6" w:tentative="0">
      <w:start w:val="1"/>
      <w:numFmt w:val="decimal"/>
      <w:lvlText w:val="%1.%2.%3.%4.%5.%6.%7"/>
      <w:lvlJc w:val="left"/>
      <w:pPr>
        <w:tabs>
          <w:tab w:val="left" w:pos="1296"/>
        </w:tabs>
        <w:ind w:left="1296" w:hanging="1296"/>
      </w:pPr>
      <w:rPr>
        <w:rFonts w:cs="Times New Roman"/>
      </w:rPr>
    </w:lvl>
    <w:lvl w:ilvl="7" w:tentative="0">
      <w:start w:val="1"/>
      <w:numFmt w:val="decimal"/>
      <w:lvlText w:val="%1.%2.%3.%4.%5.%6.%7.%8"/>
      <w:lvlJc w:val="left"/>
      <w:pPr>
        <w:tabs>
          <w:tab w:val="left" w:pos="1440"/>
        </w:tabs>
        <w:ind w:left="1440" w:hanging="1440"/>
      </w:pPr>
      <w:rPr>
        <w:rFonts w:cs="Times New Roman"/>
      </w:rPr>
    </w:lvl>
    <w:lvl w:ilvl="8" w:tentative="0">
      <w:start w:val="1"/>
      <w:numFmt w:val="decimal"/>
      <w:lvlText w:val="%1.%2.%3.%4.%5.%6.%7.%8.%9"/>
      <w:lvlJc w:val="left"/>
      <w:pPr>
        <w:tabs>
          <w:tab w:val="left" w:pos="1584"/>
        </w:tabs>
        <w:ind w:left="1584" w:hanging="1584"/>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0"/>
  <w:hyphenationZone w:val="360"/>
  <w:drawingGridVerticalSpacing w:val="156"/>
  <w:displayHorizontalDrawingGridEvery w:val="1"/>
  <w:displayVerticalDrawingGridEvery w:val="1"/>
  <w:doNotShadeFormData w:val="1"/>
  <w:noPunctuationKerning w:val="1"/>
  <w:characterSpacingControl w:val="compressPunctuation"/>
  <w:doNotValidateAgainstSchema/>
  <w:doNotDemarcateInvalidXml/>
  <w:hdr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2OTEyZDAwMWNkOTk2Mjc4ZGRjYWIxYWNlODY4NTQifQ=="/>
  </w:docVars>
  <w:rsids>
    <w:rsidRoot w:val="00621E64"/>
    <w:rsid w:val="000447F8"/>
    <w:rsid w:val="00046819"/>
    <w:rsid w:val="000E7B08"/>
    <w:rsid w:val="000F5FD7"/>
    <w:rsid w:val="00190DE2"/>
    <w:rsid w:val="00200EC0"/>
    <w:rsid w:val="0025771D"/>
    <w:rsid w:val="00276761"/>
    <w:rsid w:val="0034763B"/>
    <w:rsid w:val="003572B0"/>
    <w:rsid w:val="00373BAF"/>
    <w:rsid w:val="003C72F8"/>
    <w:rsid w:val="00410BAA"/>
    <w:rsid w:val="00412F2A"/>
    <w:rsid w:val="00504562"/>
    <w:rsid w:val="00552F7E"/>
    <w:rsid w:val="005C5D0D"/>
    <w:rsid w:val="005F0B06"/>
    <w:rsid w:val="00621E64"/>
    <w:rsid w:val="00672096"/>
    <w:rsid w:val="00674E1A"/>
    <w:rsid w:val="00687B1D"/>
    <w:rsid w:val="006B4B4D"/>
    <w:rsid w:val="006C7D96"/>
    <w:rsid w:val="006E2BD4"/>
    <w:rsid w:val="007323A3"/>
    <w:rsid w:val="00745CD4"/>
    <w:rsid w:val="007E42E3"/>
    <w:rsid w:val="00816813"/>
    <w:rsid w:val="00830AF7"/>
    <w:rsid w:val="00863F1C"/>
    <w:rsid w:val="008D1A4C"/>
    <w:rsid w:val="00976819"/>
    <w:rsid w:val="009B5612"/>
    <w:rsid w:val="009F3554"/>
    <w:rsid w:val="00A077B4"/>
    <w:rsid w:val="00A2094D"/>
    <w:rsid w:val="00A26C64"/>
    <w:rsid w:val="00AA0A6F"/>
    <w:rsid w:val="00AA2E46"/>
    <w:rsid w:val="00AE3180"/>
    <w:rsid w:val="00B6714F"/>
    <w:rsid w:val="00B74425"/>
    <w:rsid w:val="00BB1DC2"/>
    <w:rsid w:val="00BE292F"/>
    <w:rsid w:val="00BF0FC8"/>
    <w:rsid w:val="00C64FBB"/>
    <w:rsid w:val="00CA77AF"/>
    <w:rsid w:val="00D2744B"/>
    <w:rsid w:val="00D725BA"/>
    <w:rsid w:val="00D94223"/>
    <w:rsid w:val="00DB38E7"/>
    <w:rsid w:val="00E10DD4"/>
    <w:rsid w:val="00E16799"/>
    <w:rsid w:val="00F10CF2"/>
    <w:rsid w:val="01506D66"/>
    <w:rsid w:val="016325E1"/>
    <w:rsid w:val="018C612A"/>
    <w:rsid w:val="01932EC8"/>
    <w:rsid w:val="01935D42"/>
    <w:rsid w:val="01C3006D"/>
    <w:rsid w:val="0249428C"/>
    <w:rsid w:val="025A06A2"/>
    <w:rsid w:val="02DC6BF1"/>
    <w:rsid w:val="02DF2EBC"/>
    <w:rsid w:val="02F62D0D"/>
    <w:rsid w:val="031F57DB"/>
    <w:rsid w:val="032D3AF8"/>
    <w:rsid w:val="03416B02"/>
    <w:rsid w:val="0371136A"/>
    <w:rsid w:val="03965B42"/>
    <w:rsid w:val="03B9511C"/>
    <w:rsid w:val="040D320B"/>
    <w:rsid w:val="04265275"/>
    <w:rsid w:val="043D2D94"/>
    <w:rsid w:val="045F3F57"/>
    <w:rsid w:val="047E09B8"/>
    <w:rsid w:val="048776A1"/>
    <w:rsid w:val="04B308EE"/>
    <w:rsid w:val="04EE4B56"/>
    <w:rsid w:val="05133C63"/>
    <w:rsid w:val="0559644C"/>
    <w:rsid w:val="055D2CC2"/>
    <w:rsid w:val="05682FC2"/>
    <w:rsid w:val="05880991"/>
    <w:rsid w:val="059D637E"/>
    <w:rsid w:val="05C12189"/>
    <w:rsid w:val="05D84999"/>
    <w:rsid w:val="065B056B"/>
    <w:rsid w:val="06762343"/>
    <w:rsid w:val="06927802"/>
    <w:rsid w:val="06A91AD8"/>
    <w:rsid w:val="070E07D1"/>
    <w:rsid w:val="071B0E6C"/>
    <w:rsid w:val="07331E9C"/>
    <w:rsid w:val="07422901"/>
    <w:rsid w:val="0765416A"/>
    <w:rsid w:val="088C2237"/>
    <w:rsid w:val="08AE6343"/>
    <w:rsid w:val="08AE7B81"/>
    <w:rsid w:val="08B96F1F"/>
    <w:rsid w:val="09065886"/>
    <w:rsid w:val="09156AD0"/>
    <w:rsid w:val="091C6056"/>
    <w:rsid w:val="09320498"/>
    <w:rsid w:val="094F4C9B"/>
    <w:rsid w:val="09711234"/>
    <w:rsid w:val="099711B9"/>
    <w:rsid w:val="09A062F5"/>
    <w:rsid w:val="09A95A31"/>
    <w:rsid w:val="09D34FB6"/>
    <w:rsid w:val="09D86D9D"/>
    <w:rsid w:val="09FF3600"/>
    <w:rsid w:val="0A17697A"/>
    <w:rsid w:val="0A6552D2"/>
    <w:rsid w:val="0A747CC5"/>
    <w:rsid w:val="0A7F3C71"/>
    <w:rsid w:val="0A8D3D36"/>
    <w:rsid w:val="0A9E62A5"/>
    <w:rsid w:val="0AB763F4"/>
    <w:rsid w:val="0AB87005"/>
    <w:rsid w:val="0AC13C68"/>
    <w:rsid w:val="0B0B182B"/>
    <w:rsid w:val="0B445489"/>
    <w:rsid w:val="0B5D74D5"/>
    <w:rsid w:val="0B6154F3"/>
    <w:rsid w:val="0B740406"/>
    <w:rsid w:val="0B7D61B5"/>
    <w:rsid w:val="0BD81118"/>
    <w:rsid w:val="0C012798"/>
    <w:rsid w:val="0C573823"/>
    <w:rsid w:val="0C627EE1"/>
    <w:rsid w:val="0CC51D18"/>
    <w:rsid w:val="0CC571D3"/>
    <w:rsid w:val="0CE97AE9"/>
    <w:rsid w:val="0CFF0F95"/>
    <w:rsid w:val="0D0205EA"/>
    <w:rsid w:val="0D2C02BA"/>
    <w:rsid w:val="0D505F85"/>
    <w:rsid w:val="0D796E27"/>
    <w:rsid w:val="0D8128CE"/>
    <w:rsid w:val="0D885F9E"/>
    <w:rsid w:val="0D9F66A1"/>
    <w:rsid w:val="0DFE7425"/>
    <w:rsid w:val="0E320A5B"/>
    <w:rsid w:val="0E47093A"/>
    <w:rsid w:val="0E542DD9"/>
    <w:rsid w:val="0E823EA6"/>
    <w:rsid w:val="0E95507F"/>
    <w:rsid w:val="0EAA293A"/>
    <w:rsid w:val="0EDB29E0"/>
    <w:rsid w:val="0F283B86"/>
    <w:rsid w:val="0F96527B"/>
    <w:rsid w:val="0F9C1D4C"/>
    <w:rsid w:val="0FB554BE"/>
    <w:rsid w:val="10071862"/>
    <w:rsid w:val="10231069"/>
    <w:rsid w:val="1024400D"/>
    <w:rsid w:val="103C6355"/>
    <w:rsid w:val="10526022"/>
    <w:rsid w:val="10611B3C"/>
    <w:rsid w:val="10646F97"/>
    <w:rsid w:val="106947C8"/>
    <w:rsid w:val="10761CF4"/>
    <w:rsid w:val="10C87C6C"/>
    <w:rsid w:val="110748CD"/>
    <w:rsid w:val="11102001"/>
    <w:rsid w:val="11173124"/>
    <w:rsid w:val="113B176C"/>
    <w:rsid w:val="11471233"/>
    <w:rsid w:val="114C57CB"/>
    <w:rsid w:val="118373A3"/>
    <w:rsid w:val="11873424"/>
    <w:rsid w:val="118E2386"/>
    <w:rsid w:val="119D6F55"/>
    <w:rsid w:val="11FE709C"/>
    <w:rsid w:val="12261507"/>
    <w:rsid w:val="122E1A9E"/>
    <w:rsid w:val="12407A94"/>
    <w:rsid w:val="12467790"/>
    <w:rsid w:val="127342BE"/>
    <w:rsid w:val="12DE0B97"/>
    <w:rsid w:val="12E729E8"/>
    <w:rsid w:val="12F93395"/>
    <w:rsid w:val="134A7DDC"/>
    <w:rsid w:val="136032A3"/>
    <w:rsid w:val="136B6E9E"/>
    <w:rsid w:val="13700C46"/>
    <w:rsid w:val="13712447"/>
    <w:rsid w:val="13722E0B"/>
    <w:rsid w:val="137734B4"/>
    <w:rsid w:val="13861C34"/>
    <w:rsid w:val="138D2FB3"/>
    <w:rsid w:val="13D83532"/>
    <w:rsid w:val="141702C3"/>
    <w:rsid w:val="14280B2D"/>
    <w:rsid w:val="147D1436"/>
    <w:rsid w:val="14A67CE6"/>
    <w:rsid w:val="152D07B9"/>
    <w:rsid w:val="153220D4"/>
    <w:rsid w:val="15475F9D"/>
    <w:rsid w:val="154974A0"/>
    <w:rsid w:val="15A86673"/>
    <w:rsid w:val="15AC2720"/>
    <w:rsid w:val="160D28C1"/>
    <w:rsid w:val="16120277"/>
    <w:rsid w:val="161F65FB"/>
    <w:rsid w:val="163755DD"/>
    <w:rsid w:val="163A0C61"/>
    <w:rsid w:val="163F0BBC"/>
    <w:rsid w:val="16637780"/>
    <w:rsid w:val="167B0393"/>
    <w:rsid w:val="168E279F"/>
    <w:rsid w:val="16BB3A08"/>
    <w:rsid w:val="16C44B7E"/>
    <w:rsid w:val="16E74213"/>
    <w:rsid w:val="16EA0F3A"/>
    <w:rsid w:val="17114512"/>
    <w:rsid w:val="175B7BF2"/>
    <w:rsid w:val="17787D90"/>
    <w:rsid w:val="17824C23"/>
    <w:rsid w:val="17AF4E4D"/>
    <w:rsid w:val="17CF6BB0"/>
    <w:rsid w:val="18701553"/>
    <w:rsid w:val="18715FCB"/>
    <w:rsid w:val="187E1D8A"/>
    <w:rsid w:val="18E26C11"/>
    <w:rsid w:val="18F909B5"/>
    <w:rsid w:val="19897C85"/>
    <w:rsid w:val="19C0354A"/>
    <w:rsid w:val="1A1D339D"/>
    <w:rsid w:val="1A337904"/>
    <w:rsid w:val="1A3A3DC1"/>
    <w:rsid w:val="1A4553E5"/>
    <w:rsid w:val="1AAC0C0A"/>
    <w:rsid w:val="1AD9021E"/>
    <w:rsid w:val="1AFA14C7"/>
    <w:rsid w:val="1B1368E8"/>
    <w:rsid w:val="1B237BBD"/>
    <w:rsid w:val="1B606977"/>
    <w:rsid w:val="1B6178E6"/>
    <w:rsid w:val="1BB22827"/>
    <w:rsid w:val="1BD03E86"/>
    <w:rsid w:val="1C1502F1"/>
    <w:rsid w:val="1C1C63A1"/>
    <w:rsid w:val="1C256BC6"/>
    <w:rsid w:val="1C257EA1"/>
    <w:rsid w:val="1C4A5308"/>
    <w:rsid w:val="1C684514"/>
    <w:rsid w:val="1C99147D"/>
    <w:rsid w:val="1CAF5DBC"/>
    <w:rsid w:val="1D16439E"/>
    <w:rsid w:val="1D261F8F"/>
    <w:rsid w:val="1D366852"/>
    <w:rsid w:val="1D666D95"/>
    <w:rsid w:val="1D8318D0"/>
    <w:rsid w:val="1D8928DE"/>
    <w:rsid w:val="1DC55869"/>
    <w:rsid w:val="1DEF22B0"/>
    <w:rsid w:val="1E021EFC"/>
    <w:rsid w:val="1E14195B"/>
    <w:rsid w:val="1E1E4F79"/>
    <w:rsid w:val="1E277805"/>
    <w:rsid w:val="1E3E2488"/>
    <w:rsid w:val="1E5E37F1"/>
    <w:rsid w:val="1E976A53"/>
    <w:rsid w:val="1E99393B"/>
    <w:rsid w:val="1EC34581"/>
    <w:rsid w:val="1EF555C8"/>
    <w:rsid w:val="1F2149B0"/>
    <w:rsid w:val="1F21647C"/>
    <w:rsid w:val="1F567AA8"/>
    <w:rsid w:val="1F763F1E"/>
    <w:rsid w:val="20406CA6"/>
    <w:rsid w:val="205974C8"/>
    <w:rsid w:val="20971B8D"/>
    <w:rsid w:val="209E0592"/>
    <w:rsid w:val="20EE043F"/>
    <w:rsid w:val="211F1734"/>
    <w:rsid w:val="214215B3"/>
    <w:rsid w:val="21756FB4"/>
    <w:rsid w:val="218B6DCA"/>
    <w:rsid w:val="21A67337"/>
    <w:rsid w:val="21B7196D"/>
    <w:rsid w:val="22543660"/>
    <w:rsid w:val="2277156C"/>
    <w:rsid w:val="227A37C6"/>
    <w:rsid w:val="22AD2041"/>
    <w:rsid w:val="22AD5CF0"/>
    <w:rsid w:val="233D33CB"/>
    <w:rsid w:val="23721DF1"/>
    <w:rsid w:val="23925C93"/>
    <w:rsid w:val="23952182"/>
    <w:rsid w:val="239764A5"/>
    <w:rsid w:val="23A613EE"/>
    <w:rsid w:val="23BB2682"/>
    <w:rsid w:val="23BD5168"/>
    <w:rsid w:val="24604129"/>
    <w:rsid w:val="246758CC"/>
    <w:rsid w:val="249E5526"/>
    <w:rsid w:val="25001A40"/>
    <w:rsid w:val="251F30B2"/>
    <w:rsid w:val="25293E37"/>
    <w:rsid w:val="25554276"/>
    <w:rsid w:val="2576348C"/>
    <w:rsid w:val="258E6415"/>
    <w:rsid w:val="25B12AA2"/>
    <w:rsid w:val="25D80737"/>
    <w:rsid w:val="25DE7226"/>
    <w:rsid w:val="25FE7996"/>
    <w:rsid w:val="26046DE2"/>
    <w:rsid w:val="2643513F"/>
    <w:rsid w:val="265064E5"/>
    <w:rsid w:val="266A69E7"/>
    <w:rsid w:val="267A15FB"/>
    <w:rsid w:val="268D42B8"/>
    <w:rsid w:val="26BC1129"/>
    <w:rsid w:val="26D0304A"/>
    <w:rsid w:val="26E513F4"/>
    <w:rsid w:val="26FB51F7"/>
    <w:rsid w:val="27493F03"/>
    <w:rsid w:val="277766CF"/>
    <w:rsid w:val="27A021D6"/>
    <w:rsid w:val="27A92CED"/>
    <w:rsid w:val="27DD706E"/>
    <w:rsid w:val="27E02D48"/>
    <w:rsid w:val="27FB7BD4"/>
    <w:rsid w:val="281573ED"/>
    <w:rsid w:val="28714801"/>
    <w:rsid w:val="28742DF6"/>
    <w:rsid w:val="289D2565"/>
    <w:rsid w:val="28F96D0F"/>
    <w:rsid w:val="290745BD"/>
    <w:rsid w:val="29651A3E"/>
    <w:rsid w:val="2A176834"/>
    <w:rsid w:val="2A491C57"/>
    <w:rsid w:val="2A5D7049"/>
    <w:rsid w:val="2AB071F0"/>
    <w:rsid w:val="2AB21A85"/>
    <w:rsid w:val="2AB45B4F"/>
    <w:rsid w:val="2AC81B37"/>
    <w:rsid w:val="2B064B7A"/>
    <w:rsid w:val="2B163BA8"/>
    <w:rsid w:val="2B5C058C"/>
    <w:rsid w:val="2B620F43"/>
    <w:rsid w:val="2B8D0289"/>
    <w:rsid w:val="2BD83B58"/>
    <w:rsid w:val="2BDE4907"/>
    <w:rsid w:val="2BFE5BDF"/>
    <w:rsid w:val="2C182149"/>
    <w:rsid w:val="2C4E04C4"/>
    <w:rsid w:val="2C843A6D"/>
    <w:rsid w:val="2CD509B1"/>
    <w:rsid w:val="2CDC623D"/>
    <w:rsid w:val="2CDE7BEF"/>
    <w:rsid w:val="2CFF241A"/>
    <w:rsid w:val="2D03015C"/>
    <w:rsid w:val="2D9D05E4"/>
    <w:rsid w:val="2DDE4097"/>
    <w:rsid w:val="2E2F04CC"/>
    <w:rsid w:val="2E460BF5"/>
    <w:rsid w:val="2E4B7DCE"/>
    <w:rsid w:val="2EFE2F53"/>
    <w:rsid w:val="2F253DB8"/>
    <w:rsid w:val="2F38009B"/>
    <w:rsid w:val="2F875074"/>
    <w:rsid w:val="2FD20310"/>
    <w:rsid w:val="31197CC3"/>
    <w:rsid w:val="312F00E5"/>
    <w:rsid w:val="31397420"/>
    <w:rsid w:val="314F6ED0"/>
    <w:rsid w:val="3154757F"/>
    <w:rsid w:val="31653D5D"/>
    <w:rsid w:val="319216B5"/>
    <w:rsid w:val="31A10829"/>
    <w:rsid w:val="31E33414"/>
    <w:rsid w:val="321E65E2"/>
    <w:rsid w:val="32A94E40"/>
    <w:rsid w:val="32E603A7"/>
    <w:rsid w:val="32EF7D87"/>
    <w:rsid w:val="33005F9C"/>
    <w:rsid w:val="330A1ACB"/>
    <w:rsid w:val="330A369B"/>
    <w:rsid w:val="330B2646"/>
    <w:rsid w:val="33343591"/>
    <w:rsid w:val="33394B99"/>
    <w:rsid w:val="339447F5"/>
    <w:rsid w:val="339A29ED"/>
    <w:rsid w:val="33AB69E9"/>
    <w:rsid w:val="33D65661"/>
    <w:rsid w:val="33EC52AF"/>
    <w:rsid w:val="33F263D7"/>
    <w:rsid w:val="33FF7F57"/>
    <w:rsid w:val="34801E1C"/>
    <w:rsid w:val="349A13A6"/>
    <w:rsid w:val="34A209B1"/>
    <w:rsid w:val="34BC0651"/>
    <w:rsid w:val="351C4E80"/>
    <w:rsid w:val="3526425D"/>
    <w:rsid w:val="356842F5"/>
    <w:rsid w:val="35751160"/>
    <w:rsid w:val="35752AB0"/>
    <w:rsid w:val="362C63FC"/>
    <w:rsid w:val="36397E8F"/>
    <w:rsid w:val="36443681"/>
    <w:rsid w:val="36645C06"/>
    <w:rsid w:val="36695318"/>
    <w:rsid w:val="367B7189"/>
    <w:rsid w:val="36B32330"/>
    <w:rsid w:val="36CA448E"/>
    <w:rsid w:val="36EC318E"/>
    <w:rsid w:val="36FA13B3"/>
    <w:rsid w:val="37054CBD"/>
    <w:rsid w:val="37082541"/>
    <w:rsid w:val="37540A3F"/>
    <w:rsid w:val="37552D85"/>
    <w:rsid w:val="37674E2E"/>
    <w:rsid w:val="377A101B"/>
    <w:rsid w:val="378608BE"/>
    <w:rsid w:val="37AF1348"/>
    <w:rsid w:val="37BDDBCD"/>
    <w:rsid w:val="382A79D0"/>
    <w:rsid w:val="385D4BD4"/>
    <w:rsid w:val="386230D8"/>
    <w:rsid w:val="387360C5"/>
    <w:rsid w:val="38760AA5"/>
    <w:rsid w:val="389D6933"/>
    <w:rsid w:val="38A4662B"/>
    <w:rsid w:val="38B13AA7"/>
    <w:rsid w:val="38C26163"/>
    <w:rsid w:val="38CB7610"/>
    <w:rsid w:val="38E216DC"/>
    <w:rsid w:val="39024727"/>
    <w:rsid w:val="3908456B"/>
    <w:rsid w:val="390B2497"/>
    <w:rsid w:val="39106EAD"/>
    <w:rsid w:val="3935603E"/>
    <w:rsid w:val="393938F1"/>
    <w:rsid w:val="397010C8"/>
    <w:rsid w:val="399B04FD"/>
    <w:rsid w:val="39A651F3"/>
    <w:rsid w:val="39C755E2"/>
    <w:rsid w:val="3A486014"/>
    <w:rsid w:val="3A490B87"/>
    <w:rsid w:val="3A7249C7"/>
    <w:rsid w:val="3A9C399E"/>
    <w:rsid w:val="3ACE3320"/>
    <w:rsid w:val="3ADB0022"/>
    <w:rsid w:val="3ADD49E3"/>
    <w:rsid w:val="3B5821A5"/>
    <w:rsid w:val="3B832159"/>
    <w:rsid w:val="3B8A2BEE"/>
    <w:rsid w:val="3BAC64B8"/>
    <w:rsid w:val="3BB44722"/>
    <w:rsid w:val="3BF12D8A"/>
    <w:rsid w:val="3C092084"/>
    <w:rsid w:val="3C314B1D"/>
    <w:rsid w:val="3C62051E"/>
    <w:rsid w:val="3C9E7934"/>
    <w:rsid w:val="3CC77DDA"/>
    <w:rsid w:val="3CF840FE"/>
    <w:rsid w:val="3CFE26EE"/>
    <w:rsid w:val="3D224638"/>
    <w:rsid w:val="3D5D5381"/>
    <w:rsid w:val="3D771094"/>
    <w:rsid w:val="3D7C3C78"/>
    <w:rsid w:val="3D8D7980"/>
    <w:rsid w:val="3DC41165"/>
    <w:rsid w:val="3DE47A95"/>
    <w:rsid w:val="3DE5069A"/>
    <w:rsid w:val="3E001B13"/>
    <w:rsid w:val="3E1D0952"/>
    <w:rsid w:val="3E454825"/>
    <w:rsid w:val="3E67368D"/>
    <w:rsid w:val="3E6A11B6"/>
    <w:rsid w:val="3E84441C"/>
    <w:rsid w:val="3E876DE6"/>
    <w:rsid w:val="3EA67E24"/>
    <w:rsid w:val="3F0B7CDA"/>
    <w:rsid w:val="3F195465"/>
    <w:rsid w:val="3F3B7070"/>
    <w:rsid w:val="3F590CDB"/>
    <w:rsid w:val="3F6A694D"/>
    <w:rsid w:val="3F767B2C"/>
    <w:rsid w:val="3FE31716"/>
    <w:rsid w:val="3FF943B0"/>
    <w:rsid w:val="3FF947D1"/>
    <w:rsid w:val="402520CB"/>
    <w:rsid w:val="40320DA3"/>
    <w:rsid w:val="40395593"/>
    <w:rsid w:val="40414A70"/>
    <w:rsid w:val="409D6E0F"/>
    <w:rsid w:val="40B54FA0"/>
    <w:rsid w:val="40DF47D6"/>
    <w:rsid w:val="4120676D"/>
    <w:rsid w:val="41AA3023"/>
    <w:rsid w:val="41C31049"/>
    <w:rsid w:val="41C752CD"/>
    <w:rsid w:val="41CD3503"/>
    <w:rsid w:val="42134351"/>
    <w:rsid w:val="42400522"/>
    <w:rsid w:val="424A74CF"/>
    <w:rsid w:val="424C5B43"/>
    <w:rsid w:val="42560044"/>
    <w:rsid w:val="42560771"/>
    <w:rsid w:val="4260254A"/>
    <w:rsid w:val="42904EC3"/>
    <w:rsid w:val="42CF7D8C"/>
    <w:rsid w:val="4318301A"/>
    <w:rsid w:val="4318751E"/>
    <w:rsid w:val="439477AF"/>
    <w:rsid w:val="43BF7B5B"/>
    <w:rsid w:val="43C1485D"/>
    <w:rsid w:val="43C54A33"/>
    <w:rsid w:val="43F44425"/>
    <w:rsid w:val="442236CE"/>
    <w:rsid w:val="448B122A"/>
    <w:rsid w:val="44A37FF2"/>
    <w:rsid w:val="44BA185F"/>
    <w:rsid w:val="44EB3C8D"/>
    <w:rsid w:val="44FA5FC8"/>
    <w:rsid w:val="450F5466"/>
    <w:rsid w:val="451A22C5"/>
    <w:rsid w:val="456F0F9D"/>
    <w:rsid w:val="45770C2D"/>
    <w:rsid w:val="45A12098"/>
    <w:rsid w:val="45A40B36"/>
    <w:rsid w:val="45BC5923"/>
    <w:rsid w:val="45DC4440"/>
    <w:rsid w:val="460C5E7C"/>
    <w:rsid w:val="462036D5"/>
    <w:rsid w:val="46573978"/>
    <w:rsid w:val="469E7D63"/>
    <w:rsid w:val="46DD7DE9"/>
    <w:rsid w:val="46EB1EA2"/>
    <w:rsid w:val="474A36F7"/>
    <w:rsid w:val="476302BC"/>
    <w:rsid w:val="477D4F8D"/>
    <w:rsid w:val="47832E58"/>
    <w:rsid w:val="478661AE"/>
    <w:rsid w:val="47AE3B4A"/>
    <w:rsid w:val="47EA4EC7"/>
    <w:rsid w:val="47EC7F9F"/>
    <w:rsid w:val="47F6431D"/>
    <w:rsid w:val="47F705A7"/>
    <w:rsid w:val="47F72868"/>
    <w:rsid w:val="488B62F3"/>
    <w:rsid w:val="49686A6A"/>
    <w:rsid w:val="498048AD"/>
    <w:rsid w:val="49877032"/>
    <w:rsid w:val="498D5E03"/>
    <w:rsid w:val="499207A8"/>
    <w:rsid w:val="49A567A9"/>
    <w:rsid w:val="49B44A2D"/>
    <w:rsid w:val="49C3777A"/>
    <w:rsid w:val="49CE3849"/>
    <w:rsid w:val="49E44688"/>
    <w:rsid w:val="4A5F5C8B"/>
    <w:rsid w:val="4A606D15"/>
    <w:rsid w:val="4A83293A"/>
    <w:rsid w:val="4ACB63C5"/>
    <w:rsid w:val="4B0C3273"/>
    <w:rsid w:val="4B10171C"/>
    <w:rsid w:val="4B187704"/>
    <w:rsid w:val="4B2F2249"/>
    <w:rsid w:val="4B36116B"/>
    <w:rsid w:val="4BBA7720"/>
    <w:rsid w:val="4BC34DB0"/>
    <w:rsid w:val="4BC96127"/>
    <w:rsid w:val="4BEF1FF8"/>
    <w:rsid w:val="4C0C4D33"/>
    <w:rsid w:val="4C110841"/>
    <w:rsid w:val="4C162C4A"/>
    <w:rsid w:val="4C4A1E3E"/>
    <w:rsid w:val="4C5526BA"/>
    <w:rsid w:val="4C8F3500"/>
    <w:rsid w:val="4C973A2A"/>
    <w:rsid w:val="4C9F5833"/>
    <w:rsid w:val="4CA87BD3"/>
    <w:rsid w:val="4CB23EF1"/>
    <w:rsid w:val="4CB64DEE"/>
    <w:rsid w:val="4CC52A83"/>
    <w:rsid w:val="4CCD100D"/>
    <w:rsid w:val="4D015FB9"/>
    <w:rsid w:val="4D1C449C"/>
    <w:rsid w:val="4D304944"/>
    <w:rsid w:val="4D4E44AE"/>
    <w:rsid w:val="4D874197"/>
    <w:rsid w:val="4DB76A0C"/>
    <w:rsid w:val="4DC851EA"/>
    <w:rsid w:val="4DF369A5"/>
    <w:rsid w:val="4E115B47"/>
    <w:rsid w:val="4E4F07E0"/>
    <w:rsid w:val="4E560324"/>
    <w:rsid w:val="4E89415F"/>
    <w:rsid w:val="4E8A1A01"/>
    <w:rsid w:val="4EA90816"/>
    <w:rsid w:val="4ED748E6"/>
    <w:rsid w:val="4EF00523"/>
    <w:rsid w:val="4EFB0E9E"/>
    <w:rsid w:val="4F175223"/>
    <w:rsid w:val="4F3170F0"/>
    <w:rsid w:val="4F3F230D"/>
    <w:rsid w:val="4F4918DC"/>
    <w:rsid w:val="4F515CEA"/>
    <w:rsid w:val="4F6C395D"/>
    <w:rsid w:val="4FA951F2"/>
    <w:rsid w:val="4FBD287F"/>
    <w:rsid w:val="4FCD1801"/>
    <w:rsid w:val="4FDF07D0"/>
    <w:rsid w:val="500F029F"/>
    <w:rsid w:val="502E0ABA"/>
    <w:rsid w:val="50380E1C"/>
    <w:rsid w:val="507038F8"/>
    <w:rsid w:val="507B24A8"/>
    <w:rsid w:val="50A03D76"/>
    <w:rsid w:val="50A92E6E"/>
    <w:rsid w:val="50AC3402"/>
    <w:rsid w:val="50BB43E2"/>
    <w:rsid w:val="50D476A7"/>
    <w:rsid w:val="50F60624"/>
    <w:rsid w:val="511D2FA6"/>
    <w:rsid w:val="512D4E74"/>
    <w:rsid w:val="5150048D"/>
    <w:rsid w:val="51580123"/>
    <w:rsid w:val="516623F7"/>
    <w:rsid w:val="51870D33"/>
    <w:rsid w:val="51FA56E9"/>
    <w:rsid w:val="520F5BA9"/>
    <w:rsid w:val="521A7884"/>
    <w:rsid w:val="5231606E"/>
    <w:rsid w:val="52703ECB"/>
    <w:rsid w:val="52766056"/>
    <w:rsid w:val="527C1C93"/>
    <w:rsid w:val="52992F34"/>
    <w:rsid w:val="52AC07B6"/>
    <w:rsid w:val="52B23C1C"/>
    <w:rsid w:val="52C74CD9"/>
    <w:rsid w:val="53226CDE"/>
    <w:rsid w:val="534E7AD3"/>
    <w:rsid w:val="53B0590B"/>
    <w:rsid w:val="53EB3394"/>
    <w:rsid w:val="53EB6228"/>
    <w:rsid w:val="53EE5653"/>
    <w:rsid w:val="53EF29E9"/>
    <w:rsid w:val="54452398"/>
    <w:rsid w:val="544B5DC1"/>
    <w:rsid w:val="547A4E19"/>
    <w:rsid w:val="54DE18EA"/>
    <w:rsid w:val="54E25A6E"/>
    <w:rsid w:val="54E74926"/>
    <w:rsid w:val="550F3998"/>
    <w:rsid w:val="55331B44"/>
    <w:rsid w:val="55804DA8"/>
    <w:rsid w:val="55A03EEB"/>
    <w:rsid w:val="55A7708D"/>
    <w:rsid w:val="55BE5B4A"/>
    <w:rsid w:val="560561B0"/>
    <w:rsid w:val="5620073F"/>
    <w:rsid w:val="562678E8"/>
    <w:rsid w:val="564422B9"/>
    <w:rsid w:val="564A20F1"/>
    <w:rsid w:val="564B4017"/>
    <w:rsid w:val="565A6C7E"/>
    <w:rsid w:val="58240546"/>
    <w:rsid w:val="58B1488D"/>
    <w:rsid w:val="58DF4D2A"/>
    <w:rsid w:val="58F21E37"/>
    <w:rsid w:val="58FD6F7A"/>
    <w:rsid w:val="59061593"/>
    <w:rsid w:val="59107518"/>
    <w:rsid w:val="596C4955"/>
    <w:rsid w:val="5983336D"/>
    <w:rsid w:val="59924410"/>
    <w:rsid w:val="599643D6"/>
    <w:rsid w:val="59981035"/>
    <w:rsid w:val="59AB1E8D"/>
    <w:rsid w:val="59B04AD5"/>
    <w:rsid w:val="59D123B7"/>
    <w:rsid w:val="59E231F7"/>
    <w:rsid w:val="5A04197D"/>
    <w:rsid w:val="5A1F53C8"/>
    <w:rsid w:val="5A2052F0"/>
    <w:rsid w:val="5A66528E"/>
    <w:rsid w:val="5A672A61"/>
    <w:rsid w:val="5AA91AFA"/>
    <w:rsid w:val="5AD80E48"/>
    <w:rsid w:val="5AE751D5"/>
    <w:rsid w:val="5B3A3A60"/>
    <w:rsid w:val="5B461090"/>
    <w:rsid w:val="5B76070A"/>
    <w:rsid w:val="5B9F1A0D"/>
    <w:rsid w:val="5BCD5FD8"/>
    <w:rsid w:val="5BDC435A"/>
    <w:rsid w:val="5BE445F5"/>
    <w:rsid w:val="5BF8682E"/>
    <w:rsid w:val="5C392C32"/>
    <w:rsid w:val="5C45126F"/>
    <w:rsid w:val="5C6847EF"/>
    <w:rsid w:val="5CAA4DBB"/>
    <w:rsid w:val="5CB560C0"/>
    <w:rsid w:val="5CBC5FB8"/>
    <w:rsid w:val="5CC12608"/>
    <w:rsid w:val="5CC83C35"/>
    <w:rsid w:val="5D1815C8"/>
    <w:rsid w:val="5D4810F0"/>
    <w:rsid w:val="5D572093"/>
    <w:rsid w:val="5D76203C"/>
    <w:rsid w:val="5DBA3385"/>
    <w:rsid w:val="5DC273F7"/>
    <w:rsid w:val="5DE516E3"/>
    <w:rsid w:val="5DF90FD0"/>
    <w:rsid w:val="5E2D1468"/>
    <w:rsid w:val="5E3B2A02"/>
    <w:rsid w:val="5E5A37D0"/>
    <w:rsid w:val="5E5D2A05"/>
    <w:rsid w:val="5E5D7BE4"/>
    <w:rsid w:val="5E776915"/>
    <w:rsid w:val="5EAF62C4"/>
    <w:rsid w:val="5EB85A53"/>
    <w:rsid w:val="5EF44608"/>
    <w:rsid w:val="5EFC04E3"/>
    <w:rsid w:val="5F0C17C7"/>
    <w:rsid w:val="5F1919BE"/>
    <w:rsid w:val="5F3965E3"/>
    <w:rsid w:val="5F5A735F"/>
    <w:rsid w:val="5FAF27BA"/>
    <w:rsid w:val="5FD32D23"/>
    <w:rsid w:val="5FD50D7F"/>
    <w:rsid w:val="5FFC3909"/>
    <w:rsid w:val="60206DF0"/>
    <w:rsid w:val="603522D9"/>
    <w:rsid w:val="60393333"/>
    <w:rsid w:val="60496A18"/>
    <w:rsid w:val="604E5558"/>
    <w:rsid w:val="605771D4"/>
    <w:rsid w:val="60BA6940"/>
    <w:rsid w:val="60D916E6"/>
    <w:rsid w:val="61582A61"/>
    <w:rsid w:val="61775EE9"/>
    <w:rsid w:val="61A46609"/>
    <w:rsid w:val="61CB6119"/>
    <w:rsid w:val="61F648E5"/>
    <w:rsid w:val="62631628"/>
    <w:rsid w:val="629B57AF"/>
    <w:rsid w:val="62A7037B"/>
    <w:rsid w:val="63161F19"/>
    <w:rsid w:val="63AC7D9F"/>
    <w:rsid w:val="63B15D04"/>
    <w:rsid w:val="63C948C4"/>
    <w:rsid w:val="64243F39"/>
    <w:rsid w:val="649C04A0"/>
    <w:rsid w:val="64C24831"/>
    <w:rsid w:val="64D05023"/>
    <w:rsid w:val="6514010F"/>
    <w:rsid w:val="65216648"/>
    <w:rsid w:val="652C35F1"/>
    <w:rsid w:val="65417F31"/>
    <w:rsid w:val="65420EC8"/>
    <w:rsid w:val="65911CB1"/>
    <w:rsid w:val="659A2510"/>
    <w:rsid w:val="65B01867"/>
    <w:rsid w:val="65FB4A32"/>
    <w:rsid w:val="663E1444"/>
    <w:rsid w:val="663E3973"/>
    <w:rsid w:val="664C0E51"/>
    <w:rsid w:val="667E02A0"/>
    <w:rsid w:val="66B03446"/>
    <w:rsid w:val="66BB0C83"/>
    <w:rsid w:val="66D71A9C"/>
    <w:rsid w:val="66ED66EB"/>
    <w:rsid w:val="67A434BC"/>
    <w:rsid w:val="67A918BB"/>
    <w:rsid w:val="67E81B9F"/>
    <w:rsid w:val="67E82EAF"/>
    <w:rsid w:val="680731A8"/>
    <w:rsid w:val="68747658"/>
    <w:rsid w:val="688C12E8"/>
    <w:rsid w:val="6890456A"/>
    <w:rsid w:val="690A346B"/>
    <w:rsid w:val="69676DA1"/>
    <w:rsid w:val="69706F4F"/>
    <w:rsid w:val="698069AC"/>
    <w:rsid w:val="69AF03D4"/>
    <w:rsid w:val="69CB1E01"/>
    <w:rsid w:val="69EF40C3"/>
    <w:rsid w:val="6A3108BC"/>
    <w:rsid w:val="6A332579"/>
    <w:rsid w:val="6A3E7F96"/>
    <w:rsid w:val="6A460863"/>
    <w:rsid w:val="6A651271"/>
    <w:rsid w:val="6A6A635C"/>
    <w:rsid w:val="6A9A444F"/>
    <w:rsid w:val="6AFE3735"/>
    <w:rsid w:val="6B29023B"/>
    <w:rsid w:val="6B2F2016"/>
    <w:rsid w:val="6B405CF4"/>
    <w:rsid w:val="6B535354"/>
    <w:rsid w:val="6B8C5BC5"/>
    <w:rsid w:val="6BAE4AB7"/>
    <w:rsid w:val="6BED6A73"/>
    <w:rsid w:val="6C8B6B0A"/>
    <w:rsid w:val="6C8C4318"/>
    <w:rsid w:val="6C987327"/>
    <w:rsid w:val="6CB65A1C"/>
    <w:rsid w:val="6CF83861"/>
    <w:rsid w:val="6D0E1ECC"/>
    <w:rsid w:val="6D125278"/>
    <w:rsid w:val="6D3632BC"/>
    <w:rsid w:val="6D5238C5"/>
    <w:rsid w:val="6D6220FB"/>
    <w:rsid w:val="6D9B57F8"/>
    <w:rsid w:val="6DA137F9"/>
    <w:rsid w:val="6DA953DB"/>
    <w:rsid w:val="6DBB1014"/>
    <w:rsid w:val="6DCD6E37"/>
    <w:rsid w:val="6DD72E46"/>
    <w:rsid w:val="6E054EFC"/>
    <w:rsid w:val="6E937216"/>
    <w:rsid w:val="6EFC05D6"/>
    <w:rsid w:val="6F2A4C62"/>
    <w:rsid w:val="6F2C6C33"/>
    <w:rsid w:val="6F4B30EC"/>
    <w:rsid w:val="6F8E1EAD"/>
    <w:rsid w:val="6FD90906"/>
    <w:rsid w:val="6FE54119"/>
    <w:rsid w:val="70016EC3"/>
    <w:rsid w:val="701D31E1"/>
    <w:rsid w:val="70491806"/>
    <w:rsid w:val="70B30B1E"/>
    <w:rsid w:val="70E46F2A"/>
    <w:rsid w:val="70E96B66"/>
    <w:rsid w:val="70F5651A"/>
    <w:rsid w:val="713B5A02"/>
    <w:rsid w:val="71452CC8"/>
    <w:rsid w:val="7156799A"/>
    <w:rsid w:val="71634A79"/>
    <w:rsid w:val="71662034"/>
    <w:rsid w:val="718D136F"/>
    <w:rsid w:val="719312E7"/>
    <w:rsid w:val="71BC67F4"/>
    <w:rsid w:val="71BD7A3F"/>
    <w:rsid w:val="71FD448F"/>
    <w:rsid w:val="722A3901"/>
    <w:rsid w:val="72323A26"/>
    <w:rsid w:val="7250655C"/>
    <w:rsid w:val="73200ED7"/>
    <w:rsid w:val="732E1154"/>
    <w:rsid w:val="73357434"/>
    <w:rsid w:val="73371E73"/>
    <w:rsid w:val="738C44C4"/>
    <w:rsid w:val="739A6421"/>
    <w:rsid w:val="739F5D1A"/>
    <w:rsid w:val="73AD70AD"/>
    <w:rsid w:val="73C95D04"/>
    <w:rsid w:val="73CF7181"/>
    <w:rsid w:val="73E20F88"/>
    <w:rsid w:val="73FB50D4"/>
    <w:rsid w:val="73FC27DC"/>
    <w:rsid w:val="742C2E58"/>
    <w:rsid w:val="74333000"/>
    <w:rsid w:val="74AD551C"/>
    <w:rsid w:val="74EF6448"/>
    <w:rsid w:val="75731B7A"/>
    <w:rsid w:val="7579177C"/>
    <w:rsid w:val="759E6567"/>
    <w:rsid w:val="75AD7963"/>
    <w:rsid w:val="75BD4822"/>
    <w:rsid w:val="75C44CC1"/>
    <w:rsid w:val="75C81609"/>
    <w:rsid w:val="75D4601D"/>
    <w:rsid w:val="75FE2058"/>
    <w:rsid w:val="764C6F69"/>
    <w:rsid w:val="76521638"/>
    <w:rsid w:val="765613FC"/>
    <w:rsid w:val="76764884"/>
    <w:rsid w:val="767D3735"/>
    <w:rsid w:val="769111C2"/>
    <w:rsid w:val="76A071E3"/>
    <w:rsid w:val="76AA73D7"/>
    <w:rsid w:val="76C52806"/>
    <w:rsid w:val="7730202D"/>
    <w:rsid w:val="77361F6B"/>
    <w:rsid w:val="777F5C3E"/>
    <w:rsid w:val="77922DE8"/>
    <w:rsid w:val="779B0A1B"/>
    <w:rsid w:val="7826607A"/>
    <w:rsid w:val="782A508A"/>
    <w:rsid w:val="782E3222"/>
    <w:rsid w:val="782F78FF"/>
    <w:rsid w:val="78BA16CD"/>
    <w:rsid w:val="78C8713C"/>
    <w:rsid w:val="78CC6AB5"/>
    <w:rsid w:val="795C05D4"/>
    <w:rsid w:val="796F7BC9"/>
    <w:rsid w:val="7971559D"/>
    <w:rsid w:val="799C4D7E"/>
    <w:rsid w:val="79A7333D"/>
    <w:rsid w:val="79D8521D"/>
    <w:rsid w:val="79E46DA7"/>
    <w:rsid w:val="79EA2CB2"/>
    <w:rsid w:val="7A036A7D"/>
    <w:rsid w:val="7A042C60"/>
    <w:rsid w:val="7A262A10"/>
    <w:rsid w:val="7A383BA3"/>
    <w:rsid w:val="7A583BE6"/>
    <w:rsid w:val="7A7858A5"/>
    <w:rsid w:val="7A9210F5"/>
    <w:rsid w:val="7A9E4A38"/>
    <w:rsid w:val="7AB61D12"/>
    <w:rsid w:val="7ABB57B8"/>
    <w:rsid w:val="7AD755B2"/>
    <w:rsid w:val="7AE96D27"/>
    <w:rsid w:val="7B240B8B"/>
    <w:rsid w:val="7B683586"/>
    <w:rsid w:val="7B6F68ED"/>
    <w:rsid w:val="7BDC7235"/>
    <w:rsid w:val="7BF71480"/>
    <w:rsid w:val="7C2F14D2"/>
    <w:rsid w:val="7C620A38"/>
    <w:rsid w:val="7CAF481A"/>
    <w:rsid w:val="7CF73E46"/>
    <w:rsid w:val="7D0958CA"/>
    <w:rsid w:val="7D203A5E"/>
    <w:rsid w:val="7D4B3006"/>
    <w:rsid w:val="7D4E2748"/>
    <w:rsid w:val="7D535949"/>
    <w:rsid w:val="7D6666FE"/>
    <w:rsid w:val="7DD8042C"/>
    <w:rsid w:val="7E2D7213"/>
    <w:rsid w:val="7E6B6268"/>
    <w:rsid w:val="7E6F43B3"/>
    <w:rsid w:val="7F1267A9"/>
    <w:rsid w:val="7F5E259D"/>
    <w:rsid w:val="7F691609"/>
    <w:rsid w:val="7F6F3C82"/>
    <w:rsid w:val="7F7C1AC4"/>
    <w:rsid w:val="7F855A57"/>
    <w:rsid w:val="7FF15A2C"/>
    <w:rsid w:val="DE5DC4AF"/>
    <w:rsid w:val="E1F92FD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Calibri" w:hAnsi="Calibri" w:eastAsia="宋体" w:cs="黑体"/>
      <w:kern w:val="2"/>
      <w:sz w:val="24"/>
      <w:szCs w:val="22"/>
      <w:lang w:val="en-US" w:eastAsia="zh-CN" w:bidi="ar-SA"/>
    </w:rPr>
  </w:style>
  <w:style w:type="paragraph" w:styleId="4">
    <w:name w:val="heading 1"/>
    <w:basedOn w:val="1"/>
    <w:next w:val="1"/>
    <w:link w:val="39"/>
    <w:qFormat/>
    <w:uiPriority w:val="0"/>
    <w:pPr>
      <w:keepNext/>
      <w:keepLines/>
      <w:numPr>
        <w:ilvl w:val="0"/>
        <w:numId w:val="1"/>
      </w:numPr>
      <w:spacing w:before="340" w:after="330" w:line="578" w:lineRule="auto"/>
      <w:ind w:left="432" w:firstLine="0" w:firstLineChars="0"/>
      <w:outlineLvl w:val="0"/>
    </w:pPr>
    <w:rPr>
      <w:rFonts w:ascii="Times New Roman" w:hAnsi="Times New Roman" w:eastAsia="宋体" w:cs="Times New Roman"/>
      <w:b/>
      <w:bCs/>
      <w:kern w:val="44"/>
      <w:sz w:val="44"/>
      <w:szCs w:val="44"/>
    </w:rPr>
  </w:style>
  <w:style w:type="paragraph" w:styleId="5">
    <w:name w:val="heading 2"/>
    <w:basedOn w:val="1"/>
    <w:next w:val="1"/>
    <w:link w:val="40"/>
    <w:qFormat/>
    <w:uiPriority w:val="0"/>
    <w:pPr>
      <w:keepNext/>
      <w:keepLines/>
      <w:spacing w:before="260" w:after="260" w:line="416" w:lineRule="auto"/>
      <w:ind w:firstLine="0" w:firstLineChars="0"/>
      <w:outlineLvl w:val="1"/>
    </w:pPr>
    <w:rPr>
      <w:rFonts w:ascii="Calibri Light" w:hAnsi="Calibri Light" w:eastAsia="宋体" w:cs="Times New Roman"/>
      <w:b/>
      <w:bCs/>
      <w:sz w:val="32"/>
      <w:szCs w:val="32"/>
    </w:rPr>
  </w:style>
  <w:style w:type="paragraph" w:styleId="6">
    <w:name w:val="heading 3"/>
    <w:basedOn w:val="1"/>
    <w:next w:val="1"/>
    <w:link w:val="41"/>
    <w:qFormat/>
    <w:uiPriority w:val="0"/>
    <w:pPr>
      <w:keepNext/>
      <w:keepLines/>
      <w:numPr>
        <w:ilvl w:val="2"/>
        <w:numId w:val="1"/>
      </w:numPr>
      <w:tabs>
        <w:tab w:val="left" w:pos="432"/>
      </w:tabs>
      <w:spacing w:before="260" w:after="260" w:line="416" w:lineRule="auto"/>
      <w:ind w:left="1200" w:firstLine="0" w:firstLineChars="0"/>
      <w:outlineLvl w:val="2"/>
    </w:pPr>
    <w:rPr>
      <w:rFonts w:ascii="Times New Roman" w:hAnsi="Times New Roman" w:eastAsia="宋体" w:cs="Times New Roman"/>
      <w:b/>
      <w:bCs/>
      <w:sz w:val="32"/>
      <w:szCs w:val="32"/>
    </w:rPr>
  </w:style>
  <w:style w:type="paragraph" w:styleId="7">
    <w:name w:val="heading 4"/>
    <w:basedOn w:val="1"/>
    <w:next w:val="1"/>
    <w:link w:val="42"/>
    <w:qFormat/>
    <w:uiPriority w:val="0"/>
    <w:pPr>
      <w:keepNext/>
      <w:keepLines/>
      <w:numPr>
        <w:ilvl w:val="3"/>
        <w:numId w:val="1"/>
      </w:numPr>
      <w:tabs>
        <w:tab w:val="left" w:pos="432"/>
      </w:tabs>
      <w:spacing w:before="280" w:after="290" w:line="376" w:lineRule="auto"/>
      <w:ind w:left="1006" w:hanging="864"/>
      <w:outlineLvl w:val="3"/>
    </w:pPr>
    <w:rPr>
      <w:rFonts w:ascii="Calibri Light" w:hAnsi="Calibri Light" w:eastAsia="宋体" w:cs="Times New Roman"/>
      <w:b/>
      <w:bCs/>
      <w:sz w:val="28"/>
      <w:szCs w:val="28"/>
    </w:rPr>
  </w:style>
  <w:style w:type="paragraph" w:styleId="8">
    <w:name w:val="heading 5"/>
    <w:basedOn w:val="1"/>
    <w:next w:val="1"/>
    <w:link w:val="43"/>
    <w:qFormat/>
    <w:uiPriority w:val="0"/>
    <w:pPr>
      <w:keepNext/>
      <w:keepLines/>
      <w:numPr>
        <w:ilvl w:val="4"/>
        <w:numId w:val="1"/>
      </w:numPr>
      <w:tabs>
        <w:tab w:val="left" w:pos="432"/>
      </w:tabs>
      <w:spacing w:before="280" w:after="290" w:line="376" w:lineRule="auto"/>
      <w:ind w:left="1008" w:hanging="1008"/>
      <w:outlineLvl w:val="4"/>
    </w:pPr>
    <w:rPr>
      <w:rFonts w:ascii="Times New Roman" w:hAnsi="Times New Roman" w:eastAsia="宋体" w:cs="Times New Roman"/>
      <w:b/>
      <w:bCs/>
      <w:sz w:val="28"/>
      <w:szCs w:val="28"/>
    </w:rPr>
  </w:style>
  <w:style w:type="paragraph" w:styleId="9">
    <w:name w:val="heading 6"/>
    <w:basedOn w:val="1"/>
    <w:next w:val="1"/>
    <w:link w:val="44"/>
    <w:qFormat/>
    <w:uiPriority w:val="0"/>
    <w:pPr>
      <w:keepNext/>
      <w:keepLines/>
      <w:numPr>
        <w:ilvl w:val="5"/>
        <w:numId w:val="1"/>
      </w:numPr>
      <w:tabs>
        <w:tab w:val="left" w:pos="432"/>
      </w:tabs>
      <w:spacing w:before="240" w:after="64" w:line="320" w:lineRule="auto"/>
      <w:ind w:left="1152" w:hanging="1152"/>
      <w:outlineLvl w:val="5"/>
    </w:pPr>
    <w:rPr>
      <w:rFonts w:ascii="Calibri Light" w:hAnsi="Calibri Light" w:eastAsia="宋体" w:cs="Times New Roman"/>
      <w:b/>
      <w:bCs/>
      <w:szCs w:val="24"/>
    </w:rPr>
  </w:style>
  <w:style w:type="character" w:default="1" w:styleId="34">
    <w:name w:val="Default Paragraph Font"/>
    <w:qFormat/>
    <w:uiPriority w:val="0"/>
    <w:rPr>
      <w:rFonts w:ascii="Times New Roman" w:hAnsi="Times New Roman" w:eastAsia="宋体" w:cs="Times New Roman"/>
    </w:rPr>
  </w:style>
  <w:style w:type="table" w:default="1" w:styleId="32">
    <w:name w:val="Normal Table"/>
    <w:qFormat/>
    <w:uiPriority w:val="0"/>
    <w:rPr>
      <w:rFonts w:ascii="Times New Roman" w:hAnsi="Times New Roman" w:eastAsia="宋体" w:cs="Times New Roman"/>
    </w:rPr>
    <w:tblPr>
      <w:tblCellMar>
        <w:top w:w="0" w:type="dxa"/>
        <w:left w:w="108" w:type="dxa"/>
        <w:bottom w:w="0" w:type="dxa"/>
        <w:right w:w="108" w:type="dxa"/>
      </w:tblCellMar>
    </w:tblPr>
  </w:style>
  <w:style w:type="paragraph" w:styleId="2">
    <w:name w:val="Body Text"/>
    <w:basedOn w:val="1"/>
    <w:next w:val="3"/>
    <w:qFormat/>
    <w:uiPriority w:val="99"/>
    <w:pPr>
      <w:spacing w:after="120"/>
    </w:pPr>
  </w:style>
  <w:style w:type="paragraph" w:styleId="3">
    <w:name w:val="Title"/>
    <w:basedOn w:val="1"/>
    <w:next w:val="1"/>
    <w:qFormat/>
    <w:uiPriority w:val="0"/>
    <w:pPr>
      <w:spacing w:before="240" w:after="60"/>
      <w:jc w:val="center"/>
      <w:outlineLvl w:val="0"/>
    </w:pPr>
    <w:rPr>
      <w:rFonts w:ascii="Cambria" w:hAnsi="Cambria" w:eastAsia="宋体"/>
      <w:b/>
      <w:bCs/>
      <w:sz w:val="32"/>
      <w:szCs w:val="32"/>
    </w:rPr>
  </w:style>
  <w:style w:type="paragraph" w:styleId="10">
    <w:name w:val="toc 7"/>
    <w:next w:val="1"/>
    <w:qFormat/>
    <w:uiPriority w:val="0"/>
    <w:pPr>
      <w:ind w:left="1260"/>
    </w:pPr>
    <w:rPr>
      <w:rFonts w:ascii="Times New Roman" w:hAnsi="Times New Roman" w:eastAsia="宋体" w:cs="Times New Roman"/>
      <w:sz w:val="18"/>
      <w:szCs w:val="18"/>
      <w:lang w:val="en-US" w:eastAsia="zh-CN" w:bidi="ar-SA"/>
    </w:rPr>
  </w:style>
  <w:style w:type="paragraph" w:styleId="11">
    <w:name w:val="Normal Indent"/>
    <w:basedOn w:val="1"/>
    <w:qFormat/>
    <w:uiPriority w:val="0"/>
    <w:pPr>
      <w:ind w:firstLine="420"/>
    </w:pPr>
    <w:rPr>
      <w:rFonts w:ascii="Times New Roman" w:hAnsi="Times New Roman" w:eastAsia="宋体" w:cs="Times New Roman"/>
    </w:rPr>
  </w:style>
  <w:style w:type="paragraph" w:styleId="12">
    <w:name w:val="caption"/>
    <w:basedOn w:val="1"/>
    <w:next w:val="1"/>
    <w:qFormat/>
    <w:uiPriority w:val="0"/>
    <w:pPr>
      <w:spacing w:line="240" w:lineRule="auto"/>
      <w:ind w:firstLine="0" w:firstLineChars="0"/>
    </w:pPr>
    <w:rPr>
      <w:rFonts w:ascii="Cambria" w:hAnsi="Cambria" w:eastAsia="黑体" w:cs="Times New Roman"/>
      <w:sz w:val="20"/>
      <w:szCs w:val="20"/>
    </w:rPr>
  </w:style>
  <w:style w:type="paragraph" w:styleId="13">
    <w:name w:val="Document Map"/>
    <w:basedOn w:val="1"/>
    <w:link w:val="45"/>
    <w:qFormat/>
    <w:uiPriority w:val="0"/>
    <w:rPr>
      <w:rFonts w:ascii="宋体" w:hAnsi="Times New Roman" w:eastAsia="宋体" w:cs="Times New Roman"/>
      <w:sz w:val="18"/>
      <w:szCs w:val="18"/>
    </w:rPr>
  </w:style>
  <w:style w:type="paragraph" w:styleId="14">
    <w:name w:val="annotation text"/>
    <w:basedOn w:val="1"/>
    <w:link w:val="46"/>
    <w:qFormat/>
    <w:uiPriority w:val="0"/>
    <w:pPr>
      <w:jc w:val="left"/>
    </w:pPr>
    <w:rPr>
      <w:rFonts w:ascii="Times New Roman" w:hAnsi="Times New Roman" w:eastAsia="宋体" w:cs="Times New Roman"/>
    </w:rPr>
  </w:style>
  <w:style w:type="paragraph" w:styleId="15">
    <w:name w:val="Body Text Indent"/>
    <w:basedOn w:val="1"/>
    <w:qFormat/>
    <w:uiPriority w:val="0"/>
    <w:pPr>
      <w:ind w:firstLine="640" w:firstLineChars="200"/>
    </w:pPr>
    <w:rPr>
      <w:rFonts w:ascii="Times New Roman" w:hAnsi="Times New Roman" w:eastAsia="仿宋_GB2312" w:cs="Times New Roman"/>
      <w:sz w:val="32"/>
      <w:szCs w:val="20"/>
    </w:rPr>
  </w:style>
  <w:style w:type="paragraph" w:styleId="16">
    <w:name w:val="Block Text"/>
    <w:basedOn w:val="1"/>
    <w:qFormat/>
    <w:uiPriority w:val="0"/>
    <w:pPr>
      <w:spacing w:after="120" w:afterLines="0" w:afterAutospacing="0"/>
      <w:ind w:left="1440" w:leftChars="700" w:rightChars="700"/>
    </w:pPr>
  </w:style>
  <w:style w:type="paragraph" w:styleId="17">
    <w:name w:val="toc 5"/>
    <w:next w:val="1"/>
    <w:qFormat/>
    <w:uiPriority w:val="0"/>
    <w:pPr>
      <w:ind w:left="840"/>
    </w:pPr>
    <w:rPr>
      <w:rFonts w:ascii="Times New Roman" w:hAnsi="Times New Roman" w:eastAsia="宋体" w:cs="Times New Roman"/>
      <w:sz w:val="18"/>
      <w:szCs w:val="18"/>
      <w:lang w:val="en-US" w:eastAsia="zh-CN" w:bidi="ar-SA"/>
    </w:rPr>
  </w:style>
  <w:style w:type="paragraph" w:styleId="18">
    <w:name w:val="toc 3"/>
    <w:next w:val="1"/>
    <w:qFormat/>
    <w:uiPriority w:val="0"/>
    <w:pPr>
      <w:ind w:left="420"/>
    </w:pPr>
    <w:rPr>
      <w:rFonts w:ascii="Times New Roman" w:hAnsi="Times New Roman" w:eastAsia="宋体" w:cs="Times New Roman"/>
      <w:i/>
      <w:iCs/>
      <w:lang w:val="en-US" w:eastAsia="zh-CN" w:bidi="ar-SA"/>
    </w:rPr>
  </w:style>
  <w:style w:type="paragraph" w:styleId="19">
    <w:name w:val="toc 8"/>
    <w:next w:val="1"/>
    <w:qFormat/>
    <w:uiPriority w:val="0"/>
    <w:pPr>
      <w:ind w:left="1470"/>
    </w:pPr>
    <w:rPr>
      <w:rFonts w:ascii="Times New Roman" w:hAnsi="Times New Roman" w:eastAsia="宋体" w:cs="Times New Roman"/>
      <w:sz w:val="18"/>
      <w:szCs w:val="18"/>
      <w:lang w:val="en-US" w:eastAsia="zh-CN" w:bidi="ar-SA"/>
    </w:rPr>
  </w:style>
  <w:style w:type="paragraph" w:styleId="20">
    <w:name w:val="Date"/>
    <w:basedOn w:val="1"/>
    <w:next w:val="1"/>
    <w:link w:val="47"/>
    <w:qFormat/>
    <w:uiPriority w:val="0"/>
    <w:pPr>
      <w:ind w:left="100" w:leftChars="2500"/>
    </w:pPr>
    <w:rPr>
      <w:rFonts w:ascii="Times New Roman" w:hAnsi="Times New Roman" w:eastAsia="宋体" w:cs="Times New Roman"/>
    </w:rPr>
  </w:style>
  <w:style w:type="paragraph" w:styleId="21">
    <w:name w:val="Balloon Text"/>
    <w:basedOn w:val="1"/>
    <w:link w:val="48"/>
    <w:qFormat/>
    <w:uiPriority w:val="0"/>
    <w:pPr>
      <w:spacing w:line="240" w:lineRule="auto"/>
    </w:pPr>
    <w:rPr>
      <w:rFonts w:ascii="Times New Roman" w:hAnsi="Times New Roman" w:eastAsia="宋体" w:cs="Times New Roman"/>
      <w:sz w:val="18"/>
      <w:szCs w:val="18"/>
    </w:rPr>
  </w:style>
  <w:style w:type="paragraph" w:styleId="22">
    <w:name w:val="footer"/>
    <w:basedOn w:val="1"/>
    <w:link w:val="49"/>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23">
    <w:name w:val="header"/>
    <w:basedOn w:val="1"/>
    <w:link w:val="50"/>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24">
    <w:name w:val="toc 1"/>
    <w:basedOn w:val="1"/>
    <w:next w:val="1"/>
    <w:qFormat/>
    <w:uiPriority w:val="39"/>
    <w:pPr>
      <w:spacing w:beforeLines="38" w:afterLines="38"/>
    </w:pPr>
    <w:rPr>
      <w:b/>
      <w:bCs/>
      <w:lang w:val="en-US" w:eastAsia="zh-CN" w:bidi="ar-SA"/>
    </w:rPr>
  </w:style>
  <w:style w:type="paragraph" w:styleId="25">
    <w:name w:val="toc 4"/>
    <w:next w:val="1"/>
    <w:qFormat/>
    <w:uiPriority w:val="0"/>
    <w:pPr>
      <w:ind w:left="630"/>
    </w:pPr>
    <w:rPr>
      <w:rFonts w:ascii="Times New Roman" w:hAnsi="Times New Roman" w:eastAsia="宋体" w:cs="Times New Roman"/>
      <w:sz w:val="18"/>
      <w:szCs w:val="18"/>
      <w:lang w:val="en-US" w:eastAsia="zh-CN" w:bidi="ar-SA"/>
    </w:rPr>
  </w:style>
  <w:style w:type="paragraph" w:styleId="26">
    <w:name w:val="toc 6"/>
    <w:next w:val="1"/>
    <w:qFormat/>
    <w:uiPriority w:val="0"/>
    <w:pPr>
      <w:ind w:left="1050"/>
    </w:pPr>
    <w:rPr>
      <w:rFonts w:ascii="Times New Roman" w:hAnsi="Times New Roman" w:eastAsia="宋体" w:cs="Times New Roman"/>
      <w:sz w:val="18"/>
      <w:szCs w:val="18"/>
      <w:lang w:val="en-US" w:eastAsia="zh-CN" w:bidi="ar-SA"/>
    </w:rPr>
  </w:style>
  <w:style w:type="paragraph" w:styleId="27">
    <w:name w:val="toc 2"/>
    <w:basedOn w:val="1"/>
    <w:next w:val="1"/>
    <w:qFormat/>
    <w:uiPriority w:val="39"/>
    <w:pPr>
      <w:ind w:left="210"/>
    </w:pPr>
    <w:rPr>
      <w:smallCaps/>
      <w:lang w:val="en-US" w:eastAsia="zh-CN" w:bidi="ar-SA"/>
    </w:rPr>
  </w:style>
  <w:style w:type="paragraph" w:styleId="28">
    <w:name w:val="toc 9"/>
    <w:next w:val="1"/>
    <w:qFormat/>
    <w:uiPriority w:val="0"/>
    <w:pPr>
      <w:ind w:left="1680"/>
    </w:pPr>
    <w:rPr>
      <w:rFonts w:ascii="Times New Roman" w:hAnsi="Times New Roman" w:eastAsia="宋体" w:cs="Times New Roman"/>
      <w:sz w:val="18"/>
      <w:szCs w:val="18"/>
      <w:lang w:val="en-US" w:eastAsia="zh-CN" w:bidi="ar-SA"/>
    </w:rPr>
  </w:style>
  <w:style w:type="paragraph" w:styleId="29">
    <w:name w:val="Body Text 2"/>
    <w:basedOn w:val="1"/>
    <w:qFormat/>
    <w:uiPriority w:val="0"/>
    <w:pPr>
      <w:spacing w:after="120" w:afterLines="0" w:afterAutospacing="0" w:line="480" w:lineRule="auto"/>
    </w:pPr>
  </w:style>
  <w:style w:type="paragraph" w:styleId="30">
    <w:name w:val="annotation subject"/>
    <w:basedOn w:val="14"/>
    <w:next w:val="14"/>
    <w:link w:val="51"/>
    <w:qFormat/>
    <w:uiPriority w:val="0"/>
    <w:rPr>
      <w:rFonts w:ascii="Times New Roman" w:hAnsi="Times New Roman" w:eastAsia="宋体" w:cs="Times New Roman"/>
      <w:b/>
      <w:bCs/>
    </w:rPr>
  </w:style>
  <w:style w:type="paragraph" w:styleId="31">
    <w:name w:val="Body Text First Indent"/>
    <w:basedOn w:val="1"/>
    <w:next w:val="1"/>
    <w:qFormat/>
    <w:uiPriority w:val="0"/>
    <w:pPr>
      <w:ind w:firstLine="420"/>
    </w:pPr>
  </w:style>
  <w:style w:type="table" w:styleId="33">
    <w:name w:val="Table Grid"/>
    <w:basedOn w:val="32"/>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basedOn w:val="34"/>
    <w:qFormat/>
    <w:uiPriority w:val="22"/>
    <w:rPr>
      <w:b/>
    </w:rPr>
  </w:style>
  <w:style w:type="character" w:styleId="36">
    <w:name w:val="Emphasis"/>
    <w:basedOn w:val="34"/>
    <w:qFormat/>
    <w:uiPriority w:val="20"/>
    <w:rPr>
      <w:i/>
    </w:rPr>
  </w:style>
  <w:style w:type="character" w:styleId="37">
    <w:name w:val="Hyperlink"/>
    <w:qFormat/>
    <w:uiPriority w:val="99"/>
    <w:rPr>
      <w:rFonts w:ascii="Times New Roman" w:hAnsi="Times New Roman" w:eastAsia="宋体" w:cs="Times New Roman"/>
      <w:color w:val="0563C1"/>
      <w:u w:val="single"/>
    </w:rPr>
  </w:style>
  <w:style w:type="character" w:styleId="38">
    <w:name w:val="annotation reference"/>
    <w:qFormat/>
    <w:uiPriority w:val="0"/>
    <w:rPr>
      <w:rFonts w:ascii="Times New Roman" w:hAnsi="Times New Roman" w:eastAsia="宋体" w:cs="Times New Roman"/>
      <w:sz w:val="21"/>
      <w:szCs w:val="21"/>
    </w:rPr>
  </w:style>
  <w:style w:type="character" w:customStyle="1" w:styleId="39">
    <w:name w:val="标题 1 字符"/>
    <w:link w:val="4"/>
    <w:qFormat/>
    <w:uiPriority w:val="0"/>
    <w:rPr>
      <w:rFonts w:ascii="Times New Roman" w:hAnsi="Times New Roman" w:eastAsia="宋体" w:cs="Times New Roman"/>
      <w:b/>
      <w:bCs/>
      <w:kern w:val="44"/>
      <w:sz w:val="44"/>
      <w:szCs w:val="44"/>
    </w:rPr>
  </w:style>
  <w:style w:type="character" w:customStyle="1" w:styleId="40">
    <w:name w:val="标题 2 字符"/>
    <w:link w:val="5"/>
    <w:qFormat/>
    <w:uiPriority w:val="0"/>
    <w:rPr>
      <w:rFonts w:ascii="Calibri Light" w:hAnsi="Calibri Light" w:eastAsia="宋体" w:cs="黑体"/>
      <w:b/>
      <w:bCs/>
      <w:sz w:val="32"/>
      <w:szCs w:val="32"/>
    </w:rPr>
  </w:style>
  <w:style w:type="character" w:customStyle="1" w:styleId="41">
    <w:name w:val="标题 3 字符"/>
    <w:link w:val="6"/>
    <w:qFormat/>
    <w:uiPriority w:val="0"/>
    <w:rPr>
      <w:rFonts w:ascii="Times New Roman" w:hAnsi="Times New Roman" w:eastAsia="宋体" w:cs="Times New Roman"/>
      <w:b/>
      <w:bCs/>
      <w:sz w:val="32"/>
      <w:szCs w:val="32"/>
    </w:rPr>
  </w:style>
  <w:style w:type="character" w:customStyle="1" w:styleId="42">
    <w:name w:val="标题 4 字符"/>
    <w:link w:val="7"/>
    <w:qFormat/>
    <w:uiPriority w:val="0"/>
    <w:rPr>
      <w:rFonts w:ascii="Calibri Light" w:hAnsi="Calibri Light" w:eastAsia="宋体" w:cs="黑体"/>
      <w:b/>
      <w:bCs/>
      <w:sz w:val="28"/>
      <w:szCs w:val="28"/>
    </w:rPr>
  </w:style>
  <w:style w:type="character" w:customStyle="1" w:styleId="43">
    <w:name w:val="标题 5 字符"/>
    <w:link w:val="8"/>
    <w:qFormat/>
    <w:uiPriority w:val="0"/>
    <w:rPr>
      <w:rFonts w:ascii="Times New Roman" w:hAnsi="Times New Roman" w:eastAsia="宋体" w:cs="Times New Roman"/>
      <w:b/>
      <w:bCs/>
      <w:sz w:val="28"/>
      <w:szCs w:val="28"/>
    </w:rPr>
  </w:style>
  <w:style w:type="character" w:customStyle="1" w:styleId="44">
    <w:name w:val="标题 6 字符"/>
    <w:link w:val="9"/>
    <w:qFormat/>
    <w:uiPriority w:val="0"/>
    <w:rPr>
      <w:rFonts w:ascii="Calibri Light" w:hAnsi="Calibri Light" w:eastAsia="宋体" w:cs="黑体"/>
      <w:b/>
      <w:bCs/>
      <w:sz w:val="24"/>
      <w:szCs w:val="24"/>
    </w:rPr>
  </w:style>
  <w:style w:type="character" w:customStyle="1" w:styleId="45">
    <w:name w:val="文档结构图 字符"/>
    <w:link w:val="13"/>
    <w:qFormat/>
    <w:uiPriority w:val="0"/>
    <w:rPr>
      <w:rFonts w:ascii="宋体" w:hAnsi="Times New Roman" w:eastAsia="宋体" w:cs="Times New Roman"/>
      <w:sz w:val="18"/>
      <w:szCs w:val="18"/>
    </w:rPr>
  </w:style>
  <w:style w:type="character" w:customStyle="1" w:styleId="46">
    <w:name w:val="批注文字 字符"/>
    <w:link w:val="14"/>
    <w:qFormat/>
    <w:uiPriority w:val="0"/>
    <w:rPr>
      <w:rFonts w:ascii="Calibri" w:hAnsi="Calibri" w:eastAsia="宋体" w:cs="黑体"/>
      <w:kern w:val="2"/>
      <w:sz w:val="24"/>
      <w:szCs w:val="22"/>
    </w:rPr>
  </w:style>
  <w:style w:type="character" w:customStyle="1" w:styleId="47">
    <w:name w:val="日期 字符"/>
    <w:link w:val="20"/>
    <w:qFormat/>
    <w:uiPriority w:val="0"/>
    <w:rPr>
      <w:rFonts w:ascii="Calibri" w:hAnsi="Calibri" w:eastAsia="宋体" w:cs="黑体"/>
      <w:kern w:val="2"/>
      <w:sz w:val="24"/>
      <w:szCs w:val="22"/>
    </w:rPr>
  </w:style>
  <w:style w:type="character" w:customStyle="1" w:styleId="48">
    <w:name w:val="批注框文本 字符"/>
    <w:link w:val="21"/>
    <w:qFormat/>
    <w:uiPriority w:val="0"/>
    <w:rPr>
      <w:rFonts w:ascii="Times New Roman" w:hAnsi="Times New Roman" w:eastAsia="宋体" w:cs="Times New Roman"/>
      <w:sz w:val="18"/>
      <w:szCs w:val="18"/>
    </w:rPr>
  </w:style>
  <w:style w:type="character" w:customStyle="1" w:styleId="49">
    <w:name w:val="页脚 字符"/>
    <w:link w:val="22"/>
    <w:qFormat/>
    <w:uiPriority w:val="0"/>
    <w:rPr>
      <w:rFonts w:ascii="Times New Roman" w:hAnsi="Times New Roman" w:eastAsia="宋体" w:cs="Times New Roman"/>
      <w:sz w:val="18"/>
      <w:szCs w:val="18"/>
    </w:rPr>
  </w:style>
  <w:style w:type="character" w:customStyle="1" w:styleId="50">
    <w:name w:val="页眉 字符"/>
    <w:link w:val="23"/>
    <w:qFormat/>
    <w:uiPriority w:val="0"/>
    <w:rPr>
      <w:rFonts w:ascii="Times New Roman" w:hAnsi="Times New Roman" w:eastAsia="宋体" w:cs="Times New Roman"/>
      <w:sz w:val="18"/>
      <w:szCs w:val="18"/>
    </w:rPr>
  </w:style>
  <w:style w:type="character" w:customStyle="1" w:styleId="51">
    <w:name w:val="批注主题 字符"/>
    <w:link w:val="30"/>
    <w:qFormat/>
    <w:uiPriority w:val="0"/>
    <w:rPr>
      <w:rFonts w:ascii="Calibri" w:hAnsi="Calibri" w:eastAsia="宋体" w:cs="黑体"/>
      <w:b/>
      <w:bCs/>
      <w:kern w:val="2"/>
      <w:sz w:val="24"/>
      <w:szCs w:val="22"/>
    </w:rPr>
  </w:style>
  <w:style w:type="character" w:customStyle="1" w:styleId="52">
    <w:name w:val="page number"/>
    <w:qFormat/>
    <w:uiPriority w:val="0"/>
    <w:rPr>
      <w:rFonts w:ascii="Times New Roman" w:hAnsi="Times New Roman" w:eastAsia="宋体" w:cs="Times New Roman"/>
    </w:rPr>
  </w:style>
  <w:style w:type="paragraph" w:customStyle="1" w:styleId="53">
    <w:name w:val="三级无"/>
    <w:basedOn w:val="1"/>
    <w:semiHidden/>
    <w:qFormat/>
    <w:uiPriority w:val="99"/>
    <w:pPr>
      <w:widowControl/>
      <w:jc w:val="left"/>
      <w:outlineLvl w:val="4"/>
    </w:pPr>
    <w:rPr>
      <w:rFonts w:ascii="宋体" w:hAnsi="Times New Roman"/>
      <w:kern w:val="0"/>
      <w:szCs w:val="21"/>
    </w:rPr>
  </w:style>
  <w:style w:type="paragraph" w:customStyle="1" w:styleId="54">
    <w:name w:val="List Paragraph1"/>
    <w:basedOn w:val="1"/>
    <w:qFormat/>
    <w:uiPriority w:val="0"/>
    <w:pPr>
      <w:ind w:firstLine="420"/>
    </w:pPr>
    <w:rPr>
      <w:rFonts w:ascii="Times New Roman" w:hAnsi="Times New Roman" w:eastAsia="宋体" w:cs="Times New Roman"/>
    </w:rPr>
  </w:style>
  <w:style w:type="paragraph" w:customStyle="1" w:styleId="55">
    <w:name w:val="列出段落1"/>
    <w:basedOn w:val="1"/>
    <w:qFormat/>
    <w:uiPriority w:val="0"/>
    <w:pPr>
      <w:ind w:firstLine="420" w:firstLineChars="200"/>
    </w:pPr>
    <w:rPr>
      <w:rFonts w:ascii="Times New Roman" w:hAnsi="Times New Roman" w:eastAsia="宋体" w:cs="Times New Roman"/>
    </w:rPr>
  </w:style>
  <w:style w:type="paragraph" w:customStyle="1" w:styleId="56">
    <w:name w:val="*Z表内容"/>
    <w:qFormat/>
    <w:uiPriority w:val="0"/>
    <w:pPr>
      <w:snapToGrid w:val="0"/>
      <w:jc w:val="center"/>
    </w:pPr>
    <w:rPr>
      <w:rFonts w:ascii="Times New Roman" w:hAnsi="Times New Roman" w:eastAsia="宋体" w:cs="Times New Roman"/>
      <w:bCs/>
      <w:kern w:val="2"/>
      <w:sz w:val="18"/>
      <w:szCs w:val="21"/>
      <w:lang w:val="en-US" w:eastAsia="zh-CN" w:bidi="ar-SA"/>
    </w:rPr>
  </w:style>
  <w:style w:type="paragraph" w:customStyle="1" w:styleId="57">
    <w:name w:val="样式1"/>
    <w:basedOn w:val="1"/>
    <w:qFormat/>
    <w:uiPriority w:val="0"/>
    <w:pPr>
      <w:spacing w:line="360" w:lineRule="auto"/>
    </w:pPr>
    <w:rPr>
      <w:rFonts w:ascii="宋体" w:hAnsi="Times New Roman" w:eastAsia="宋体" w:cs="Times New Roman"/>
      <w:sz w:val="24"/>
    </w:rPr>
  </w:style>
  <w:style w:type="paragraph" w:customStyle="1" w:styleId="58">
    <w:name w:val="标准正文1 首行缩进:  0.85 厘米 + 首行缩进:  2 字符"/>
    <w:basedOn w:val="1"/>
    <w:qFormat/>
    <w:uiPriority w:val="0"/>
    <w:pPr>
      <w:spacing w:line="300" w:lineRule="auto"/>
      <w:jc w:val="left"/>
    </w:pPr>
    <w:rPr>
      <w:rFonts w:ascii="Times New Roman" w:hAnsi="Times New Roman" w:eastAsia="仿宋_GB2312" w:cs="宋体"/>
      <w:szCs w:val="20"/>
    </w:rPr>
  </w:style>
  <w:style w:type="paragraph" w:customStyle="1" w:styleId="59">
    <w:name w:val="_Style 58"/>
    <w:qFormat/>
    <w:uiPriority w:val="0"/>
    <w:rPr>
      <w:rFonts w:ascii="Calibri" w:hAnsi="Calibri" w:eastAsia="宋体" w:cs="黑体"/>
      <w:kern w:val="2"/>
      <w:sz w:val="24"/>
      <w:szCs w:val="22"/>
      <w:lang w:val="en-US" w:eastAsia="zh-CN" w:bidi="ar-SA"/>
    </w:rPr>
  </w:style>
  <w:style w:type="paragraph" w:customStyle="1" w:styleId="60">
    <w:name w:val="样式 正文缩进 + 宋体 小四"/>
    <w:basedOn w:val="11"/>
    <w:qFormat/>
    <w:uiPriority w:val="0"/>
    <w:pPr>
      <w:spacing w:line="240" w:lineRule="auto"/>
      <w:ind w:firstLine="0" w:firstLineChars="0"/>
    </w:pPr>
    <w:rPr>
      <w:rFonts w:ascii="Times New Roman" w:hAnsi="Times New Roman" w:eastAsia="宋体" w:cs="Times New Roman"/>
      <w:color w:val="000000"/>
      <w:sz w:val="18"/>
      <w:szCs w:val="20"/>
    </w:rPr>
  </w:style>
  <w:style w:type="paragraph" w:customStyle="1" w:styleId="61">
    <w:name w:val="p0"/>
    <w:basedOn w:val="1"/>
    <w:qFormat/>
    <w:uiPriority w:val="0"/>
    <w:pPr>
      <w:widowControl/>
      <w:spacing w:line="240" w:lineRule="auto"/>
      <w:ind w:firstLine="0" w:firstLineChars="0"/>
    </w:pPr>
    <w:rPr>
      <w:rFonts w:ascii="Times New Roman" w:hAnsi="Times New Roman" w:eastAsia="宋体" w:cs="Times New Roman"/>
      <w:sz w:val="21"/>
      <w:szCs w:val="20"/>
    </w:rPr>
  </w:style>
  <w:style w:type="paragraph" w:customStyle="1" w:styleId="62">
    <w:name w:val="TOC Heading1"/>
    <w:basedOn w:val="4"/>
    <w:next w:val="1"/>
    <w:qFormat/>
    <w:uiPriority w:val="0"/>
    <w:pPr>
      <w:widowControl/>
      <w:spacing w:before="480" w:after="0" w:line="276" w:lineRule="auto"/>
      <w:jc w:val="left"/>
      <w:outlineLvl w:val="9"/>
    </w:pPr>
    <w:rPr>
      <w:rFonts w:ascii="Calibri Light" w:hAnsi="Calibri Light" w:eastAsia="宋体" w:cs="Times New Roman"/>
      <w:color w:val="2D73B3"/>
      <w:kern w:val="0"/>
      <w:sz w:val="28"/>
      <w:szCs w:val="28"/>
    </w:rPr>
  </w:style>
  <w:style w:type="paragraph" w:customStyle="1" w:styleId="63">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64">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65">
    <w:name w:val="Table Paragraph"/>
    <w:basedOn w:val="1"/>
    <w:qFormat/>
    <w:uiPriority w:val="1"/>
    <w:rPr>
      <w:rFonts w:ascii="宋体" w:hAnsi="宋体" w:eastAsia="宋体" w:cs="宋体"/>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WPS%20Office\12.1.0.26895\office6\Normal.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 </Company>
  <Pages>9</Pages>
  <Words>1935</Words>
  <Characters>2320</Characters>
  <Lines>73</Lines>
  <Paragraphs>20</Paragraphs>
  <TotalTime>0</TotalTime>
  <ScaleCrop>false</ScaleCrop>
  <LinksUpToDate>false</LinksUpToDate>
  <CharactersWithSpaces>2428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2023-08-07T19:36:00Z</dcterms:created>
  <dc:creator>guojiadong</dc:creator>
  <cp:lastModifiedBy>伍建华</cp:lastModifiedBy>
  <dcterms:modified xsi:type="dcterms:W3CDTF">2026-09-03T07:40:42Z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KSORubyTemplateID">
    <vt:lpwstr>6</vt:lpwstr>
  </property>
  <property fmtid="{D5CDD505-2E9C-101B-9397-08002B2CF9AE}" pid="4" name="ICV">
    <vt:lpwstr>A4B77BEEA79A4DB88EDE3D56219030D5</vt:lpwstr>
  </property>
  <property fmtid="{D5CDD505-2E9C-101B-9397-08002B2CF9AE}" pid="5" name="KSOTemplateDocerSaveRecord">
    <vt:lpwstr>eyJoZGlkIjoiZTFjY2UyNTE0MTBkNTRlMTIyYWRmMzEwNDZhZWUxNzYiLCJ1c2VySWQiOiI1ODgxODUwMDMifQ==</vt:lpwstr>
  </property>
</Properties>
</file>