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2F5E28">
      <w:pPr>
        <w:widowControl w:val="0"/>
        <w:spacing w:after="0" w:line="288" w:lineRule="auto"/>
        <w:jc w:val="center"/>
        <w:rPr>
          <w:rFonts w:hint="eastAsia" w:ascii="方正小标宋简体" w:hAnsi="方正小标宋简体" w:eastAsia="方正小标宋简体" w:cs="方正小标宋简体"/>
          <w:b/>
          <w:bCs/>
          <w:color w:val="000000"/>
          <w:kern w:val="2"/>
          <w:sz w:val="44"/>
          <w:szCs w:val="44"/>
          <w:lang w:val="en-US" w:eastAsia="en-US"/>
        </w:rPr>
      </w:pPr>
      <w:r>
        <w:rPr>
          <w:rFonts w:hint="default" w:ascii="Times New Roman" w:hAnsi="Times New Roman" w:eastAsia="方正小标宋简体" w:cs="Times New Roman"/>
          <w:b/>
          <w:bCs/>
          <w:color w:val="000000"/>
          <w:kern w:val="2"/>
          <w:sz w:val="44"/>
          <w:szCs w:val="44"/>
          <w:lang w:val="en-US" w:eastAsia="en-US"/>
        </w:rPr>
        <w:t>2026</w:t>
      </w:r>
      <w:r>
        <w:rPr>
          <w:rFonts w:hint="default" w:ascii="Times New Roman" w:hAnsi="Times New Roman" w:eastAsia="方正小标宋简体" w:cs="Times New Roman"/>
          <w:b/>
          <w:bCs/>
          <w:color w:val="000000"/>
          <w:kern w:val="2"/>
          <w:sz w:val="44"/>
          <w:szCs w:val="44"/>
          <w:lang w:val="en-US" w:eastAsia="en-US"/>
        </w:rPr>
        <w:t>年-</w:t>
      </w:r>
      <w:r>
        <w:rPr>
          <w:rFonts w:hint="default" w:ascii="Times New Roman" w:hAnsi="Times New Roman" w:eastAsia="方正小标宋简体" w:cs="Times New Roman"/>
          <w:b/>
          <w:bCs/>
          <w:color w:val="000000"/>
          <w:kern w:val="2"/>
          <w:sz w:val="44"/>
          <w:szCs w:val="44"/>
          <w:lang w:val="en-US" w:eastAsia="en-US"/>
        </w:rPr>
        <w:t>2027</w:t>
      </w:r>
      <w:r>
        <w:rPr>
          <w:rFonts w:hint="eastAsia" w:ascii="方正小标宋简体" w:hAnsi="方正小标宋简体" w:eastAsia="方正小标宋简体" w:cs="方正小标宋简体"/>
          <w:b/>
          <w:bCs/>
          <w:color w:val="000000"/>
          <w:kern w:val="2"/>
          <w:sz w:val="44"/>
          <w:szCs w:val="44"/>
          <w:lang w:val="en-US" w:eastAsia="en-US"/>
        </w:rPr>
        <w:t>年南方电网新型电力系统（北京）研究院有限公司周转房租赁价格第三方评估服务项目技术规范书</w:t>
      </w:r>
    </w:p>
    <w:p w14:paraId="0EF221B1">
      <w:pPr>
        <w:spacing w:before="200" w:after="160" w:line="360" w:lineRule="auto"/>
        <w:jc w:val="both"/>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b/>
          <w:sz w:val="32"/>
        </w:rPr>
        <w:t>一</w:t>
      </w:r>
      <w:r>
        <w:rPr>
          <w:rFonts w:hint="eastAsia" w:ascii="Times New Roman" w:hAnsi="Times New Roman" w:eastAsia="方正仿宋_GB2312" w:cs="Times New Roman"/>
          <w:b/>
          <w:sz w:val="32"/>
          <w:lang w:eastAsia="zh-CN"/>
        </w:rPr>
        <w:t>、</w:t>
      </w:r>
      <w:r>
        <w:rPr>
          <w:rFonts w:hint="eastAsia" w:ascii="Times New Roman" w:hAnsi="Times New Roman" w:eastAsia="方正仿宋_GB2312" w:cs="Times New Roman"/>
          <w:b/>
          <w:sz w:val="32"/>
          <w:lang w:val="en-US" w:eastAsia="zh-CN"/>
        </w:rPr>
        <w:t>总则</w:t>
      </w:r>
    </w:p>
    <w:p w14:paraId="29A8E632">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1.1 编制目的</w:t>
      </w:r>
    </w:p>
    <w:p w14:paraId="4DA4863C">
      <w:pPr>
        <w:spacing w:before="0" w:after="12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val="0"/>
          <w:sz w:val="24"/>
        </w:rPr>
        <w:t>为规范采购人员工周转住房租赁价格评估工作，科学、客观地确定周转房市场租金水平，为租赁采购、租金定价、成本核算提供独立、合法、有效的第三方评估支撑，特制定本技术规范书。本规范书作为采购文件的组成部分，与采购公告、响应文件及合同具有同等效力。</w:t>
      </w:r>
    </w:p>
    <w:p w14:paraId="66CFEBB9">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1.2 适用边界</w:t>
      </w:r>
    </w:p>
    <w:p w14:paraId="7B2A6CEB">
      <w:pPr>
        <w:spacing w:before="0" w:after="12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val="0"/>
          <w:sz w:val="24"/>
        </w:rPr>
        <w:t>本规范书适用于本项目周转房租赁价格第三方评估所涉及的资料收集、现场查勘、市场调查、测算分析、报告撰写、内部复核、成果交付、答疑及档案移交等全过程服务。成交供应商的人员配置、作业流程与成果文件均须满足本规范书的全部规定。</w:t>
      </w:r>
    </w:p>
    <w:p w14:paraId="38707A67">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1.3 编制依据</w:t>
      </w:r>
    </w:p>
    <w:p w14:paraId="10B876DE">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《中华人民共和国城市房地产管理法》；</w:t>
      </w:r>
    </w:p>
    <w:p w14:paraId="5E951761">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《房地产估价规范》（GB/T 50291）；</w:t>
      </w:r>
    </w:p>
    <w:p w14:paraId="6EB66C7E">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《资产评估执业准则——不动产》《资产评估执业准则——资产评估报告》；</w:t>
      </w:r>
    </w:p>
    <w:p w14:paraId="74ACA2BA">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《企业国有资产评估报告指南》；</w:t>
      </w:r>
    </w:p>
    <w:p w14:paraId="3FDF0AF4">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南方电网公司关于资产评估、采购管理、保密管理的相关制度；</w:t>
      </w:r>
    </w:p>
    <w:p w14:paraId="3D7D40C0">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采购人周转房管理的相关管理规定。</w:t>
      </w:r>
    </w:p>
    <w:p w14:paraId="6786B8FB">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1.4 总体服务原则</w:t>
      </w:r>
    </w:p>
    <w:p w14:paraId="78FA17F4">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评估活动须坚持独立、客观、公正、合规的执业准则；</w:t>
      </w:r>
    </w:p>
    <w:p w14:paraId="176824FC">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评估程序应完整规范，市场调查充分，测算逻辑严密；</w:t>
      </w:r>
    </w:p>
    <w:p w14:paraId="5D73B079">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成果文件须格式规范、可复核；</w:t>
      </w:r>
    </w:p>
    <w:p w14:paraId="424BA620">
      <w:pPr>
        <w:pStyle w:val="14"/>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评估机构及人员应保持执业独立性，任何单位或个人不得干预评估结论。</w:t>
      </w:r>
    </w:p>
    <w:p w14:paraId="2787097D">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二</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项目基本情况</w:t>
      </w:r>
    </w:p>
    <w:p w14:paraId="3D7ED551">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2.1 项目背景与名称</w:t>
      </w:r>
    </w:p>
    <w:p w14:paraId="7C02BB13">
      <w:pPr>
        <w:spacing w:before="0" w:after="120" w:line="360" w:lineRule="auto"/>
        <w:rPr>
          <w:rFonts w:hint="default" w:ascii="Times New Roman" w:hAnsi="Times New Roman" w:eastAsia="方正仿宋_GB2312" w:cs="Times New Roman"/>
          <w:b w:val="0"/>
          <w:sz w:val="24"/>
        </w:rPr>
      </w:pPr>
      <w:r>
        <w:rPr>
          <w:rFonts w:hint="default" w:ascii="Times New Roman" w:hAnsi="Times New Roman" w:eastAsia="方正仿宋_GB2312" w:cs="Times New Roman"/>
          <w:b w:val="0"/>
          <w:sz w:val="24"/>
        </w:rPr>
        <w:t>项目名称：</w:t>
      </w:r>
      <w:r>
        <w:rPr>
          <w:rFonts w:hint="default" w:ascii="Times New Roman" w:hAnsi="Times New Roman" w:eastAsia="方正仿宋_GB2312" w:cs="Times New Roman"/>
          <w:b w:val="0"/>
          <w:sz w:val="24"/>
          <w:lang w:val="en-US" w:eastAsia="en-US"/>
        </w:rPr>
        <w:t>2026年-2027年南方电网新型电力系统（北京）研究院有限公司周转房租赁价格第三方评估服务项目</w:t>
      </w:r>
      <w:r>
        <w:rPr>
          <w:rFonts w:hint="default" w:ascii="Times New Roman" w:hAnsi="Times New Roman" w:eastAsia="方正仿宋_GB2312" w:cs="Times New Roman"/>
          <w:b w:val="0"/>
          <w:sz w:val="24"/>
        </w:rPr>
        <w:t>。</w:t>
      </w:r>
    </w:p>
    <w:p w14:paraId="0CA00E1F">
      <w:pPr>
        <w:spacing w:before="0" w:after="120" w:line="360" w:lineRule="auto"/>
        <w:rPr>
          <w:rFonts w:hint="default" w:ascii="Times New Roman" w:hAnsi="Times New Roman" w:eastAsia="方正仿宋_GB2312" w:cs="Times New Roman"/>
          <w:b w:val="0"/>
          <w:sz w:val="24"/>
        </w:rPr>
      </w:pPr>
      <w:r>
        <w:rPr>
          <w:rFonts w:hint="default" w:ascii="Times New Roman" w:hAnsi="Times New Roman" w:eastAsia="方正仿宋_GB2312" w:cs="Times New Roman"/>
          <w:b w:val="0"/>
          <w:sz w:val="24"/>
        </w:rPr>
        <w:t>项目背景：采购人为满足员工周转住房租赁管理需要，须由具备专业资质的第三方评估机构，对周转房标的开展市场租金评估。</w:t>
      </w:r>
    </w:p>
    <w:p w14:paraId="0768D6B7">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2.2 服务区域与评估标的</w:t>
      </w:r>
    </w:p>
    <w:p w14:paraId="13AC7FA2">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服务地点位于北京市。评估标的为采购人员工周转住宅，具体房源的坐落、户型、建筑面积、装修标准及家具家电配置，以采购人提供的资料及现场查勘结果为准。</w:t>
      </w:r>
    </w:p>
    <w:p w14:paraId="35FE3308">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2.3 评估目标</w:t>
      </w:r>
    </w:p>
    <w:p w14:paraId="4136EF4A">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在评估基准日，对采购人周转房标的开展第三方评估，确定每套住房的公允市场租金（含月租金、年租金，并区分含税与不含税口径），为采购人租金定价、成本管控提供专业依据。</w:t>
      </w:r>
    </w:p>
    <w:p w14:paraId="5F3D83EB">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2.4 服务期限</w:t>
      </w:r>
    </w:p>
    <w:p w14:paraId="492915CF">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自合同生效之日起，按采购人工作指令实施。采购人下达评估任务并移交完整资料后，成交供应商应在约定时限内完成评估并提交正式报告，并承担报告答疑、复核等后续服务。</w:t>
      </w:r>
    </w:p>
    <w:p w14:paraId="4BB1BE3D">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2.5 评估基准时点</w:t>
      </w:r>
    </w:p>
    <w:p w14:paraId="56DBE140">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评估基准日由采购人根据实际工作需要书面确定，成交供应商须严格按采购人指定的基准日开展市场调查与测算。</w:t>
      </w:r>
    </w:p>
    <w:p w14:paraId="05E384E5">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三</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评估服务内容与工作程序</w:t>
      </w:r>
    </w:p>
    <w:p w14:paraId="7424DB8F">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3.1 基础资料收集与校核</w:t>
      </w:r>
    </w:p>
    <w:p w14:paraId="28D636B5">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3.1.1</w:t>
      </w:r>
    </w:p>
    <w:p w14:paraId="28323D4F">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接收采购人提供的房源清单、房屋坐落、建筑面积、户型、装修、家具家电及权属等资料。</w:t>
      </w:r>
    </w:p>
    <w:p w14:paraId="246F4B2A">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3.1.2</w:t>
      </w:r>
    </w:p>
    <w:p w14:paraId="6B6CDABE">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对评估标的基础信息进行核对，对资料缺失或存疑部分，向采购人书面反馈，经确认后作为评估依据。</w:t>
      </w:r>
    </w:p>
    <w:p w14:paraId="1E9B4ACE">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3.2 实地查勘</w:t>
      </w:r>
    </w:p>
    <w:p w14:paraId="555F0B5A">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3.2.1</w:t>
      </w:r>
    </w:p>
    <w:p w14:paraId="6FC4A14B">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对每套待评估住房实施现场勘查，记录楼层、朝向、装修标准、家具家电、维护状况、周边配套及交通条件，摄制影像并编制查勘记录。</w:t>
      </w:r>
    </w:p>
    <w:p w14:paraId="4C8EF9A3">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3.2.2</w:t>
      </w:r>
    </w:p>
    <w:p w14:paraId="312852AF">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对房屋现状及瑕疵予以记载，作为评估修正因素。</w:t>
      </w:r>
    </w:p>
    <w:p w14:paraId="74313450">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3.3 市场调查与可比实例选取</w:t>
      </w:r>
    </w:p>
    <w:p w14:paraId="6EF931A8">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3.3.1</w:t>
      </w:r>
    </w:p>
    <w:p w14:paraId="4524E1F8">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收集评估标的周边同片区、同户型、同等装修配置住宅的真实租赁成交案例，选取具备真实性与可比性的可比实例，剔除异常高、低价样本。</w:t>
      </w:r>
    </w:p>
    <w:p w14:paraId="482A2374">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3.3.2</w:t>
      </w:r>
    </w:p>
    <w:p w14:paraId="70650780">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调研区域租赁市场行情，分析空置率、租赁政策、供需关系及租金走势。</w:t>
      </w:r>
    </w:p>
    <w:p w14:paraId="33D2F4B2">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3.3.3</w:t>
      </w:r>
    </w:p>
    <w:p w14:paraId="22ECE9AB">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完整留存案例来源、信息截图与调研记录，确保评估过程可追溯、可复核。</w:t>
      </w:r>
    </w:p>
    <w:p w14:paraId="7AF967E7">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3.4 评估测算</w:t>
      </w:r>
    </w:p>
    <w:p w14:paraId="5BAF2E65">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3.4.1</w:t>
      </w:r>
    </w:p>
    <w:p w14:paraId="5A8DA2B5">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结合标的实际，选用不少于两种合规估价方法，以市场比较法为主、收益法为辅，充分说明方法选择、参数取值及修正系数。</w:t>
      </w:r>
    </w:p>
    <w:p w14:paraId="6632C795">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3.4.2</w:t>
      </w:r>
    </w:p>
    <w:p w14:paraId="66A07786">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综合面积、楼层、朝向、装修、家具家电、配套及房龄等个别因素完成租金修正测算，分套出具月租金、年租金，并明确租金内涵（是否含物业费、取暖费、家具家电等）及含税、不含税</w:t>
      </w:r>
      <w:r>
        <w:rPr>
          <w:rFonts w:hint="eastAsia" w:ascii="Times New Roman" w:hAnsi="Times New Roman" w:eastAsia="方正仿宋_GB2312" w:cs="Times New Roman"/>
          <w:b w:val="0"/>
          <w:sz w:val="24"/>
          <w:lang w:val="en-US" w:eastAsia="zh-CN"/>
        </w:rPr>
        <w:t>的合理价格区间</w:t>
      </w:r>
      <w:r>
        <w:rPr>
          <w:rFonts w:hint="default" w:ascii="Times New Roman" w:hAnsi="Times New Roman" w:eastAsia="方正仿宋_GB2312" w:cs="Times New Roman"/>
          <w:b w:val="0"/>
          <w:sz w:val="24"/>
        </w:rPr>
        <w:t>。</w:t>
      </w:r>
    </w:p>
    <w:p w14:paraId="05303780">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3.5 报告编制</w:t>
      </w:r>
    </w:p>
    <w:p w14:paraId="0D77D5CD">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3.5.1</w:t>
      </w:r>
    </w:p>
    <w:p w14:paraId="55733F14">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编制评估报告初稿，做到内容完整、测算清晰、附件齐全。</w:t>
      </w:r>
    </w:p>
    <w:p w14:paraId="73ED55DA">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3.5.2</w:t>
      </w:r>
    </w:p>
    <w:p w14:paraId="24A68C18">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执行机构内部形成正式评估报告</w:t>
      </w:r>
      <w:r>
        <w:rPr>
          <w:rFonts w:hint="eastAsia" w:ascii="Times New Roman" w:hAnsi="Times New Roman" w:eastAsia="方正仿宋_GB2312" w:cs="Times New Roman"/>
          <w:b w:val="0"/>
          <w:sz w:val="24"/>
          <w:lang w:val="en-US" w:eastAsia="zh-CN"/>
        </w:rPr>
        <w:t>并加盖公章</w:t>
      </w:r>
      <w:r>
        <w:rPr>
          <w:rFonts w:hint="default" w:ascii="Times New Roman" w:hAnsi="Times New Roman" w:eastAsia="方正仿宋_GB2312" w:cs="Times New Roman"/>
          <w:b w:val="0"/>
          <w:sz w:val="24"/>
        </w:rPr>
        <w:t>。</w:t>
      </w:r>
    </w:p>
    <w:p w14:paraId="026B8978">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3.6 成果提交与答疑</w:t>
      </w:r>
    </w:p>
    <w:p w14:paraId="6FCD0759">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3.6.1</w:t>
      </w:r>
    </w:p>
    <w:p w14:paraId="631376C2">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向采购人提交盖章版评估报告纸质件及电子件。</w:t>
      </w:r>
    </w:p>
    <w:p w14:paraId="317B60AD">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3.6.2</w:t>
      </w:r>
    </w:p>
    <w:p w14:paraId="0C73006F">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对采购人提出的疑问，以书面或现场方式答疑，就报告逻辑、样本与参数进行解释。</w:t>
      </w:r>
    </w:p>
    <w:p w14:paraId="78F655E1">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3.6.3</w:t>
      </w:r>
    </w:p>
    <w:p w14:paraId="5FA3AF89">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采购人有合理复核需求的，按要求开展复核。</w:t>
      </w:r>
    </w:p>
    <w:p w14:paraId="11AD6F6F">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3.7 档案整理与移交</w:t>
      </w:r>
    </w:p>
    <w:p w14:paraId="58115496">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完整归集勘查记录、影像、调研资料、测算底稿、复核记录及正式报告，按档案管理要求归档；采购人有权调阅评估工作底稿。</w:t>
      </w:r>
    </w:p>
    <w:p w14:paraId="306F463B">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3.8 服务内容一览表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1700"/>
        <w:gridCol w:w="4311"/>
        <w:gridCol w:w="2072"/>
      </w:tblGrid>
      <w:tr w14:paraId="3F9C7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4EB6190A">
            <w:pPr>
              <w:spacing w:after="0" w:line="240" w:lineRule="auto"/>
              <w:jc w:val="center"/>
              <w:rPr>
                <w:rFonts w:hint="default" w:ascii="Times New Roman" w:hAnsi="Times New Roman" w:eastAsia="方正仿宋_GB2312" w:cs="Times New Roman"/>
              </w:rPr>
            </w:pPr>
            <w:r>
              <w:rPr>
                <w:rFonts w:hint="default" w:ascii="Times New Roman" w:hAnsi="Times New Roman" w:eastAsia="方正仿宋_GB2312" w:cs="Times New Roman"/>
                <w:b/>
                <w:sz w:val="22"/>
              </w:rPr>
              <w:t>序号</w:t>
            </w:r>
          </w:p>
        </w:tc>
        <w:tc>
          <w:tcPr>
            <w:tcW w:w="1800" w:type="dxa"/>
          </w:tcPr>
          <w:p w14:paraId="27E2E50E">
            <w:pPr>
              <w:spacing w:after="0" w:line="240" w:lineRule="auto"/>
              <w:jc w:val="center"/>
              <w:rPr>
                <w:rFonts w:hint="default" w:ascii="Times New Roman" w:hAnsi="Times New Roman" w:eastAsia="方正仿宋_GB2312" w:cs="Times New Roman"/>
              </w:rPr>
            </w:pPr>
            <w:r>
              <w:rPr>
                <w:rFonts w:hint="default" w:ascii="Times New Roman" w:hAnsi="Times New Roman" w:eastAsia="方正仿宋_GB2312" w:cs="Times New Roman"/>
                <w:b/>
                <w:sz w:val="22"/>
              </w:rPr>
              <w:t>服务环节</w:t>
            </w:r>
          </w:p>
        </w:tc>
        <w:tc>
          <w:tcPr>
            <w:tcW w:w="4600" w:type="dxa"/>
          </w:tcPr>
          <w:p w14:paraId="45695B5C">
            <w:pPr>
              <w:spacing w:after="0" w:line="240" w:lineRule="auto"/>
              <w:jc w:val="center"/>
              <w:rPr>
                <w:rFonts w:hint="default" w:ascii="Times New Roman" w:hAnsi="Times New Roman" w:eastAsia="方正仿宋_GB2312" w:cs="Times New Roman"/>
              </w:rPr>
            </w:pPr>
            <w:r>
              <w:rPr>
                <w:rFonts w:hint="default" w:ascii="Times New Roman" w:hAnsi="Times New Roman" w:eastAsia="方正仿宋_GB2312" w:cs="Times New Roman"/>
                <w:b/>
                <w:sz w:val="22"/>
              </w:rPr>
              <w:t>主要工作内容</w:t>
            </w:r>
          </w:p>
        </w:tc>
        <w:tc>
          <w:tcPr>
            <w:tcW w:w="2200" w:type="dxa"/>
          </w:tcPr>
          <w:p w14:paraId="13794658">
            <w:pPr>
              <w:spacing w:after="0" w:line="240" w:lineRule="auto"/>
              <w:jc w:val="center"/>
              <w:rPr>
                <w:rFonts w:hint="default" w:ascii="Times New Roman" w:hAnsi="Times New Roman" w:eastAsia="方正仿宋_GB2312" w:cs="Times New Roman"/>
              </w:rPr>
            </w:pPr>
            <w:r>
              <w:rPr>
                <w:rFonts w:hint="default" w:ascii="Times New Roman" w:hAnsi="Times New Roman" w:eastAsia="方正仿宋_GB2312" w:cs="Times New Roman"/>
                <w:b/>
                <w:sz w:val="22"/>
              </w:rPr>
              <w:t>交付物</w:t>
            </w:r>
          </w:p>
        </w:tc>
      </w:tr>
      <w:tr w14:paraId="0283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5FA1F6E1">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1</w:t>
            </w:r>
          </w:p>
        </w:tc>
        <w:tc>
          <w:tcPr>
            <w:tcW w:w="1800" w:type="dxa"/>
          </w:tcPr>
          <w:p w14:paraId="44AB7B9F">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资料收集校核</w:t>
            </w:r>
          </w:p>
        </w:tc>
        <w:tc>
          <w:tcPr>
            <w:tcW w:w="4600" w:type="dxa"/>
          </w:tcPr>
          <w:p w14:paraId="5DA08B15">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房源及权属资料接收、信息核对与反馈</w:t>
            </w:r>
          </w:p>
        </w:tc>
        <w:tc>
          <w:tcPr>
            <w:tcW w:w="2200" w:type="dxa"/>
          </w:tcPr>
          <w:p w14:paraId="263F8EB5">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资料核对纪要</w:t>
            </w:r>
          </w:p>
        </w:tc>
      </w:tr>
      <w:tr w14:paraId="22224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4A4D0B40">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2</w:t>
            </w:r>
          </w:p>
        </w:tc>
        <w:tc>
          <w:tcPr>
            <w:tcW w:w="1800" w:type="dxa"/>
          </w:tcPr>
          <w:p w14:paraId="4870587D">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现场查勘</w:t>
            </w:r>
          </w:p>
        </w:tc>
        <w:tc>
          <w:tcPr>
            <w:tcW w:w="4600" w:type="dxa"/>
          </w:tcPr>
          <w:p w14:paraId="060F6099">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逐套勘查、影像记录、现状与瑕疵记载</w:t>
            </w:r>
          </w:p>
        </w:tc>
        <w:tc>
          <w:tcPr>
            <w:tcW w:w="2200" w:type="dxa"/>
          </w:tcPr>
          <w:p w14:paraId="0FE2D937">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查勘记录及影像</w:t>
            </w:r>
          </w:p>
        </w:tc>
      </w:tr>
      <w:tr w14:paraId="7D545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2A2CEFCC">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3</w:t>
            </w:r>
          </w:p>
        </w:tc>
        <w:tc>
          <w:tcPr>
            <w:tcW w:w="1800" w:type="dxa"/>
          </w:tcPr>
          <w:p w14:paraId="3639E548">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市场调查</w:t>
            </w:r>
          </w:p>
        </w:tc>
        <w:tc>
          <w:tcPr>
            <w:tcW w:w="4600" w:type="dxa"/>
          </w:tcPr>
          <w:p w14:paraId="672D9FE3">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可比实例选取、行情分析、调研留痕</w:t>
            </w:r>
          </w:p>
        </w:tc>
        <w:tc>
          <w:tcPr>
            <w:tcW w:w="2200" w:type="dxa"/>
          </w:tcPr>
          <w:p w14:paraId="497E72C8">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调研底稿</w:t>
            </w:r>
          </w:p>
        </w:tc>
      </w:tr>
      <w:tr w14:paraId="79B2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57E8D2CA">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4</w:t>
            </w:r>
          </w:p>
        </w:tc>
        <w:tc>
          <w:tcPr>
            <w:tcW w:w="1800" w:type="dxa"/>
          </w:tcPr>
          <w:p w14:paraId="2F7C465F">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评估测算</w:t>
            </w:r>
          </w:p>
        </w:tc>
        <w:tc>
          <w:tcPr>
            <w:tcW w:w="4600" w:type="dxa"/>
          </w:tcPr>
          <w:p w14:paraId="16DEBF43">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方法选用、参数取值、租金修正</w:t>
            </w:r>
          </w:p>
        </w:tc>
        <w:tc>
          <w:tcPr>
            <w:tcW w:w="2200" w:type="dxa"/>
          </w:tcPr>
          <w:p w14:paraId="6BE994BA">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测算底稿</w:t>
            </w:r>
          </w:p>
        </w:tc>
      </w:tr>
      <w:tr w14:paraId="11FC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745DBD1B">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5</w:t>
            </w:r>
          </w:p>
        </w:tc>
        <w:tc>
          <w:tcPr>
            <w:tcW w:w="1800" w:type="dxa"/>
          </w:tcPr>
          <w:p w14:paraId="12AB9662">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报告编制</w:t>
            </w:r>
          </w:p>
        </w:tc>
        <w:tc>
          <w:tcPr>
            <w:tcW w:w="4600" w:type="dxa"/>
          </w:tcPr>
          <w:p w14:paraId="6712BC9F">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初稿撰写、三级复核、正式报告</w:t>
            </w:r>
          </w:p>
        </w:tc>
        <w:tc>
          <w:tcPr>
            <w:tcW w:w="2200" w:type="dxa"/>
          </w:tcPr>
          <w:p w14:paraId="7884D581">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正式评估报告</w:t>
            </w:r>
          </w:p>
        </w:tc>
      </w:tr>
      <w:tr w14:paraId="53028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6AA41E48">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6</w:t>
            </w:r>
          </w:p>
        </w:tc>
        <w:tc>
          <w:tcPr>
            <w:tcW w:w="1800" w:type="dxa"/>
          </w:tcPr>
          <w:p w14:paraId="5F40CB96">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交付答疑</w:t>
            </w:r>
          </w:p>
        </w:tc>
        <w:tc>
          <w:tcPr>
            <w:tcW w:w="4600" w:type="dxa"/>
          </w:tcPr>
          <w:p w14:paraId="2B8B262A">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成果提交、疑问解答、配合复核</w:t>
            </w:r>
          </w:p>
        </w:tc>
        <w:tc>
          <w:tcPr>
            <w:tcW w:w="2200" w:type="dxa"/>
          </w:tcPr>
          <w:p w14:paraId="37C30D8B">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交付清单及答疑记录</w:t>
            </w:r>
          </w:p>
        </w:tc>
      </w:tr>
      <w:tr w14:paraId="253A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tcPr>
          <w:p w14:paraId="1F42CD49">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7</w:t>
            </w:r>
          </w:p>
        </w:tc>
        <w:tc>
          <w:tcPr>
            <w:tcW w:w="1800" w:type="dxa"/>
          </w:tcPr>
          <w:p w14:paraId="6B1D3DF9">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档案移交</w:t>
            </w:r>
          </w:p>
        </w:tc>
        <w:tc>
          <w:tcPr>
            <w:tcW w:w="4600" w:type="dxa"/>
          </w:tcPr>
          <w:p w14:paraId="162AB528">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全套资料归档、底稿调阅配合</w:t>
            </w:r>
          </w:p>
        </w:tc>
        <w:tc>
          <w:tcPr>
            <w:tcW w:w="2200" w:type="dxa"/>
          </w:tcPr>
          <w:p w14:paraId="5C0A2F50">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项目档案</w:t>
            </w:r>
          </w:p>
        </w:tc>
      </w:tr>
    </w:tbl>
    <w:p w14:paraId="36FFAD5E">
      <w:pPr>
        <w:spacing w:after="120"/>
        <w:rPr>
          <w:rFonts w:hint="default" w:ascii="Times New Roman" w:hAnsi="Times New Roman" w:eastAsia="方正仿宋_GB2312" w:cs="Times New Roman"/>
        </w:rPr>
      </w:pPr>
    </w:p>
    <w:p w14:paraId="0FA0F822">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四</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服务机构与人员资格</w:t>
      </w:r>
    </w:p>
    <w:p w14:paraId="7CD7CB7E">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4.1 机构资格</w:t>
      </w:r>
    </w:p>
    <w:p w14:paraId="20E34F90">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4.1.1</w:t>
      </w:r>
    </w:p>
    <w:p w14:paraId="66B6EBA8">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应答人为独立法人，持有有效营业执照，已在主管部门完成房地产估价机构备案，具备房地产估价执业资质</w:t>
      </w:r>
    </w:p>
    <w:p w14:paraId="08ADC843">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4.1.2</w:t>
      </w:r>
    </w:p>
    <w:p w14:paraId="07F75734">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近三年无行业主管部门行政处罚、无重大执业失信记录、无虚假评估处罚记录。</w:t>
      </w:r>
    </w:p>
    <w:p w14:paraId="65A77CCE">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4.1.3</w:t>
      </w:r>
    </w:p>
    <w:p w14:paraId="4C5D4A6B">
      <w:pPr>
        <w:spacing w:before="0" w:after="120" w:line="360" w:lineRule="auto"/>
        <w:rPr>
          <w:rFonts w:hint="default" w:ascii="Times New Roman" w:hAnsi="Times New Roman" w:eastAsia="方正仿宋_GB2312" w:cs="Times New Roman"/>
          <w:b w:val="0"/>
          <w:sz w:val="24"/>
        </w:rPr>
      </w:pPr>
      <w:r>
        <w:rPr>
          <w:rFonts w:hint="default" w:ascii="Times New Roman" w:hAnsi="Times New Roman" w:eastAsia="方正仿宋_GB2312" w:cs="Times New Roman"/>
          <w:b w:val="0"/>
          <w:sz w:val="24"/>
        </w:rPr>
        <w:t>能够开具增值税专用发票。</w:t>
      </w:r>
    </w:p>
    <w:p w14:paraId="0AEC8288">
      <w:pPr>
        <w:spacing w:before="80" w:after="40" w:line="360" w:lineRule="auto"/>
        <w:rPr>
          <w:rFonts w:hint="eastAsia" w:ascii="Times New Roman" w:hAnsi="Times New Roman" w:eastAsia="方正仿宋_GB2312" w:cs="Times New Roman"/>
          <w:b/>
          <w:sz w:val="24"/>
          <w:lang w:val="en-US" w:eastAsia="zh-CN"/>
        </w:rPr>
      </w:pPr>
      <w:r>
        <w:rPr>
          <w:rFonts w:hint="eastAsia" w:ascii="Times New Roman" w:hAnsi="Times New Roman" w:eastAsia="方正仿宋_GB2312" w:cs="Times New Roman"/>
          <w:b/>
          <w:sz w:val="24"/>
          <w:lang w:val="en-US" w:eastAsia="zh-CN"/>
        </w:rPr>
        <w:t>4.1.4</w:t>
      </w:r>
    </w:p>
    <w:p w14:paraId="305ABA2C">
      <w:pPr>
        <w:spacing w:before="0" w:after="120" w:line="360" w:lineRule="auto"/>
        <w:rPr>
          <w:rFonts w:hint="default" w:ascii="Times New Roman" w:hAnsi="Times New Roman" w:eastAsia="方正仿宋_GB2312" w:cs="Times New Roman"/>
          <w:b w:val="0"/>
          <w:sz w:val="24"/>
          <w:lang w:val="en-US" w:eastAsia="zh-CN"/>
        </w:rPr>
      </w:pPr>
      <w:r>
        <w:rPr>
          <w:rFonts w:hint="default" w:ascii="Times New Roman" w:hAnsi="Times New Roman" w:eastAsia="方正仿宋_GB2312" w:cs="Times New Roman"/>
          <w:b w:val="0"/>
          <w:sz w:val="24"/>
          <w:lang w:val="en-US" w:eastAsia="zh-CN"/>
        </w:rPr>
        <w:t>属于南方电网公司资产评估服务资格预审合格名单(以评标当日最新公布的为准)。</w:t>
      </w:r>
    </w:p>
    <w:p w14:paraId="33E143FC">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4.2 项目团队配置</w:t>
      </w:r>
    </w:p>
    <w:p w14:paraId="2790CD7A">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4.2.1</w:t>
      </w:r>
    </w:p>
    <w:p w14:paraId="59FFBE41">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项目须配备至少两名注册房地产估价师，其中一名担任项目负责人；估价师须为本单位在册执业人员且证书在有效期内。</w:t>
      </w:r>
    </w:p>
    <w:p w14:paraId="6C1DC147">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4.2.2</w:t>
      </w:r>
    </w:p>
    <w:p w14:paraId="1A8B05E8">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项目负责人须全程参与查勘、测算与报告审核，正式报告由注册房地产估价师签字并加盖执业印章。</w:t>
      </w:r>
    </w:p>
    <w:p w14:paraId="61C4E464">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4.2.3</w:t>
      </w:r>
    </w:p>
    <w:p w14:paraId="0E321055">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配备辅助查勘与市场调研人员，团队稳定，能够响应采购人现场工作时间安排。</w:t>
      </w:r>
    </w:p>
    <w:p w14:paraId="65CBA70F">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4.2.4</w:t>
      </w:r>
    </w:p>
    <w:p w14:paraId="23BEEB99">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全部项目人员须签订保密协议。</w:t>
      </w:r>
    </w:p>
    <w:p w14:paraId="09ED7BCB">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4.3 服务团队管理</w:t>
      </w:r>
    </w:p>
    <w:p w14:paraId="25D5BC60">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成交供应商未经采购人同意，不得更换项目负责人及主要估价师；确因客观原因需要更换的，须提供同等资质人员并经采购人确认后方可调整，确保服务连续性与质量稳定。</w:t>
      </w:r>
    </w:p>
    <w:p w14:paraId="47B3442C">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五</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成果文件要求</w:t>
      </w:r>
    </w:p>
    <w:p w14:paraId="6549AAB7">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5.1 报告内容构成</w:t>
      </w:r>
    </w:p>
    <w:p w14:paraId="09C62B07">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正式评估报告至少包括：评估摘要、估价对象概况、评估目的、基准日、价值定义、评估依据、市场分析、方法选用、测算过程、评估结论、特别事项说明、风险提示及附件。附件含：估价机构备案证明、估价师执业证书、房源信息表、查勘照片、可比案例资料等。</w:t>
      </w:r>
    </w:p>
    <w:p w14:paraId="3D0C0A8E">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5.2 评估结论表达</w:t>
      </w:r>
    </w:p>
    <w:p w14:paraId="1FDD6F84">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5.2.1</w:t>
      </w:r>
    </w:p>
    <w:p w14:paraId="2D0D4CA7">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分套列示每套住房公允租金，载明建筑面积、月租金</w:t>
      </w:r>
      <w:r>
        <w:rPr>
          <w:rFonts w:hint="eastAsia" w:ascii="Times New Roman" w:hAnsi="Times New Roman" w:eastAsia="方正仿宋_GB2312" w:cs="Times New Roman"/>
          <w:b w:val="0"/>
          <w:sz w:val="24"/>
          <w:lang w:val="en-US" w:eastAsia="zh-CN"/>
        </w:rPr>
        <w:t>合理区间</w:t>
      </w:r>
      <w:r>
        <w:rPr>
          <w:rFonts w:hint="default" w:ascii="Times New Roman" w:hAnsi="Times New Roman" w:eastAsia="方正仿宋_GB2312" w:cs="Times New Roman"/>
          <w:b w:val="0"/>
          <w:sz w:val="24"/>
        </w:rPr>
        <w:t>、年租金</w:t>
      </w:r>
      <w:r>
        <w:rPr>
          <w:rFonts w:hint="eastAsia" w:ascii="Times New Roman" w:hAnsi="Times New Roman" w:eastAsia="方正仿宋_GB2312" w:cs="Times New Roman"/>
          <w:b w:val="0"/>
          <w:sz w:val="24"/>
          <w:lang w:val="en-US" w:eastAsia="zh-CN"/>
        </w:rPr>
        <w:t>合理区间</w:t>
      </w:r>
      <w:r>
        <w:rPr>
          <w:rFonts w:hint="default" w:ascii="Times New Roman" w:hAnsi="Times New Roman" w:eastAsia="方正仿宋_GB2312" w:cs="Times New Roman"/>
          <w:b w:val="0"/>
          <w:sz w:val="24"/>
        </w:rPr>
        <w:t>，并明确租金内涵与含税/不含税口径。</w:t>
      </w:r>
    </w:p>
    <w:p w14:paraId="25BAE825">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5.2.2</w:t>
      </w:r>
    </w:p>
    <w:p w14:paraId="2E90CEBC">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各项修正系数与测算过程完整体现在工作底稿中，底稿可复核。</w:t>
      </w:r>
    </w:p>
    <w:p w14:paraId="3C99E901">
      <w:pPr>
        <w:spacing w:before="80"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4"/>
        </w:rPr>
        <w:t>5.2.3</w:t>
      </w:r>
    </w:p>
    <w:p w14:paraId="00029BF2">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报告须加盖机构公章、注册房地产估价师签字并加盖执业印章，格式满足国有企事业单位归档要求。</w:t>
      </w:r>
    </w:p>
    <w:p w14:paraId="4E95E02E">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5.3 提交时限</w:t>
      </w:r>
    </w:p>
    <w:p w14:paraId="5D88D53C">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自接收完整资料并完成查勘之日起，7个工作日内提交评估报告初稿；收到采购人书面反馈后3个工作日内完成修订并提交正式盖章版报告。</w:t>
      </w:r>
    </w:p>
    <w:p w14:paraId="4FBF71B0">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5.4 提交形式</w:t>
      </w:r>
    </w:p>
    <w:p w14:paraId="3728F153">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纸质报告（</w:t>
      </w:r>
      <w:r>
        <w:rPr>
          <w:rFonts w:hint="eastAsia" w:ascii="Times New Roman" w:hAnsi="Times New Roman" w:eastAsia="方正仿宋_GB2312" w:cs="Times New Roman"/>
          <w:b w:val="0"/>
          <w:sz w:val="24"/>
          <w:lang w:val="en-US" w:eastAsia="zh-CN"/>
        </w:rPr>
        <w:t>1</w:t>
      </w:r>
      <w:r>
        <w:rPr>
          <w:rFonts w:hint="default" w:ascii="Times New Roman" w:hAnsi="Times New Roman" w:eastAsia="方正仿宋_GB2312" w:cs="Times New Roman"/>
          <w:b w:val="0"/>
          <w:sz w:val="24"/>
        </w:rPr>
        <w:t>份）、不可编辑PDF版、可编辑Word版及全套电子底稿。</w:t>
      </w:r>
    </w:p>
    <w:p w14:paraId="69042A8A">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5.5 成果质量指标</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8"/>
        <w:gridCol w:w="6398"/>
      </w:tblGrid>
      <w:tr w14:paraId="1424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0" w:type="dxa"/>
          </w:tcPr>
          <w:p w14:paraId="2D2FD510">
            <w:pPr>
              <w:spacing w:after="0" w:line="240" w:lineRule="auto"/>
              <w:jc w:val="center"/>
              <w:rPr>
                <w:rFonts w:hint="default" w:ascii="Times New Roman" w:hAnsi="Times New Roman" w:eastAsia="方正仿宋_GB2312" w:cs="Times New Roman"/>
              </w:rPr>
            </w:pPr>
            <w:r>
              <w:rPr>
                <w:rFonts w:hint="default" w:ascii="Times New Roman" w:hAnsi="Times New Roman" w:eastAsia="方正仿宋_GB2312" w:cs="Times New Roman"/>
                <w:b/>
                <w:sz w:val="22"/>
              </w:rPr>
              <w:t>质量维度</w:t>
            </w:r>
          </w:p>
        </w:tc>
        <w:tc>
          <w:tcPr>
            <w:tcW w:w="6800" w:type="dxa"/>
          </w:tcPr>
          <w:p w14:paraId="3510BC3C">
            <w:pPr>
              <w:spacing w:after="0" w:line="240" w:lineRule="auto"/>
              <w:jc w:val="center"/>
              <w:rPr>
                <w:rFonts w:hint="default" w:ascii="Times New Roman" w:hAnsi="Times New Roman" w:eastAsia="方正仿宋_GB2312" w:cs="Times New Roman"/>
              </w:rPr>
            </w:pPr>
            <w:r>
              <w:rPr>
                <w:rFonts w:hint="default" w:ascii="Times New Roman" w:hAnsi="Times New Roman" w:eastAsia="方正仿宋_GB2312" w:cs="Times New Roman"/>
                <w:b/>
                <w:sz w:val="22"/>
              </w:rPr>
              <w:t>控制要求</w:t>
            </w:r>
          </w:p>
        </w:tc>
      </w:tr>
      <w:tr w14:paraId="598C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0" w:type="dxa"/>
          </w:tcPr>
          <w:p w14:paraId="37ECDAF9">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评估依据合规性</w:t>
            </w:r>
          </w:p>
        </w:tc>
        <w:tc>
          <w:tcPr>
            <w:tcW w:w="6800" w:type="dxa"/>
          </w:tcPr>
          <w:p w14:paraId="69937E26">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方法、参数、依据符合规范要求</w:t>
            </w:r>
          </w:p>
        </w:tc>
      </w:tr>
      <w:tr w14:paraId="3EFD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0" w:type="dxa"/>
          </w:tcPr>
          <w:p w14:paraId="53E15F1A">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程序完整性</w:t>
            </w:r>
          </w:p>
        </w:tc>
        <w:tc>
          <w:tcPr>
            <w:tcW w:w="6800" w:type="dxa"/>
          </w:tcPr>
          <w:p w14:paraId="1AFC15E8">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查勘、调研、测算、复核程序无缺失</w:t>
            </w:r>
          </w:p>
        </w:tc>
      </w:tr>
      <w:tr w14:paraId="50785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0" w:type="dxa"/>
          </w:tcPr>
          <w:p w14:paraId="3599C83F">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结论可复核性</w:t>
            </w:r>
          </w:p>
        </w:tc>
        <w:tc>
          <w:tcPr>
            <w:tcW w:w="6800" w:type="dxa"/>
          </w:tcPr>
          <w:p w14:paraId="275A0033">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底稿、样本、参数完整可追溯</w:t>
            </w:r>
          </w:p>
        </w:tc>
      </w:tr>
      <w:tr w14:paraId="1A3F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0" w:type="dxa"/>
          </w:tcPr>
          <w:p w14:paraId="3F6578AC">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格式规范性</w:t>
            </w:r>
          </w:p>
        </w:tc>
        <w:tc>
          <w:tcPr>
            <w:tcW w:w="6800" w:type="dxa"/>
          </w:tcPr>
          <w:p w14:paraId="3F54E5B9">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签字盖章齐全，满足归档</w:t>
            </w:r>
          </w:p>
        </w:tc>
      </w:tr>
      <w:tr w14:paraId="720CC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0" w:type="dxa"/>
          </w:tcPr>
          <w:p w14:paraId="5F404B27">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交付及时性</w:t>
            </w:r>
          </w:p>
        </w:tc>
        <w:tc>
          <w:tcPr>
            <w:tcW w:w="6800" w:type="dxa"/>
          </w:tcPr>
          <w:p w14:paraId="40C55836">
            <w:pPr>
              <w:spacing w:after="0" w:line="24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2"/>
              </w:rPr>
              <w:t>初稿、正式版均在约定时限内提交</w:t>
            </w:r>
          </w:p>
        </w:tc>
      </w:tr>
    </w:tbl>
    <w:p w14:paraId="53A8BBFD">
      <w:pPr>
        <w:spacing w:after="120"/>
        <w:rPr>
          <w:rFonts w:hint="default" w:ascii="Times New Roman" w:hAnsi="Times New Roman" w:eastAsia="方正仿宋_GB2312" w:cs="Times New Roman"/>
        </w:rPr>
      </w:pPr>
    </w:p>
    <w:p w14:paraId="2B704F47">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六</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保密与数据安全管理</w:t>
      </w:r>
    </w:p>
    <w:p w14:paraId="0EE6C2B3">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6.1 保密义务</w:t>
      </w:r>
    </w:p>
    <w:p w14:paraId="05DC9EB0">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成交供应商及全部项目人员对采购人的房源信息、房屋状况、评估数据、租赁计划及内部业务信息承担保密义务，并签订保密协议；未经采购人书面许可，不得向任何第三方泄露标的信息、过程数据及评估结果，不得对外引用本项目资料。</w:t>
      </w:r>
    </w:p>
    <w:p w14:paraId="641423CE">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6.2 数据安全管理</w:t>
      </w:r>
    </w:p>
    <w:p w14:paraId="1940974D">
      <w:pPr>
        <w:pStyle w:val="14"/>
        <w:numPr>
          <w:numId w:val="7"/>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评估过程涉及的房源、人员及财务数据须按采购人要求存储与管理，不得擅自复制、外传或用于本项目以外用途；</w:t>
      </w:r>
    </w:p>
    <w:p w14:paraId="0FD632B7">
      <w:pPr>
        <w:pStyle w:val="14"/>
        <w:numPr>
          <w:numId w:val="7"/>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电子成果与底稿须通过采购人认可的安全方式传输与归档，做好访问权限控制与操作留痕；</w:t>
      </w:r>
    </w:p>
    <w:p w14:paraId="45C6478F">
      <w:pPr>
        <w:pStyle w:val="14"/>
        <w:numPr>
          <w:numId w:val="7"/>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项目结束后按采购人要求妥善保管或销毁相关资料，采购人有权提出档案调取与销毁核验要求。</w:t>
      </w:r>
    </w:p>
    <w:p w14:paraId="07D001AA">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6.3 泄密责任</w:t>
      </w:r>
    </w:p>
    <w:p w14:paraId="0F102BF9">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发生泄密的，成交供应商承担全部合同及法律责任。</w:t>
      </w:r>
    </w:p>
    <w:p w14:paraId="1FF00D9B">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七</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验收与质量考核</w:t>
      </w:r>
    </w:p>
    <w:p w14:paraId="76165DF8">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7.1 验收组织</w:t>
      </w:r>
    </w:p>
    <w:p w14:paraId="014961FA">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采用成果文件审查方式验收，对评估报告、全套底稿及附件的完整性、合规性进行审核。</w:t>
      </w:r>
    </w:p>
    <w:p w14:paraId="7E22CA32">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7.2 验收要点</w:t>
      </w:r>
    </w:p>
    <w:p w14:paraId="139DEA8B">
      <w:pPr>
        <w:pStyle w:val="14"/>
        <w:numPr>
          <w:numId w:val="8"/>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评估机构及签字估价师资质合规有效；</w:t>
      </w:r>
    </w:p>
    <w:p w14:paraId="2763C467">
      <w:pPr>
        <w:pStyle w:val="14"/>
        <w:numPr>
          <w:numId w:val="8"/>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评估程序完整，查勘影像与调研资料齐全；</w:t>
      </w:r>
    </w:p>
    <w:p w14:paraId="34B2E00D">
      <w:pPr>
        <w:pStyle w:val="14"/>
        <w:numPr>
          <w:numId w:val="8"/>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方法选用合规，测算逻辑清晰，修正依据充分；</w:t>
      </w:r>
    </w:p>
    <w:p w14:paraId="20EE5EB6">
      <w:pPr>
        <w:pStyle w:val="14"/>
        <w:numPr>
          <w:numId w:val="8"/>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报告格式完整、签字盖章齐全，满足归档</w:t>
      </w:r>
      <w:r>
        <w:rPr>
          <w:rFonts w:hint="eastAsia" w:ascii="Times New Roman" w:hAnsi="Times New Roman" w:eastAsia="方正仿宋_GB2312" w:cs="Times New Roman"/>
          <w:sz w:val="24"/>
          <w:lang w:val="en-US" w:eastAsia="zh-CN"/>
        </w:rPr>
        <w:t>要求</w:t>
      </w:r>
      <w:r>
        <w:rPr>
          <w:rFonts w:hint="default" w:ascii="Times New Roman" w:hAnsi="Times New Roman" w:eastAsia="方正仿宋_GB2312" w:cs="Times New Roman"/>
          <w:sz w:val="24"/>
        </w:rPr>
        <w:t>；</w:t>
      </w:r>
    </w:p>
    <w:p w14:paraId="50B7508D">
      <w:pPr>
        <w:pStyle w:val="14"/>
        <w:numPr>
          <w:numId w:val="8"/>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评估范围与基准日与采购人委托一致；</w:t>
      </w:r>
    </w:p>
    <w:p w14:paraId="2FEA9C9E">
      <w:pPr>
        <w:pStyle w:val="14"/>
        <w:numPr>
          <w:numId w:val="8"/>
        </w:numPr>
        <w:spacing w:after="40"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rPr>
        <w:t>报告、底稿、附件及电子文件完整交付。</w:t>
      </w:r>
    </w:p>
    <w:p w14:paraId="1DC7A044">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7.3 质量考核与整改</w:t>
      </w:r>
    </w:p>
    <w:p w14:paraId="3484BC05">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成果全部满足要求的，予以验收通过；存在缺项、程序缺失或测算缺陷的，成交供应商须按采购人要求限期无偿修改，直至合格。采购人可依据服务质量对成交供应商开展履约评价，评价结果纳入供应商管理。</w:t>
      </w:r>
    </w:p>
    <w:p w14:paraId="40B527DC">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八</w:t>
      </w:r>
      <w:r>
        <w:rPr>
          <w:rFonts w:hint="eastAsia" w:ascii="Times New Roman" w:hAnsi="Times New Roman" w:eastAsia="方正仿宋_GB2312" w:cs="Times New Roman"/>
          <w:b/>
          <w:sz w:val="32"/>
          <w:lang w:eastAsia="zh-CN"/>
        </w:rPr>
        <w:t>、</w:t>
      </w:r>
      <w:r>
        <w:rPr>
          <w:rFonts w:hint="default" w:ascii="Times New Roman" w:hAnsi="Times New Roman" w:eastAsia="方正仿宋_GB2312" w:cs="Times New Roman"/>
          <w:b/>
          <w:sz w:val="32"/>
        </w:rPr>
        <w:t>售后服务与保障</w:t>
      </w:r>
    </w:p>
    <w:p w14:paraId="3A5ED451">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8.1 答疑响应</w:t>
      </w:r>
    </w:p>
    <w:p w14:paraId="64116372">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报告交付后提供免费答疑，接到采购人疑问后24小时内响应，必要时出具书面答疑说明。</w:t>
      </w:r>
    </w:p>
    <w:p w14:paraId="7FC84F09">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8.</w:t>
      </w:r>
      <w:r>
        <w:rPr>
          <w:rFonts w:hint="eastAsia" w:ascii="Times New Roman" w:hAnsi="Times New Roman" w:eastAsia="方正仿宋_GB2312" w:cs="Times New Roman"/>
          <w:b/>
          <w:sz w:val="28"/>
          <w:lang w:val="en-US" w:eastAsia="zh-CN"/>
        </w:rPr>
        <w:t>2</w:t>
      </w:r>
      <w:r>
        <w:rPr>
          <w:rFonts w:hint="default" w:ascii="Times New Roman" w:hAnsi="Times New Roman" w:eastAsia="方正仿宋_GB2312" w:cs="Times New Roman"/>
          <w:b/>
          <w:sz w:val="28"/>
        </w:rPr>
        <w:t xml:space="preserve"> 差错补救</w:t>
      </w:r>
    </w:p>
    <w:p w14:paraId="4B90E767">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因成交供应商程序瑕疵或报告错误导致报告无法使用的，须无偿重新评估并出具报告，承担相应责任。</w:t>
      </w:r>
    </w:p>
    <w:p w14:paraId="25F08965">
      <w:pPr>
        <w:spacing w:before="200" w:after="160" w:line="360" w:lineRule="auto"/>
        <w:jc w:val="both"/>
        <w:rPr>
          <w:rFonts w:hint="default" w:ascii="Times New Roman" w:hAnsi="Times New Roman" w:eastAsia="方正仿宋_GB2312" w:cs="Times New Roman"/>
        </w:rPr>
      </w:pPr>
      <w:r>
        <w:rPr>
          <w:rFonts w:hint="default" w:ascii="Times New Roman" w:hAnsi="Times New Roman" w:eastAsia="方正仿宋_GB2312" w:cs="Times New Roman"/>
          <w:b/>
          <w:sz w:val="32"/>
        </w:rPr>
        <w:t>九</w:t>
      </w:r>
      <w:r>
        <w:rPr>
          <w:rFonts w:hint="eastAsia" w:ascii="Times New Roman" w:hAnsi="Times New Roman" w:eastAsia="方正仿宋_GB2312" w:cs="Times New Roman"/>
          <w:b/>
          <w:sz w:val="32"/>
          <w:lang w:eastAsia="zh-CN"/>
        </w:rPr>
        <w:t>、</w:t>
      </w:r>
      <w:bookmarkStart w:id="0" w:name="_GoBack"/>
      <w:bookmarkEnd w:id="0"/>
      <w:r>
        <w:rPr>
          <w:rFonts w:hint="default" w:ascii="Times New Roman" w:hAnsi="Times New Roman" w:eastAsia="方正仿宋_GB2312" w:cs="Times New Roman"/>
          <w:b/>
          <w:sz w:val="32"/>
        </w:rPr>
        <w:t>其他事项</w:t>
      </w:r>
    </w:p>
    <w:p w14:paraId="0933AC4C">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9.1 法律责任</w:t>
      </w:r>
    </w:p>
    <w:p w14:paraId="0980F21C">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成交供应商对评估报告的真实性、合法性、公允性承担全部法律责任，严禁迎合特定需求出具不实或虚假报告。</w:t>
      </w:r>
    </w:p>
    <w:p w14:paraId="3271F5F4">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9.2 费用包干</w:t>
      </w:r>
    </w:p>
    <w:p w14:paraId="10A35FDE">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本项目费用为包干价，含查勘、调研、测算、报告编制、打印装订、答疑、档案整理等全部费用，采购人不另行支付。</w:t>
      </w:r>
    </w:p>
    <w:p w14:paraId="1549B87A">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9.3 合同解除</w:t>
      </w:r>
    </w:p>
    <w:p w14:paraId="70F3F879">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因成交供应商执业质量不达标或拒不整改的，采购人有权终止合同并追究违约责任。</w:t>
      </w:r>
    </w:p>
    <w:p w14:paraId="2A35B60D">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9.4 未尽事宜</w:t>
      </w:r>
    </w:p>
    <w:p w14:paraId="3D401D28">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本规范书未尽事宜，由采购人与成交供应商协商，可形成补充文件。</w:t>
      </w:r>
    </w:p>
    <w:p w14:paraId="4EB683AC">
      <w:pPr>
        <w:spacing w:before="120" w:after="80" w:line="360" w:lineRule="auto"/>
        <w:rPr>
          <w:rFonts w:hint="default" w:ascii="Times New Roman" w:hAnsi="Times New Roman" w:eastAsia="方正仿宋_GB2312" w:cs="Times New Roman"/>
        </w:rPr>
      </w:pPr>
      <w:r>
        <w:rPr>
          <w:rFonts w:hint="default" w:ascii="Times New Roman" w:hAnsi="Times New Roman" w:eastAsia="方正仿宋_GB2312" w:cs="Times New Roman"/>
          <w:b/>
          <w:sz w:val="28"/>
        </w:rPr>
        <w:t>9.5 解释权</w:t>
      </w:r>
    </w:p>
    <w:p w14:paraId="45DB0D05">
      <w:pPr>
        <w:spacing w:before="0" w:after="120" w:line="360" w:lineRule="auto"/>
        <w:rPr>
          <w:rFonts w:hint="default" w:ascii="Times New Roman" w:hAnsi="Times New Roman" w:eastAsia="方正仿宋_GB2312" w:cs="Times New Roman"/>
        </w:rPr>
      </w:pPr>
      <w:r>
        <w:rPr>
          <w:rFonts w:hint="default" w:ascii="Times New Roman" w:hAnsi="Times New Roman" w:eastAsia="方正仿宋_GB2312" w:cs="Times New Roman"/>
          <w:b w:val="0"/>
          <w:sz w:val="24"/>
        </w:rPr>
        <w:t>本规范书解释权归南方电网新型电力系统（北京）研究院有限公司。</w:t>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auto"/>
    <w:pitch w:val="default"/>
    <w:sig w:usb0="E0002EFF" w:usb1="C0007843" w:usb2="00000009" w:usb3="00000000" w:csb0="400001FF" w:csb1="FFFF0000"/>
  </w:font>
  <w:font w:name="Yu Gothic">
    <w:panose1 w:val="020B0400000000000000"/>
    <w:charset w:val="80"/>
    <w:family w:val="auto"/>
    <w:pitch w:val="default"/>
    <w:sig w:usb0="E00002FF" w:usb1="2AC7FDFF" w:usb2="00000016" w:usb3="00000000" w:csb0="2002009F" w:csb1="00000000"/>
  </w:font>
  <w:font w:name="方正仿宋_GB2312">
    <w:panose1 w:val="02000000000000000000"/>
    <w:charset w:val="86"/>
    <w:family w:val="auto"/>
    <w:pitch w:val="default"/>
    <w:sig w:usb0="A00002BF" w:usb1="184F6CFA" w:usb2="00000012" w:usb3="00000000" w:csb0="00040001" w:csb1="00000000"/>
    <w:embedRegular r:id="rId1" w:fontKey="{0850A226-0239-481A-B4C8-A2CF867DECC1}"/>
  </w:font>
  <w:font w:name="方正大黑体_GBK">
    <w:panose1 w:val="02010600010101010101"/>
    <w:charset w:val="86"/>
    <w:family w:val="auto"/>
    <w:pitch w:val="default"/>
    <w:sig w:usb0="00000001" w:usb1="080E0000" w:usb2="00000000" w:usb3="00000000" w:csb0="40040001" w:csb1="C0D60000"/>
  </w:font>
  <w:font w:name="方正公文小标宋">
    <w:panose1 w:val="02000500000000000000"/>
    <w:charset w:val="86"/>
    <w:family w:val="auto"/>
    <w:pitch w:val="default"/>
    <w:sig w:usb0="A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2" w:fontKey="{9191E10F-CCFE-444B-85E3-44522E0A3FC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 w:numId="7">
    <w:abstractNumId w:val="4"/>
    <w:lvlOverride w:ilvl="0">
      <w:startOverride w:val="1"/>
    </w:lvlOverride>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B47BDD"/>
    <w:rsid w:val="670342D9"/>
  </w:rsids>
  <m:mathPr>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6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73"/>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8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7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8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7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70"/>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78"/>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7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85"/>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81"/>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76"/>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60"/>
    <w:unhideWhenUsed/>
    <w:qFormat/>
    <w:uiPriority w:val="99"/>
    <w:pPr>
      <w:tabs>
        <w:tab w:val="center" w:pos="4680"/>
        <w:tab w:val="right" w:pos="9360"/>
      </w:tabs>
      <w:spacing w:after="0" w:line="240" w:lineRule="auto"/>
    </w:pPr>
  </w:style>
  <w:style w:type="paragraph" w:styleId="25">
    <w:name w:val="header"/>
    <w:basedOn w:val="1"/>
    <w:link w:val="153"/>
    <w:unhideWhenUsed/>
    <w:uiPriority w:val="99"/>
    <w:pPr>
      <w:tabs>
        <w:tab w:val="center" w:pos="4680"/>
        <w:tab w:val="right" w:pos="9360"/>
      </w:tabs>
      <w:spacing w:after="0" w:line="240" w:lineRule="auto"/>
    </w:pPr>
  </w:style>
  <w:style w:type="paragraph" w:styleId="26">
    <w:name w:val="Subtitle"/>
    <w:basedOn w:val="1"/>
    <w:next w:val="1"/>
    <w:link w:val="16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72"/>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84"/>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Intense Quote Char"/>
    <w:basedOn w:val="132"/>
    <w:link w:val="136"/>
    <w:uiPriority w:val="30"/>
    <w:rPr>
      <w:b/>
      <w:bCs/>
      <w:i/>
      <w:iCs/>
      <w:color w:val="4F81BD" w:themeColor="accent1"/>
      <w14:textFill>
        <w14:solidFill>
          <w14:schemeClr w14:val="accent1"/>
        </w14:solidFill>
      </w14:textFill>
    </w:rPr>
  </w:style>
  <w:style w:type="paragraph" w:styleId="136">
    <w:name w:val="Intense Quote"/>
    <w:basedOn w:val="1"/>
    <w:next w:val="1"/>
    <w:link w:val="17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37">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8">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39">
    <w:name w:val="Macro Text Char"/>
    <w:basedOn w:val="132"/>
    <w:link w:val="2"/>
    <w:qFormat/>
    <w:uiPriority w:val="99"/>
    <w:rPr>
      <w:rFonts w:ascii="Courier" w:hAnsi="Courier"/>
      <w:sz w:val="20"/>
      <w:szCs w:val="20"/>
    </w:rPr>
  </w:style>
  <w:style w:type="character" w:customStyle="1" w:styleId="140">
    <w:name w:val="Intense Emphasis"/>
    <w:basedOn w:val="132"/>
    <w:qFormat/>
    <w:uiPriority w:val="21"/>
    <w:rPr>
      <w:b/>
      <w:bCs/>
      <w:i/>
      <w:iCs/>
      <w:color w:val="4F81BD" w:themeColor="accent1"/>
      <w14:textFill>
        <w14:solidFill>
          <w14:schemeClr w14:val="accent1"/>
        </w14:solidFill>
      </w14:textFill>
    </w:rPr>
  </w:style>
  <w:style w:type="character" w:customStyle="1" w:styleId="141">
    <w:name w:val="Heading 6 Char"/>
    <w:basedOn w:val="132"/>
    <w:link w:val="8"/>
    <w:semiHidden/>
    <w:uiPriority w:val="9"/>
    <w:rPr>
      <w:rFonts w:asciiTheme="majorHAnsi" w:hAnsiTheme="majorHAnsi" w:eastAsiaTheme="majorEastAsia" w:cstheme="majorBidi"/>
      <w:i/>
      <w:iCs/>
      <w:color w:val="254061" w:themeColor="accent1" w:themeShade="80"/>
    </w:rPr>
  </w:style>
  <w:style w:type="character" w:customStyle="1" w:styleId="142">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43">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145">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146">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47">
    <w:name w:val="Book Title"/>
    <w:basedOn w:val="132"/>
    <w:qFormat/>
    <w:uiPriority w:val="33"/>
    <w:rPr>
      <w:b/>
      <w:bCs/>
      <w:smallCaps/>
      <w:spacing w:val="5"/>
    </w:rPr>
  </w:style>
  <w:style w:type="character" w:customStyle="1" w:styleId="148">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9">
    <w:name w:val="Quote Char"/>
    <w:basedOn w:val="132"/>
    <w:link w:val="150"/>
    <w:qFormat/>
    <w:uiPriority w:val="29"/>
    <w:rPr>
      <w:i/>
      <w:iCs/>
      <w:color w:val="000000" w:themeColor="text1"/>
      <w14:textFill>
        <w14:solidFill>
          <w14:schemeClr w14:val="tx1"/>
        </w14:solidFill>
      </w14:textFill>
    </w:rPr>
  </w:style>
  <w:style w:type="paragraph" w:styleId="150">
    <w:name w:val="Quote"/>
    <w:basedOn w:val="1"/>
    <w:next w:val="1"/>
    <w:link w:val="177"/>
    <w:qFormat/>
    <w:uiPriority w:val="29"/>
    <w:rPr>
      <w:i/>
      <w:iCs/>
      <w:color w:val="000000" w:themeColor="text1"/>
      <w14:textFill>
        <w14:solidFill>
          <w14:schemeClr w14:val="tx1"/>
        </w14:solidFill>
      </w14:textFill>
    </w:rPr>
  </w:style>
  <w:style w:type="paragraph" w:styleId="151">
    <w:name w:val="List Paragraph"/>
    <w:basedOn w:val="1"/>
    <w:qFormat/>
    <w:uiPriority w:val="34"/>
    <w:pPr>
      <w:ind w:left="720"/>
      <w:contextualSpacing/>
    </w:pPr>
  </w:style>
  <w:style w:type="character" w:customStyle="1" w:styleId="152">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3">
    <w:name w:val="Header Char"/>
    <w:basedOn w:val="132"/>
    <w:link w:val="25"/>
    <w:qFormat/>
    <w:uiPriority w:val="99"/>
  </w:style>
  <w:style w:type="character" w:customStyle="1" w:styleId="154">
    <w:name w:val="Subtle Reference"/>
    <w:basedOn w:val="132"/>
    <w:qFormat/>
    <w:uiPriority w:val="31"/>
    <w:rPr>
      <w:smallCaps/>
      <w:color w:val="C0504D" w:themeColor="accent2"/>
      <w:u w:val="single"/>
      <w14:textFill>
        <w14:solidFill>
          <w14:schemeClr w14:val="accent2"/>
        </w14:solidFill>
      </w14:textFill>
    </w:rPr>
  </w:style>
  <w:style w:type="character" w:customStyle="1" w:styleId="155">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56">
    <w:name w:val="Body Text 3 Char"/>
    <w:basedOn w:val="132"/>
    <w:link w:val="17"/>
    <w:qFormat/>
    <w:uiPriority w:val="99"/>
    <w:rPr>
      <w:sz w:val="16"/>
      <w:szCs w:val="16"/>
    </w:rPr>
  </w:style>
  <w:style w:type="character" w:customStyle="1" w:styleId="157">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8">
    <w:name w:val="Body Text 2 Char"/>
    <w:basedOn w:val="132"/>
    <w:link w:val="28"/>
    <w:qFormat/>
    <w:uiPriority w:val="99"/>
  </w:style>
  <w:style w:type="paragraph" w:styleId="15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60">
    <w:name w:val="Footer Char"/>
    <w:basedOn w:val="132"/>
    <w:link w:val="24"/>
    <w:qFormat/>
    <w:uiPriority w:val="99"/>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paragraph" w:customStyle="1" w:styleId="162">
    <w:name w:val="TOC Heading"/>
    <w:basedOn w:val="3"/>
    <w:next w:val="1"/>
    <w:semiHidden/>
    <w:unhideWhenUsed/>
    <w:qFormat/>
    <w:uiPriority w:val="39"/>
    <w:pPr>
      <w:outlineLvl w:val="9"/>
    </w:pPr>
  </w:style>
  <w:style w:type="character" w:customStyle="1" w:styleId="163">
    <w:name w:val="Body Text Char"/>
    <w:basedOn w:val="132"/>
    <w:link w:val="19"/>
    <w:qFormat/>
    <w:uiPriority w:val="99"/>
  </w:style>
  <w:style w:type="character" w:customStyle="1" w:styleId="164">
    <w:name w:val="Subtle Emphasis1"/>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65">
    <w:name w:val="Subtitle Char1"/>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166">
    <w:name w:val="Intense Emphasis1"/>
    <w:basedOn w:val="132"/>
    <w:qFormat/>
    <w:uiPriority w:val="21"/>
    <w:rPr>
      <w:b/>
      <w:bCs/>
      <w:i/>
      <w:iCs/>
      <w:color w:val="4F81BD" w:themeColor="accent1"/>
      <w14:textFill>
        <w14:solidFill>
          <w14:schemeClr w14:val="accent1"/>
        </w14:solidFill>
      </w14:textFill>
    </w:rPr>
  </w:style>
  <w:style w:type="character" w:customStyle="1" w:styleId="167">
    <w:name w:val="Intense Reference1"/>
    <w:basedOn w:val="132"/>
    <w:qFormat/>
    <w:uiPriority w:val="32"/>
    <w:rPr>
      <w:b/>
      <w:bCs/>
      <w:smallCaps/>
      <w:color w:val="C0504D" w:themeColor="accent2"/>
      <w:spacing w:val="5"/>
      <w:u w:val="single"/>
      <w14:textFill>
        <w14:solidFill>
          <w14:schemeClr w14:val="accent2"/>
        </w14:solidFill>
      </w14:textFill>
    </w:rPr>
  </w:style>
  <w:style w:type="character" w:customStyle="1" w:styleId="168">
    <w:name w:val="Subtle Reference1"/>
    <w:basedOn w:val="132"/>
    <w:qFormat/>
    <w:uiPriority w:val="31"/>
    <w:rPr>
      <w:smallCaps/>
      <w:color w:val="C0504D" w:themeColor="accent2"/>
      <w:u w:val="single"/>
      <w14:textFill>
        <w14:solidFill>
          <w14:schemeClr w14:val="accent2"/>
        </w14:solidFill>
      </w14:textFill>
    </w:rPr>
  </w:style>
  <w:style w:type="character" w:customStyle="1" w:styleId="169">
    <w:name w:val="Heading 1 Char1"/>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70">
    <w:name w:val="Heading 7 Char1"/>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71">
    <w:name w:val="Heading 4 Char1"/>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72">
    <w:name w:val="Body Text 2 Char1"/>
    <w:basedOn w:val="132"/>
    <w:link w:val="28"/>
    <w:qFormat/>
    <w:uiPriority w:val="99"/>
  </w:style>
  <w:style w:type="character" w:customStyle="1" w:styleId="173">
    <w:name w:val="Heading 2 Char1"/>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74">
    <w:name w:val="Heading 6 Char1"/>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75">
    <w:name w:val="Heading 9 Char1"/>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176">
    <w:name w:val="Body Text Char1"/>
    <w:basedOn w:val="132"/>
    <w:link w:val="19"/>
    <w:qFormat/>
    <w:uiPriority w:val="99"/>
  </w:style>
  <w:style w:type="character" w:customStyle="1" w:styleId="177">
    <w:name w:val="Quote Char1"/>
    <w:basedOn w:val="132"/>
    <w:link w:val="150"/>
    <w:qFormat/>
    <w:uiPriority w:val="29"/>
    <w:rPr>
      <w:i/>
      <w:iCs/>
      <w:color w:val="000000" w:themeColor="text1"/>
      <w14:textFill>
        <w14:solidFill>
          <w14:schemeClr w14:val="tx1"/>
        </w14:solidFill>
      </w14:textFill>
    </w:rPr>
  </w:style>
  <w:style w:type="character" w:customStyle="1" w:styleId="178">
    <w:name w:val="Heading 8 Char1"/>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79">
    <w:name w:val="Intense Quote Char1"/>
    <w:basedOn w:val="132"/>
    <w:link w:val="136"/>
    <w:qFormat/>
    <w:uiPriority w:val="30"/>
    <w:rPr>
      <w:b/>
      <w:bCs/>
      <w:i/>
      <w:iCs/>
      <w:color w:val="4F81BD" w:themeColor="accent1"/>
      <w14:textFill>
        <w14:solidFill>
          <w14:schemeClr w14:val="accent1"/>
        </w14:solidFill>
      </w14:textFill>
    </w:rPr>
  </w:style>
  <w:style w:type="paragraph" w:customStyle="1" w:styleId="180">
    <w:name w:val="TOC Heading1"/>
    <w:basedOn w:val="3"/>
    <w:next w:val="1"/>
    <w:semiHidden/>
    <w:unhideWhenUsed/>
    <w:qFormat/>
    <w:uiPriority w:val="39"/>
    <w:pPr>
      <w:outlineLvl w:val="9"/>
    </w:pPr>
  </w:style>
  <w:style w:type="character" w:customStyle="1" w:styleId="181">
    <w:name w:val="Body Text 3 Char1"/>
    <w:basedOn w:val="132"/>
    <w:link w:val="17"/>
    <w:qFormat/>
    <w:uiPriority w:val="99"/>
    <w:rPr>
      <w:sz w:val="16"/>
      <w:szCs w:val="16"/>
    </w:rPr>
  </w:style>
  <w:style w:type="character" w:customStyle="1" w:styleId="182">
    <w:name w:val="Heading 3 Char1"/>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83">
    <w:name w:val="Heading 5 Char1"/>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84">
    <w:name w:val="Title Char1"/>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85">
    <w:name w:val="Macro Text Char1"/>
    <w:basedOn w:val="132"/>
    <w:link w:val="2"/>
    <w:qFormat/>
    <w:uiPriority w:val="99"/>
    <w:rPr>
      <w:rFonts w:ascii="Courier" w:hAnsi="Courier"/>
      <w:sz w:val="20"/>
      <w:szCs w:val="20"/>
    </w:rPr>
  </w:style>
  <w:style w:type="character" w:customStyle="1" w:styleId="186">
    <w:name w:val="Book Title1"/>
    <w:basedOn w:val="132"/>
    <w:qFormat/>
    <w:uiPriority w:val="33"/>
    <w:rPr>
      <w:b/>
      <w:bCs/>
      <w:smallCaps/>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10</Pages>
  <Words>3695</Words>
  <Characters>3895</Characters>
  <TotalTime>8</TotalTime>
  <ScaleCrop>false</ScaleCrop>
  <LinksUpToDate>false</LinksUpToDate>
  <CharactersWithSpaces>3944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2026-09-03T20:51:00Z</dcterms:created>
  <dc:creator>Administrator</dc:creator>
  <cp:lastModifiedBy>· Camouflage ·</cp:lastModifiedBy>
  <dcterms:modified xsi:type="dcterms:W3CDTF">2026-09-03T13:10:00Z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eyJoZGlkIjoiYjY5NjIwYjJlODM2M2E2NjNlOTUzYmVlNzFkY2Q0N2UiLCJ1c2VySWQiOiIxMDM5Njg5NjE3In0=</vt:lpwstr>
  </property>
  <property fmtid="{D5CDD505-2E9C-101B-9397-08002B2CF9AE}" pid="3" name="KSOProductBuildVer">
    <vt:lpwstr>2052-12.1.0.26895</vt:lpwstr>
  </property>
  <property fmtid="{D5CDD505-2E9C-101B-9397-08002B2CF9AE}" pid="4" name="ICV">
    <vt:lpwstr>EE983373F9704B88B56E1DC8BA3A984F_12</vt:lpwstr>
  </property>
</Properties>
</file>