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鼎和财产保险股份有限公司河池中心支公司2026年体检项目采购要求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1、竞价成功后，我司以通知书形式通知医疗机构。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2、体检服务期：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医疗机构通知体检起30天内。</w:t>
      </w:r>
    </w:p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3、申请人资格要求: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独立承担民事责任能力的法人、其他组织或者自然人；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2.具有医疗机构执业许可证；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3.参加采购活动前3年内在经营活动中没有重大违法记录；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4.依照中国现行《医院分级管理办法》规定划分等级为三级甲等及以上的医疗机构；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5.体检报告需在个人体检项目完成后的30日内出具；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6.体检环境健康舒适、干净整洁；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7.体检地点需为河池市金城江区内；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8.本项目不接受联合体竞价。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4、体检费结算方式：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5、其他事项：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医疗机构在收到结算款5个工作日内需安排好体检事宜并通知我司体检；体检费发票需在医疗机构收到结算款后的15个工作日内按相关要求开具。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180" w:right="1440" w:bottom="703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E1AC0877-EF38-4614-BC71-4C4C1E0A604B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B0B39AED-1C7E-4EC7-B737-9CF21431E51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243E88C-FF6F-48E8-9799-82A94A022B9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7517E7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D6681E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46D5416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B73519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414</Characters>
  <Lines>0</Lines>
  <Paragraphs>0</Paragraphs>
  <TotalTime>250</TotalTime>
  <ScaleCrop>false</ScaleCrop>
  <LinksUpToDate>false</LinksUpToDate>
  <CharactersWithSpaces>418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韦礼芳</cp:lastModifiedBy>
  <dcterms:modified xsi:type="dcterms:W3CDTF">2026-09-02T08:53:33Z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</Properties>
</file>