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cs="宋体"/>
          <w:szCs w:val="21"/>
        </w:rPr>
      </w:pPr>
      <w:bookmarkStart w:id="0" w:name="_Toc246216323"/>
      <w:r>
        <w:rPr>
          <w:rFonts w:hint="eastAsia" w:ascii="宋体" w:hAnsi="宋体" w:cs="宋体"/>
          <w:szCs w:val="21"/>
        </w:rPr>
        <w:drawing>
          <wp:anchor distT="0" distB="0" distL="114300" distR="114300" simplePos="0" relativeHeight="251659264" behindDoc="1" locked="0" layoutInCell="1" allowOverlap="1">
            <wp:simplePos x="0" y="0"/>
            <wp:positionH relativeFrom="page">
              <wp:posOffset>-48895</wp:posOffset>
            </wp:positionH>
            <wp:positionV relativeFrom="paragraph">
              <wp:posOffset>-1368425</wp:posOffset>
            </wp:positionV>
            <wp:extent cx="7569835" cy="7791450"/>
            <wp:effectExtent l="0" t="0" r="0" b="0"/>
            <wp:wrapNone/>
            <wp:docPr id="7" name="图片 7"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说明: 未命名"/>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7569835" cy="7791450"/>
                    </a:xfrm>
                    <a:prstGeom prst="rect">
                      <a:avLst/>
                    </a:prstGeom>
                    <a:noFill/>
                    <a:ln>
                      <a:noFill/>
                    </a:ln>
                  </pic:spPr>
                </pic:pic>
              </a:graphicData>
            </a:graphic>
          </wp:anchor>
        </w:drawing>
      </w:r>
    </w:p>
    <w:p>
      <w:pPr>
        <w:rPr>
          <w:rFonts w:hint="eastAsia" w:ascii="宋体" w:hAnsi="宋体" w:cs="宋体"/>
          <w:szCs w:val="21"/>
        </w:rPr>
      </w:pPr>
    </w:p>
    <w:p>
      <w:pPr>
        <w:spacing w:before="624" w:beforeLines="200"/>
        <w:ind w:firstLine="1915" w:firstLineChars="795"/>
        <w:jc w:val="left"/>
        <w:rPr>
          <w:rFonts w:hint="eastAsia" w:ascii="宋体" w:hAnsi="宋体" w:cs="宋体"/>
          <w:b/>
          <w:szCs w:val="21"/>
        </w:rPr>
      </w:pPr>
      <w:r>
        <w:rPr>
          <w:rFonts w:hint="eastAsia" w:ascii="宋体" w:hAnsi="宋体" w:cs="宋体"/>
          <w:b/>
          <w:szCs w:val="21"/>
        </w:rPr>
        <w:drawing>
          <wp:anchor distT="0" distB="0" distL="114300" distR="114300" simplePos="0" relativeHeight="251661312" behindDoc="0" locked="0" layoutInCell="1" allowOverlap="1">
            <wp:simplePos x="0" y="0"/>
            <wp:positionH relativeFrom="page">
              <wp:posOffset>184150</wp:posOffset>
            </wp:positionH>
            <wp:positionV relativeFrom="paragraph">
              <wp:posOffset>248920</wp:posOffset>
            </wp:positionV>
            <wp:extent cx="3459480" cy="813435"/>
            <wp:effectExtent l="0" t="0" r="7620" b="5715"/>
            <wp:wrapNone/>
            <wp:docPr id="10" name="图片 10"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说明: 中国南方电网公司---横向标准组合"/>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459480" cy="813435"/>
                    </a:xfrm>
                    <a:prstGeom prst="rect">
                      <a:avLst/>
                    </a:prstGeom>
                    <a:noFill/>
                    <a:ln>
                      <a:noFill/>
                    </a:ln>
                  </pic:spPr>
                </pic:pic>
              </a:graphicData>
            </a:graphic>
          </wp:anchor>
        </w:drawing>
      </w:r>
    </w:p>
    <w:p>
      <w:pPr>
        <w:spacing w:before="624" w:beforeLines="200"/>
        <w:jc w:val="center"/>
        <w:rPr>
          <w:rFonts w:hint="eastAsia" w:ascii="宋体" w:hAnsi="宋体" w:cs="宋体"/>
          <w:b/>
          <w:szCs w:val="21"/>
        </w:rPr>
      </w:pPr>
    </w:p>
    <w:p>
      <w:pPr>
        <w:spacing w:before="624" w:beforeLines="200"/>
        <w:jc w:val="left"/>
        <w:rPr>
          <w:rFonts w:hint="eastAsia" w:ascii="宋体" w:hAnsi="宋体" w:cs="宋体"/>
          <w:b/>
          <w:szCs w:val="21"/>
        </w:rPr>
      </w:pPr>
    </w:p>
    <w:p>
      <w:pPr>
        <w:spacing w:before="624" w:beforeLines="200"/>
        <w:ind w:firstLine="1181" w:firstLineChars="490"/>
        <w:jc w:val="left"/>
        <w:rPr>
          <w:rFonts w:hint="eastAsia" w:ascii="宋体" w:hAnsi="宋体" w:cs="宋体"/>
          <w:b/>
          <w:szCs w:val="21"/>
        </w:rPr>
      </w:pPr>
    </w:p>
    <w:p>
      <w:pPr>
        <w:pStyle w:val="26"/>
        <w:tabs>
          <w:tab w:val="left" w:pos="1260"/>
          <w:tab w:val="right" w:leader="dot" w:pos="8296"/>
        </w:tabs>
        <w:rPr>
          <w:rFonts w:hint="eastAsia" w:ascii="宋体" w:hAnsi="宋体" w:eastAsia="宋体" w:cs="宋体"/>
          <w:sz w:val="21"/>
          <w:szCs w:val="21"/>
        </w:rPr>
      </w:pPr>
    </w:p>
    <w:p>
      <w:pPr>
        <w:pStyle w:val="26"/>
        <w:tabs>
          <w:tab w:val="left" w:pos="1260"/>
          <w:tab w:val="right" w:leader="dot" w:pos="8296"/>
        </w:tabs>
        <w:rPr>
          <w:rFonts w:hint="eastAsia" w:ascii="宋体" w:hAnsi="宋体" w:eastAsia="宋体" w:cs="宋体"/>
          <w:sz w:val="21"/>
          <w:szCs w:val="21"/>
        </w:rPr>
      </w:pPr>
      <w:r>
        <w:rPr>
          <w:rFonts w:hint="eastAsia" w:ascii="宋体" w:hAnsi="宋体" w:eastAsia="宋体" w:cs="宋体"/>
          <w:b w:val="0"/>
          <w:sz w:val="21"/>
          <w:szCs w:val="21"/>
        </w:rPr>
        <mc:AlternateContent>
          <mc:Choice Requires="wps">
            <w:drawing>
              <wp:anchor distT="0" distB="0" distL="114300" distR="114300" simplePos="0" relativeHeight="251660288" behindDoc="0" locked="0" layoutInCell="1" allowOverlap="1">
                <wp:simplePos x="0" y="0"/>
                <wp:positionH relativeFrom="margin">
                  <wp:posOffset>-777875</wp:posOffset>
                </wp:positionH>
                <wp:positionV relativeFrom="paragraph">
                  <wp:posOffset>99695</wp:posOffset>
                </wp:positionV>
                <wp:extent cx="6077585" cy="1494155"/>
                <wp:effectExtent l="0" t="0" r="0" b="0"/>
                <wp:wrapNone/>
                <wp:docPr id="8" name="矩形 8"/>
                <wp:cNvGraphicFramePr/>
                <a:graphic xmlns:a="http://schemas.openxmlformats.org/drawingml/2006/main">
                  <a:graphicData uri="http://schemas.microsoft.com/office/word/2010/wordprocessingShape">
                    <wps:wsp>
                      <wps:cNvSpPr>
                        <a:spLocks noChangeArrowheads="1"/>
                      </wps:cNvSpPr>
                      <wps:spPr bwMode="auto">
                        <a:xfrm>
                          <a:off x="0" y="0"/>
                          <a:ext cx="6077585" cy="1494155"/>
                        </a:xfrm>
                        <a:prstGeom prst="rect">
                          <a:avLst/>
                        </a:prstGeom>
                        <a:noFill/>
                        <a:ln>
                          <a:noFill/>
                        </a:ln>
                      </wps:spPr>
                      <wps:txbx>
                        <w:txbxContent>
                          <w:p>
                            <w:pPr>
                              <w:spacing w:line="600" w:lineRule="auto"/>
                              <w:jc w:val="center"/>
                              <w:rPr>
                                <w:rFonts w:hint="eastAsia" w:ascii="黑体" w:hAnsi="黑体" w:eastAsia="黑体"/>
                                <w:b/>
                                <w:sz w:val="44"/>
                                <w:szCs w:val="44"/>
                              </w:rPr>
                            </w:pPr>
                            <w:r>
                              <w:rPr>
                                <w:rFonts w:hint="eastAsia" w:ascii="黑体" w:hAnsi="黑体" w:eastAsia="黑体"/>
                                <w:b/>
                                <w:sz w:val="44"/>
                                <w:szCs w:val="44"/>
                              </w:rPr>
                              <w:t>南方电网传感科技(广东)有限公司网络安全等级保护测评服务项目技术规范书</w:t>
                            </w:r>
                          </w:p>
                          <w:p>
                            <w:pPr>
                              <w:spacing w:before="156"/>
                              <w:rPr>
                                <w:rFonts w:hint="eastAsia" w:ascii="黑体" w:hAnsi="黑体" w:eastAsia="黑体"/>
                                <w:sz w:val="36"/>
                                <w:szCs w:val="36"/>
                                <w:u w:val="single"/>
                              </w:rPr>
                            </w:pP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61.25pt;margin-top:7.85pt;height:117.65pt;width:478.55pt;mso-position-horizontal-relative:margin;z-index:251660288;mso-width-relative:page;mso-height-relative:page;" filled="f" stroked="f" coordsize="21600,21600" o:gfxdata="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M+VNSrcAAAACwEAAA8AAAAAAAAAAQAgAAAAOAAAAGRycy9kb3ducmV2LnhtbFBLAQIUABQA&#10;AAAIAIdO4kBO9x1xDwIAAAkEAAAOAAAAAAAAAAEAIAAAAEEBAABkcnMvZTJvRG9jLnhtbFBLBQYA&#10;AAAABgAGAFkBAADCBQAAAAA=&#10;">
                <v:fill on="f" focussize="0,0"/>
                <v:stroke on="f"/>
                <v:imagedata o:title=""/>
                <o:lock v:ext="edit" aspectratio="f"/>
                <v:textbox>
                  <w:txbxContent>
                    <w:p>
                      <w:pPr>
                        <w:spacing w:line="600" w:lineRule="auto"/>
                        <w:jc w:val="center"/>
                        <w:rPr>
                          <w:rFonts w:hint="eastAsia" w:ascii="黑体" w:hAnsi="黑体" w:eastAsia="黑体"/>
                          <w:b/>
                          <w:sz w:val="44"/>
                          <w:szCs w:val="44"/>
                        </w:rPr>
                      </w:pPr>
                      <w:r>
                        <w:rPr>
                          <w:rFonts w:hint="eastAsia" w:ascii="黑体" w:hAnsi="黑体" w:eastAsia="黑体"/>
                          <w:b/>
                          <w:sz w:val="44"/>
                          <w:szCs w:val="44"/>
                        </w:rPr>
                        <w:t>南方电网传感科技(广东)有限公司网络安全等级保护测评服务项目技术规范书</w:t>
                      </w:r>
                    </w:p>
                    <w:p>
                      <w:pPr>
                        <w:spacing w:before="156"/>
                        <w:rPr>
                          <w:rFonts w:hint="eastAsia" w:ascii="黑体" w:hAnsi="黑体" w:eastAsia="黑体"/>
                          <w:sz w:val="36"/>
                          <w:szCs w:val="36"/>
                          <w:u w:val="single"/>
                        </w:rPr>
                      </w:pPr>
                    </w:p>
                  </w:txbxContent>
                </v:textbox>
              </v:rect>
            </w:pict>
          </mc:Fallback>
        </mc:AlternateContent>
      </w:r>
    </w:p>
    <w:p>
      <w:pPr>
        <w:pStyle w:val="26"/>
        <w:tabs>
          <w:tab w:val="left" w:pos="1260"/>
          <w:tab w:val="right" w:leader="dot" w:pos="8296"/>
        </w:tabs>
        <w:rPr>
          <w:rFonts w:hint="eastAsia" w:ascii="宋体" w:hAnsi="宋体" w:eastAsia="宋体" w:cs="宋体"/>
          <w:sz w:val="21"/>
          <w:szCs w:val="21"/>
        </w:rPr>
      </w:pPr>
    </w:p>
    <w:p>
      <w:pPr>
        <w:pStyle w:val="26"/>
        <w:tabs>
          <w:tab w:val="left" w:pos="1260"/>
          <w:tab w:val="right" w:leader="dot" w:pos="8296"/>
        </w:tabs>
        <w:rPr>
          <w:rFonts w:hint="eastAsia" w:ascii="宋体" w:hAnsi="宋体" w:eastAsia="宋体" w:cs="宋体"/>
          <w:sz w:val="21"/>
          <w:szCs w:val="21"/>
        </w:rPr>
      </w:pPr>
    </w:p>
    <w:p>
      <w:pPr>
        <w:pStyle w:val="26"/>
        <w:tabs>
          <w:tab w:val="left" w:pos="1260"/>
          <w:tab w:val="right" w:leader="dot" w:pos="8296"/>
        </w:tabs>
        <w:rPr>
          <w:rFonts w:hint="eastAsia" w:ascii="宋体" w:hAnsi="宋体" w:eastAsia="宋体" w:cs="宋体"/>
          <w:sz w:val="21"/>
          <w:szCs w:val="21"/>
        </w:rPr>
      </w:pPr>
    </w:p>
    <w:p>
      <w:pPr>
        <w:pStyle w:val="26"/>
        <w:tabs>
          <w:tab w:val="left" w:pos="1260"/>
          <w:tab w:val="right" w:leader="dot" w:pos="8296"/>
        </w:tabs>
        <w:rPr>
          <w:rFonts w:hint="eastAsia" w:ascii="宋体" w:hAnsi="宋体" w:eastAsia="宋体" w:cs="宋体"/>
          <w:sz w:val="21"/>
          <w:szCs w:val="21"/>
        </w:rPr>
      </w:pPr>
    </w:p>
    <w:p>
      <w:pPr>
        <w:pStyle w:val="26"/>
        <w:tabs>
          <w:tab w:val="left" w:pos="1260"/>
          <w:tab w:val="right" w:leader="dot" w:pos="8296"/>
        </w:tabs>
        <w:rPr>
          <w:rFonts w:hint="eastAsia" w:ascii="宋体" w:hAnsi="宋体" w:eastAsia="宋体" w:cs="宋体"/>
          <w:sz w:val="21"/>
          <w:szCs w:val="21"/>
        </w:rPr>
      </w:pPr>
    </w:p>
    <w:p>
      <w:pPr>
        <w:pStyle w:val="26"/>
        <w:tabs>
          <w:tab w:val="left" w:pos="1260"/>
          <w:tab w:val="right" w:leader="dot" w:pos="8296"/>
        </w:tabs>
        <w:rPr>
          <w:rFonts w:hint="eastAsia" w:ascii="宋体" w:hAnsi="宋体" w:eastAsia="宋体" w:cs="宋体"/>
          <w:sz w:val="21"/>
          <w:szCs w:val="21"/>
        </w:rPr>
      </w:pPr>
    </w:p>
    <w:p>
      <w:pPr>
        <w:pStyle w:val="26"/>
        <w:tabs>
          <w:tab w:val="left" w:pos="1260"/>
          <w:tab w:val="right" w:leader="dot" w:pos="8296"/>
        </w:tabs>
        <w:rPr>
          <w:rFonts w:hint="eastAsia" w:ascii="宋体" w:hAnsi="宋体" w:eastAsia="宋体" w:cs="宋体"/>
          <w:sz w:val="21"/>
          <w:szCs w:val="21"/>
        </w:rPr>
      </w:pPr>
    </w:p>
    <w:p>
      <w:pPr>
        <w:pStyle w:val="26"/>
        <w:tabs>
          <w:tab w:val="left" w:pos="1260"/>
          <w:tab w:val="right" w:leader="dot" w:pos="8296"/>
        </w:tabs>
        <w:rPr>
          <w:rFonts w:hint="eastAsia" w:ascii="宋体" w:hAnsi="宋体" w:eastAsia="宋体" w:cs="宋体"/>
          <w:b w:val="0"/>
          <w:sz w:val="21"/>
          <w:szCs w:val="21"/>
        </w:rPr>
      </w:pPr>
      <w:r>
        <w:rPr>
          <w:rFonts w:hint="eastAsia" w:ascii="宋体" w:hAnsi="宋体" w:eastAsia="宋体" w:cs="宋体"/>
          <w:b w:val="0"/>
          <w:sz w:val="21"/>
          <w:szCs w:val="21"/>
        </w:rPr>
        <mc:AlternateContent>
          <mc:Choice Requires="wps">
            <w:drawing>
              <wp:anchor distT="0" distB="0" distL="114300" distR="114300" simplePos="0" relativeHeight="251662336" behindDoc="0" locked="0" layoutInCell="1" allowOverlap="1">
                <wp:simplePos x="0" y="0"/>
                <wp:positionH relativeFrom="margin">
                  <wp:posOffset>641350</wp:posOffset>
                </wp:positionH>
                <wp:positionV relativeFrom="paragraph">
                  <wp:posOffset>371475</wp:posOffset>
                </wp:positionV>
                <wp:extent cx="3500755" cy="1066165"/>
                <wp:effectExtent l="0" t="0" r="0" b="0"/>
                <wp:wrapNone/>
                <wp:docPr id="13" name="矩形 13"/>
                <wp:cNvGraphicFramePr/>
                <a:graphic xmlns:a="http://schemas.openxmlformats.org/drawingml/2006/main">
                  <a:graphicData uri="http://schemas.microsoft.com/office/word/2010/wordprocessingShape">
                    <wps:wsp>
                      <wps:cNvSpPr>
                        <a:spLocks noChangeArrowheads="1"/>
                      </wps:cNvSpPr>
                      <wps:spPr bwMode="auto">
                        <a:xfrm>
                          <a:off x="0" y="0"/>
                          <a:ext cx="3500755" cy="1066263"/>
                        </a:xfrm>
                        <a:prstGeom prst="rect">
                          <a:avLst/>
                        </a:prstGeom>
                        <a:noFill/>
                        <a:ln>
                          <a:noFill/>
                        </a:ln>
                      </wps:spPr>
                      <wps:txbx>
                        <w:txbxContent>
                          <w:p>
                            <w:pPr>
                              <w:ind w:left="0" w:leftChars="0" w:firstLine="0" w:firstLineChars="0"/>
                              <w:jc w:val="both"/>
                              <w:rPr>
                                <w:rFonts w:hint="eastAsia" w:ascii="楷体" w:hAnsi="楷体" w:eastAsia="楷体"/>
                                <w:sz w:val="32"/>
                                <w:szCs w:val="32"/>
                              </w:rPr>
                            </w:pPr>
                            <w:r>
                              <w:rPr>
                                <w:rFonts w:hint="eastAsia" w:ascii="楷体" w:hAnsi="楷体" w:eastAsia="楷体"/>
                                <w:sz w:val="32"/>
                                <w:szCs w:val="32"/>
                              </w:rPr>
                              <w:t>南方电网传感科技（广东）有限公司</w:t>
                            </w:r>
                          </w:p>
                          <w:p>
                            <w:pPr>
                              <w:jc w:val="center"/>
                              <w:rPr>
                                <w:rFonts w:hint="eastAsia" w:ascii="楷体" w:hAnsi="楷体" w:eastAsia="楷体"/>
                                <w:sz w:val="32"/>
                                <w:szCs w:val="32"/>
                              </w:rPr>
                            </w:pPr>
                            <w:r>
                              <w:rPr>
                                <w:rFonts w:ascii="楷体" w:hAnsi="楷体" w:eastAsia="楷体"/>
                                <w:sz w:val="32"/>
                                <w:szCs w:val="32"/>
                              </w:rPr>
                              <w:t>20</w:t>
                            </w:r>
                            <w:r>
                              <w:rPr>
                                <w:rFonts w:hint="eastAsia" w:ascii="楷体" w:hAnsi="楷体" w:eastAsia="楷体"/>
                                <w:sz w:val="32"/>
                                <w:szCs w:val="32"/>
                              </w:rPr>
                              <w:t>2</w:t>
                            </w:r>
                            <w:r>
                              <w:rPr>
                                <w:rFonts w:hint="eastAsia" w:ascii="楷体" w:hAnsi="楷体" w:eastAsia="楷体"/>
                                <w:sz w:val="32"/>
                                <w:szCs w:val="32"/>
                                <w:lang w:val="en-US" w:eastAsia="zh-CN"/>
                              </w:rPr>
                              <w:t>6</w:t>
                            </w:r>
                            <w:r>
                              <w:rPr>
                                <w:rFonts w:hint="eastAsia" w:ascii="楷体" w:hAnsi="楷体" w:eastAsia="楷体"/>
                                <w:sz w:val="32"/>
                                <w:szCs w:val="32"/>
                              </w:rPr>
                              <w:t>年</w:t>
                            </w:r>
                            <w:r>
                              <w:rPr>
                                <w:rFonts w:hint="eastAsia" w:ascii="楷体" w:hAnsi="楷体" w:eastAsia="楷体"/>
                                <w:sz w:val="32"/>
                                <w:szCs w:val="32"/>
                                <w:lang w:val="en-US" w:eastAsia="zh-CN"/>
                              </w:rPr>
                              <w:t>9</w:t>
                            </w:r>
                            <w:r>
                              <w:rPr>
                                <w:rFonts w:hint="eastAsia" w:ascii="楷体" w:hAnsi="楷体" w:eastAsia="楷体"/>
                                <w:sz w:val="32"/>
                                <w:szCs w:val="32"/>
                              </w:rPr>
                              <w:t>月</w:t>
                            </w:r>
                          </w:p>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50.5pt;margin-top:29.25pt;height:83.95pt;width:275.65pt;mso-position-horizontal-relative:margin;z-index:251662336;mso-width-relative:page;mso-height-relative:page;" filled="f" stroked="f" coordsize="21600,21600" o:gfxdata="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TW4FS9oAAAAKAQAADwAAAAAAAAABACAAAAA4AAAAZHJzL2Rvd25yZXYueG1sUEsBAhQAFAAA&#10;AAgAh07iQBcKfTkQAgAACwQAAA4AAAAAAAAAAQAgAAAAPwEAAGRycy9lMm9Eb2MueG1sUEsFBgAA&#10;AAAGAAYAWQEAAMEFAAAAAA==&#10;">
                <v:fill on="f" focussize="0,0"/>
                <v:stroke on="f"/>
                <v:imagedata o:title=""/>
                <o:lock v:ext="edit" aspectratio="f"/>
                <v:textbox>
                  <w:txbxContent>
                    <w:p>
                      <w:pPr>
                        <w:ind w:left="0" w:leftChars="0" w:firstLine="0" w:firstLineChars="0"/>
                        <w:jc w:val="both"/>
                        <w:rPr>
                          <w:rFonts w:hint="eastAsia" w:ascii="楷体" w:hAnsi="楷体" w:eastAsia="楷体"/>
                          <w:sz w:val="32"/>
                          <w:szCs w:val="32"/>
                        </w:rPr>
                      </w:pPr>
                      <w:r>
                        <w:rPr>
                          <w:rFonts w:hint="eastAsia" w:ascii="楷体" w:hAnsi="楷体" w:eastAsia="楷体"/>
                          <w:sz w:val="32"/>
                          <w:szCs w:val="32"/>
                        </w:rPr>
                        <w:t>南方电网传感科技（广东）有限公司</w:t>
                      </w:r>
                    </w:p>
                    <w:p>
                      <w:pPr>
                        <w:jc w:val="center"/>
                        <w:rPr>
                          <w:rFonts w:hint="eastAsia" w:ascii="楷体" w:hAnsi="楷体" w:eastAsia="楷体"/>
                          <w:sz w:val="32"/>
                          <w:szCs w:val="32"/>
                        </w:rPr>
                      </w:pPr>
                      <w:r>
                        <w:rPr>
                          <w:rFonts w:ascii="楷体" w:hAnsi="楷体" w:eastAsia="楷体"/>
                          <w:sz w:val="32"/>
                          <w:szCs w:val="32"/>
                        </w:rPr>
                        <w:t>20</w:t>
                      </w:r>
                      <w:r>
                        <w:rPr>
                          <w:rFonts w:hint="eastAsia" w:ascii="楷体" w:hAnsi="楷体" w:eastAsia="楷体"/>
                          <w:sz w:val="32"/>
                          <w:szCs w:val="32"/>
                        </w:rPr>
                        <w:t>2</w:t>
                      </w:r>
                      <w:r>
                        <w:rPr>
                          <w:rFonts w:hint="eastAsia" w:ascii="楷体" w:hAnsi="楷体" w:eastAsia="楷体"/>
                          <w:sz w:val="32"/>
                          <w:szCs w:val="32"/>
                          <w:lang w:val="en-US" w:eastAsia="zh-CN"/>
                        </w:rPr>
                        <w:t>6</w:t>
                      </w:r>
                      <w:r>
                        <w:rPr>
                          <w:rFonts w:hint="eastAsia" w:ascii="楷体" w:hAnsi="楷体" w:eastAsia="楷体"/>
                          <w:sz w:val="32"/>
                          <w:szCs w:val="32"/>
                        </w:rPr>
                        <w:t>年</w:t>
                      </w:r>
                      <w:r>
                        <w:rPr>
                          <w:rFonts w:hint="eastAsia" w:ascii="楷体" w:hAnsi="楷体" w:eastAsia="楷体"/>
                          <w:sz w:val="32"/>
                          <w:szCs w:val="32"/>
                          <w:lang w:val="en-US" w:eastAsia="zh-CN"/>
                        </w:rPr>
                        <w:t>9</w:t>
                      </w:r>
                      <w:r>
                        <w:rPr>
                          <w:rFonts w:hint="eastAsia" w:ascii="楷体" w:hAnsi="楷体" w:eastAsia="楷体"/>
                          <w:sz w:val="32"/>
                          <w:szCs w:val="32"/>
                        </w:rPr>
                        <w:t>月</w:t>
                      </w:r>
                    </w:p>
                    <w:p/>
                  </w:txbxContent>
                </v:textbox>
              </v:rect>
            </w:pict>
          </mc:Fallback>
        </mc:AlternateContent>
      </w:r>
      <w:bookmarkEnd w:id="0"/>
      <w:bookmarkStart w:id="1" w:name="_Toc24611"/>
    </w:p>
    <w:p>
      <w:pPr>
        <w:pStyle w:val="26"/>
        <w:tabs>
          <w:tab w:val="left" w:pos="1260"/>
          <w:tab w:val="right" w:leader="dot" w:pos="8296"/>
        </w:tabs>
        <w:rPr>
          <w:b/>
          <w:bCs/>
          <w:kern w:val="44"/>
          <w:sz w:val="28"/>
          <w:szCs w:val="28"/>
        </w:rPr>
      </w:pPr>
      <w:r>
        <w:rPr>
          <w:b/>
          <w:bCs/>
          <w:kern w:val="44"/>
          <w:sz w:val="28"/>
          <w:szCs w:val="28"/>
        </w:rPr>
        <w:t>1总则</w:t>
      </w:r>
      <w:bookmarkEnd w:id="1"/>
    </w:p>
    <w:p>
      <w:pPr>
        <w:keepNext/>
        <w:keepLines/>
        <w:numPr>
          <w:ilvl w:val="1"/>
          <w:numId w:val="0"/>
        </w:numPr>
        <w:spacing w:before="260" w:after="260" w:line="360" w:lineRule="auto"/>
        <w:ind w:left="-4" w:leftChars="-4" w:hanging="5" w:hangingChars="2"/>
        <w:outlineLvl w:val="1"/>
        <w:rPr>
          <w:b/>
          <w:bCs/>
          <w:kern w:val="44"/>
          <w:sz w:val="24"/>
        </w:rPr>
      </w:pPr>
      <w:bookmarkStart w:id="2" w:name="_Toc13959"/>
      <w:r>
        <w:rPr>
          <w:b/>
          <w:bCs/>
          <w:kern w:val="44"/>
          <w:sz w:val="24"/>
        </w:rPr>
        <w:t>1.1概述</w:t>
      </w:r>
      <w:bookmarkEnd w:id="2"/>
    </w:p>
    <w:p>
      <w:pPr>
        <w:spacing w:line="360" w:lineRule="auto"/>
        <w:ind w:firstLine="480" w:firstLineChars="200"/>
        <w:rPr>
          <w:b/>
          <w:sz w:val="24"/>
        </w:rPr>
      </w:pPr>
      <w:r>
        <w:rPr>
          <w:sz w:val="24"/>
        </w:rPr>
        <w:t>本技术规范书是采购人对</w:t>
      </w:r>
      <w:r>
        <w:rPr>
          <w:rFonts w:hint="eastAsia"/>
          <w:sz w:val="24"/>
        </w:rPr>
        <w:t>南方电网传感科技(广东)有限公司网络安全等级保护测评服务项目</w:t>
      </w:r>
      <w:r>
        <w:rPr>
          <w:sz w:val="24"/>
        </w:rPr>
        <w:t>的报价人提出的技术规范书，本规范书将作为响应文件技术部分评议的基础。</w:t>
      </w:r>
    </w:p>
    <w:p>
      <w:pPr>
        <w:numPr>
          <w:ilvl w:val="0"/>
          <w:numId w:val="7"/>
        </w:numPr>
        <w:spacing w:line="360" w:lineRule="auto"/>
        <w:ind w:left="0" w:firstLine="480" w:firstLineChars="200"/>
        <w:rPr>
          <w:sz w:val="24"/>
        </w:rPr>
      </w:pPr>
      <w:r>
        <w:rPr>
          <w:sz w:val="24"/>
        </w:rPr>
        <w:t>报价人应按照本文件的要求提供详细的技</w:t>
      </w:r>
      <w:bookmarkStart w:id="80" w:name="_GoBack"/>
      <w:bookmarkEnd w:id="80"/>
      <w:r>
        <w:rPr>
          <w:sz w:val="24"/>
        </w:rPr>
        <w:t>术方案书。报价人应符合采购人指明的标准，并满足或高于采购人的技术要求。对于本技术规范书未规定的有关服务内容和标准，报价人应提出具体建议，并陈述其理由。</w:t>
      </w:r>
    </w:p>
    <w:p>
      <w:pPr>
        <w:numPr>
          <w:ilvl w:val="0"/>
          <w:numId w:val="7"/>
        </w:numPr>
        <w:spacing w:line="360" w:lineRule="auto"/>
        <w:ind w:left="0" w:firstLine="480" w:firstLineChars="200"/>
        <w:rPr>
          <w:sz w:val="24"/>
        </w:rPr>
      </w:pPr>
      <w:r>
        <w:rPr>
          <w:sz w:val="24"/>
        </w:rPr>
        <w:t>报价人在其响应文件中，要求对本文件中所提各项功能等方面能否实现与满足，应逐项诚实地予以答复、说明和解释，首先对实现或满足程度明确作出“满足”、“不满足”、“部分满足”等应答，然后作出具体、详细的说明。对本次技术规范书中答满足项视为对该需求全部无条件满足，不需要额外增加任何设备内容；如在应答中回答过于简单，不能够充分阐述“满足”的原因或未作明确答复的，采购人将视为对各项内容和标准不满足或部分满足。</w:t>
      </w:r>
    </w:p>
    <w:p>
      <w:pPr>
        <w:spacing w:line="360" w:lineRule="auto"/>
        <w:ind w:firstLine="480" w:firstLineChars="200"/>
        <w:rPr>
          <w:sz w:val="24"/>
        </w:rPr>
      </w:pPr>
      <w:r>
        <w:rPr>
          <w:sz w:val="24"/>
        </w:rPr>
        <w:t>报价人在满足采购文件要求的基础上可根据自己提供服务的具体情况，在技术方案中提出建议，并附详细资料和说明。报价人应在技术规范点对点应答中把“不满足”和“部分满足”项作单独列举清单。</w:t>
      </w:r>
    </w:p>
    <w:p>
      <w:pPr>
        <w:numPr>
          <w:ilvl w:val="0"/>
          <w:numId w:val="7"/>
        </w:numPr>
        <w:spacing w:line="360" w:lineRule="auto"/>
        <w:ind w:left="0" w:firstLine="480" w:firstLineChars="200"/>
        <w:rPr>
          <w:sz w:val="24"/>
        </w:rPr>
      </w:pPr>
      <w:r>
        <w:rPr>
          <w:sz w:val="24"/>
        </w:rPr>
        <w:t>项目形成的所有成果归南方电网</w:t>
      </w:r>
      <w:r>
        <w:rPr>
          <w:rFonts w:hint="eastAsia"/>
          <w:sz w:val="24"/>
        </w:rPr>
        <w:t>传感科技（广东）</w:t>
      </w:r>
      <w:r>
        <w:rPr>
          <w:sz w:val="24"/>
        </w:rPr>
        <w:t>有限公司所有。</w:t>
      </w:r>
    </w:p>
    <w:p>
      <w:pPr>
        <w:numPr>
          <w:ilvl w:val="0"/>
          <w:numId w:val="7"/>
        </w:numPr>
        <w:spacing w:line="360" w:lineRule="auto"/>
        <w:ind w:left="0" w:firstLine="480" w:firstLineChars="200"/>
        <w:rPr>
          <w:sz w:val="24"/>
        </w:rPr>
      </w:pPr>
      <w:r>
        <w:rPr>
          <w:sz w:val="24"/>
        </w:rPr>
        <w:t>报价人未经采购人同意，不得以任何形式向第三方公开本技术规范书。</w:t>
      </w:r>
    </w:p>
    <w:p>
      <w:pPr>
        <w:keepNext/>
        <w:keepLines/>
        <w:pageBreakBefore/>
        <w:pBdr>
          <w:bottom w:val="inset" w:color="C0C0C0" w:sz="6" w:space="1"/>
        </w:pBdr>
        <w:tabs>
          <w:tab w:val="left" w:pos="284"/>
        </w:tabs>
        <w:spacing w:before="340" w:after="330" w:line="360" w:lineRule="auto"/>
        <w:ind w:left="-2" w:leftChars="-1" w:hanging="1"/>
        <w:outlineLvl w:val="0"/>
        <w:rPr>
          <w:b/>
          <w:bCs/>
          <w:kern w:val="44"/>
          <w:sz w:val="28"/>
          <w:szCs w:val="28"/>
        </w:rPr>
      </w:pPr>
      <w:bookmarkStart w:id="3" w:name="_Toc28302"/>
      <w:r>
        <w:rPr>
          <w:b/>
          <w:bCs/>
          <w:kern w:val="44"/>
          <w:sz w:val="28"/>
          <w:szCs w:val="28"/>
        </w:rPr>
        <w:t>2项目概况</w:t>
      </w:r>
      <w:bookmarkEnd w:id="3"/>
    </w:p>
    <w:p>
      <w:pPr>
        <w:keepNext/>
        <w:keepLines/>
        <w:numPr>
          <w:ilvl w:val="1"/>
          <w:numId w:val="0"/>
        </w:numPr>
        <w:spacing w:before="260" w:after="120" w:line="360" w:lineRule="auto"/>
        <w:outlineLvl w:val="1"/>
        <w:rPr>
          <w:b/>
          <w:bCs/>
          <w:kern w:val="44"/>
          <w:sz w:val="24"/>
        </w:rPr>
      </w:pPr>
      <w:bookmarkStart w:id="4" w:name="_Toc18285"/>
      <w:r>
        <w:rPr>
          <w:b/>
          <w:bCs/>
          <w:kern w:val="44"/>
          <w:sz w:val="24"/>
        </w:rPr>
        <w:t>2.1项目背景</w:t>
      </w:r>
      <w:bookmarkEnd w:id="4"/>
    </w:p>
    <w:p>
      <w:pPr>
        <w:spacing w:line="360" w:lineRule="auto"/>
        <w:ind w:firstLine="480" w:firstLineChars="200"/>
        <w:rPr>
          <w:sz w:val="24"/>
          <w:u w:val="single"/>
        </w:rPr>
      </w:pPr>
      <w:bookmarkStart w:id="5" w:name="_Toc32455"/>
      <w:r>
        <w:rPr>
          <w:rFonts w:hint="eastAsia"/>
          <w:sz w:val="24"/>
          <w:u w:val="single"/>
        </w:rPr>
        <w:t>为落实《中华人民共和国网络安全法》《关键信息基础设施安全保护条例》、网络安全等级保护2.0系列标准、《电力行业网络安全等级保护管理办法》（国能发安全规〔2022〕101号）等法律法规及南方电网网络安全管理相关制度要求，规范公司信息系统安全管控，开展网络安全等级保护测评服务，识别信息系统安全风险，输出合规测评成果，支撑系统安全合规、安全整改、监管检查、内部安全审计工作 。</w:t>
      </w:r>
    </w:p>
    <w:p>
      <w:pPr>
        <w:keepNext/>
        <w:keepLines/>
        <w:numPr>
          <w:ilvl w:val="1"/>
          <w:numId w:val="0"/>
        </w:numPr>
        <w:spacing w:before="260" w:after="120" w:line="360" w:lineRule="auto"/>
        <w:outlineLvl w:val="1"/>
        <w:rPr>
          <w:b/>
          <w:bCs/>
          <w:kern w:val="44"/>
          <w:sz w:val="24"/>
        </w:rPr>
      </w:pPr>
      <w:r>
        <w:rPr>
          <w:b/>
          <w:bCs/>
          <w:kern w:val="44"/>
          <w:sz w:val="24"/>
        </w:rPr>
        <w:t>2.2报价人应遵循的标准</w:t>
      </w:r>
      <w:bookmarkEnd w:id="5"/>
    </w:p>
    <w:p>
      <w:pPr>
        <w:bidi w:val="0"/>
        <w:rPr>
          <w:rFonts w:hint="eastAsia"/>
        </w:rPr>
      </w:pPr>
      <w:bookmarkStart w:id="6" w:name="_Toc32709"/>
      <w:r>
        <w:rPr>
          <w:rFonts w:hint="eastAsia"/>
        </w:rPr>
        <w:t>1.《中华人民共和国网络安全法》《数据安全法》《个人信息保护法》</w:t>
      </w:r>
    </w:p>
    <w:p>
      <w:pPr>
        <w:bidi w:val="0"/>
        <w:rPr>
          <w:rFonts w:hint="eastAsia"/>
        </w:rPr>
      </w:pPr>
      <w:r>
        <w:rPr>
          <w:rFonts w:hint="eastAsia"/>
        </w:rPr>
        <w:t>2.GB/T 22239‑2019《信息安全技术 网络安全等级保护基本要求》</w:t>
      </w:r>
    </w:p>
    <w:p>
      <w:pPr>
        <w:bidi w:val="0"/>
        <w:rPr>
          <w:rFonts w:hint="eastAsia"/>
        </w:rPr>
      </w:pPr>
      <w:r>
        <w:rPr>
          <w:rFonts w:hint="eastAsia"/>
        </w:rPr>
        <w:t>3.GB/T 28448‑2019《信息安全技术 网络安全等级保护测评要求》</w:t>
      </w:r>
    </w:p>
    <w:p>
      <w:pPr>
        <w:bidi w:val="0"/>
        <w:rPr>
          <w:rFonts w:hint="eastAsia"/>
        </w:rPr>
      </w:pPr>
      <w:r>
        <w:rPr>
          <w:rFonts w:hint="eastAsia"/>
        </w:rPr>
        <w:t>4.GB/T 28449‑2019《信息安全技术 网络安全等级保护测评过程指南》</w:t>
      </w:r>
    </w:p>
    <w:p>
      <w:pPr>
        <w:bidi w:val="0"/>
        <w:rPr>
          <w:rFonts w:hint="eastAsia"/>
        </w:rPr>
      </w:pPr>
      <w:r>
        <w:rPr>
          <w:rFonts w:hint="eastAsia"/>
        </w:rPr>
        <w:t>5.GB/T 22240‑2020《信息安全技术 网络安全等级保护定级指南》</w:t>
      </w:r>
    </w:p>
    <w:p>
      <w:pPr>
        <w:bidi w:val="0"/>
        <w:rPr>
          <w:rFonts w:hint="eastAsia"/>
        </w:rPr>
      </w:pPr>
      <w:r>
        <w:rPr>
          <w:rFonts w:hint="eastAsia"/>
        </w:rPr>
        <w:t>6.DL/T 2614‑2023《电力行业网络安全等级保护基本要求》</w:t>
      </w:r>
    </w:p>
    <w:p>
      <w:pPr>
        <w:bidi w:val="0"/>
        <w:rPr>
          <w:rFonts w:hint="eastAsia"/>
        </w:rPr>
      </w:pPr>
      <w:r>
        <w:rPr>
          <w:rFonts w:hint="eastAsia"/>
        </w:rPr>
        <w:t>7.《电力行业网络安全等级保护管理办法》（国能发安全规〔2022〕101号）</w:t>
      </w:r>
    </w:p>
    <w:p>
      <w:pPr>
        <w:bidi w:val="0"/>
        <w:rPr>
          <w:rFonts w:hint="eastAsia" w:ascii="宋体" w:hAnsi="宋体" w:eastAsia="宋体" w:cs="宋体"/>
          <w:kern w:val="0"/>
          <w:szCs w:val="24"/>
        </w:rPr>
      </w:pPr>
      <w:r>
        <w:rPr>
          <w:rFonts w:hint="eastAsia"/>
        </w:rPr>
        <w:t>8.南方电网公司网络安全、信息系统安全管理相关制度、入网安全管理要求 。</w:t>
      </w:r>
    </w:p>
    <w:p>
      <w:pPr>
        <w:keepNext/>
        <w:keepLines/>
        <w:numPr>
          <w:ilvl w:val="1"/>
          <w:numId w:val="0"/>
        </w:numPr>
        <w:spacing w:before="260" w:after="260" w:line="360" w:lineRule="auto"/>
        <w:ind w:left="576" w:hanging="576"/>
        <w:outlineLvl w:val="1"/>
        <w:rPr>
          <w:b/>
          <w:bCs/>
          <w:kern w:val="44"/>
          <w:sz w:val="24"/>
        </w:rPr>
      </w:pPr>
      <w:r>
        <w:rPr>
          <w:b/>
          <w:bCs/>
          <w:kern w:val="44"/>
          <w:sz w:val="24"/>
        </w:rPr>
        <w:t>2.3采购清单</w:t>
      </w:r>
      <w:bookmarkEnd w:id="6"/>
    </w:p>
    <w:p>
      <w:pPr>
        <w:tabs>
          <w:tab w:val="left" w:pos="426"/>
        </w:tabs>
        <w:spacing w:line="360" w:lineRule="auto"/>
        <w:ind w:firstLine="480" w:firstLineChars="200"/>
        <w:jc w:val="left"/>
        <w:rPr>
          <w:sz w:val="24"/>
        </w:rPr>
      </w:pPr>
      <w:r>
        <w:rPr>
          <w:sz w:val="24"/>
        </w:rPr>
        <w:t>本项目有一个标包：“</w:t>
      </w:r>
      <w:r>
        <w:rPr>
          <w:rFonts w:hint="eastAsia"/>
          <w:sz w:val="24"/>
        </w:rPr>
        <w:t>南方电网传感科技(广东)有限公司网络安全等级保护测评服务项目</w:t>
      </w:r>
      <w:r>
        <w:rPr>
          <w:sz w:val="24"/>
        </w:rPr>
        <w:t>”。</w:t>
      </w:r>
      <w:bookmarkStart w:id="7" w:name="_Toc215"/>
      <w:r>
        <w:rPr>
          <w:sz w:val="24"/>
        </w:rPr>
        <w:t>项目拟开展</w:t>
      </w:r>
      <w:r>
        <w:rPr>
          <w:rFonts w:hint="eastAsia"/>
          <w:sz w:val="24"/>
        </w:rPr>
        <w:t>南方电网传感科技(广东)有限公司网络安全等级保护测评服务项目</w:t>
      </w:r>
      <w:r>
        <w:rPr>
          <w:sz w:val="24"/>
        </w:rPr>
        <w:t>。</w:t>
      </w:r>
    </w:p>
    <w:tbl>
      <w:tblPr>
        <w:tblStyle w:val="36"/>
        <w:tblW w:w="830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89"/>
        <w:gridCol w:w="1081"/>
        <w:gridCol w:w="1648"/>
        <w:gridCol w:w="688"/>
        <w:gridCol w:w="688"/>
        <w:gridCol w:w="37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0" w:hRule="atLeast"/>
        </w:trPr>
        <w:tc>
          <w:tcPr>
            <w:tcW w:w="489"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b/>
                <w:bCs/>
                <w:sz w:val="22"/>
                <w:szCs w:val="22"/>
              </w:rPr>
            </w:pPr>
            <w:bookmarkStart w:id="8" w:name="OLE_LINK2"/>
            <w:bookmarkStart w:id="9" w:name="OLE_LINK1"/>
            <w:bookmarkStart w:id="10" w:name="OLE_LINK10"/>
            <w:r>
              <w:rPr>
                <w:b/>
                <w:bCs/>
                <w:sz w:val="22"/>
                <w:szCs w:val="22"/>
              </w:rPr>
              <w:t>序号</w:t>
            </w:r>
          </w:p>
        </w:tc>
        <w:tc>
          <w:tcPr>
            <w:tcW w:w="1081"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b/>
                <w:bCs/>
                <w:sz w:val="22"/>
                <w:szCs w:val="22"/>
              </w:rPr>
            </w:pPr>
            <w:r>
              <w:rPr>
                <w:b/>
                <w:bCs/>
                <w:sz w:val="22"/>
                <w:szCs w:val="22"/>
              </w:rPr>
              <w:t>标包</w:t>
            </w:r>
          </w:p>
        </w:tc>
        <w:tc>
          <w:tcPr>
            <w:tcW w:w="1648"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rFonts w:hint="default" w:eastAsia="宋体"/>
                <w:b/>
                <w:sz w:val="22"/>
                <w:szCs w:val="22"/>
                <w:lang w:val="en-US" w:eastAsia="zh-CN"/>
              </w:rPr>
            </w:pPr>
            <w:r>
              <w:rPr>
                <w:rFonts w:hint="eastAsia"/>
                <w:b/>
                <w:sz w:val="22"/>
                <w:szCs w:val="22"/>
                <w:lang w:val="en-US" w:eastAsia="zh-CN"/>
              </w:rPr>
              <w:t>服务名称</w:t>
            </w:r>
          </w:p>
        </w:tc>
        <w:tc>
          <w:tcPr>
            <w:tcW w:w="688"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rFonts w:hint="default" w:eastAsia="宋体"/>
                <w:b/>
                <w:sz w:val="22"/>
                <w:szCs w:val="22"/>
                <w:lang w:val="en-US" w:eastAsia="zh-CN"/>
              </w:rPr>
            </w:pPr>
            <w:r>
              <w:rPr>
                <w:rFonts w:hint="eastAsia"/>
                <w:b/>
                <w:sz w:val="22"/>
                <w:szCs w:val="22"/>
                <w:lang w:val="en-US" w:eastAsia="zh-CN"/>
              </w:rPr>
              <w:t>等级</w:t>
            </w:r>
          </w:p>
        </w:tc>
        <w:tc>
          <w:tcPr>
            <w:tcW w:w="688"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rFonts w:hint="eastAsia" w:eastAsia="宋体"/>
                <w:b/>
                <w:sz w:val="22"/>
                <w:szCs w:val="22"/>
                <w:lang w:val="en-US" w:eastAsia="zh-CN"/>
              </w:rPr>
            </w:pPr>
            <w:r>
              <w:rPr>
                <w:rFonts w:hint="eastAsia"/>
                <w:b/>
                <w:sz w:val="22"/>
                <w:szCs w:val="22"/>
                <w:lang w:val="en-US" w:eastAsia="zh-CN"/>
              </w:rPr>
              <w:t>数量</w:t>
            </w:r>
          </w:p>
        </w:tc>
        <w:tc>
          <w:tcPr>
            <w:tcW w:w="3712"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rFonts w:hint="default" w:eastAsia="宋体"/>
                <w:b/>
                <w:sz w:val="22"/>
                <w:szCs w:val="22"/>
                <w:lang w:val="en-US" w:eastAsia="zh-CN"/>
              </w:rPr>
            </w:pPr>
            <w:r>
              <w:rPr>
                <w:rFonts w:hint="eastAsia"/>
                <w:b/>
                <w:sz w:val="22"/>
                <w:szCs w:val="22"/>
                <w:lang w:val="en-US" w:eastAsia="zh-CN"/>
              </w:rPr>
              <w:t>服务内容说明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1" w:hRule="atLeast"/>
        </w:trPr>
        <w:tc>
          <w:tcPr>
            <w:tcW w:w="489"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jc w:val="center"/>
              <w:textAlignment w:val="auto"/>
              <w:rPr>
                <w:b/>
                <w:bCs/>
                <w:sz w:val="22"/>
                <w:szCs w:val="22"/>
              </w:rPr>
            </w:pPr>
            <w:r>
              <w:rPr>
                <w:sz w:val="22"/>
                <w:szCs w:val="22"/>
              </w:rPr>
              <w:t>1</w:t>
            </w:r>
          </w:p>
        </w:tc>
        <w:tc>
          <w:tcPr>
            <w:tcW w:w="1081"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jc w:val="center"/>
              <w:textAlignment w:val="auto"/>
              <w:rPr>
                <w:b/>
                <w:bCs/>
                <w:sz w:val="22"/>
                <w:szCs w:val="22"/>
              </w:rPr>
            </w:pPr>
            <w:r>
              <w:rPr>
                <w:sz w:val="22"/>
                <w:szCs w:val="22"/>
              </w:rPr>
              <w:t>包1：</w:t>
            </w:r>
            <w:r>
              <w:rPr>
                <w:rFonts w:hint="eastAsia"/>
                <w:sz w:val="22"/>
                <w:szCs w:val="22"/>
              </w:rPr>
              <w:t>南方电网传感科技(广东)有限公司网络安全等级保护测评服务项目</w:t>
            </w:r>
          </w:p>
        </w:tc>
        <w:tc>
          <w:tcPr>
            <w:tcW w:w="1648"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textAlignment w:val="auto"/>
              <w:rPr>
                <w:rFonts w:hint="default" w:eastAsia="宋体"/>
                <w:b/>
                <w:sz w:val="22"/>
                <w:szCs w:val="22"/>
                <w:lang w:val="en-US" w:eastAsia="zh-CN"/>
              </w:rPr>
            </w:pPr>
            <w:r>
              <w:rPr>
                <w:rFonts w:hint="eastAsia"/>
                <w:sz w:val="22"/>
                <w:szCs w:val="22"/>
                <w:lang w:val="en-US" w:eastAsia="zh-CN"/>
              </w:rPr>
              <w:t>未定名称内部信息系统（初测）</w:t>
            </w:r>
          </w:p>
        </w:tc>
        <w:tc>
          <w:tcPr>
            <w:tcW w:w="688"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jc w:val="center"/>
              <w:textAlignment w:val="auto"/>
              <w:rPr>
                <w:rFonts w:hint="eastAsia" w:eastAsia="宋体"/>
                <w:sz w:val="22"/>
                <w:szCs w:val="22"/>
                <w:lang w:val="en-US" w:eastAsia="zh-CN"/>
              </w:rPr>
            </w:pPr>
            <w:r>
              <w:rPr>
                <w:rFonts w:hint="eastAsia"/>
                <w:sz w:val="22"/>
                <w:szCs w:val="22"/>
                <w:lang w:val="en-US" w:eastAsia="zh-CN"/>
              </w:rPr>
              <w:t>二级</w:t>
            </w:r>
          </w:p>
        </w:tc>
        <w:tc>
          <w:tcPr>
            <w:tcW w:w="688"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jc w:val="center"/>
              <w:textAlignment w:val="auto"/>
              <w:rPr>
                <w:rFonts w:hint="eastAsia" w:eastAsia="宋体"/>
                <w:sz w:val="22"/>
                <w:szCs w:val="22"/>
                <w:lang w:val="en-US" w:eastAsia="zh-CN"/>
              </w:rPr>
            </w:pPr>
            <w:r>
              <w:rPr>
                <w:rFonts w:hint="eastAsia"/>
                <w:sz w:val="22"/>
                <w:szCs w:val="22"/>
                <w:lang w:val="en-US" w:eastAsia="zh-CN"/>
              </w:rPr>
              <w:t>1</w:t>
            </w:r>
          </w:p>
        </w:tc>
        <w:tc>
          <w:tcPr>
            <w:tcW w:w="3712"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textAlignment w:val="auto"/>
              <w:rPr>
                <w:rFonts w:hint="eastAsia"/>
                <w:sz w:val="22"/>
                <w:szCs w:val="22"/>
              </w:rPr>
            </w:pPr>
            <w:r>
              <w:rPr>
                <w:rFonts w:hint="eastAsia"/>
                <w:sz w:val="22"/>
                <w:szCs w:val="22"/>
              </w:rPr>
              <w:t xml:space="preserve">针对采购人待定名、待完善备案资料、待确认系统边界的内部信息系统开展网络安全等级保护初评初测服务，包含系统调研、资产梳理、边界确认、安全现状测评、差距分析、风险排查、初测问题汇总、安全整改建议、定级辅助指导、初测报告输出，配合采购人完成系统定名、定级、备案前期合规工作。 </w:t>
            </w:r>
          </w:p>
        </w:tc>
      </w:tr>
      <w:bookmarkEnd w:id="8"/>
      <w:bookmarkEnd w:id="9"/>
      <w:bookmarkEnd w:id="10"/>
    </w:tbl>
    <w:p>
      <w:pPr>
        <w:tabs>
          <w:tab w:val="left" w:pos="426"/>
        </w:tabs>
        <w:spacing w:line="360" w:lineRule="auto"/>
        <w:jc w:val="left"/>
        <w:rPr>
          <w:sz w:val="24"/>
        </w:rPr>
      </w:pPr>
    </w:p>
    <w:p>
      <w:pPr>
        <w:keepNext/>
        <w:keepLines/>
        <w:pageBreakBefore/>
        <w:pBdr>
          <w:bottom w:val="inset" w:color="C0C0C0" w:sz="6" w:space="1"/>
        </w:pBdr>
        <w:tabs>
          <w:tab w:val="left" w:pos="284"/>
        </w:tabs>
        <w:spacing w:before="340" w:after="330" w:line="360" w:lineRule="auto"/>
        <w:ind w:left="-2" w:leftChars="-1" w:hanging="1"/>
        <w:outlineLvl w:val="0"/>
        <w:rPr>
          <w:b/>
          <w:bCs/>
          <w:kern w:val="44"/>
          <w:sz w:val="28"/>
          <w:szCs w:val="28"/>
        </w:rPr>
      </w:pPr>
      <w:r>
        <w:rPr>
          <w:rFonts w:hint="eastAsia"/>
          <w:b/>
          <w:bCs/>
          <w:kern w:val="44"/>
          <w:sz w:val="28"/>
          <w:szCs w:val="28"/>
        </w:rPr>
        <w:t>3</w:t>
      </w:r>
      <w:r>
        <w:rPr>
          <w:b/>
          <w:bCs/>
          <w:kern w:val="44"/>
          <w:sz w:val="28"/>
          <w:szCs w:val="28"/>
        </w:rPr>
        <w:t>技术要求</w:t>
      </w:r>
    </w:p>
    <w:bookmarkEnd w:id="7"/>
    <w:p>
      <w:pPr>
        <w:bidi w:val="0"/>
        <w:rPr>
          <w:rFonts w:hint="eastAsia" w:eastAsia="宋体"/>
          <w:b/>
          <w:bCs/>
          <w:kern w:val="44"/>
          <w:sz w:val="24"/>
          <w:lang w:val="en-US" w:eastAsia="zh-CN"/>
        </w:rPr>
      </w:pPr>
      <w:r>
        <w:rPr>
          <w:rFonts w:hint="eastAsia"/>
          <w:sz w:val="24"/>
        </w:rPr>
        <w:t>南方电网传感科技(广东)有限公司网络安全等级保护测评服务项目</w:t>
      </w:r>
      <w:r>
        <w:rPr>
          <w:rFonts w:hint="eastAsia"/>
          <w:sz w:val="24"/>
          <w:lang w:eastAsia="zh-CN"/>
        </w:rPr>
        <w:t>，</w:t>
      </w:r>
      <w:r>
        <w:rPr>
          <w:rFonts w:hint="eastAsia" w:ascii="宋体" w:hAnsi="宋体"/>
          <w:sz w:val="24"/>
        </w:rPr>
        <w:t>依据国家标准，从技术上的安全物理环境、安全通信网络、安全区域边界、安全计算环境、安全管理中心五个层面和管理上的安全管理制度、安全管理机构、安全管理人员、安全建设管理和安全运维管理等五个方面分别描述测评实施的主要内容，出具《网络安全等保测评报告》。</w:t>
      </w:r>
    </w:p>
    <w:p>
      <w:pPr>
        <w:keepNext/>
        <w:keepLines/>
        <w:numPr>
          <w:ilvl w:val="1"/>
          <w:numId w:val="0"/>
        </w:numPr>
        <w:spacing w:before="260" w:after="260" w:line="360" w:lineRule="auto"/>
        <w:ind w:left="576" w:hanging="576"/>
        <w:outlineLvl w:val="1"/>
        <w:rPr>
          <w:b/>
          <w:bCs/>
          <w:kern w:val="44"/>
          <w:sz w:val="24"/>
        </w:rPr>
      </w:pPr>
      <w:r>
        <w:rPr>
          <w:b/>
          <w:bCs/>
          <w:kern w:val="44"/>
          <w:sz w:val="24"/>
        </w:rPr>
        <w:t>3.1</w:t>
      </w:r>
      <w:r>
        <w:rPr>
          <w:rFonts w:hint="eastAsia"/>
          <w:b/>
          <w:bCs/>
          <w:kern w:val="44"/>
          <w:sz w:val="24"/>
        </w:rPr>
        <w:t xml:space="preserve"> </w:t>
      </w:r>
      <w:r>
        <w:rPr>
          <w:rFonts w:hint="eastAsia"/>
          <w:b/>
          <w:bCs/>
          <w:kern w:val="44"/>
          <w:sz w:val="24"/>
          <w:lang w:val="en-US" w:eastAsia="zh-CN"/>
        </w:rPr>
        <w:t>二级系统等级保护测评服务</w:t>
      </w:r>
      <w:r>
        <w:rPr>
          <w:b/>
          <w:bCs/>
          <w:kern w:val="44"/>
          <w:sz w:val="24"/>
        </w:rPr>
        <w:t>技术要求</w:t>
      </w:r>
    </w:p>
    <w:p>
      <w:pPr>
        <w:keepNext/>
        <w:keepLines/>
        <w:spacing w:line="360" w:lineRule="auto"/>
        <w:ind w:firstLine="482" w:firstLineChars="200"/>
        <w:outlineLvl w:val="2"/>
        <w:rPr>
          <w:b/>
          <w:bCs/>
          <w:sz w:val="24"/>
          <w:szCs w:val="32"/>
        </w:rPr>
      </w:pPr>
      <w:r>
        <w:rPr>
          <w:b/>
          <w:bCs/>
          <w:sz w:val="24"/>
        </w:rPr>
        <w:t>3.1.1 项目内容</w:t>
      </w:r>
    </w:p>
    <w:p>
      <w:pPr>
        <w:bidi w:val="0"/>
        <w:ind w:firstLine="480" w:firstLineChars="200"/>
        <w:rPr>
          <w:rFonts w:hint="eastAsia" w:eastAsia="宋体"/>
          <w:b/>
          <w:bCs/>
          <w:kern w:val="44"/>
          <w:sz w:val="24"/>
          <w:lang w:val="en-US" w:eastAsia="zh-CN"/>
        </w:rPr>
      </w:pPr>
      <w:r>
        <w:rPr>
          <w:rFonts w:hint="eastAsia"/>
          <w:sz w:val="24"/>
        </w:rPr>
        <w:t>南方电网传感科技(广东)有限公司</w:t>
      </w:r>
      <w:r>
        <w:rPr>
          <w:rFonts w:hint="eastAsia"/>
          <w:sz w:val="24"/>
          <w:lang w:val="en-US" w:eastAsia="zh-CN"/>
        </w:rPr>
        <w:t>一个二级系统进行等级保护测评服务</w:t>
      </w:r>
      <w:r>
        <w:rPr>
          <w:rFonts w:hint="eastAsia"/>
          <w:sz w:val="24"/>
          <w:lang w:eastAsia="zh-CN"/>
        </w:rPr>
        <w:t>，</w:t>
      </w:r>
      <w:r>
        <w:rPr>
          <w:rFonts w:hint="eastAsia" w:ascii="宋体" w:hAnsi="宋体"/>
          <w:sz w:val="24"/>
        </w:rPr>
        <w:t>依据国家标准，从技术上的安全物理环境、安全通信网络、安全区域边界、安全计算环境、安全管理中心五个层面和管理上的安全管理制度、安全管理机构、安全管理人员、安全建设管理和安全运维管理等五个方面分别描述测评实施的主要内容，出具《网络安全等保测评报告》。</w:t>
      </w:r>
    </w:p>
    <w:p>
      <w:pPr>
        <w:keepNext/>
        <w:keepLines/>
        <w:spacing w:line="360" w:lineRule="auto"/>
        <w:ind w:firstLine="482" w:firstLineChars="200"/>
        <w:outlineLvl w:val="2"/>
        <w:rPr>
          <w:b/>
          <w:bCs/>
          <w:sz w:val="24"/>
        </w:rPr>
      </w:pPr>
      <w:r>
        <w:rPr>
          <w:b/>
          <w:bCs/>
          <w:sz w:val="24"/>
        </w:rPr>
        <w:t>3.1.2服务范围</w:t>
      </w:r>
    </w:p>
    <w:tbl>
      <w:tblPr>
        <w:tblStyle w:val="36"/>
        <w:tblW w:w="830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89"/>
        <w:gridCol w:w="1081"/>
        <w:gridCol w:w="1648"/>
        <w:gridCol w:w="688"/>
        <w:gridCol w:w="688"/>
        <w:gridCol w:w="371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0" w:hRule="atLeast"/>
        </w:trPr>
        <w:tc>
          <w:tcPr>
            <w:tcW w:w="489"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b/>
                <w:bCs/>
                <w:sz w:val="22"/>
                <w:szCs w:val="22"/>
              </w:rPr>
            </w:pPr>
            <w:r>
              <w:rPr>
                <w:b/>
                <w:bCs/>
                <w:sz w:val="22"/>
                <w:szCs w:val="22"/>
              </w:rPr>
              <w:t>序号</w:t>
            </w:r>
          </w:p>
        </w:tc>
        <w:tc>
          <w:tcPr>
            <w:tcW w:w="1081"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b/>
                <w:bCs/>
                <w:sz w:val="22"/>
                <w:szCs w:val="22"/>
              </w:rPr>
            </w:pPr>
            <w:r>
              <w:rPr>
                <w:b/>
                <w:bCs/>
                <w:sz w:val="22"/>
                <w:szCs w:val="22"/>
              </w:rPr>
              <w:t>标包</w:t>
            </w:r>
          </w:p>
        </w:tc>
        <w:tc>
          <w:tcPr>
            <w:tcW w:w="1648"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rFonts w:hint="default" w:eastAsia="宋体"/>
                <w:b/>
                <w:sz w:val="22"/>
                <w:szCs w:val="22"/>
                <w:lang w:val="en-US" w:eastAsia="zh-CN"/>
              </w:rPr>
            </w:pPr>
            <w:r>
              <w:rPr>
                <w:rFonts w:hint="eastAsia"/>
                <w:b/>
                <w:sz w:val="22"/>
                <w:szCs w:val="22"/>
                <w:lang w:val="en-US" w:eastAsia="zh-CN"/>
              </w:rPr>
              <w:t>服务名称</w:t>
            </w:r>
          </w:p>
        </w:tc>
        <w:tc>
          <w:tcPr>
            <w:tcW w:w="688"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rFonts w:hint="default" w:eastAsia="宋体"/>
                <w:b/>
                <w:sz w:val="22"/>
                <w:szCs w:val="22"/>
                <w:lang w:val="en-US" w:eastAsia="zh-CN"/>
              </w:rPr>
            </w:pPr>
            <w:r>
              <w:rPr>
                <w:rFonts w:hint="eastAsia"/>
                <w:b/>
                <w:sz w:val="22"/>
                <w:szCs w:val="22"/>
                <w:lang w:val="en-US" w:eastAsia="zh-CN"/>
              </w:rPr>
              <w:t>等级</w:t>
            </w:r>
          </w:p>
        </w:tc>
        <w:tc>
          <w:tcPr>
            <w:tcW w:w="688"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rFonts w:hint="eastAsia" w:eastAsia="宋体"/>
                <w:b/>
                <w:sz w:val="22"/>
                <w:szCs w:val="22"/>
                <w:lang w:val="en-US" w:eastAsia="zh-CN"/>
              </w:rPr>
            </w:pPr>
            <w:r>
              <w:rPr>
                <w:rFonts w:hint="eastAsia"/>
                <w:b/>
                <w:sz w:val="22"/>
                <w:szCs w:val="22"/>
                <w:lang w:val="en-US" w:eastAsia="zh-CN"/>
              </w:rPr>
              <w:t>数量</w:t>
            </w:r>
          </w:p>
        </w:tc>
        <w:tc>
          <w:tcPr>
            <w:tcW w:w="3712" w:type="dxa"/>
            <w:tcBorders>
              <w:tl2br w:val="nil"/>
              <w:tr2bl w:val="nil"/>
            </w:tcBorders>
            <w:shd w:val="clear" w:color="auto" w:fill="FFFFFF"/>
            <w:vAlign w:val="center"/>
          </w:tcPr>
          <w:p>
            <w:pPr>
              <w:keepNext w:val="0"/>
              <w:keepLines w:val="0"/>
              <w:pageBreakBefore w:val="0"/>
              <w:widowControl w:val="0"/>
              <w:wordWrap/>
              <w:topLinePunct w:val="0"/>
              <w:bidi w:val="0"/>
              <w:spacing w:line="360" w:lineRule="auto"/>
              <w:ind w:firstLine="0" w:firstLineChars="0"/>
              <w:jc w:val="center"/>
              <w:textAlignment w:val="auto"/>
              <w:rPr>
                <w:rFonts w:hint="default" w:eastAsia="宋体"/>
                <w:b/>
                <w:sz w:val="22"/>
                <w:szCs w:val="22"/>
                <w:lang w:val="en-US" w:eastAsia="zh-CN"/>
              </w:rPr>
            </w:pPr>
            <w:r>
              <w:rPr>
                <w:rFonts w:hint="eastAsia"/>
                <w:b/>
                <w:sz w:val="22"/>
                <w:szCs w:val="22"/>
                <w:lang w:val="en-US" w:eastAsia="zh-CN"/>
              </w:rPr>
              <w:t>服务内容说明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1" w:hRule="atLeast"/>
        </w:trPr>
        <w:tc>
          <w:tcPr>
            <w:tcW w:w="489"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jc w:val="center"/>
              <w:textAlignment w:val="auto"/>
              <w:rPr>
                <w:b/>
                <w:bCs/>
                <w:sz w:val="22"/>
                <w:szCs w:val="22"/>
              </w:rPr>
            </w:pPr>
            <w:r>
              <w:rPr>
                <w:sz w:val="22"/>
                <w:szCs w:val="22"/>
              </w:rPr>
              <w:t>1</w:t>
            </w:r>
          </w:p>
        </w:tc>
        <w:tc>
          <w:tcPr>
            <w:tcW w:w="1081"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jc w:val="center"/>
              <w:textAlignment w:val="auto"/>
              <w:rPr>
                <w:b/>
                <w:bCs/>
                <w:sz w:val="22"/>
                <w:szCs w:val="22"/>
              </w:rPr>
            </w:pPr>
            <w:r>
              <w:rPr>
                <w:sz w:val="22"/>
                <w:szCs w:val="22"/>
              </w:rPr>
              <w:t>包1：</w:t>
            </w:r>
            <w:r>
              <w:rPr>
                <w:rFonts w:hint="eastAsia"/>
                <w:sz w:val="22"/>
                <w:szCs w:val="22"/>
              </w:rPr>
              <w:t>南方电网传感科技(广东)有限公司网络安全等级保护测评服务项目</w:t>
            </w:r>
          </w:p>
        </w:tc>
        <w:tc>
          <w:tcPr>
            <w:tcW w:w="1648"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textAlignment w:val="auto"/>
              <w:rPr>
                <w:rFonts w:hint="default" w:eastAsia="宋体"/>
                <w:b/>
                <w:sz w:val="22"/>
                <w:szCs w:val="22"/>
                <w:lang w:val="en-US" w:eastAsia="zh-CN"/>
              </w:rPr>
            </w:pPr>
            <w:r>
              <w:rPr>
                <w:rFonts w:hint="eastAsia"/>
                <w:sz w:val="22"/>
                <w:szCs w:val="22"/>
                <w:lang w:val="en-US" w:eastAsia="zh-CN"/>
              </w:rPr>
              <w:t>未定名称内部信息系统（初测）</w:t>
            </w:r>
          </w:p>
        </w:tc>
        <w:tc>
          <w:tcPr>
            <w:tcW w:w="688"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jc w:val="center"/>
              <w:textAlignment w:val="auto"/>
              <w:rPr>
                <w:rFonts w:hint="eastAsia" w:eastAsia="宋体"/>
                <w:sz w:val="22"/>
                <w:szCs w:val="22"/>
                <w:lang w:val="en-US" w:eastAsia="zh-CN"/>
              </w:rPr>
            </w:pPr>
            <w:r>
              <w:rPr>
                <w:rFonts w:hint="eastAsia"/>
                <w:sz w:val="22"/>
                <w:szCs w:val="22"/>
                <w:lang w:val="en-US" w:eastAsia="zh-CN"/>
              </w:rPr>
              <w:t>二级</w:t>
            </w:r>
          </w:p>
        </w:tc>
        <w:tc>
          <w:tcPr>
            <w:tcW w:w="688"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jc w:val="center"/>
              <w:textAlignment w:val="auto"/>
              <w:rPr>
                <w:rFonts w:hint="eastAsia" w:eastAsia="宋体"/>
                <w:sz w:val="22"/>
                <w:szCs w:val="22"/>
                <w:lang w:val="en-US" w:eastAsia="zh-CN"/>
              </w:rPr>
            </w:pPr>
            <w:r>
              <w:rPr>
                <w:rFonts w:hint="eastAsia"/>
                <w:sz w:val="22"/>
                <w:szCs w:val="22"/>
                <w:lang w:val="en-US" w:eastAsia="zh-CN"/>
              </w:rPr>
              <w:t>1</w:t>
            </w:r>
          </w:p>
        </w:tc>
        <w:tc>
          <w:tcPr>
            <w:tcW w:w="3712" w:type="dxa"/>
            <w:tcBorders>
              <w:tl2br w:val="nil"/>
              <w:tr2bl w:val="nil"/>
            </w:tcBorders>
            <w:shd w:val="clear" w:color="auto" w:fill="FFFFFF"/>
            <w:vAlign w:val="center"/>
          </w:tcPr>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0" w:firstLineChars="0"/>
              <w:textAlignment w:val="auto"/>
              <w:rPr>
                <w:rFonts w:hint="eastAsia"/>
                <w:sz w:val="22"/>
                <w:szCs w:val="22"/>
              </w:rPr>
            </w:pPr>
            <w:r>
              <w:rPr>
                <w:rFonts w:hint="eastAsia"/>
                <w:sz w:val="22"/>
                <w:szCs w:val="22"/>
              </w:rPr>
              <w:t xml:space="preserve">针对采购人待定名、待完善备案资料、待确认系统边界的内部信息系统开展网络安全等级保护初评初测服务，包含系统调研、资产梳理、边界确认、安全现状测评、差距分析、风险排查、初测问题汇总、安全整改建议、定级辅助指导、初测报告输出，配合采购人完成系统定名、定级、备案前期合规工作。 </w:t>
            </w:r>
          </w:p>
        </w:tc>
      </w:tr>
    </w:tbl>
    <w:p>
      <w:pPr>
        <w:bidi w:val="0"/>
      </w:pPr>
      <w:bookmarkStart w:id="11" w:name="_Toc24281"/>
      <w:bookmarkStart w:id="12" w:name="_Toc29999"/>
      <w:bookmarkStart w:id="13" w:name="_Toc96969049"/>
      <w:bookmarkStart w:id="14" w:name="_Toc12108"/>
      <w:bookmarkStart w:id="15" w:name="_Toc19981"/>
      <w:bookmarkStart w:id="16" w:name="_Toc450578848"/>
    </w:p>
    <w:p>
      <w:pPr>
        <w:keepNext/>
        <w:keepLines/>
        <w:spacing w:line="360" w:lineRule="auto"/>
        <w:ind w:firstLine="482" w:firstLineChars="200"/>
        <w:outlineLvl w:val="2"/>
        <w:rPr>
          <w:rFonts w:hint="default" w:eastAsia="宋体"/>
          <w:b/>
          <w:bCs/>
          <w:sz w:val="24"/>
          <w:lang w:val="en-US" w:eastAsia="zh-CN"/>
        </w:rPr>
      </w:pPr>
      <w:r>
        <w:rPr>
          <w:b/>
          <w:bCs/>
          <w:sz w:val="24"/>
        </w:rPr>
        <w:t>3.1.3服务</w:t>
      </w:r>
      <w:bookmarkEnd w:id="11"/>
      <w:bookmarkEnd w:id="12"/>
      <w:bookmarkEnd w:id="13"/>
      <w:bookmarkEnd w:id="14"/>
      <w:bookmarkEnd w:id="15"/>
      <w:bookmarkEnd w:id="16"/>
      <w:r>
        <w:rPr>
          <w:rFonts w:hint="eastAsia"/>
          <w:b/>
          <w:bCs/>
          <w:sz w:val="24"/>
          <w:lang w:val="en-US" w:eastAsia="zh-CN"/>
        </w:rPr>
        <w:t>技术规范</w:t>
      </w:r>
    </w:p>
    <w:p>
      <w:pPr>
        <w:numPr>
          <w:ilvl w:val="0"/>
          <w:numId w:val="8"/>
        </w:numPr>
        <w:tabs>
          <w:tab w:val="left" w:pos="0"/>
        </w:tabs>
        <w:overflowPunct w:val="0"/>
        <w:topLinePunct/>
        <w:snapToGrid w:val="0"/>
        <w:spacing w:line="360" w:lineRule="auto"/>
        <w:ind w:left="0" w:leftChars="0" w:firstLine="0" w:firstLineChars="0"/>
        <w:outlineLvl w:val="3"/>
        <w:rPr>
          <w:rFonts w:hint="eastAsia" w:ascii="宋体" w:hAnsi="宋体" w:eastAsia="宋体" w:cs="宋体"/>
          <w:sz w:val="24"/>
          <w:szCs w:val="24"/>
          <w:lang w:val="en-US" w:eastAsia="zh-CN"/>
        </w:rPr>
      </w:pPr>
      <w:bookmarkStart w:id="17" w:name="_Toc6467"/>
      <w:bookmarkStart w:id="18" w:name="_Toc311015402"/>
      <w:bookmarkStart w:id="19" w:name="_Toc13261"/>
      <w:r>
        <w:rPr>
          <w:rFonts w:hint="eastAsia" w:ascii="宋体" w:hAnsi="宋体" w:eastAsia="宋体" w:cs="宋体"/>
          <w:sz w:val="24"/>
          <w:szCs w:val="24"/>
          <w:lang w:val="en-US" w:eastAsia="zh-CN"/>
        </w:rPr>
        <w:t>测评原则</w:t>
      </w:r>
      <w:bookmarkEnd w:id="17"/>
      <w:bookmarkEnd w:id="18"/>
    </w:p>
    <w:p>
      <w:pPr>
        <w:overflowPunct w:val="0"/>
        <w:topLinePunct/>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等级保护测评实施方案设计与具体实施应满足以下原则：</w:t>
      </w:r>
    </w:p>
    <w:p>
      <w:pPr>
        <w:numPr>
          <w:ilvl w:val="0"/>
          <w:numId w:val="9"/>
        </w:numPr>
        <w:tabs>
          <w:tab w:val="left" w:pos="0"/>
        </w:tabs>
        <w:overflowPunct w:val="0"/>
        <w:topLinePunct/>
        <w:snapToGrid w:val="0"/>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保密性原则：</w:t>
      </w:r>
      <w:r>
        <w:rPr>
          <w:rFonts w:hint="eastAsia" w:ascii="宋体" w:hAnsi="宋体" w:eastAsia="宋体" w:cs="宋体"/>
          <w:sz w:val="24"/>
          <w:szCs w:val="24"/>
          <w:lang w:eastAsia="zh-CN"/>
        </w:rPr>
        <w:t>投标方</w:t>
      </w:r>
      <w:r>
        <w:rPr>
          <w:rFonts w:hint="eastAsia" w:ascii="宋体" w:hAnsi="宋体" w:eastAsia="宋体" w:cs="宋体"/>
          <w:sz w:val="24"/>
          <w:szCs w:val="24"/>
        </w:rPr>
        <w:t>应与</w:t>
      </w:r>
      <w:r>
        <w:rPr>
          <w:rFonts w:hint="eastAsia" w:ascii="宋体" w:hAnsi="宋体" w:eastAsia="宋体" w:cs="宋体"/>
          <w:sz w:val="24"/>
          <w:szCs w:val="24"/>
          <w:lang w:eastAsia="zh-CN"/>
        </w:rPr>
        <w:t>招标方</w:t>
      </w:r>
      <w:r>
        <w:rPr>
          <w:rFonts w:hint="eastAsia" w:ascii="宋体" w:hAnsi="宋体" w:eastAsia="宋体" w:cs="宋体"/>
          <w:sz w:val="24"/>
          <w:szCs w:val="24"/>
        </w:rPr>
        <w:t>签订等级保护测评保密协议，对测评的过程数据和结果数据严格保密，未经授权不得泄露给任何单位和个人，不得利用此数据侵害</w:t>
      </w:r>
      <w:r>
        <w:rPr>
          <w:rFonts w:hint="eastAsia" w:ascii="宋体" w:hAnsi="宋体" w:eastAsia="宋体" w:cs="宋体"/>
          <w:sz w:val="24"/>
          <w:szCs w:val="24"/>
          <w:lang w:eastAsia="zh-CN"/>
        </w:rPr>
        <w:t>招标方</w:t>
      </w:r>
      <w:r>
        <w:rPr>
          <w:rFonts w:hint="eastAsia" w:ascii="宋体" w:hAnsi="宋体" w:eastAsia="宋体" w:cs="宋体"/>
          <w:sz w:val="24"/>
          <w:szCs w:val="24"/>
        </w:rPr>
        <w:t>的权益，否则</w:t>
      </w:r>
      <w:r>
        <w:rPr>
          <w:rFonts w:hint="eastAsia" w:ascii="宋体" w:hAnsi="宋体" w:eastAsia="宋体" w:cs="宋体"/>
          <w:sz w:val="24"/>
          <w:szCs w:val="24"/>
          <w:lang w:eastAsia="zh-CN"/>
        </w:rPr>
        <w:t>招标方</w:t>
      </w:r>
      <w:r>
        <w:rPr>
          <w:rFonts w:hint="eastAsia" w:ascii="宋体" w:hAnsi="宋体" w:eastAsia="宋体" w:cs="宋体"/>
          <w:sz w:val="24"/>
          <w:szCs w:val="24"/>
        </w:rPr>
        <w:t>有权追究</w:t>
      </w:r>
      <w:r>
        <w:rPr>
          <w:rFonts w:hint="eastAsia" w:ascii="宋体" w:hAnsi="宋体" w:eastAsia="宋体" w:cs="宋体"/>
          <w:sz w:val="24"/>
          <w:szCs w:val="24"/>
          <w:lang w:eastAsia="zh-CN"/>
        </w:rPr>
        <w:t>投标方</w:t>
      </w:r>
      <w:r>
        <w:rPr>
          <w:rFonts w:hint="eastAsia" w:ascii="宋体" w:hAnsi="宋体" w:eastAsia="宋体" w:cs="宋体"/>
          <w:sz w:val="24"/>
          <w:szCs w:val="24"/>
        </w:rPr>
        <w:t>的责任。</w:t>
      </w:r>
    </w:p>
    <w:p>
      <w:pPr>
        <w:numPr>
          <w:ilvl w:val="0"/>
          <w:numId w:val="9"/>
        </w:numPr>
        <w:tabs>
          <w:tab w:val="left" w:pos="0"/>
        </w:tabs>
        <w:overflowPunct w:val="0"/>
        <w:topLinePunct/>
        <w:snapToGrid w:val="0"/>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标准性原则：测评方案的设计与实施应依据国家等级保护的相关标准进行。</w:t>
      </w:r>
    </w:p>
    <w:p>
      <w:pPr>
        <w:numPr>
          <w:ilvl w:val="0"/>
          <w:numId w:val="9"/>
        </w:numPr>
        <w:tabs>
          <w:tab w:val="left" w:pos="0"/>
        </w:tabs>
        <w:overflowPunct w:val="0"/>
        <w:topLinePunct/>
        <w:snapToGrid w:val="0"/>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规范性原则：</w:t>
      </w:r>
      <w:r>
        <w:rPr>
          <w:rFonts w:hint="eastAsia" w:ascii="宋体" w:hAnsi="宋体" w:eastAsia="宋体" w:cs="宋体"/>
          <w:sz w:val="24"/>
          <w:szCs w:val="24"/>
          <w:lang w:eastAsia="zh-CN"/>
        </w:rPr>
        <w:t>投标方</w:t>
      </w:r>
      <w:r>
        <w:rPr>
          <w:rFonts w:hint="eastAsia" w:ascii="宋体" w:hAnsi="宋体" w:eastAsia="宋体" w:cs="宋体"/>
          <w:sz w:val="24"/>
          <w:szCs w:val="24"/>
        </w:rPr>
        <w:t>工作中的过程和文档，应具有规范性，便于项目跟踪和控制。</w:t>
      </w:r>
    </w:p>
    <w:p>
      <w:pPr>
        <w:numPr>
          <w:ilvl w:val="0"/>
          <w:numId w:val="9"/>
        </w:numPr>
        <w:tabs>
          <w:tab w:val="left" w:pos="0"/>
        </w:tabs>
        <w:overflowPunct w:val="0"/>
        <w:topLinePunct/>
        <w:snapToGrid w:val="0"/>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可控性原则：测评服务的进度应符合进度安排，保证</w:t>
      </w:r>
      <w:r>
        <w:rPr>
          <w:rFonts w:hint="eastAsia" w:ascii="宋体" w:hAnsi="宋体" w:eastAsia="宋体" w:cs="宋体"/>
          <w:sz w:val="24"/>
          <w:szCs w:val="24"/>
          <w:lang w:eastAsia="zh-CN"/>
        </w:rPr>
        <w:t>招标方</w:t>
      </w:r>
      <w:r>
        <w:rPr>
          <w:rFonts w:hint="eastAsia" w:ascii="宋体" w:hAnsi="宋体" w:eastAsia="宋体" w:cs="宋体"/>
          <w:sz w:val="24"/>
          <w:szCs w:val="24"/>
        </w:rPr>
        <w:t>对测评工作的可控性。</w:t>
      </w:r>
    </w:p>
    <w:p>
      <w:pPr>
        <w:numPr>
          <w:ilvl w:val="0"/>
          <w:numId w:val="9"/>
        </w:numPr>
        <w:tabs>
          <w:tab w:val="left" w:pos="0"/>
        </w:tabs>
        <w:overflowPunct w:val="0"/>
        <w:topLinePunct/>
        <w:snapToGrid w:val="0"/>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整体性原则：测评的范围和内容应系统、全面、规范，满足国家等级保护相关基本要求。</w:t>
      </w:r>
    </w:p>
    <w:p>
      <w:pPr>
        <w:numPr>
          <w:ilvl w:val="0"/>
          <w:numId w:val="9"/>
        </w:numPr>
        <w:tabs>
          <w:tab w:val="left" w:pos="0"/>
        </w:tabs>
        <w:overflowPunct w:val="0"/>
        <w:topLinePunct/>
        <w:snapToGrid w:val="0"/>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最小影响原则：技术测评工作应尽可能小的影响在线系统和网络的正常运行，不能对现有运行系统造成影响。在线测评应在采购方许可的条件下进行。</w:t>
      </w:r>
      <w:bookmarkStart w:id="20" w:name="_Toc288574636"/>
      <w:bookmarkStart w:id="21" w:name="_Toc288570238"/>
      <w:bookmarkStart w:id="22" w:name="_Toc288552021"/>
    </w:p>
    <w:bookmarkEnd w:id="20"/>
    <w:bookmarkEnd w:id="21"/>
    <w:bookmarkEnd w:id="22"/>
    <w:p>
      <w:pPr>
        <w:numPr>
          <w:ilvl w:val="0"/>
          <w:numId w:val="8"/>
        </w:numPr>
        <w:tabs>
          <w:tab w:val="left" w:pos="0"/>
        </w:tabs>
        <w:overflowPunct w:val="0"/>
        <w:topLinePunct/>
        <w:snapToGrid w:val="0"/>
        <w:spacing w:line="360" w:lineRule="auto"/>
        <w:ind w:left="0" w:leftChars="0" w:firstLine="0" w:firstLineChars="0"/>
        <w:jc w:val="left"/>
        <w:outlineLvl w:val="3"/>
        <w:rPr>
          <w:rFonts w:hint="eastAsia" w:ascii="宋体" w:hAnsi="宋体" w:eastAsia="宋体" w:cs="宋体"/>
          <w:sz w:val="24"/>
          <w:szCs w:val="24"/>
          <w:lang w:val="en-US" w:eastAsia="zh-CN"/>
        </w:rPr>
      </w:pPr>
      <w:bookmarkStart w:id="23" w:name="_Toc311015403"/>
      <w:bookmarkStart w:id="24" w:name="_Toc32292"/>
      <w:r>
        <w:rPr>
          <w:rFonts w:hint="eastAsia" w:ascii="宋体" w:hAnsi="宋体" w:eastAsia="宋体" w:cs="宋体"/>
          <w:sz w:val="24"/>
          <w:szCs w:val="24"/>
          <w:lang w:val="en-US" w:eastAsia="zh-CN"/>
        </w:rPr>
        <w:t>实施要求</w:t>
      </w:r>
      <w:bookmarkEnd w:id="23"/>
      <w:bookmarkEnd w:id="24"/>
    </w:p>
    <w:p>
      <w:pPr>
        <w:overflowPunct w:val="0"/>
        <w:topLinePunct/>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投标方</w:t>
      </w:r>
      <w:r>
        <w:rPr>
          <w:rFonts w:hint="eastAsia" w:ascii="宋体" w:hAnsi="宋体" w:eastAsia="宋体" w:cs="宋体"/>
          <w:sz w:val="24"/>
          <w:szCs w:val="24"/>
        </w:rPr>
        <w:t>应详细描述等级保护测评及</w:t>
      </w:r>
      <w:r>
        <w:rPr>
          <w:rFonts w:hint="eastAsia" w:ascii="宋体" w:hAnsi="宋体" w:eastAsia="宋体" w:cs="宋体"/>
          <w:sz w:val="24"/>
          <w:szCs w:val="24"/>
          <w:lang w:val="en-US" w:eastAsia="zh-CN"/>
        </w:rPr>
        <w:t>被测</w:t>
      </w:r>
      <w:r>
        <w:rPr>
          <w:rFonts w:hint="eastAsia" w:ascii="宋体" w:hAnsi="宋体" w:eastAsia="宋体" w:cs="宋体"/>
          <w:sz w:val="24"/>
          <w:szCs w:val="24"/>
        </w:rPr>
        <w:t>系统安全防护评估的整体实施方案，包括项目概述、等保测评方案、安全防护评估方案、项目实施方案、时间安排、阶段性文档提交和验收标准等。</w:t>
      </w:r>
      <w:r>
        <w:rPr>
          <w:rFonts w:hint="eastAsia" w:ascii="宋体" w:hAnsi="宋体" w:eastAsia="宋体" w:cs="宋体"/>
          <w:sz w:val="24"/>
          <w:szCs w:val="24"/>
          <w:lang w:eastAsia="zh-CN"/>
        </w:rPr>
        <w:t>投标方</w:t>
      </w:r>
      <w:r>
        <w:rPr>
          <w:rFonts w:hint="eastAsia" w:ascii="宋体" w:hAnsi="宋体" w:eastAsia="宋体" w:cs="宋体"/>
          <w:sz w:val="24"/>
          <w:szCs w:val="24"/>
        </w:rPr>
        <w:t>应详细描述测评人员的组成、资质及各自职责的划分。</w:t>
      </w:r>
      <w:r>
        <w:rPr>
          <w:rFonts w:hint="eastAsia" w:ascii="宋体" w:hAnsi="宋体" w:eastAsia="宋体" w:cs="宋体"/>
          <w:sz w:val="24"/>
          <w:szCs w:val="24"/>
          <w:lang w:eastAsia="zh-CN"/>
        </w:rPr>
        <w:t>投标方</w:t>
      </w:r>
      <w:r>
        <w:rPr>
          <w:rFonts w:hint="eastAsia" w:ascii="宋体" w:hAnsi="宋体" w:eastAsia="宋体" w:cs="宋体"/>
          <w:sz w:val="24"/>
          <w:szCs w:val="24"/>
        </w:rPr>
        <w:t>应配置经验丰富的测评人员进行等级保护测评工作。</w:t>
      </w:r>
    </w:p>
    <w:p>
      <w:pPr>
        <w:numPr>
          <w:ilvl w:val="0"/>
          <w:numId w:val="8"/>
        </w:numPr>
        <w:tabs>
          <w:tab w:val="left" w:pos="0"/>
        </w:tabs>
        <w:overflowPunct w:val="0"/>
        <w:topLinePunct/>
        <w:snapToGrid w:val="0"/>
        <w:spacing w:line="360" w:lineRule="auto"/>
        <w:ind w:left="0" w:leftChars="0" w:firstLine="0" w:firstLineChars="0"/>
        <w:outlineLvl w:val="3"/>
        <w:rPr>
          <w:rFonts w:hint="eastAsia" w:ascii="宋体" w:hAnsi="宋体" w:eastAsia="宋体" w:cs="宋体"/>
          <w:sz w:val="24"/>
          <w:szCs w:val="24"/>
          <w:lang w:val="en-US" w:eastAsia="zh-CN"/>
        </w:rPr>
      </w:pPr>
      <w:r>
        <w:rPr>
          <w:rFonts w:hint="eastAsia" w:ascii="宋体" w:hAnsi="宋体" w:eastAsia="宋体" w:cs="宋体"/>
          <w:b w:val="0"/>
          <w:bCs w:val="0"/>
          <w:sz w:val="24"/>
          <w:szCs w:val="24"/>
        </w:rPr>
        <w:t>测评方法</w:t>
      </w:r>
    </w:p>
    <w:p>
      <w:pPr>
        <w:pStyle w:val="218"/>
        <w:overflowPunct w:val="0"/>
        <w:topLinePunct/>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测评方法包括访谈、检查和测试三种方法，可细化为文档审查、配置检查、工具测试和实地察看等多种方法。</w:t>
      </w:r>
    </w:p>
    <w:p>
      <w:pPr>
        <w:overflowPunct w:val="0"/>
        <w:topLinePunct/>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如需在等级保护测评及</w:t>
      </w:r>
      <w:r>
        <w:rPr>
          <w:rFonts w:hint="eastAsia" w:ascii="宋体" w:hAnsi="宋体" w:eastAsia="宋体" w:cs="宋体"/>
          <w:sz w:val="24"/>
          <w:szCs w:val="24"/>
          <w:lang w:val="en-US" w:eastAsia="zh-CN"/>
        </w:rPr>
        <w:t>被测</w:t>
      </w:r>
      <w:r>
        <w:rPr>
          <w:rFonts w:hint="eastAsia" w:ascii="宋体" w:hAnsi="宋体" w:eastAsia="宋体" w:cs="宋体"/>
          <w:sz w:val="24"/>
          <w:szCs w:val="24"/>
        </w:rPr>
        <w:t>系统安全防护评估实施过程中采用在线测评工具的，各种工具软件由</w:t>
      </w:r>
      <w:r>
        <w:rPr>
          <w:rFonts w:hint="eastAsia" w:ascii="宋体" w:hAnsi="宋体" w:eastAsia="宋体" w:cs="宋体"/>
          <w:sz w:val="24"/>
          <w:szCs w:val="24"/>
          <w:lang w:eastAsia="zh-CN"/>
        </w:rPr>
        <w:t>投标方</w:t>
      </w:r>
      <w:r>
        <w:rPr>
          <w:rFonts w:hint="eastAsia" w:ascii="宋体" w:hAnsi="宋体" w:eastAsia="宋体" w:cs="宋体"/>
          <w:sz w:val="24"/>
          <w:szCs w:val="24"/>
        </w:rPr>
        <w:t>推荐，经</w:t>
      </w:r>
      <w:r>
        <w:rPr>
          <w:rFonts w:hint="eastAsia" w:ascii="宋体" w:hAnsi="宋体" w:eastAsia="宋体" w:cs="宋体"/>
          <w:sz w:val="24"/>
          <w:szCs w:val="24"/>
          <w:lang w:eastAsia="zh-CN"/>
        </w:rPr>
        <w:t>招标方</w:t>
      </w:r>
      <w:r>
        <w:rPr>
          <w:rFonts w:hint="eastAsia" w:ascii="宋体" w:hAnsi="宋体" w:eastAsia="宋体" w:cs="宋体"/>
          <w:sz w:val="24"/>
          <w:szCs w:val="24"/>
        </w:rPr>
        <w:t>确认后由</w:t>
      </w:r>
      <w:r>
        <w:rPr>
          <w:rFonts w:hint="eastAsia" w:ascii="宋体" w:hAnsi="宋体" w:eastAsia="宋体" w:cs="宋体"/>
          <w:sz w:val="24"/>
          <w:szCs w:val="24"/>
          <w:lang w:eastAsia="zh-CN"/>
        </w:rPr>
        <w:t>投标方</w:t>
      </w:r>
      <w:r>
        <w:rPr>
          <w:rFonts w:hint="eastAsia" w:ascii="宋体" w:hAnsi="宋体" w:eastAsia="宋体" w:cs="宋体"/>
          <w:sz w:val="24"/>
          <w:szCs w:val="24"/>
        </w:rPr>
        <w:t>提供并在测评中使用。应详细描述所使用的安全测评工具（软硬件型号、功能和性能描述）、使用的方式和时间、对环境和平台的要求以及使用可能对系统造成的风险等。等级保护测评应有详细的实施方案和严格的操作步骤，采取的措施应是经过测试、稳定可靠的。</w:t>
      </w:r>
    </w:p>
    <w:p>
      <w:pPr>
        <w:overflowPunct w:val="0"/>
        <w:topLinePunct/>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安全测评工具软件运行可能需要的硬件平台（如笔记本电脑、PC、工作站等）和操作系统软件等由</w:t>
      </w:r>
      <w:r>
        <w:rPr>
          <w:rFonts w:hint="eastAsia" w:ascii="宋体" w:hAnsi="宋体" w:eastAsia="宋体" w:cs="宋体"/>
          <w:sz w:val="24"/>
          <w:szCs w:val="24"/>
          <w:lang w:eastAsia="zh-CN"/>
        </w:rPr>
        <w:t>投标方</w:t>
      </w:r>
      <w:r>
        <w:rPr>
          <w:rFonts w:hint="eastAsia" w:ascii="宋体" w:hAnsi="宋体" w:eastAsia="宋体" w:cs="宋体"/>
          <w:sz w:val="24"/>
          <w:szCs w:val="24"/>
        </w:rPr>
        <w:t>推荐，经确认后由</w:t>
      </w:r>
      <w:r>
        <w:rPr>
          <w:rFonts w:hint="eastAsia" w:ascii="宋体" w:hAnsi="宋体" w:eastAsia="宋体" w:cs="宋体"/>
          <w:sz w:val="24"/>
          <w:szCs w:val="24"/>
          <w:lang w:eastAsia="zh-CN"/>
        </w:rPr>
        <w:t>投标方</w:t>
      </w:r>
      <w:r>
        <w:rPr>
          <w:rFonts w:hint="eastAsia" w:ascii="宋体" w:hAnsi="宋体" w:eastAsia="宋体" w:cs="宋体"/>
          <w:sz w:val="24"/>
          <w:szCs w:val="24"/>
        </w:rPr>
        <w:t>提供并在测评中使用。安全测评需要的运行环境（如场地、网络环境等）由</w:t>
      </w:r>
      <w:r>
        <w:rPr>
          <w:rFonts w:hint="eastAsia" w:ascii="宋体" w:hAnsi="宋体" w:eastAsia="宋体" w:cs="宋体"/>
          <w:sz w:val="24"/>
          <w:szCs w:val="24"/>
          <w:lang w:eastAsia="zh-CN"/>
        </w:rPr>
        <w:t>招标方</w:t>
      </w:r>
      <w:r>
        <w:rPr>
          <w:rFonts w:hint="eastAsia" w:ascii="宋体" w:hAnsi="宋体" w:eastAsia="宋体" w:cs="宋体"/>
          <w:sz w:val="24"/>
          <w:szCs w:val="24"/>
        </w:rPr>
        <w:t>提供，</w:t>
      </w:r>
      <w:r>
        <w:rPr>
          <w:rFonts w:hint="eastAsia" w:ascii="宋体" w:hAnsi="宋体" w:eastAsia="宋体" w:cs="宋体"/>
          <w:sz w:val="24"/>
          <w:szCs w:val="24"/>
          <w:lang w:eastAsia="zh-CN"/>
        </w:rPr>
        <w:t>投标方</w:t>
      </w:r>
      <w:r>
        <w:rPr>
          <w:rFonts w:hint="eastAsia" w:ascii="宋体" w:hAnsi="宋体" w:eastAsia="宋体" w:cs="宋体"/>
          <w:sz w:val="24"/>
          <w:szCs w:val="24"/>
        </w:rPr>
        <w:t>应详细描述需要的运行环境的具体要求。</w:t>
      </w:r>
    </w:p>
    <w:p>
      <w:pPr>
        <w:keepNext/>
        <w:keepLines/>
        <w:pageBreakBefore/>
        <w:pBdr>
          <w:bottom w:val="inset" w:color="C0C0C0" w:sz="6" w:space="1"/>
        </w:pBdr>
        <w:tabs>
          <w:tab w:val="left" w:pos="284"/>
        </w:tabs>
        <w:spacing w:before="340" w:after="330" w:line="360" w:lineRule="auto"/>
        <w:ind w:left="-2" w:leftChars="-1" w:hanging="1"/>
        <w:outlineLvl w:val="0"/>
        <w:rPr>
          <w:rFonts w:hint="default" w:ascii="Times New Roman" w:hAnsi="Times New Roman" w:eastAsia="宋体" w:cs="Times New Roman"/>
          <w:b/>
          <w:bCs/>
          <w:kern w:val="44"/>
          <w:sz w:val="28"/>
          <w:szCs w:val="28"/>
          <w:lang w:val="en-US" w:eastAsia="zh-CN"/>
        </w:rPr>
      </w:pPr>
      <w:r>
        <w:rPr>
          <w:rFonts w:hint="eastAsia" w:ascii="Times New Roman" w:hAnsi="Times New Roman" w:eastAsia="宋体" w:cs="Times New Roman"/>
          <w:b/>
          <w:bCs/>
          <w:kern w:val="44"/>
          <w:sz w:val="28"/>
          <w:szCs w:val="28"/>
        </w:rPr>
        <w:t>4</w:t>
      </w:r>
      <w:r>
        <w:rPr>
          <w:rFonts w:hint="eastAsia" w:ascii="Times New Roman" w:hAnsi="Times New Roman" w:eastAsia="宋体" w:cs="Times New Roman"/>
          <w:b/>
          <w:bCs/>
          <w:kern w:val="44"/>
          <w:sz w:val="28"/>
          <w:szCs w:val="28"/>
          <w:lang w:val="en-US" w:eastAsia="zh-CN"/>
        </w:rPr>
        <w:t>项目实施</w:t>
      </w:r>
    </w:p>
    <w:p>
      <w:pPr>
        <w:keepNext/>
        <w:keepLines/>
        <w:numPr>
          <w:ilvl w:val="1"/>
          <w:numId w:val="0"/>
        </w:numPr>
        <w:spacing w:before="260" w:after="260" w:line="360" w:lineRule="auto"/>
        <w:ind w:left="576" w:hanging="576"/>
        <w:outlineLvl w:val="1"/>
        <w:rPr>
          <w:rFonts w:hint="eastAsia" w:ascii="Times New Roman" w:hAnsi="Times New Roman" w:eastAsia="宋体" w:cs="Times New Roman"/>
          <w:b/>
          <w:bCs/>
          <w:kern w:val="44"/>
          <w:sz w:val="24"/>
        </w:rPr>
      </w:pPr>
      <w:bookmarkStart w:id="25" w:name="_Toc1999"/>
      <w:bookmarkStart w:id="26" w:name="_Toc11337"/>
      <w:bookmarkStart w:id="27" w:name="_Toc1789"/>
      <w:r>
        <w:rPr>
          <w:b/>
          <w:bCs/>
          <w:kern w:val="44"/>
          <w:sz w:val="24"/>
        </w:rPr>
        <w:t xml:space="preserve">4.1 </w:t>
      </w:r>
      <w:bookmarkEnd w:id="25"/>
      <w:r>
        <w:rPr>
          <w:rFonts w:hint="eastAsia" w:ascii="Times New Roman" w:hAnsi="Times New Roman" w:eastAsia="宋体" w:cs="Times New Roman"/>
          <w:b/>
          <w:bCs/>
          <w:kern w:val="44"/>
          <w:sz w:val="24"/>
        </w:rPr>
        <w:t>测评内容</w:t>
      </w:r>
      <w:r>
        <w:rPr>
          <w:rFonts w:hint="eastAsia" w:ascii="Times New Roman" w:hAnsi="Times New Roman" w:eastAsia="宋体" w:cs="Times New Roman"/>
          <w:b/>
          <w:bCs/>
          <w:kern w:val="44"/>
          <w:sz w:val="24"/>
          <w:lang w:val="en-US" w:eastAsia="zh-CN"/>
        </w:rPr>
        <w:t>实施</w:t>
      </w:r>
    </w:p>
    <w:p>
      <w:pPr>
        <w:bidi w:val="0"/>
        <w:rPr>
          <w:rFonts w:ascii="宋体" w:hAnsi="宋体"/>
          <w:sz w:val="24"/>
        </w:rPr>
      </w:pPr>
      <w:bookmarkStart w:id="28" w:name="_Toc275873225"/>
      <w:bookmarkStart w:id="29" w:name="_Toc275873328"/>
      <w:bookmarkStart w:id="30" w:name="_Toc299969788"/>
      <w:bookmarkStart w:id="31" w:name="_Toc14347"/>
      <w:r>
        <w:rPr>
          <w:rFonts w:hint="eastAsia" w:ascii="宋体" w:hAnsi="宋体" w:eastAsia="宋体" w:cs="Times New Roman"/>
          <w:b w:val="0"/>
          <w:bCs w:val="0"/>
          <w:kern w:val="2"/>
          <w:sz w:val="24"/>
          <w:szCs w:val="20"/>
          <w:lang w:val="en-US" w:eastAsia="zh-CN" w:bidi="ar-SA"/>
        </w:rPr>
        <w:t>4.1.1单元测评实施</w:t>
      </w:r>
      <w:bookmarkEnd w:id="28"/>
      <w:bookmarkEnd w:id="29"/>
      <w:bookmarkEnd w:id="30"/>
      <w:bookmarkEnd w:id="31"/>
      <w:r>
        <w:rPr>
          <w:rFonts w:hint="eastAsia" w:ascii="宋体" w:hAnsi="宋体" w:eastAsia="宋体" w:cs="Times New Roman"/>
          <w:b w:val="0"/>
          <w:bCs w:val="0"/>
          <w:kern w:val="2"/>
          <w:sz w:val="24"/>
          <w:szCs w:val="20"/>
          <w:lang w:val="en-US" w:eastAsia="zh-CN" w:bidi="ar-SA"/>
        </w:rPr>
        <w:t>：</w:t>
      </w:r>
      <w:r>
        <w:rPr>
          <w:rFonts w:hint="eastAsia" w:ascii="宋体" w:hAnsi="宋体"/>
          <w:b w:val="0"/>
          <w:bCs w:val="0"/>
          <w:sz w:val="24"/>
        </w:rPr>
        <w:t>把测评指标内容和测评方法结合到被测信息系统的具体测评对象上，就构成了一个个可以具体测评实施的工作单元。本章按层面，从技术上的安全物理环境、安全通信网络、安全区域边界、安全计算环境、安全管理中心等五个层面和管理上的安全管理制度、安全管理机构、安全管理人员、安全建设管理和安全运维管理等五个方面分别描述单元测评实施的主要内容。</w:t>
      </w:r>
    </w:p>
    <w:p>
      <w:pPr>
        <w:pStyle w:val="6"/>
        <w:numPr>
          <w:ilvl w:val="0"/>
          <w:numId w:val="0"/>
        </w:numPr>
        <w:tabs>
          <w:tab w:val="left" w:pos="851"/>
          <w:tab w:val="clear" w:pos="1560"/>
        </w:tabs>
        <w:spacing w:line="240" w:lineRule="auto"/>
        <w:ind w:left="0" w:leftChars="0" w:firstLine="0" w:firstLineChars="0"/>
        <w:jc w:val="both"/>
        <w:rPr>
          <w:rFonts w:hint="eastAsia" w:ascii="宋体" w:hAnsi="宋体" w:eastAsia="宋体" w:cs="Times New Roman"/>
          <w:b w:val="0"/>
          <w:bCs w:val="0"/>
          <w:kern w:val="2"/>
          <w:sz w:val="24"/>
          <w:szCs w:val="20"/>
          <w:lang w:val="en-US" w:eastAsia="zh-CN" w:bidi="ar-SA"/>
        </w:rPr>
      </w:pPr>
      <w:bookmarkStart w:id="32" w:name="_Toc30317"/>
      <w:r>
        <w:rPr>
          <w:rFonts w:hint="eastAsia" w:ascii="宋体" w:hAnsi="宋体" w:eastAsia="宋体" w:cs="Times New Roman"/>
          <w:b w:val="0"/>
          <w:bCs w:val="0"/>
          <w:kern w:val="2"/>
          <w:sz w:val="24"/>
          <w:szCs w:val="20"/>
          <w:lang w:val="en-US" w:eastAsia="zh-CN" w:bidi="ar-SA"/>
        </w:rPr>
        <w:t>4.1.2安全物理环境</w:t>
      </w:r>
      <w:bookmarkEnd w:id="32"/>
    </w:p>
    <w:p>
      <w:pPr>
        <w:ind w:firstLine="480" w:firstLineChars="200"/>
        <w:jc w:val="left"/>
        <w:rPr>
          <w:rFonts w:hint="eastAsia" w:ascii="Times New Roman" w:hAnsi="Times New Roman" w:cs="宋体"/>
          <w:sz w:val="24"/>
          <w:szCs w:val="24"/>
        </w:rPr>
      </w:pPr>
      <w:r>
        <w:rPr>
          <w:rFonts w:hint="eastAsia" w:ascii="Times New Roman" w:hAnsi="Times New Roman" w:cs="宋体"/>
          <w:sz w:val="24"/>
          <w:szCs w:val="24"/>
        </w:rPr>
        <w:t>安全物理环境测评实施过程涉及</w:t>
      </w:r>
      <w:r>
        <w:rPr>
          <w:rFonts w:ascii="Times New Roman" w:hAnsi="Times New Roman" w:cs="宋体"/>
          <w:sz w:val="24"/>
          <w:szCs w:val="24"/>
        </w:rPr>
        <w:t>10</w:t>
      </w:r>
      <w:r>
        <w:rPr>
          <w:rFonts w:hint="eastAsia" w:ascii="Times New Roman" w:hAnsi="Times New Roman" w:cs="宋体"/>
          <w:sz w:val="24"/>
          <w:szCs w:val="24"/>
        </w:rPr>
        <w:t>个方面的安全保护能力，具体测评指标描述如下表所示</w:t>
      </w:r>
      <w:r>
        <w:rPr>
          <w:rFonts w:hint="eastAsia" w:ascii="Times New Roman" w:hAnsi="Times New Roman" w:cs="宋体"/>
          <w:sz w:val="24"/>
          <w:szCs w:val="24"/>
          <w:lang w:eastAsia="zh-CN"/>
        </w:rPr>
        <w:t>（</w:t>
      </w:r>
      <w:r>
        <w:rPr>
          <w:rFonts w:hint="eastAsia" w:ascii="Times New Roman" w:hAnsi="Times New Roman" w:cs="宋体"/>
          <w:sz w:val="24"/>
          <w:szCs w:val="24"/>
          <w:lang w:val="en-US" w:eastAsia="zh-CN"/>
        </w:rPr>
        <w:t>不限于下列，威胁评估</w:t>
      </w:r>
      <w:r>
        <w:rPr>
          <w:rFonts w:hint="eastAsia" w:ascii="宋体" w:hAnsi="宋体" w:eastAsia="宋体" w:cs="宋体"/>
          <w:sz w:val="24"/>
          <w:szCs w:val="24"/>
          <w:lang w:val="en-US" w:eastAsia="zh-CN"/>
        </w:rPr>
        <w:t>﹑</w:t>
      </w:r>
      <w:r>
        <w:rPr>
          <w:rFonts w:hint="eastAsia" w:ascii="Times New Roman" w:hAnsi="Times New Roman" w:cs="宋体"/>
          <w:sz w:val="24"/>
          <w:szCs w:val="24"/>
          <w:lang w:val="en-US" w:eastAsia="zh-CN"/>
        </w:rPr>
        <w:t>资产评估等由投标方细化落实）</w:t>
      </w:r>
      <w:r>
        <w:rPr>
          <w:rFonts w:hint="eastAsia" w:ascii="Times New Roman" w:hAnsi="Times New Roman" w:cs="宋体"/>
          <w:sz w:val="24"/>
          <w:szCs w:val="24"/>
        </w:rPr>
        <w:t>：</w:t>
      </w:r>
    </w:p>
    <w:tbl>
      <w:tblPr>
        <w:tblStyle w:val="36"/>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
        <w:gridCol w:w="226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51"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黑体" w:hAnsi="宋体" w:eastAsia="黑体" w:cs="Arial"/>
                <w:b/>
                <w:color w:val="000000"/>
                <w:sz w:val="24"/>
                <w:szCs w:val="24"/>
              </w:rPr>
            </w:pPr>
            <w:r>
              <w:rPr>
                <w:rFonts w:hint="eastAsia" w:ascii="黑体" w:hAnsi="宋体" w:eastAsia="黑体" w:cs="Arial"/>
                <w:b/>
                <w:color w:val="000000"/>
                <w:sz w:val="24"/>
                <w:szCs w:val="24"/>
              </w:rPr>
              <w:t>序号</w:t>
            </w:r>
          </w:p>
        </w:tc>
        <w:tc>
          <w:tcPr>
            <w:tcW w:w="2268"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控制点</w:t>
            </w:r>
          </w:p>
        </w:tc>
        <w:tc>
          <w:tcPr>
            <w:tcW w:w="5528"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测评实施描述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01</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ascii="宋体" w:hAnsi="宋体" w:eastAsia="宋体" w:cs="宋体"/>
                <w:color w:val="000000"/>
                <w:sz w:val="24"/>
                <w:szCs w:val="24"/>
              </w:rPr>
            </w:pPr>
            <w:r>
              <w:rPr>
                <w:rFonts w:hint="eastAsia" w:ascii="宋体" w:hAnsi="宋体" w:eastAsia="宋体" w:cs="宋体"/>
                <w:sz w:val="24"/>
                <w:szCs w:val="24"/>
                <w:lang w:bidi="ar"/>
              </w:rPr>
              <w:t>物理位置选择</w:t>
            </w:r>
          </w:p>
        </w:tc>
        <w:tc>
          <w:tcPr>
            <w:tcW w:w="55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textAlignment w:val="auto"/>
              <w:rPr>
                <w:rFonts w:hint="eastAsia" w:ascii="宋体" w:hAnsi="宋体" w:eastAsia="宋体" w:cs="宋体"/>
                <w:color w:val="000000"/>
                <w:sz w:val="24"/>
                <w:szCs w:val="24"/>
              </w:rPr>
            </w:pPr>
            <w:r>
              <w:rPr>
                <w:rFonts w:hint="eastAsia" w:ascii="宋体" w:hAnsi="宋体" w:eastAsia="宋体" w:cs="宋体"/>
                <w:sz w:val="24"/>
                <w:szCs w:val="24"/>
                <w:lang w:bidi="ar"/>
              </w:rPr>
              <w:t>通过访谈物理安全负责人，检查机房，测评机房物理场所在位置上是否具有防震、防风和防雨等多方面的安全防范能力。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02</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ascii="宋体" w:hAnsi="宋体" w:eastAsia="宋体" w:cs="宋体"/>
                <w:color w:val="000000"/>
                <w:sz w:val="24"/>
                <w:szCs w:val="24"/>
              </w:rPr>
            </w:pPr>
            <w:r>
              <w:rPr>
                <w:rFonts w:hint="eastAsia" w:ascii="宋体" w:hAnsi="宋体" w:eastAsia="宋体" w:cs="宋体"/>
                <w:sz w:val="24"/>
                <w:szCs w:val="24"/>
                <w:lang w:bidi="ar"/>
              </w:rPr>
              <w:t>物理访问控制</w:t>
            </w:r>
          </w:p>
        </w:tc>
        <w:tc>
          <w:tcPr>
            <w:tcW w:w="55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textAlignment w:val="auto"/>
              <w:rPr>
                <w:rFonts w:hint="eastAsia" w:ascii="宋体" w:hAnsi="宋体" w:eastAsia="宋体" w:cs="宋体"/>
                <w:color w:val="000000"/>
                <w:sz w:val="24"/>
                <w:szCs w:val="24"/>
              </w:rPr>
            </w:pPr>
            <w:r>
              <w:rPr>
                <w:rFonts w:hint="eastAsia" w:ascii="宋体" w:hAnsi="宋体" w:eastAsia="宋体" w:cs="宋体"/>
                <w:sz w:val="24"/>
                <w:szCs w:val="24"/>
                <w:lang w:bidi="ar"/>
              </w:rPr>
              <w:t>通过访谈物理安全负责人，检查机房出入口等过程，测评信息系统在物理访问控制方面的安全防范能力。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03</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ascii="宋体" w:hAnsi="宋体" w:eastAsia="宋体" w:cs="宋体"/>
                <w:color w:val="000000"/>
                <w:sz w:val="24"/>
                <w:szCs w:val="24"/>
              </w:rPr>
            </w:pPr>
            <w:r>
              <w:rPr>
                <w:rFonts w:hint="eastAsia" w:ascii="宋体" w:hAnsi="宋体" w:eastAsia="宋体" w:cs="宋体"/>
                <w:sz w:val="24"/>
                <w:szCs w:val="24"/>
                <w:lang w:bidi="ar"/>
              </w:rPr>
              <w:t>防盗窃和防破坏</w:t>
            </w:r>
          </w:p>
        </w:tc>
        <w:tc>
          <w:tcPr>
            <w:tcW w:w="55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textAlignment w:val="auto"/>
              <w:rPr>
                <w:rFonts w:hint="eastAsia" w:ascii="宋体" w:hAnsi="宋体" w:eastAsia="宋体" w:cs="宋体"/>
                <w:color w:val="000000"/>
                <w:sz w:val="24"/>
                <w:szCs w:val="24"/>
              </w:rPr>
            </w:pPr>
            <w:r>
              <w:rPr>
                <w:rFonts w:hint="eastAsia" w:ascii="宋体" w:hAnsi="宋体" w:eastAsia="宋体" w:cs="宋体"/>
                <w:sz w:val="24"/>
                <w:szCs w:val="24"/>
                <w:lang w:bidi="ar"/>
              </w:rPr>
              <w:t>通过访谈物理安全负责人，检查机房内的主要设备、介质和防盗报警设施等过程，测评信息系统是否采取必要的措施预防设备、介质等丢失和被破坏。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04</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ascii="宋体" w:hAnsi="宋体" w:eastAsia="宋体" w:cs="宋体"/>
                <w:color w:val="000000"/>
                <w:sz w:val="24"/>
                <w:szCs w:val="24"/>
              </w:rPr>
            </w:pPr>
            <w:r>
              <w:rPr>
                <w:rFonts w:hint="eastAsia" w:ascii="宋体" w:hAnsi="宋体" w:eastAsia="宋体" w:cs="宋体"/>
                <w:sz w:val="24"/>
                <w:szCs w:val="24"/>
                <w:lang w:bidi="ar"/>
              </w:rPr>
              <w:t>防雷击</w:t>
            </w:r>
          </w:p>
        </w:tc>
        <w:tc>
          <w:tcPr>
            <w:tcW w:w="55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textAlignment w:val="auto"/>
              <w:rPr>
                <w:rFonts w:hint="eastAsia" w:ascii="宋体" w:hAnsi="宋体" w:eastAsia="宋体" w:cs="宋体"/>
                <w:color w:val="000000"/>
                <w:sz w:val="24"/>
                <w:szCs w:val="24"/>
              </w:rPr>
            </w:pPr>
            <w:r>
              <w:rPr>
                <w:rFonts w:hint="eastAsia" w:ascii="宋体" w:hAnsi="宋体" w:eastAsia="宋体" w:cs="宋体"/>
                <w:sz w:val="24"/>
                <w:szCs w:val="24"/>
                <w:lang w:bidi="ar"/>
              </w:rPr>
              <w:t>通过访谈物理安全负责人，检查机房设计/验收文档，测评信息系统是否采取相应的措施预防雷击。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05</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ascii="宋体" w:hAnsi="宋体" w:eastAsia="宋体" w:cs="宋体"/>
                <w:color w:val="000000"/>
                <w:sz w:val="24"/>
                <w:szCs w:val="24"/>
              </w:rPr>
            </w:pPr>
            <w:r>
              <w:rPr>
                <w:rFonts w:hint="eastAsia" w:ascii="宋体" w:hAnsi="宋体" w:eastAsia="宋体" w:cs="宋体"/>
                <w:sz w:val="24"/>
                <w:szCs w:val="24"/>
                <w:lang w:bidi="ar"/>
              </w:rPr>
              <w:t>防火</w:t>
            </w:r>
          </w:p>
        </w:tc>
        <w:tc>
          <w:tcPr>
            <w:tcW w:w="55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textAlignment w:val="auto"/>
              <w:rPr>
                <w:rFonts w:hint="eastAsia" w:ascii="宋体" w:hAnsi="宋体" w:eastAsia="宋体" w:cs="宋体"/>
                <w:color w:val="000000"/>
                <w:sz w:val="24"/>
                <w:szCs w:val="24"/>
              </w:rPr>
            </w:pPr>
            <w:r>
              <w:rPr>
                <w:rFonts w:hint="eastAsia" w:ascii="宋体" w:hAnsi="宋体" w:eastAsia="宋体" w:cs="宋体"/>
                <w:sz w:val="24"/>
                <w:szCs w:val="24"/>
                <w:lang w:bidi="ar"/>
              </w:rPr>
              <w:t>通过访谈物理安全负责人，检查机房防火方面的安全管理制度，检查机房防火设备等过程，测评信息系统是否采取必要的措施防止火灾的发生。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06</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ascii="宋体" w:hAnsi="宋体" w:eastAsia="宋体" w:cs="宋体"/>
                <w:color w:val="000000"/>
                <w:sz w:val="24"/>
                <w:szCs w:val="24"/>
              </w:rPr>
            </w:pPr>
            <w:r>
              <w:rPr>
                <w:rFonts w:hint="eastAsia" w:ascii="宋体" w:hAnsi="宋体" w:eastAsia="宋体" w:cs="宋体"/>
                <w:sz w:val="24"/>
                <w:szCs w:val="24"/>
                <w:lang w:bidi="ar"/>
              </w:rPr>
              <w:t>防水和防潮</w:t>
            </w:r>
          </w:p>
        </w:tc>
        <w:tc>
          <w:tcPr>
            <w:tcW w:w="55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textAlignment w:val="auto"/>
              <w:rPr>
                <w:rFonts w:hint="eastAsia" w:ascii="宋体" w:hAnsi="宋体" w:eastAsia="宋体" w:cs="宋体"/>
                <w:color w:val="000000"/>
                <w:sz w:val="24"/>
                <w:szCs w:val="24"/>
              </w:rPr>
            </w:pPr>
            <w:r>
              <w:rPr>
                <w:rFonts w:hint="eastAsia" w:ascii="宋体" w:hAnsi="宋体" w:eastAsia="宋体" w:cs="宋体"/>
                <w:sz w:val="24"/>
                <w:szCs w:val="24"/>
                <w:lang w:bidi="ar"/>
              </w:rPr>
              <w:t>通过访谈物理安全负责人，检查机房及其除潮设备等过程，测评信息系统是否采取必要措施来防止水灾和机房潮湿。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07</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ascii="宋体" w:hAnsi="宋体" w:eastAsia="宋体" w:cs="宋体"/>
                <w:color w:val="000000"/>
                <w:sz w:val="24"/>
                <w:szCs w:val="24"/>
              </w:rPr>
            </w:pPr>
            <w:r>
              <w:rPr>
                <w:rFonts w:hint="eastAsia" w:ascii="宋体" w:hAnsi="宋体" w:eastAsia="宋体" w:cs="宋体"/>
                <w:sz w:val="24"/>
                <w:szCs w:val="24"/>
                <w:lang w:bidi="ar"/>
              </w:rPr>
              <w:t>防静电</w:t>
            </w:r>
          </w:p>
        </w:tc>
        <w:tc>
          <w:tcPr>
            <w:tcW w:w="55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textAlignment w:val="auto"/>
              <w:rPr>
                <w:rFonts w:hint="eastAsia" w:ascii="宋体" w:hAnsi="宋体" w:eastAsia="宋体" w:cs="宋体"/>
                <w:color w:val="000000"/>
                <w:sz w:val="24"/>
                <w:szCs w:val="24"/>
              </w:rPr>
            </w:pPr>
            <w:r>
              <w:rPr>
                <w:rFonts w:hint="eastAsia" w:ascii="宋体" w:hAnsi="宋体" w:eastAsia="宋体" w:cs="宋体"/>
                <w:sz w:val="24"/>
                <w:szCs w:val="24"/>
                <w:lang w:bidi="ar"/>
              </w:rPr>
              <w:t>通过访谈物理安全负责人，检查机房等过程，测评信息系统是否采取必要措施防止静电的产生。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08</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ascii="宋体" w:hAnsi="宋体" w:eastAsia="宋体" w:cs="宋体"/>
                <w:color w:val="000000"/>
                <w:sz w:val="24"/>
                <w:szCs w:val="24"/>
              </w:rPr>
            </w:pPr>
            <w:r>
              <w:rPr>
                <w:rFonts w:hint="eastAsia" w:ascii="宋体" w:hAnsi="宋体" w:eastAsia="宋体" w:cs="宋体"/>
                <w:sz w:val="24"/>
                <w:szCs w:val="24"/>
                <w:lang w:bidi="ar"/>
              </w:rPr>
              <w:t>温湿度控制</w:t>
            </w:r>
          </w:p>
        </w:tc>
        <w:tc>
          <w:tcPr>
            <w:tcW w:w="55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textAlignment w:val="auto"/>
              <w:rPr>
                <w:rFonts w:hint="eastAsia" w:ascii="宋体" w:hAnsi="宋体" w:eastAsia="宋体" w:cs="宋体"/>
                <w:color w:val="000000"/>
                <w:sz w:val="24"/>
                <w:szCs w:val="24"/>
              </w:rPr>
            </w:pPr>
            <w:r>
              <w:rPr>
                <w:rFonts w:hint="eastAsia" w:ascii="宋体" w:hAnsi="宋体" w:eastAsia="宋体" w:cs="宋体"/>
                <w:sz w:val="24"/>
                <w:szCs w:val="24"/>
                <w:lang w:bidi="ar"/>
              </w:rPr>
              <w:t>通过访谈物理安全负责人，检查机房的温湿度自动调节系统，测评信息系统是否采取必要措施对机房内的温湿度进行控制。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09</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ascii="宋体" w:hAnsi="宋体" w:eastAsia="宋体" w:cs="宋体"/>
                <w:color w:val="000000"/>
                <w:sz w:val="24"/>
                <w:szCs w:val="24"/>
              </w:rPr>
            </w:pPr>
            <w:r>
              <w:rPr>
                <w:rFonts w:hint="eastAsia" w:ascii="宋体" w:hAnsi="宋体" w:eastAsia="宋体" w:cs="宋体"/>
                <w:sz w:val="24"/>
                <w:szCs w:val="24"/>
                <w:lang w:bidi="ar"/>
              </w:rPr>
              <w:t>电力供应</w:t>
            </w:r>
          </w:p>
        </w:tc>
        <w:tc>
          <w:tcPr>
            <w:tcW w:w="55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textAlignment w:val="auto"/>
              <w:rPr>
                <w:rFonts w:hint="eastAsia" w:ascii="宋体" w:hAnsi="宋体" w:eastAsia="宋体" w:cs="宋体"/>
                <w:color w:val="000000"/>
                <w:sz w:val="24"/>
                <w:szCs w:val="24"/>
              </w:rPr>
            </w:pPr>
            <w:r>
              <w:rPr>
                <w:rFonts w:hint="eastAsia" w:ascii="宋体" w:hAnsi="宋体" w:eastAsia="宋体" w:cs="宋体"/>
                <w:sz w:val="24"/>
                <w:szCs w:val="24"/>
                <w:lang w:bidi="ar"/>
              </w:rPr>
              <w:t>通过访谈物理安全负责人，检查机房供电线路、设备等过程，测评是否具备为信息系统提供一定电力供应的能力。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10</w:t>
            </w:r>
          </w:p>
        </w:tc>
        <w:tc>
          <w:tcPr>
            <w:tcW w:w="22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ascii="宋体" w:hAnsi="宋体" w:eastAsia="宋体" w:cs="宋体"/>
                <w:color w:val="000000"/>
                <w:sz w:val="24"/>
                <w:szCs w:val="24"/>
              </w:rPr>
            </w:pPr>
            <w:r>
              <w:rPr>
                <w:rFonts w:hint="eastAsia" w:ascii="宋体" w:hAnsi="宋体" w:eastAsia="宋体" w:cs="宋体"/>
                <w:sz w:val="24"/>
                <w:szCs w:val="24"/>
                <w:lang w:bidi="ar"/>
              </w:rPr>
              <w:t>电磁防护</w:t>
            </w:r>
          </w:p>
        </w:tc>
        <w:tc>
          <w:tcPr>
            <w:tcW w:w="552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textAlignment w:val="auto"/>
              <w:rPr>
                <w:rFonts w:hint="eastAsia" w:ascii="宋体" w:hAnsi="宋体" w:eastAsia="宋体" w:cs="宋体"/>
                <w:color w:val="000000"/>
                <w:sz w:val="24"/>
                <w:szCs w:val="24"/>
              </w:rPr>
            </w:pPr>
            <w:r>
              <w:rPr>
                <w:rFonts w:hint="eastAsia" w:ascii="宋体" w:hAnsi="宋体" w:eastAsia="宋体" w:cs="宋体"/>
                <w:sz w:val="24"/>
                <w:szCs w:val="24"/>
                <w:lang w:bidi="ar"/>
              </w:rPr>
              <w:t>通过访谈物理安全负责人，检查主要设备等过程，测评信息系统是否具备一定的电磁防护能力。</w:t>
            </w:r>
          </w:p>
        </w:tc>
      </w:tr>
    </w:tbl>
    <w:p>
      <w:pPr>
        <w:pStyle w:val="6"/>
        <w:numPr>
          <w:ilvl w:val="0"/>
          <w:numId w:val="0"/>
        </w:numPr>
        <w:tabs>
          <w:tab w:val="left" w:pos="851"/>
          <w:tab w:val="clear" w:pos="1560"/>
        </w:tabs>
        <w:spacing w:line="240" w:lineRule="auto"/>
        <w:ind w:left="210" w:leftChars="0" w:firstLine="0" w:firstLineChars="0"/>
        <w:jc w:val="both"/>
        <w:rPr>
          <w:rFonts w:hint="eastAsia" w:ascii="宋体" w:hAnsi="宋体" w:eastAsia="宋体" w:cs="Times New Roman"/>
          <w:b w:val="0"/>
          <w:bCs w:val="0"/>
          <w:kern w:val="2"/>
          <w:sz w:val="24"/>
          <w:szCs w:val="20"/>
          <w:lang w:val="en-US" w:eastAsia="zh-CN" w:bidi="ar-SA"/>
        </w:rPr>
      </w:pPr>
      <w:bookmarkStart w:id="33" w:name="_Toc2395"/>
      <w:r>
        <w:rPr>
          <w:rFonts w:hint="eastAsia" w:ascii="宋体" w:hAnsi="宋体" w:eastAsia="宋体" w:cs="Times New Roman"/>
          <w:b w:val="0"/>
          <w:bCs w:val="0"/>
          <w:kern w:val="2"/>
          <w:sz w:val="24"/>
          <w:szCs w:val="20"/>
          <w:lang w:val="en-US" w:eastAsia="zh-CN" w:bidi="ar-SA"/>
        </w:rPr>
        <w:t>4.1.3安全通信网络</w:t>
      </w:r>
      <w:bookmarkEnd w:id="33"/>
    </w:p>
    <w:p>
      <w:pPr>
        <w:ind w:firstLine="0" w:firstLineChars="0"/>
        <w:jc w:val="left"/>
        <w:rPr>
          <w:rFonts w:hint="eastAsia" w:ascii="Times New Roman" w:hAnsi="Times New Roman" w:cs="宋体"/>
          <w:sz w:val="24"/>
          <w:szCs w:val="24"/>
        </w:rPr>
      </w:pPr>
      <w:r>
        <w:rPr>
          <w:rFonts w:hint="eastAsia" w:ascii="Times New Roman" w:hAnsi="Times New Roman" w:cs="宋体"/>
          <w:sz w:val="24"/>
          <w:szCs w:val="24"/>
        </w:rPr>
        <w:t>安全通信网络测评实施过程涉及</w:t>
      </w:r>
      <w:r>
        <w:rPr>
          <w:rFonts w:ascii="Times New Roman" w:hAnsi="Times New Roman" w:cs="宋体"/>
          <w:sz w:val="24"/>
          <w:szCs w:val="24"/>
        </w:rPr>
        <w:t>3</w:t>
      </w:r>
      <w:r>
        <w:rPr>
          <w:rFonts w:hint="eastAsia" w:ascii="Times New Roman" w:hAnsi="Times New Roman" w:cs="宋体"/>
          <w:sz w:val="24"/>
          <w:szCs w:val="24"/>
        </w:rPr>
        <w:t>个方面的安全保护能力，具体测评指标描述如下表所示：</w:t>
      </w:r>
    </w:p>
    <w:tbl>
      <w:tblPr>
        <w:tblStyle w:val="36"/>
        <w:tblW w:w="8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277"/>
        <w:gridCol w:w="5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66"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黑体" w:hAnsi="宋体" w:eastAsia="黑体" w:cs="Arial"/>
                <w:b/>
                <w:color w:val="000000"/>
                <w:sz w:val="24"/>
                <w:szCs w:val="24"/>
              </w:rPr>
            </w:pPr>
            <w:r>
              <w:rPr>
                <w:rFonts w:hint="eastAsia" w:ascii="黑体" w:hAnsi="宋体" w:eastAsia="黑体" w:cs="Arial"/>
                <w:b/>
                <w:color w:val="000000"/>
                <w:sz w:val="24"/>
                <w:szCs w:val="24"/>
              </w:rPr>
              <w:t>序号</w:t>
            </w:r>
          </w:p>
        </w:tc>
        <w:tc>
          <w:tcPr>
            <w:tcW w:w="2277"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控制点</w:t>
            </w:r>
          </w:p>
        </w:tc>
        <w:tc>
          <w:tcPr>
            <w:tcW w:w="5542"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测评实施描述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01</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网络架构</w:t>
            </w:r>
          </w:p>
        </w:tc>
        <w:tc>
          <w:tcPr>
            <w:tcW w:w="55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测评分析网络架构与网段划分、隔离等情况的合理性和有效性。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02</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通信传输</w:t>
            </w:r>
          </w:p>
        </w:tc>
        <w:tc>
          <w:tcPr>
            <w:tcW w:w="55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测评通信过程中的完整性、保密性等。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03</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可信验证</w:t>
            </w:r>
          </w:p>
        </w:tc>
        <w:tc>
          <w:tcPr>
            <w:tcW w:w="55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基于可信根对通信设备的系统引导程序、系统程序、重要配置参数和通信应用程序等 进行可信验证，并在应用程序的关键执行环节进行动态可信验证。</w:t>
            </w:r>
          </w:p>
        </w:tc>
      </w:tr>
    </w:tbl>
    <w:p>
      <w:pPr>
        <w:pStyle w:val="6"/>
        <w:numPr>
          <w:ilvl w:val="0"/>
          <w:numId w:val="0"/>
        </w:numPr>
        <w:tabs>
          <w:tab w:val="left" w:pos="851"/>
          <w:tab w:val="clear" w:pos="1560"/>
        </w:tabs>
        <w:spacing w:line="240" w:lineRule="auto"/>
        <w:ind w:left="210" w:leftChars="0" w:firstLine="0" w:firstLineChars="0"/>
        <w:jc w:val="both"/>
        <w:rPr>
          <w:rFonts w:hint="eastAsia" w:ascii="宋体" w:hAnsi="宋体" w:eastAsia="宋体" w:cs="宋体"/>
          <w:b w:val="0"/>
          <w:bCs w:val="0"/>
          <w:sz w:val="24"/>
          <w:szCs w:val="24"/>
        </w:rPr>
      </w:pPr>
      <w:bookmarkStart w:id="34" w:name="_Toc5550"/>
      <w:bookmarkStart w:id="35" w:name="_Toc275873331"/>
      <w:bookmarkStart w:id="36" w:name="_Toc275873228"/>
      <w:r>
        <w:rPr>
          <w:rFonts w:hint="eastAsia" w:ascii="宋体" w:hAnsi="宋体" w:cs="宋体"/>
          <w:b w:val="0"/>
          <w:bCs w:val="0"/>
          <w:sz w:val="24"/>
          <w:szCs w:val="24"/>
          <w:lang w:val="en-US" w:eastAsia="zh-CN"/>
        </w:rPr>
        <w:t>4.1.4</w:t>
      </w:r>
      <w:r>
        <w:rPr>
          <w:rFonts w:hint="eastAsia" w:ascii="宋体" w:hAnsi="宋体" w:eastAsia="宋体" w:cs="宋体"/>
          <w:b w:val="0"/>
          <w:bCs w:val="0"/>
          <w:sz w:val="24"/>
          <w:szCs w:val="24"/>
        </w:rPr>
        <w:t>安全区域边界</w:t>
      </w:r>
      <w:bookmarkEnd w:id="34"/>
    </w:p>
    <w:p>
      <w:pPr>
        <w:ind w:firstLine="420"/>
        <w:jc w:val="left"/>
        <w:rPr>
          <w:rFonts w:hint="eastAsia" w:ascii="Times New Roman" w:hAnsi="Times New Roman" w:cs="宋体"/>
          <w:sz w:val="24"/>
          <w:szCs w:val="24"/>
        </w:rPr>
      </w:pPr>
      <w:r>
        <w:rPr>
          <w:rFonts w:hint="eastAsia" w:ascii="Times New Roman" w:hAnsi="Times New Roman" w:cs="宋体"/>
          <w:sz w:val="24"/>
          <w:szCs w:val="24"/>
        </w:rPr>
        <w:t>安全区域边界测评主要涉及边界防护、访问控制、入侵防范、恶意代码和垃圾邮件防范、安全审计、可信验证</w:t>
      </w:r>
      <w:r>
        <w:rPr>
          <w:rFonts w:ascii="Times New Roman" w:hAnsi="Times New Roman" w:cs="宋体"/>
          <w:sz w:val="24"/>
          <w:szCs w:val="24"/>
        </w:rPr>
        <w:t>6</w:t>
      </w:r>
      <w:r>
        <w:rPr>
          <w:rFonts w:hint="eastAsia" w:ascii="Times New Roman" w:hAnsi="Times New Roman" w:cs="宋体"/>
          <w:sz w:val="24"/>
          <w:szCs w:val="24"/>
        </w:rPr>
        <w:t>个方面的安全保护能力。具体测评指标描述如下表所示：</w:t>
      </w:r>
    </w:p>
    <w:tbl>
      <w:tblPr>
        <w:tblStyle w:val="36"/>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9"/>
        <w:gridCol w:w="2277"/>
        <w:gridCol w:w="5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79"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黑体" w:hAnsi="宋体" w:eastAsia="黑体" w:cs="Arial"/>
                <w:b/>
                <w:color w:val="000000"/>
                <w:sz w:val="24"/>
                <w:szCs w:val="24"/>
              </w:rPr>
            </w:pPr>
            <w:r>
              <w:rPr>
                <w:rFonts w:hint="eastAsia" w:ascii="黑体" w:hAnsi="宋体" w:eastAsia="黑体" w:cs="Arial"/>
                <w:b/>
                <w:color w:val="000000"/>
                <w:sz w:val="24"/>
                <w:szCs w:val="24"/>
              </w:rPr>
              <w:t>序号</w:t>
            </w:r>
          </w:p>
        </w:tc>
        <w:tc>
          <w:tcPr>
            <w:tcW w:w="2277"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控制点</w:t>
            </w:r>
          </w:p>
        </w:tc>
        <w:tc>
          <w:tcPr>
            <w:tcW w:w="5556"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测评实施描述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01</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边界防护</w:t>
            </w:r>
          </w:p>
        </w:tc>
        <w:tc>
          <w:tcPr>
            <w:tcW w:w="5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测评分析信息系统网络边界安全防护的状况。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02</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访问控制</w:t>
            </w:r>
          </w:p>
        </w:tc>
        <w:tc>
          <w:tcPr>
            <w:tcW w:w="5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测评分析信息系统对网络区域边界相关的网络隔离与访问控制能力。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03</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入侵防范</w:t>
            </w:r>
          </w:p>
        </w:tc>
        <w:tc>
          <w:tcPr>
            <w:tcW w:w="5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测评分析信息系统对攻击行为的识别和处理情况。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eastAsia="宋体"/>
                <w:sz w:val="24"/>
                <w:szCs w:val="24"/>
              </w:rPr>
            </w:pPr>
            <w:r>
              <w:rPr>
                <w:sz w:val="24"/>
                <w:szCs w:val="24"/>
              </w:rPr>
              <w:t>04</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恶意代码和垃圾邮件防范</w:t>
            </w:r>
          </w:p>
        </w:tc>
        <w:tc>
          <w:tcPr>
            <w:tcW w:w="5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测评分析信息系统网络边界和核心网段对病毒等恶意代码及垃圾邮件的防护情况。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eastAsia="宋体"/>
                <w:sz w:val="24"/>
                <w:szCs w:val="24"/>
              </w:rPr>
            </w:pPr>
            <w:r>
              <w:rPr>
                <w:sz w:val="24"/>
                <w:szCs w:val="24"/>
              </w:rPr>
              <w:t>05</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安全审计</w:t>
            </w:r>
          </w:p>
        </w:tc>
        <w:tc>
          <w:tcPr>
            <w:tcW w:w="5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测评分析信息系统审计配置和审计记录保护情况。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eastAsia="宋体"/>
                <w:sz w:val="24"/>
                <w:szCs w:val="24"/>
              </w:rPr>
            </w:pPr>
            <w:r>
              <w:rPr>
                <w:sz w:val="24"/>
                <w:szCs w:val="24"/>
              </w:rPr>
              <w:t>06</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可信验证</w:t>
            </w:r>
          </w:p>
        </w:tc>
        <w:tc>
          <w:tcPr>
            <w:tcW w:w="55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基于可信根对通信设备的系统引导程序、系统程序、重要配置参数和通信应用程序等 进行可信验证，并在应用程序的关键执行环节进行动态可信验证。</w:t>
            </w:r>
          </w:p>
        </w:tc>
      </w:tr>
      <w:bookmarkEnd w:id="35"/>
      <w:bookmarkEnd w:id="36"/>
    </w:tbl>
    <w:p>
      <w:pPr>
        <w:pStyle w:val="6"/>
        <w:numPr>
          <w:ilvl w:val="0"/>
          <w:numId w:val="0"/>
        </w:numPr>
        <w:tabs>
          <w:tab w:val="left" w:pos="851"/>
          <w:tab w:val="clear" w:pos="1560"/>
        </w:tabs>
        <w:spacing w:line="240" w:lineRule="auto"/>
        <w:ind w:left="210" w:leftChars="0" w:firstLine="0" w:firstLineChars="0"/>
        <w:jc w:val="both"/>
        <w:rPr>
          <w:rFonts w:hint="eastAsia" w:ascii="宋体" w:hAnsi="宋体" w:eastAsia="宋体" w:cs="宋体"/>
          <w:b w:val="0"/>
          <w:bCs w:val="0"/>
          <w:sz w:val="24"/>
          <w:szCs w:val="24"/>
        </w:rPr>
      </w:pPr>
      <w:bookmarkStart w:id="37" w:name="_Toc10507"/>
      <w:r>
        <w:rPr>
          <w:rFonts w:hint="eastAsia" w:ascii="宋体" w:hAnsi="宋体" w:cs="宋体"/>
          <w:b w:val="0"/>
          <w:bCs w:val="0"/>
          <w:sz w:val="24"/>
          <w:szCs w:val="24"/>
          <w:lang w:val="en-US" w:eastAsia="zh-CN"/>
        </w:rPr>
        <w:t>4.1.5</w:t>
      </w:r>
      <w:r>
        <w:rPr>
          <w:rFonts w:hint="eastAsia" w:ascii="宋体" w:hAnsi="宋体" w:eastAsia="宋体" w:cs="宋体"/>
          <w:b w:val="0"/>
          <w:bCs w:val="0"/>
          <w:sz w:val="24"/>
          <w:szCs w:val="24"/>
        </w:rPr>
        <w:t>安全计算环境</w:t>
      </w:r>
      <w:bookmarkEnd w:id="37"/>
    </w:p>
    <w:p>
      <w:pPr>
        <w:ind w:firstLine="420"/>
        <w:jc w:val="left"/>
        <w:rPr>
          <w:rFonts w:hint="eastAsia" w:ascii="Times New Roman" w:hAnsi="Times New Roman" w:cs="宋体"/>
          <w:sz w:val="28"/>
          <w:szCs w:val="28"/>
        </w:rPr>
      </w:pPr>
      <w:r>
        <w:rPr>
          <w:rFonts w:hint="eastAsia" w:ascii="Times New Roman" w:hAnsi="Times New Roman" w:cs="宋体"/>
          <w:sz w:val="24"/>
          <w:szCs w:val="24"/>
        </w:rPr>
        <w:t>在安全计算环境测评中，测评对象主要为网络设备、安全设备、主机操作系统、数据库、应用系统、运维管理平台、管理终端设备等。主要涉及身份鉴别、访问控制、安全审计、入侵防范、恶意代码防范、可信验证、数据完整性、数据保密性、数据备份恢复、剩余信息保护、个人信息保护</w:t>
      </w:r>
      <w:r>
        <w:rPr>
          <w:rFonts w:ascii="Times New Roman" w:hAnsi="Times New Roman" w:cs="宋体"/>
          <w:sz w:val="24"/>
          <w:szCs w:val="24"/>
        </w:rPr>
        <w:t>11</w:t>
      </w:r>
      <w:r>
        <w:rPr>
          <w:rFonts w:hint="eastAsia" w:ascii="Times New Roman" w:hAnsi="Times New Roman" w:cs="宋体"/>
          <w:sz w:val="24"/>
          <w:szCs w:val="24"/>
        </w:rPr>
        <w:t>个方面的安全保护能力。具体测评指标描述如下表所示：</w:t>
      </w:r>
    </w:p>
    <w:tbl>
      <w:tblPr>
        <w:tblStyle w:val="36"/>
        <w:tblW w:w="8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2277"/>
        <w:gridCol w:w="5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75"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both"/>
              <w:textAlignment w:val="auto"/>
              <w:rPr>
                <w:rFonts w:ascii="黑体" w:hAnsi="宋体" w:eastAsia="黑体" w:cs="Arial"/>
                <w:b/>
                <w:color w:val="000000"/>
                <w:sz w:val="24"/>
                <w:szCs w:val="24"/>
              </w:rPr>
            </w:pPr>
            <w:r>
              <w:rPr>
                <w:rFonts w:hint="eastAsia" w:ascii="黑体" w:hAnsi="宋体" w:eastAsia="黑体" w:cs="Arial"/>
                <w:b/>
                <w:color w:val="000000"/>
                <w:sz w:val="24"/>
                <w:szCs w:val="24"/>
              </w:rPr>
              <w:t>序号</w:t>
            </w:r>
          </w:p>
        </w:tc>
        <w:tc>
          <w:tcPr>
            <w:tcW w:w="2277"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控制点</w:t>
            </w:r>
          </w:p>
        </w:tc>
        <w:tc>
          <w:tcPr>
            <w:tcW w:w="5551"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测评实施描述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01</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身份鉴别</w:t>
            </w:r>
          </w:p>
        </w:tc>
        <w:tc>
          <w:tcPr>
            <w:tcW w:w="5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检查所有设备、业务系统、运维管理平台、终端身份标识与鉴别和用户登录的配置情况。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02</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访问控制</w:t>
            </w:r>
          </w:p>
        </w:tc>
        <w:tc>
          <w:tcPr>
            <w:tcW w:w="5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检查所有设备、业务系统、运维管理平台、终端的访问控制设置情况，包括安全策略覆盖、控制粒度以及权限设置情况等。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03</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安全审计</w:t>
            </w:r>
          </w:p>
        </w:tc>
        <w:tc>
          <w:tcPr>
            <w:tcW w:w="5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检查所有设备、业务系统、运维管理平台、终端的安全审计的配置情况，如覆盖范围、记录的项目和内容等；检查安全审计进程和记录的保护情况。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04</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入侵防范</w:t>
            </w:r>
          </w:p>
        </w:tc>
        <w:tc>
          <w:tcPr>
            <w:tcW w:w="5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检查所有设备、业务系统、运维管理平台、终端在运行过程中的入侵防范措施，如服务器、终端关闭不需要的端口和服务、最小化安装、部署入侵防范产品等。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05</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恶意代码防范</w:t>
            </w:r>
          </w:p>
        </w:tc>
        <w:tc>
          <w:tcPr>
            <w:tcW w:w="5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检查服务器的恶意代码防范情况，如服务器是否安装统一管理的恶意代码防范软件，是否及时升级病毒库等。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06</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可信验证</w:t>
            </w:r>
          </w:p>
        </w:tc>
        <w:tc>
          <w:tcPr>
            <w:tcW w:w="5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基于可信根对通信设备的系统引导程序、系统程序、重要配置参数和通信应用程序等 进行可信验证，并在应用程序的关键执行环节进行动态可信验证。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07</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数据完整性</w:t>
            </w:r>
          </w:p>
        </w:tc>
        <w:tc>
          <w:tcPr>
            <w:tcW w:w="5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测评所有设备、业务系统、运维管理平台、终端的管理数据、鉴别信息和用户数据在传输和保存过程中的完整性保护情况。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08</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数据保密性</w:t>
            </w:r>
          </w:p>
        </w:tc>
        <w:tc>
          <w:tcPr>
            <w:tcW w:w="5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测评所有设备、业务系统、运维管理平台、终端的管理数据、鉴别信息和用户数据在传输和保存过程中的保密性保护情况。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09</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数据备份恢复</w:t>
            </w:r>
          </w:p>
        </w:tc>
        <w:tc>
          <w:tcPr>
            <w:tcW w:w="5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测评信息系统的安全备份情况，如重要信息的备份、硬件和线路的冗余等。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10</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剩余信息保护</w:t>
            </w:r>
          </w:p>
        </w:tc>
        <w:tc>
          <w:tcPr>
            <w:tcW w:w="5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测评应用系统、主机操作系统等鉴别信息所在的存储空间被释放或重新分配前是否得到完全清除。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11</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个人信息保护</w:t>
            </w:r>
          </w:p>
        </w:tc>
        <w:tc>
          <w:tcPr>
            <w:tcW w:w="555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测评是否仅采集和保存业务必需的用户个人信息；是否禁止未授权访问和使用用户个人信息。</w:t>
            </w:r>
          </w:p>
        </w:tc>
      </w:tr>
    </w:tbl>
    <w:p>
      <w:pPr>
        <w:pStyle w:val="6"/>
        <w:numPr>
          <w:ilvl w:val="0"/>
          <w:numId w:val="0"/>
        </w:numPr>
        <w:tabs>
          <w:tab w:val="left" w:pos="851"/>
          <w:tab w:val="clear" w:pos="1560"/>
        </w:tabs>
        <w:spacing w:line="240" w:lineRule="auto"/>
        <w:ind w:left="0" w:leftChars="0" w:firstLine="0" w:firstLineChars="0"/>
        <w:jc w:val="both"/>
        <w:rPr>
          <w:rFonts w:hint="eastAsia" w:ascii="宋体" w:hAnsi="宋体" w:eastAsia="宋体" w:cs="宋体"/>
          <w:b w:val="0"/>
          <w:bCs w:val="0"/>
          <w:sz w:val="24"/>
          <w:szCs w:val="24"/>
        </w:rPr>
      </w:pPr>
      <w:bookmarkStart w:id="38" w:name="_Toc28387"/>
      <w:r>
        <w:rPr>
          <w:rFonts w:hint="eastAsia" w:ascii="宋体" w:hAnsi="宋体" w:cs="宋体"/>
          <w:b w:val="0"/>
          <w:bCs w:val="0"/>
          <w:sz w:val="24"/>
          <w:szCs w:val="24"/>
          <w:lang w:val="en-US" w:eastAsia="zh-CN"/>
        </w:rPr>
        <w:t>4.1.6</w:t>
      </w:r>
      <w:r>
        <w:rPr>
          <w:rFonts w:hint="eastAsia" w:ascii="宋体" w:hAnsi="宋体" w:eastAsia="宋体" w:cs="宋体"/>
          <w:b w:val="0"/>
          <w:bCs w:val="0"/>
          <w:sz w:val="24"/>
          <w:szCs w:val="24"/>
        </w:rPr>
        <w:t>安全管理中心</w:t>
      </w:r>
      <w:bookmarkEnd w:id="38"/>
    </w:p>
    <w:p>
      <w:pPr>
        <w:ind w:firstLine="420"/>
        <w:jc w:val="left"/>
        <w:rPr>
          <w:rFonts w:hint="eastAsia" w:ascii="Times New Roman" w:hAnsi="Times New Roman" w:cs="宋体"/>
          <w:sz w:val="24"/>
          <w:szCs w:val="24"/>
        </w:rPr>
      </w:pPr>
      <w:r>
        <w:rPr>
          <w:rFonts w:hint="eastAsia" w:ascii="Times New Roman" w:hAnsi="Times New Roman" w:cs="宋体"/>
          <w:sz w:val="24"/>
          <w:szCs w:val="24"/>
        </w:rPr>
        <w:t>在安全管理中心测评中，测评对象主要为网络设备、安全设备、集中管控制系统等。主要涉及系统管理、审计管理、安全管理、集中管控</w:t>
      </w:r>
      <w:r>
        <w:rPr>
          <w:rFonts w:ascii="Times New Roman" w:hAnsi="Times New Roman" w:cs="宋体"/>
          <w:sz w:val="24"/>
          <w:szCs w:val="24"/>
        </w:rPr>
        <w:t>4</w:t>
      </w:r>
      <w:r>
        <w:rPr>
          <w:rFonts w:hint="eastAsia" w:ascii="Times New Roman" w:hAnsi="Times New Roman" w:cs="宋体"/>
          <w:sz w:val="24"/>
          <w:szCs w:val="24"/>
        </w:rPr>
        <w:t>个方面的安全保护能力，具体测评指标描述如下表所示：</w:t>
      </w:r>
    </w:p>
    <w:tbl>
      <w:tblPr>
        <w:tblStyle w:val="36"/>
        <w:tblW w:w="88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2277"/>
        <w:gridCol w:w="5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60"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黑体" w:hAnsi="宋体" w:eastAsia="黑体" w:cs="Arial"/>
                <w:b/>
                <w:color w:val="000000"/>
                <w:sz w:val="24"/>
                <w:szCs w:val="24"/>
              </w:rPr>
            </w:pPr>
            <w:r>
              <w:rPr>
                <w:rFonts w:hint="eastAsia" w:ascii="黑体" w:hAnsi="宋体" w:eastAsia="黑体" w:cs="Arial"/>
                <w:b/>
                <w:color w:val="000000"/>
                <w:sz w:val="24"/>
                <w:szCs w:val="24"/>
              </w:rPr>
              <w:t>序号</w:t>
            </w:r>
          </w:p>
        </w:tc>
        <w:tc>
          <w:tcPr>
            <w:tcW w:w="2277"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控制点</w:t>
            </w:r>
          </w:p>
        </w:tc>
        <w:tc>
          <w:tcPr>
            <w:tcW w:w="5565"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测评实施描述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01</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系统管理</w:t>
            </w:r>
          </w:p>
        </w:tc>
        <w:tc>
          <w:tcPr>
            <w:tcW w:w="55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测评信息系统的系统管理员对系统的管理情况。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02</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审计管理</w:t>
            </w:r>
          </w:p>
        </w:tc>
        <w:tc>
          <w:tcPr>
            <w:tcW w:w="55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测评信息系统的安全审计员对系统的审计情况。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03</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安全管理</w:t>
            </w:r>
          </w:p>
        </w:tc>
        <w:tc>
          <w:tcPr>
            <w:tcW w:w="55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测评信息系统的安全管理员对系统的安全策略的配置情况。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ascii="宋体" w:hAnsi="宋体" w:cs="宋体"/>
                <w:sz w:val="24"/>
                <w:szCs w:val="24"/>
              </w:rPr>
            </w:pPr>
            <w:r>
              <w:rPr>
                <w:rFonts w:hint="eastAsia" w:ascii="宋体" w:hAnsi="宋体" w:cs="宋体"/>
                <w:sz w:val="24"/>
                <w:szCs w:val="24"/>
              </w:rPr>
              <w:t>04</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宋体" w:hAnsi="宋体" w:cs="宋体"/>
                <w:sz w:val="24"/>
                <w:szCs w:val="24"/>
              </w:rPr>
            </w:pPr>
            <w:r>
              <w:rPr>
                <w:rFonts w:hint="eastAsia" w:ascii="宋体" w:hAnsi="宋体" w:cs="宋体"/>
                <w:sz w:val="24"/>
                <w:szCs w:val="24"/>
              </w:rPr>
              <w:t>集中管控</w:t>
            </w:r>
          </w:p>
        </w:tc>
        <w:tc>
          <w:tcPr>
            <w:tcW w:w="55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宋体"/>
                <w:sz w:val="24"/>
                <w:szCs w:val="24"/>
              </w:rPr>
            </w:pPr>
            <w:r>
              <w:rPr>
                <w:rFonts w:hint="eastAsia" w:ascii="宋体" w:hAnsi="宋体" w:cs="宋体"/>
                <w:sz w:val="24"/>
                <w:szCs w:val="24"/>
              </w:rPr>
              <w:t>测评网络链路、安全设备、网络设备和服务器等设备的运行状况的集中监测、分析、报警等。</w:t>
            </w:r>
          </w:p>
        </w:tc>
      </w:tr>
    </w:tbl>
    <w:p>
      <w:pPr>
        <w:pStyle w:val="6"/>
        <w:numPr>
          <w:ilvl w:val="0"/>
          <w:numId w:val="0"/>
        </w:numPr>
        <w:tabs>
          <w:tab w:val="left" w:pos="851"/>
          <w:tab w:val="clear" w:pos="1560"/>
        </w:tabs>
        <w:spacing w:line="240" w:lineRule="auto"/>
        <w:ind w:left="0" w:leftChars="0" w:firstLine="0" w:firstLineChars="0"/>
        <w:jc w:val="both"/>
        <w:rPr>
          <w:rFonts w:hint="eastAsia" w:ascii="宋体" w:hAnsi="宋体" w:eastAsia="宋体" w:cs="宋体"/>
          <w:b w:val="0"/>
          <w:bCs w:val="0"/>
          <w:sz w:val="24"/>
          <w:szCs w:val="24"/>
        </w:rPr>
      </w:pPr>
      <w:bookmarkStart w:id="39" w:name="_Toc25277"/>
      <w:bookmarkStart w:id="40" w:name="_Toc275873232"/>
      <w:bookmarkStart w:id="41" w:name="_Toc275873335"/>
      <w:bookmarkStart w:id="42" w:name="_Toc275873334"/>
      <w:bookmarkStart w:id="43" w:name="_Toc275873231"/>
      <w:r>
        <w:rPr>
          <w:rFonts w:hint="eastAsia" w:ascii="宋体" w:hAnsi="宋体" w:cs="宋体"/>
          <w:b w:val="0"/>
          <w:bCs w:val="0"/>
          <w:sz w:val="24"/>
          <w:szCs w:val="24"/>
          <w:lang w:val="en-US" w:eastAsia="zh-CN"/>
        </w:rPr>
        <w:t>4.1.7</w:t>
      </w:r>
      <w:r>
        <w:rPr>
          <w:rFonts w:hint="eastAsia" w:ascii="宋体" w:hAnsi="宋体" w:eastAsia="宋体" w:cs="宋体"/>
          <w:b w:val="0"/>
          <w:bCs w:val="0"/>
          <w:sz w:val="24"/>
          <w:szCs w:val="24"/>
        </w:rPr>
        <w:t>安全管理制度</w:t>
      </w:r>
      <w:bookmarkEnd w:id="39"/>
      <w:bookmarkEnd w:id="40"/>
      <w:bookmarkEnd w:id="41"/>
    </w:p>
    <w:p>
      <w:pPr>
        <w:ind w:firstLine="420"/>
        <w:jc w:val="left"/>
        <w:rPr>
          <w:rFonts w:hint="eastAsia" w:ascii="Times New Roman" w:hAnsi="Times New Roman" w:cs="宋体"/>
          <w:sz w:val="24"/>
          <w:szCs w:val="24"/>
        </w:rPr>
      </w:pPr>
      <w:r>
        <w:rPr>
          <w:rFonts w:hint="eastAsia" w:ascii="Times New Roman" w:hAnsi="Times New Roman" w:cs="宋体"/>
          <w:sz w:val="24"/>
          <w:szCs w:val="24"/>
        </w:rPr>
        <w:t>在安全管理制度测评中，主要涉及安全策略、管理制度、制定和发布、评审和修订</w:t>
      </w:r>
      <w:r>
        <w:rPr>
          <w:rFonts w:ascii="Times New Roman" w:hAnsi="Times New Roman" w:cs="宋体"/>
          <w:sz w:val="24"/>
          <w:szCs w:val="24"/>
        </w:rPr>
        <w:t>4</w:t>
      </w:r>
      <w:r>
        <w:rPr>
          <w:rFonts w:hint="eastAsia" w:ascii="Times New Roman" w:hAnsi="Times New Roman" w:cs="宋体"/>
          <w:sz w:val="24"/>
          <w:szCs w:val="24"/>
        </w:rPr>
        <w:t>个方面的安全保护能力，具体测评指标描述如下表所示：</w:t>
      </w:r>
    </w:p>
    <w:tbl>
      <w:tblPr>
        <w:tblStyle w:val="36"/>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
        <w:gridCol w:w="2278"/>
        <w:gridCol w:w="5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40"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黑体" w:hAnsi="宋体" w:eastAsia="黑体" w:cs="Arial"/>
                <w:b/>
                <w:color w:val="000000"/>
                <w:sz w:val="24"/>
                <w:szCs w:val="24"/>
              </w:rPr>
            </w:pPr>
            <w:r>
              <w:rPr>
                <w:rFonts w:hint="eastAsia" w:ascii="黑体" w:hAnsi="宋体" w:eastAsia="黑体" w:cs="Arial"/>
                <w:b/>
                <w:color w:val="000000"/>
                <w:sz w:val="24"/>
                <w:szCs w:val="24"/>
              </w:rPr>
              <w:t>序号</w:t>
            </w:r>
          </w:p>
        </w:tc>
        <w:tc>
          <w:tcPr>
            <w:tcW w:w="2278"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控制点</w:t>
            </w:r>
          </w:p>
        </w:tc>
        <w:tc>
          <w:tcPr>
            <w:tcW w:w="5571"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测评实施描述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01</w:t>
            </w:r>
          </w:p>
        </w:tc>
        <w:tc>
          <w:tcPr>
            <w:tcW w:w="22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安全策略</w:t>
            </w:r>
          </w:p>
        </w:tc>
        <w:tc>
          <w:tcPr>
            <w:tcW w:w="55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测评信息安全工作的总体方针、安全策略，总体目标、范围、原则和安全框架等。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02</w:t>
            </w:r>
          </w:p>
        </w:tc>
        <w:tc>
          <w:tcPr>
            <w:tcW w:w="22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管理制度</w:t>
            </w:r>
          </w:p>
        </w:tc>
        <w:tc>
          <w:tcPr>
            <w:tcW w:w="55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测评信息系统管理制度在内容覆盖上是否全面、完善。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03</w:t>
            </w:r>
          </w:p>
        </w:tc>
        <w:tc>
          <w:tcPr>
            <w:tcW w:w="22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制定和发布</w:t>
            </w:r>
          </w:p>
        </w:tc>
        <w:tc>
          <w:tcPr>
            <w:tcW w:w="55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测评信息系统管理制度的制定和发布过程是否遵循一定的流程。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eastAsia="宋体"/>
                <w:sz w:val="24"/>
                <w:szCs w:val="24"/>
              </w:rPr>
            </w:pPr>
            <w:r>
              <w:rPr>
                <w:sz w:val="24"/>
                <w:szCs w:val="24"/>
              </w:rPr>
              <w:t>04</w:t>
            </w:r>
          </w:p>
        </w:tc>
        <w:tc>
          <w:tcPr>
            <w:tcW w:w="22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评审和修订</w:t>
            </w:r>
          </w:p>
        </w:tc>
        <w:tc>
          <w:tcPr>
            <w:tcW w:w="55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测评信息系统管理制度定期评审和修订情况。</w:t>
            </w:r>
          </w:p>
        </w:tc>
      </w:tr>
    </w:tbl>
    <w:p>
      <w:pPr>
        <w:pStyle w:val="6"/>
        <w:numPr>
          <w:ilvl w:val="0"/>
          <w:numId w:val="0"/>
        </w:numPr>
        <w:tabs>
          <w:tab w:val="left" w:pos="851"/>
          <w:tab w:val="clear" w:pos="1560"/>
        </w:tabs>
        <w:spacing w:line="240" w:lineRule="auto"/>
        <w:ind w:left="210" w:leftChars="0" w:firstLine="0" w:firstLineChars="0"/>
        <w:jc w:val="both"/>
        <w:rPr>
          <w:rFonts w:hint="eastAsia" w:ascii="宋体" w:hAnsi="宋体" w:eastAsia="宋体" w:cs="宋体"/>
          <w:b w:val="0"/>
          <w:bCs w:val="0"/>
          <w:sz w:val="24"/>
          <w:szCs w:val="24"/>
        </w:rPr>
      </w:pPr>
      <w:bookmarkStart w:id="44" w:name="_Toc10107"/>
      <w:r>
        <w:rPr>
          <w:rFonts w:hint="eastAsia" w:ascii="宋体" w:hAnsi="宋体" w:cs="宋体"/>
          <w:b w:val="0"/>
          <w:bCs w:val="0"/>
          <w:sz w:val="24"/>
          <w:szCs w:val="24"/>
          <w:lang w:val="en-US" w:eastAsia="zh-CN"/>
        </w:rPr>
        <w:t>4.1.8</w:t>
      </w:r>
      <w:r>
        <w:rPr>
          <w:rFonts w:hint="eastAsia" w:ascii="宋体" w:hAnsi="宋体" w:eastAsia="宋体" w:cs="宋体"/>
          <w:b w:val="0"/>
          <w:bCs w:val="0"/>
          <w:sz w:val="24"/>
          <w:szCs w:val="24"/>
        </w:rPr>
        <w:t>安全管理机构</w:t>
      </w:r>
      <w:bookmarkEnd w:id="42"/>
      <w:bookmarkEnd w:id="43"/>
      <w:bookmarkEnd w:id="44"/>
    </w:p>
    <w:p>
      <w:pPr>
        <w:ind w:firstLine="420"/>
        <w:jc w:val="left"/>
        <w:rPr>
          <w:rFonts w:hint="eastAsia" w:ascii="Times New Roman" w:hAnsi="Times New Roman" w:cs="宋体"/>
          <w:sz w:val="24"/>
          <w:szCs w:val="24"/>
        </w:rPr>
      </w:pPr>
      <w:r>
        <w:rPr>
          <w:rFonts w:hint="eastAsia" w:ascii="Times New Roman" w:hAnsi="Times New Roman" w:cs="宋体"/>
          <w:sz w:val="24"/>
          <w:szCs w:val="24"/>
        </w:rPr>
        <w:t>在安全管理制度测评中，主要涉及岗位设置、人员配备、授权和审批、沟通和合作、审核和检查</w:t>
      </w:r>
      <w:r>
        <w:rPr>
          <w:rFonts w:ascii="Times New Roman" w:hAnsi="Times New Roman" w:cs="宋体"/>
          <w:sz w:val="24"/>
          <w:szCs w:val="24"/>
        </w:rPr>
        <w:t>5</w:t>
      </w:r>
      <w:r>
        <w:rPr>
          <w:rFonts w:hint="eastAsia" w:ascii="Times New Roman" w:hAnsi="Times New Roman" w:cs="宋体"/>
          <w:sz w:val="24"/>
          <w:szCs w:val="24"/>
        </w:rPr>
        <w:t>个方面的安全保护能力，具体测评指标描述如下表所示：</w:t>
      </w:r>
    </w:p>
    <w:tbl>
      <w:tblPr>
        <w:tblStyle w:val="36"/>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
        <w:gridCol w:w="2263"/>
        <w:gridCol w:w="54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40"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widowControl/>
              <w:spacing w:line="276" w:lineRule="auto"/>
              <w:ind w:firstLine="0" w:firstLineChars="0"/>
              <w:jc w:val="both"/>
              <w:rPr>
                <w:rFonts w:ascii="黑体" w:hAnsi="宋体" w:eastAsia="黑体" w:cs="Arial"/>
                <w:b/>
                <w:color w:val="000000"/>
                <w:sz w:val="24"/>
                <w:szCs w:val="24"/>
              </w:rPr>
            </w:pPr>
            <w:r>
              <w:rPr>
                <w:rFonts w:hint="eastAsia" w:ascii="黑体" w:hAnsi="宋体" w:eastAsia="黑体" w:cs="Arial"/>
                <w:b/>
                <w:color w:val="000000"/>
                <w:sz w:val="24"/>
                <w:szCs w:val="24"/>
              </w:rPr>
              <w:t>序号</w:t>
            </w:r>
          </w:p>
        </w:tc>
        <w:tc>
          <w:tcPr>
            <w:tcW w:w="2277"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widowControl/>
              <w:spacing w:line="276" w:lineRule="auto"/>
              <w:jc w:val="center"/>
              <w:rPr>
                <w:rFonts w:hint="eastAsia" w:ascii="黑体" w:hAnsi="宋体" w:eastAsia="黑体" w:cs="Arial"/>
                <w:b/>
                <w:color w:val="000000"/>
                <w:sz w:val="24"/>
                <w:szCs w:val="24"/>
              </w:rPr>
            </w:pPr>
            <w:r>
              <w:rPr>
                <w:rFonts w:hint="eastAsia" w:ascii="黑体" w:hAnsi="宋体" w:eastAsia="黑体" w:cs="Arial"/>
                <w:b/>
                <w:color w:val="000000"/>
                <w:sz w:val="24"/>
                <w:szCs w:val="24"/>
              </w:rPr>
              <w:t>控制点</w:t>
            </w:r>
          </w:p>
        </w:tc>
        <w:tc>
          <w:tcPr>
            <w:tcW w:w="5545"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widowControl/>
              <w:spacing w:line="276" w:lineRule="auto"/>
              <w:jc w:val="center"/>
              <w:rPr>
                <w:rFonts w:hint="eastAsia" w:ascii="黑体" w:hAnsi="宋体" w:eastAsia="黑体" w:cs="Arial"/>
                <w:b/>
                <w:color w:val="000000"/>
                <w:sz w:val="24"/>
                <w:szCs w:val="24"/>
              </w:rPr>
            </w:pPr>
            <w:r>
              <w:rPr>
                <w:rFonts w:hint="eastAsia" w:ascii="黑体" w:hAnsi="宋体" w:eastAsia="黑体" w:cs="Arial"/>
                <w:b/>
                <w:color w:val="000000"/>
                <w:sz w:val="24"/>
                <w:szCs w:val="24"/>
              </w:rPr>
              <w:t>测评实施描述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pPr>
              <w:spacing w:line="276" w:lineRule="auto"/>
              <w:jc w:val="center"/>
              <w:rPr>
                <w:rFonts w:hint="eastAsia"/>
                <w:sz w:val="24"/>
                <w:szCs w:val="24"/>
              </w:rPr>
            </w:pPr>
            <w:r>
              <w:rPr>
                <w:sz w:val="24"/>
                <w:szCs w:val="24"/>
              </w:rPr>
              <w:t>01</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widowControl/>
              <w:spacing w:line="276" w:lineRule="auto"/>
              <w:jc w:val="center"/>
              <w:rPr>
                <w:rFonts w:ascii="宋体" w:hAnsi="宋体" w:cs="Arial"/>
                <w:sz w:val="24"/>
                <w:szCs w:val="24"/>
              </w:rPr>
            </w:pPr>
            <w:r>
              <w:rPr>
                <w:rFonts w:hint="eastAsia" w:ascii="宋体" w:hAnsi="宋体" w:cs="Arial"/>
                <w:sz w:val="24"/>
                <w:szCs w:val="24"/>
              </w:rPr>
              <w:t>岗位设置</w:t>
            </w:r>
          </w:p>
        </w:tc>
        <w:tc>
          <w:tcPr>
            <w:tcW w:w="5545" w:type="dxa"/>
            <w:tcBorders>
              <w:top w:val="single" w:color="auto" w:sz="4" w:space="0"/>
              <w:left w:val="single" w:color="auto" w:sz="4" w:space="0"/>
              <w:bottom w:val="single" w:color="auto" w:sz="4" w:space="0"/>
              <w:right w:val="single" w:color="auto" w:sz="4" w:space="0"/>
            </w:tcBorders>
            <w:noWrap w:val="0"/>
            <w:vAlign w:val="center"/>
          </w:tcPr>
          <w:p>
            <w:pPr>
              <w:widowControl/>
              <w:spacing w:line="276" w:lineRule="auto"/>
              <w:rPr>
                <w:rFonts w:hint="eastAsia" w:ascii="宋体" w:hAnsi="宋体" w:cs="Arial"/>
                <w:sz w:val="24"/>
                <w:szCs w:val="24"/>
              </w:rPr>
            </w:pPr>
            <w:r>
              <w:rPr>
                <w:rFonts w:hint="eastAsia" w:ascii="宋体" w:hAnsi="宋体" w:cs="Arial"/>
                <w:sz w:val="24"/>
                <w:szCs w:val="24"/>
              </w:rPr>
              <w:t>测评信息系统安全主管部门设置情况以及各岗位设置和岗位职责情况。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pPr>
              <w:spacing w:line="276" w:lineRule="auto"/>
              <w:jc w:val="center"/>
              <w:rPr>
                <w:rFonts w:hint="eastAsia"/>
                <w:sz w:val="24"/>
                <w:szCs w:val="24"/>
              </w:rPr>
            </w:pPr>
            <w:r>
              <w:rPr>
                <w:sz w:val="24"/>
                <w:szCs w:val="24"/>
              </w:rPr>
              <w:t>02</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widowControl/>
              <w:spacing w:line="276" w:lineRule="auto"/>
              <w:jc w:val="center"/>
              <w:rPr>
                <w:rFonts w:ascii="宋体" w:hAnsi="宋体" w:cs="Arial"/>
                <w:sz w:val="24"/>
                <w:szCs w:val="24"/>
              </w:rPr>
            </w:pPr>
            <w:r>
              <w:rPr>
                <w:rFonts w:hint="eastAsia" w:ascii="宋体" w:hAnsi="宋体" w:cs="Arial"/>
                <w:sz w:val="24"/>
                <w:szCs w:val="24"/>
              </w:rPr>
              <w:t>人员配备</w:t>
            </w:r>
          </w:p>
        </w:tc>
        <w:tc>
          <w:tcPr>
            <w:tcW w:w="5545" w:type="dxa"/>
            <w:tcBorders>
              <w:top w:val="single" w:color="auto" w:sz="4" w:space="0"/>
              <w:left w:val="single" w:color="auto" w:sz="4" w:space="0"/>
              <w:bottom w:val="single" w:color="auto" w:sz="4" w:space="0"/>
              <w:right w:val="single" w:color="auto" w:sz="4" w:space="0"/>
            </w:tcBorders>
            <w:noWrap w:val="0"/>
            <w:vAlign w:val="center"/>
          </w:tcPr>
          <w:p>
            <w:pPr>
              <w:widowControl/>
              <w:spacing w:line="276" w:lineRule="auto"/>
              <w:rPr>
                <w:rFonts w:hint="eastAsia" w:ascii="宋体" w:hAnsi="宋体" w:cs="Arial"/>
                <w:sz w:val="24"/>
                <w:szCs w:val="24"/>
              </w:rPr>
            </w:pPr>
            <w:r>
              <w:rPr>
                <w:rFonts w:hint="eastAsia" w:ascii="宋体" w:hAnsi="宋体" w:cs="Arial"/>
                <w:sz w:val="24"/>
                <w:szCs w:val="24"/>
              </w:rPr>
              <w:t>测评信息系统各个岗位人员配备情况。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pPr>
              <w:spacing w:line="276" w:lineRule="auto"/>
              <w:jc w:val="center"/>
              <w:rPr>
                <w:rFonts w:hint="eastAsia"/>
                <w:sz w:val="24"/>
                <w:szCs w:val="24"/>
              </w:rPr>
            </w:pPr>
            <w:r>
              <w:rPr>
                <w:sz w:val="24"/>
                <w:szCs w:val="24"/>
              </w:rPr>
              <w:t>03</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widowControl/>
              <w:spacing w:line="276" w:lineRule="auto"/>
              <w:jc w:val="center"/>
              <w:rPr>
                <w:rFonts w:ascii="宋体" w:hAnsi="宋体" w:cs="Arial"/>
                <w:sz w:val="24"/>
                <w:szCs w:val="24"/>
              </w:rPr>
            </w:pPr>
            <w:r>
              <w:rPr>
                <w:rFonts w:hint="eastAsia" w:ascii="宋体" w:hAnsi="宋体" w:cs="Arial"/>
                <w:sz w:val="24"/>
                <w:szCs w:val="24"/>
              </w:rPr>
              <w:t>授权和审批</w:t>
            </w:r>
          </w:p>
        </w:tc>
        <w:tc>
          <w:tcPr>
            <w:tcW w:w="5545" w:type="dxa"/>
            <w:tcBorders>
              <w:top w:val="single" w:color="auto" w:sz="4" w:space="0"/>
              <w:left w:val="single" w:color="auto" w:sz="4" w:space="0"/>
              <w:bottom w:val="single" w:color="auto" w:sz="4" w:space="0"/>
              <w:right w:val="single" w:color="auto" w:sz="4" w:space="0"/>
            </w:tcBorders>
            <w:noWrap w:val="0"/>
            <w:vAlign w:val="center"/>
          </w:tcPr>
          <w:p>
            <w:pPr>
              <w:widowControl/>
              <w:spacing w:line="276" w:lineRule="auto"/>
              <w:rPr>
                <w:rFonts w:hint="eastAsia" w:ascii="宋体" w:hAnsi="宋体" w:cs="Arial"/>
                <w:sz w:val="24"/>
                <w:szCs w:val="24"/>
              </w:rPr>
            </w:pPr>
            <w:r>
              <w:rPr>
                <w:rFonts w:hint="eastAsia" w:ascii="宋体" w:hAnsi="宋体" w:cs="Arial"/>
                <w:sz w:val="24"/>
                <w:szCs w:val="24"/>
              </w:rPr>
              <w:t>测评信息系统对关键活动的授权和审批情况。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pPr>
              <w:spacing w:line="276" w:lineRule="auto"/>
              <w:jc w:val="center"/>
              <w:rPr>
                <w:rFonts w:hint="eastAsia"/>
                <w:sz w:val="24"/>
                <w:szCs w:val="24"/>
              </w:rPr>
            </w:pPr>
            <w:r>
              <w:rPr>
                <w:sz w:val="24"/>
                <w:szCs w:val="24"/>
              </w:rPr>
              <w:t>04</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widowControl/>
              <w:spacing w:line="276" w:lineRule="auto"/>
              <w:jc w:val="center"/>
              <w:rPr>
                <w:rFonts w:ascii="宋体" w:hAnsi="宋体" w:cs="Arial"/>
                <w:sz w:val="24"/>
                <w:szCs w:val="24"/>
              </w:rPr>
            </w:pPr>
            <w:r>
              <w:rPr>
                <w:rFonts w:hint="eastAsia" w:ascii="宋体" w:hAnsi="宋体" w:cs="Arial"/>
                <w:sz w:val="24"/>
                <w:szCs w:val="24"/>
              </w:rPr>
              <w:t>沟通与合作</w:t>
            </w:r>
          </w:p>
        </w:tc>
        <w:tc>
          <w:tcPr>
            <w:tcW w:w="5545" w:type="dxa"/>
            <w:tcBorders>
              <w:top w:val="single" w:color="auto" w:sz="4" w:space="0"/>
              <w:left w:val="single" w:color="auto" w:sz="4" w:space="0"/>
              <w:bottom w:val="single" w:color="auto" w:sz="4" w:space="0"/>
              <w:right w:val="single" w:color="auto" w:sz="4" w:space="0"/>
            </w:tcBorders>
            <w:noWrap w:val="0"/>
            <w:vAlign w:val="center"/>
          </w:tcPr>
          <w:p>
            <w:pPr>
              <w:widowControl/>
              <w:spacing w:line="276" w:lineRule="auto"/>
              <w:rPr>
                <w:rFonts w:hint="eastAsia" w:ascii="宋体" w:hAnsi="宋体" w:cs="Arial"/>
                <w:sz w:val="24"/>
                <w:szCs w:val="24"/>
              </w:rPr>
            </w:pPr>
            <w:r>
              <w:rPr>
                <w:rFonts w:hint="eastAsia" w:ascii="宋体" w:hAnsi="宋体" w:cs="Arial"/>
                <w:sz w:val="24"/>
                <w:szCs w:val="24"/>
              </w:rPr>
              <w:t>测评信息系统内部部门间、与外部单位间的沟通与合作情况。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pPr>
              <w:spacing w:line="276" w:lineRule="auto"/>
              <w:jc w:val="center"/>
              <w:rPr>
                <w:rFonts w:hint="eastAsia"/>
                <w:sz w:val="24"/>
                <w:szCs w:val="24"/>
              </w:rPr>
            </w:pPr>
            <w:r>
              <w:rPr>
                <w:sz w:val="24"/>
                <w:szCs w:val="24"/>
              </w:rPr>
              <w:t>05</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widowControl/>
              <w:spacing w:line="276" w:lineRule="auto"/>
              <w:jc w:val="center"/>
              <w:rPr>
                <w:rFonts w:ascii="宋体" w:hAnsi="宋体" w:cs="Arial"/>
                <w:sz w:val="24"/>
                <w:szCs w:val="24"/>
              </w:rPr>
            </w:pPr>
            <w:r>
              <w:rPr>
                <w:rFonts w:hint="eastAsia" w:ascii="宋体" w:hAnsi="宋体" w:cs="Arial"/>
                <w:sz w:val="24"/>
                <w:szCs w:val="24"/>
              </w:rPr>
              <w:t>审核和检查</w:t>
            </w:r>
          </w:p>
        </w:tc>
        <w:tc>
          <w:tcPr>
            <w:tcW w:w="5545" w:type="dxa"/>
            <w:tcBorders>
              <w:top w:val="single" w:color="auto" w:sz="4" w:space="0"/>
              <w:left w:val="single" w:color="auto" w:sz="4" w:space="0"/>
              <w:bottom w:val="single" w:color="auto" w:sz="4" w:space="0"/>
              <w:right w:val="single" w:color="auto" w:sz="4" w:space="0"/>
            </w:tcBorders>
            <w:noWrap w:val="0"/>
            <w:vAlign w:val="center"/>
          </w:tcPr>
          <w:p>
            <w:pPr>
              <w:widowControl/>
              <w:spacing w:line="276" w:lineRule="auto"/>
              <w:rPr>
                <w:rFonts w:hint="eastAsia" w:ascii="宋体" w:hAnsi="宋体" w:cs="Arial"/>
                <w:sz w:val="24"/>
                <w:szCs w:val="24"/>
              </w:rPr>
            </w:pPr>
            <w:r>
              <w:rPr>
                <w:rFonts w:hint="eastAsia" w:ascii="宋体" w:hAnsi="宋体" w:cs="Arial"/>
                <w:sz w:val="24"/>
                <w:szCs w:val="24"/>
              </w:rPr>
              <w:t>检查信息系统安全工作的审核和测评情况。</w:t>
            </w:r>
          </w:p>
        </w:tc>
      </w:tr>
    </w:tbl>
    <w:p>
      <w:pPr>
        <w:pStyle w:val="6"/>
        <w:numPr>
          <w:ilvl w:val="0"/>
          <w:numId w:val="0"/>
        </w:numPr>
        <w:tabs>
          <w:tab w:val="left" w:pos="851"/>
          <w:tab w:val="clear" w:pos="1560"/>
        </w:tabs>
        <w:spacing w:line="240" w:lineRule="auto"/>
        <w:ind w:left="210" w:leftChars="0" w:firstLine="0" w:firstLineChars="0"/>
        <w:jc w:val="both"/>
        <w:rPr>
          <w:rFonts w:hint="eastAsia" w:ascii="宋体" w:hAnsi="宋体" w:eastAsia="宋体" w:cs="宋体"/>
          <w:b w:val="0"/>
          <w:bCs w:val="0"/>
          <w:sz w:val="24"/>
          <w:szCs w:val="24"/>
        </w:rPr>
      </w:pPr>
      <w:bookmarkStart w:id="45" w:name="_Toc275873336"/>
      <w:bookmarkStart w:id="46" w:name="_Toc275873233"/>
      <w:bookmarkStart w:id="47" w:name="_Toc26381"/>
      <w:r>
        <w:rPr>
          <w:rFonts w:hint="eastAsia" w:ascii="宋体" w:hAnsi="宋体" w:cs="宋体"/>
          <w:b w:val="0"/>
          <w:bCs w:val="0"/>
          <w:sz w:val="24"/>
          <w:szCs w:val="24"/>
          <w:lang w:val="en-US" w:eastAsia="zh-CN"/>
        </w:rPr>
        <w:t>4.1.9</w:t>
      </w:r>
      <w:r>
        <w:rPr>
          <w:rFonts w:hint="eastAsia" w:ascii="宋体" w:hAnsi="宋体" w:eastAsia="宋体" w:cs="宋体"/>
          <w:b w:val="0"/>
          <w:bCs w:val="0"/>
          <w:sz w:val="24"/>
          <w:szCs w:val="24"/>
        </w:rPr>
        <w:t>安全管理</w:t>
      </w:r>
      <w:bookmarkEnd w:id="45"/>
      <w:bookmarkEnd w:id="46"/>
      <w:r>
        <w:rPr>
          <w:rFonts w:hint="eastAsia" w:ascii="宋体" w:hAnsi="宋体" w:eastAsia="宋体" w:cs="宋体"/>
          <w:b w:val="0"/>
          <w:bCs w:val="0"/>
          <w:sz w:val="24"/>
          <w:szCs w:val="24"/>
        </w:rPr>
        <w:t>人员</w:t>
      </w:r>
      <w:bookmarkEnd w:id="47"/>
    </w:p>
    <w:p>
      <w:pPr>
        <w:ind w:firstLine="420"/>
        <w:jc w:val="left"/>
        <w:rPr>
          <w:rFonts w:hint="eastAsia" w:ascii="Times New Roman" w:hAnsi="Times New Roman" w:cs="宋体"/>
          <w:sz w:val="28"/>
          <w:szCs w:val="28"/>
        </w:rPr>
      </w:pPr>
      <w:r>
        <w:rPr>
          <w:rFonts w:hint="eastAsia" w:ascii="Times New Roman" w:hAnsi="Times New Roman" w:cs="宋体"/>
          <w:sz w:val="24"/>
          <w:szCs w:val="24"/>
        </w:rPr>
        <w:t>在安全管理人员测评中，主要涉及人员录用、人员离岗、安全意识教育和培训、外部人员访问管理</w:t>
      </w:r>
      <w:r>
        <w:rPr>
          <w:rFonts w:ascii="Times New Roman" w:hAnsi="Times New Roman" w:cs="宋体"/>
          <w:sz w:val="24"/>
          <w:szCs w:val="24"/>
        </w:rPr>
        <w:t>4</w:t>
      </w:r>
      <w:r>
        <w:rPr>
          <w:rFonts w:hint="eastAsia" w:ascii="Times New Roman" w:hAnsi="Times New Roman" w:cs="宋体"/>
          <w:sz w:val="24"/>
          <w:szCs w:val="24"/>
        </w:rPr>
        <w:t>个方面的安全保护能力，具体测评指标描述如下表所示：</w:t>
      </w:r>
    </w:p>
    <w:tbl>
      <w:tblPr>
        <w:tblStyle w:val="36"/>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2277"/>
        <w:gridCol w:w="55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33"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黑体" w:hAnsi="宋体" w:eastAsia="黑体" w:cs="Arial"/>
                <w:b/>
                <w:color w:val="000000"/>
                <w:sz w:val="24"/>
                <w:szCs w:val="24"/>
              </w:rPr>
            </w:pPr>
            <w:r>
              <w:rPr>
                <w:rFonts w:hint="eastAsia" w:ascii="黑体" w:hAnsi="宋体" w:eastAsia="黑体" w:cs="Arial"/>
                <w:b/>
                <w:color w:val="000000"/>
                <w:sz w:val="24"/>
                <w:szCs w:val="24"/>
              </w:rPr>
              <w:t>序号</w:t>
            </w:r>
          </w:p>
        </w:tc>
        <w:tc>
          <w:tcPr>
            <w:tcW w:w="2277"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控制点</w:t>
            </w:r>
          </w:p>
        </w:tc>
        <w:tc>
          <w:tcPr>
            <w:tcW w:w="5537"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测评实施描述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3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01</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人员录用</w:t>
            </w:r>
          </w:p>
        </w:tc>
        <w:tc>
          <w:tcPr>
            <w:tcW w:w="55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测评信息系统录用人员时是否对人员提出要求以及是否对其进行各种审查和考核。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3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02</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人员离岗</w:t>
            </w:r>
          </w:p>
        </w:tc>
        <w:tc>
          <w:tcPr>
            <w:tcW w:w="55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测评信息系统人员离岗时是否按照一定的手续办理。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3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03</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安全意识教育和培训</w:t>
            </w:r>
          </w:p>
        </w:tc>
        <w:tc>
          <w:tcPr>
            <w:tcW w:w="55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测评是否对人员进行安全方面的教育和培训。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3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04</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外部人员访问管理</w:t>
            </w:r>
          </w:p>
        </w:tc>
        <w:tc>
          <w:tcPr>
            <w:tcW w:w="553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测评对第三方人员访问（物理、逻辑）系统是否采取必要控制措施。</w:t>
            </w:r>
          </w:p>
        </w:tc>
      </w:tr>
    </w:tbl>
    <w:p>
      <w:pPr>
        <w:pStyle w:val="6"/>
        <w:numPr>
          <w:ilvl w:val="0"/>
          <w:numId w:val="0"/>
        </w:numPr>
        <w:tabs>
          <w:tab w:val="left" w:pos="851"/>
          <w:tab w:val="clear" w:pos="1560"/>
        </w:tabs>
        <w:spacing w:line="240" w:lineRule="auto"/>
        <w:ind w:left="210" w:leftChars="0" w:firstLine="0" w:firstLineChars="0"/>
        <w:jc w:val="both"/>
        <w:rPr>
          <w:rFonts w:hint="eastAsia" w:ascii="宋体" w:hAnsi="宋体" w:eastAsia="宋体" w:cs="宋体"/>
          <w:b w:val="0"/>
          <w:bCs w:val="0"/>
          <w:sz w:val="24"/>
          <w:szCs w:val="24"/>
        </w:rPr>
      </w:pPr>
      <w:bookmarkStart w:id="48" w:name="_Toc275873337"/>
      <w:bookmarkStart w:id="49" w:name="_Toc29411"/>
      <w:bookmarkStart w:id="50" w:name="_Toc275873234"/>
      <w:r>
        <w:rPr>
          <w:rFonts w:hint="eastAsia" w:ascii="宋体" w:hAnsi="宋体" w:cs="宋体"/>
          <w:b w:val="0"/>
          <w:bCs w:val="0"/>
          <w:sz w:val="24"/>
          <w:szCs w:val="24"/>
          <w:lang w:val="en-US" w:eastAsia="zh-CN"/>
        </w:rPr>
        <w:t>4.1.10</w:t>
      </w:r>
      <w:r>
        <w:rPr>
          <w:rFonts w:hint="eastAsia" w:ascii="宋体" w:hAnsi="宋体" w:eastAsia="宋体" w:cs="宋体"/>
          <w:b w:val="0"/>
          <w:bCs w:val="0"/>
          <w:sz w:val="24"/>
          <w:szCs w:val="24"/>
        </w:rPr>
        <w:t>安全建设管理</w:t>
      </w:r>
      <w:bookmarkEnd w:id="48"/>
      <w:bookmarkEnd w:id="49"/>
      <w:bookmarkEnd w:id="50"/>
    </w:p>
    <w:p>
      <w:pPr>
        <w:ind w:firstLine="420"/>
        <w:jc w:val="left"/>
        <w:rPr>
          <w:rFonts w:hint="eastAsia" w:ascii="Times New Roman" w:hAnsi="Times New Roman" w:cs="宋体"/>
          <w:sz w:val="24"/>
          <w:szCs w:val="24"/>
        </w:rPr>
      </w:pPr>
      <w:r>
        <w:rPr>
          <w:rFonts w:hint="eastAsia" w:ascii="Times New Roman" w:hAnsi="Times New Roman" w:cs="宋体"/>
          <w:sz w:val="24"/>
          <w:szCs w:val="24"/>
        </w:rPr>
        <w:t>在安全建设管理测评中，主要涉及定级和备案、安全方案设计、产品采购和使用、自行软件开发、外包软件开发、工程实施、测试验收、系统交付、等级测评、服务供应商选择</w:t>
      </w:r>
      <w:r>
        <w:rPr>
          <w:rFonts w:ascii="Times New Roman" w:hAnsi="Times New Roman" w:cs="宋体"/>
          <w:sz w:val="24"/>
          <w:szCs w:val="24"/>
        </w:rPr>
        <w:t>10</w:t>
      </w:r>
      <w:r>
        <w:rPr>
          <w:rFonts w:hint="eastAsia" w:ascii="Times New Roman" w:hAnsi="Times New Roman" w:cs="宋体"/>
          <w:sz w:val="24"/>
          <w:szCs w:val="24"/>
        </w:rPr>
        <w:t>个方面的安全保护能力，具体测评指标描述如下表所示：</w:t>
      </w:r>
    </w:p>
    <w:tbl>
      <w:tblPr>
        <w:tblStyle w:val="36"/>
        <w:tblW w:w="8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277"/>
        <w:gridCol w:w="5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20"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黑体" w:hAnsi="宋体" w:eastAsia="黑体" w:cs="Arial"/>
                <w:b/>
                <w:color w:val="000000"/>
                <w:sz w:val="24"/>
                <w:szCs w:val="24"/>
              </w:rPr>
            </w:pPr>
            <w:r>
              <w:rPr>
                <w:rFonts w:hint="eastAsia" w:ascii="黑体" w:hAnsi="宋体" w:eastAsia="黑体" w:cs="Arial"/>
                <w:b/>
                <w:color w:val="000000"/>
                <w:sz w:val="24"/>
                <w:szCs w:val="24"/>
              </w:rPr>
              <w:t>序号</w:t>
            </w:r>
          </w:p>
        </w:tc>
        <w:tc>
          <w:tcPr>
            <w:tcW w:w="2277"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控制点</w:t>
            </w:r>
          </w:p>
        </w:tc>
        <w:tc>
          <w:tcPr>
            <w:tcW w:w="5524"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测评实施描述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01</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定级和备案</w:t>
            </w:r>
          </w:p>
        </w:tc>
        <w:tc>
          <w:tcPr>
            <w:tcW w:w="5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测评是否按照一定要求确定系统的安全等级并完成备案工作。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02</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安全方案设计</w:t>
            </w:r>
          </w:p>
        </w:tc>
        <w:tc>
          <w:tcPr>
            <w:tcW w:w="5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测评系统整体的安全规划设计是否按照一定流程进行。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03</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产品采购和使用</w:t>
            </w:r>
          </w:p>
        </w:tc>
        <w:tc>
          <w:tcPr>
            <w:tcW w:w="5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测评是否按照一定的要求进行系统的产品采购。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04</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自行软件开发</w:t>
            </w:r>
          </w:p>
        </w:tc>
        <w:tc>
          <w:tcPr>
            <w:tcW w:w="5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测评自行开发的软件是否采取必要的措施保证开发过程的安全性。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05</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外包软件开发</w:t>
            </w:r>
          </w:p>
        </w:tc>
        <w:tc>
          <w:tcPr>
            <w:tcW w:w="5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测评外包开发的软件是否采取必要的措施保证开发过程的安全性和日后的维护工作能够正常开展。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06</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工程实施</w:t>
            </w:r>
          </w:p>
        </w:tc>
        <w:tc>
          <w:tcPr>
            <w:tcW w:w="5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测评系统建设的实施过程是否采取必要的措施使其在机构可控的范围内进行。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07</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测试验收</w:t>
            </w:r>
          </w:p>
        </w:tc>
        <w:tc>
          <w:tcPr>
            <w:tcW w:w="5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测评系统运行前是否对其进行测试验收工作。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08</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系统交付</w:t>
            </w:r>
          </w:p>
        </w:tc>
        <w:tc>
          <w:tcPr>
            <w:tcW w:w="5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测评是否采取必要的措施对系统交付过程进行有效控制。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09</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等级测评</w:t>
            </w:r>
          </w:p>
        </w:tc>
        <w:tc>
          <w:tcPr>
            <w:tcW w:w="5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测评是否依据国家要求完成等级测评和整改工作。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eastAsia="宋体"/>
                <w:sz w:val="24"/>
                <w:szCs w:val="24"/>
              </w:rPr>
            </w:pPr>
            <w:r>
              <w:rPr>
                <w:sz w:val="24"/>
                <w:szCs w:val="24"/>
              </w:rPr>
              <w:t>10</w:t>
            </w:r>
          </w:p>
        </w:tc>
        <w:tc>
          <w:tcPr>
            <w:tcW w:w="227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服务供应商选择</w:t>
            </w:r>
          </w:p>
        </w:tc>
        <w:tc>
          <w:tcPr>
            <w:tcW w:w="55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测评是否选择符合国家有关规定的安全服务单位进行相关的安全服务工作。</w:t>
            </w:r>
          </w:p>
        </w:tc>
      </w:tr>
    </w:tbl>
    <w:p>
      <w:pPr>
        <w:pStyle w:val="6"/>
        <w:numPr>
          <w:ilvl w:val="0"/>
          <w:numId w:val="0"/>
        </w:numPr>
        <w:tabs>
          <w:tab w:val="left" w:pos="851"/>
          <w:tab w:val="clear" w:pos="1560"/>
        </w:tabs>
        <w:spacing w:line="240" w:lineRule="auto"/>
        <w:ind w:left="210" w:leftChars="0" w:firstLine="0" w:firstLineChars="0"/>
        <w:jc w:val="both"/>
        <w:rPr>
          <w:rFonts w:hint="eastAsia" w:ascii="宋体" w:hAnsi="宋体" w:eastAsia="宋体" w:cs="宋体"/>
          <w:b w:val="0"/>
          <w:bCs w:val="0"/>
          <w:sz w:val="24"/>
          <w:szCs w:val="24"/>
        </w:rPr>
      </w:pPr>
      <w:bookmarkStart w:id="51" w:name="_Toc275873235"/>
      <w:bookmarkStart w:id="52" w:name="_Toc21487"/>
      <w:bookmarkStart w:id="53" w:name="_Toc275873338"/>
      <w:r>
        <w:rPr>
          <w:rFonts w:hint="eastAsia" w:ascii="宋体" w:hAnsi="宋体" w:cs="宋体"/>
          <w:b w:val="0"/>
          <w:bCs w:val="0"/>
          <w:sz w:val="24"/>
          <w:szCs w:val="24"/>
          <w:lang w:val="en-US" w:eastAsia="zh-CN"/>
        </w:rPr>
        <w:t>4.1.11</w:t>
      </w:r>
      <w:r>
        <w:rPr>
          <w:rFonts w:hint="eastAsia" w:ascii="宋体" w:hAnsi="宋体" w:eastAsia="宋体" w:cs="宋体"/>
          <w:b w:val="0"/>
          <w:bCs w:val="0"/>
          <w:sz w:val="24"/>
          <w:szCs w:val="24"/>
        </w:rPr>
        <w:t>安全运维管理</w:t>
      </w:r>
      <w:bookmarkEnd w:id="51"/>
      <w:bookmarkEnd w:id="52"/>
      <w:bookmarkEnd w:id="53"/>
    </w:p>
    <w:p>
      <w:pPr>
        <w:ind w:firstLine="420"/>
        <w:jc w:val="left"/>
        <w:rPr>
          <w:rFonts w:hint="eastAsia" w:ascii="Times New Roman" w:hAnsi="Times New Roman" w:cs="宋体"/>
          <w:sz w:val="24"/>
          <w:szCs w:val="24"/>
        </w:rPr>
      </w:pPr>
      <w:r>
        <w:rPr>
          <w:rFonts w:hint="eastAsia" w:ascii="Times New Roman" w:hAnsi="Times New Roman" w:cs="宋体"/>
          <w:sz w:val="24"/>
          <w:szCs w:val="24"/>
        </w:rPr>
        <w:t>在安全运维管理测评中，主要涉及环境管理、资产管理、介质管理、设备维护管理、漏洞和风险管理、网络和系统安全管理、恶意代码防范管理、配置管理、密码管理、变更管理、备份与恢复管理、安全事件处置、应急预案管理、外包运维管理</w:t>
      </w:r>
      <w:r>
        <w:rPr>
          <w:rFonts w:ascii="Times New Roman" w:hAnsi="Times New Roman" w:cs="宋体"/>
          <w:sz w:val="24"/>
          <w:szCs w:val="24"/>
        </w:rPr>
        <w:t>14</w:t>
      </w:r>
      <w:r>
        <w:rPr>
          <w:rFonts w:hint="eastAsia" w:ascii="Times New Roman" w:hAnsi="Times New Roman" w:cs="宋体"/>
          <w:sz w:val="24"/>
          <w:szCs w:val="24"/>
        </w:rPr>
        <w:t>个方面的安全保护能力，具体测评指标描述如下表所示：</w:t>
      </w:r>
    </w:p>
    <w:tbl>
      <w:tblPr>
        <w:tblStyle w:val="36"/>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1924"/>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黑体" w:hAnsi="宋体" w:eastAsia="黑体" w:cs="Arial"/>
                <w:b/>
                <w:color w:val="000000"/>
                <w:sz w:val="24"/>
                <w:szCs w:val="24"/>
              </w:rPr>
            </w:pPr>
            <w:r>
              <w:rPr>
                <w:rFonts w:hint="eastAsia" w:ascii="黑体" w:hAnsi="宋体" w:eastAsia="黑体" w:cs="Arial"/>
                <w:b/>
                <w:color w:val="000000"/>
                <w:sz w:val="24"/>
                <w:szCs w:val="24"/>
              </w:rPr>
              <w:t>序号</w:t>
            </w:r>
          </w:p>
        </w:tc>
        <w:tc>
          <w:tcPr>
            <w:tcW w:w="1924"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控制点</w:t>
            </w:r>
          </w:p>
        </w:tc>
        <w:tc>
          <w:tcPr>
            <w:tcW w:w="6379"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hint="eastAsia" w:ascii="黑体" w:hAnsi="宋体" w:eastAsia="黑体" w:cs="Arial"/>
                <w:b/>
                <w:color w:val="000000"/>
                <w:sz w:val="24"/>
                <w:szCs w:val="24"/>
              </w:rPr>
            </w:pPr>
            <w:r>
              <w:rPr>
                <w:rFonts w:hint="eastAsia" w:ascii="黑体" w:hAnsi="宋体" w:eastAsia="黑体" w:cs="Arial"/>
                <w:b/>
                <w:color w:val="000000"/>
                <w:sz w:val="24"/>
                <w:szCs w:val="24"/>
              </w:rPr>
              <w:t>测评实施描述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01</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环境管理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测评是否采取必要的措施对机房的出入控制以及办公环境的人员行为等方面进行安全管理。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02</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资产管理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测评是否采取必要的措施对系统的资产进行分类标识管理。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03</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介质管理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测评是否采取必要的措施对介质存放环境、使用、维护和销毁等方面进行管理。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04</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设备维护管理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测评是否采取必要的措施确保设备在使用、维护和销毁等过程安全。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05</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漏洞和风险管理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测评是否采取必要的措施识别安全漏洞和隐患，对发现的安全漏洞和隐患及时进行修补。测评是否定期开展安全测评。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06</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网络和系统安全管理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测评是否采取必要的措施对网络和系统的安全配置、系统账户、漏洞扫描和审计日志等方面进行有效的管理。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07</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恶意代码防范管理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测评是否采取必要的措施对恶意代码进行有效管理，确保系统具有恶意代码防范能力。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08</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配置管理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测评是否记录和保存系统的基本配置信息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09</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密码管理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测评是否能够确保信息系统中密码算法和密钥的使用符合国家密码管理规定。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10</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变更管理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测评是否采取必要的措施对系统发生的变更进行有效管理。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11</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备份与恢复管理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测评是否采取必要的措施对重要业务信息，系统数据和系统软件进行备份，并确保必要时能够对这些数据有效地恢复。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12</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安全事件处置</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测评是否采取必要的措施对安全事件进行等级划分和对安全事件的报告、处理过程进行有效的管理。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sz w:val="24"/>
                <w:szCs w:val="24"/>
              </w:rPr>
            </w:pPr>
            <w:r>
              <w:rPr>
                <w:sz w:val="24"/>
                <w:szCs w:val="24"/>
              </w:rPr>
              <w:t>13</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应急预案管理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测评是否针对不同安全事件制定相应的应急预案，是否对应急预案展开培训、演练和审查等。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line="276" w:lineRule="auto"/>
              <w:ind w:firstLine="0" w:firstLineChars="0"/>
              <w:jc w:val="center"/>
              <w:textAlignment w:val="auto"/>
              <w:rPr>
                <w:rFonts w:hint="eastAsia" w:eastAsia="宋体"/>
                <w:sz w:val="24"/>
                <w:szCs w:val="24"/>
              </w:rPr>
            </w:pPr>
            <w:r>
              <w:rPr>
                <w:sz w:val="24"/>
                <w:szCs w:val="24"/>
              </w:rPr>
              <w:t>14</w:t>
            </w:r>
          </w:p>
        </w:tc>
        <w:tc>
          <w:tcPr>
            <w:tcW w:w="192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jc w:val="center"/>
              <w:textAlignment w:val="auto"/>
              <w:rPr>
                <w:rFonts w:ascii="宋体" w:hAnsi="宋体" w:cs="Arial"/>
                <w:sz w:val="24"/>
                <w:szCs w:val="24"/>
              </w:rPr>
            </w:pPr>
            <w:r>
              <w:rPr>
                <w:rFonts w:hint="eastAsia" w:ascii="宋体" w:hAnsi="宋体" w:cs="Arial"/>
                <w:sz w:val="24"/>
                <w:szCs w:val="24"/>
              </w:rPr>
              <w:t>外包运维管理</w:t>
            </w:r>
          </w:p>
        </w:tc>
        <w:tc>
          <w:tcPr>
            <w:tcW w:w="63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76" w:lineRule="auto"/>
              <w:ind w:firstLine="0" w:firstLineChars="0"/>
              <w:textAlignment w:val="auto"/>
              <w:rPr>
                <w:rFonts w:hint="eastAsia" w:ascii="宋体" w:hAnsi="宋体" w:cs="Arial"/>
                <w:sz w:val="24"/>
                <w:szCs w:val="24"/>
              </w:rPr>
            </w:pPr>
            <w:r>
              <w:rPr>
                <w:rFonts w:hint="eastAsia" w:ascii="宋体" w:hAnsi="宋体" w:cs="Arial"/>
                <w:sz w:val="24"/>
                <w:szCs w:val="24"/>
              </w:rPr>
              <w:t>测评外包运维服务商的选择是否符合国家的有关规定并签订相关协议。</w:t>
            </w:r>
          </w:p>
        </w:tc>
      </w:tr>
    </w:tbl>
    <w:p>
      <w:pPr>
        <w:bidi w:val="0"/>
      </w:pPr>
    </w:p>
    <w:p>
      <w:pPr>
        <w:keepNext/>
        <w:keepLines/>
        <w:numPr>
          <w:ilvl w:val="1"/>
          <w:numId w:val="0"/>
        </w:numPr>
        <w:spacing w:before="260" w:after="260" w:line="360" w:lineRule="auto"/>
        <w:ind w:left="576" w:hanging="576"/>
        <w:outlineLvl w:val="1"/>
        <w:rPr>
          <w:rFonts w:hint="eastAsia" w:ascii="Times New Roman" w:hAnsi="Times New Roman" w:eastAsia="宋体" w:cs="Times New Roman"/>
          <w:b/>
          <w:bCs/>
          <w:kern w:val="44"/>
          <w:sz w:val="24"/>
        </w:rPr>
      </w:pPr>
      <w:bookmarkStart w:id="54" w:name="_Toc1646"/>
      <w:r>
        <w:rPr>
          <w:b/>
          <w:bCs/>
          <w:kern w:val="44"/>
          <w:sz w:val="24"/>
        </w:rPr>
        <w:t xml:space="preserve">4.2 </w:t>
      </w:r>
      <w:r>
        <w:rPr>
          <w:rFonts w:hint="eastAsia" w:ascii="Times New Roman" w:hAnsi="Times New Roman" w:eastAsia="宋体" w:cs="Times New Roman"/>
          <w:b/>
          <w:bCs/>
          <w:kern w:val="44"/>
          <w:sz w:val="24"/>
        </w:rPr>
        <w:t>测评</w:t>
      </w:r>
      <w:r>
        <w:rPr>
          <w:rFonts w:hint="eastAsia" w:ascii="Times New Roman" w:hAnsi="Times New Roman" w:eastAsia="宋体" w:cs="Times New Roman"/>
          <w:b/>
          <w:bCs/>
          <w:kern w:val="44"/>
          <w:sz w:val="24"/>
          <w:lang w:val="en-US" w:eastAsia="zh-CN"/>
        </w:rPr>
        <w:t>时间安排及验收交付</w:t>
      </w:r>
    </w:p>
    <w:p>
      <w:pPr>
        <w:numPr>
          <w:ilvl w:val="0"/>
          <w:numId w:val="0"/>
        </w:numPr>
        <w:tabs>
          <w:tab w:val="left" w:pos="0"/>
        </w:tabs>
        <w:overflowPunct w:val="0"/>
        <w:topLinePunct/>
        <w:snapToGrid w:val="0"/>
        <w:spacing w:line="360" w:lineRule="auto"/>
        <w:ind w:leftChars="0"/>
        <w:outlineLvl w:val="2"/>
        <w:rPr>
          <w:rFonts w:hint="eastAsia" w:ascii="宋体" w:hAnsi="宋体" w:eastAsia="宋体" w:cs="宋体"/>
          <w:sz w:val="24"/>
          <w:szCs w:val="24"/>
          <w:lang w:val="en-US" w:eastAsia="zh-CN"/>
        </w:rPr>
      </w:pPr>
      <w:r>
        <w:rPr>
          <w:rFonts w:hint="eastAsia"/>
          <w:lang w:val="en-US" w:eastAsia="zh-CN"/>
        </w:rPr>
        <w:t>4.2.1</w:t>
      </w:r>
      <w:r>
        <w:rPr>
          <w:rFonts w:hint="eastAsia" w:ascii="宋体" w:hAnsi="宋体" w:eastAsia="宋体" w:cs="宋体"/>
          <w:sz w:val="24"/>
          <w:szCs w:val="24"/>
          <w:lang w:val="en-US" w:eastAsia="zh-CN"/>
        </w:rPr>
        <w:t>工作进度</w:t>
      </w:r>
    </w:p>
    <w:p>
      <w:pPr>
        <w:numPr>
          <w:ilvl w:val="0"/>
          <w:numId w:val="10"/>
        </w:numPr>
        <w:snapToGrid w:val="0"/>
        <w:spacing w:line="360" w:lineRule="auto"/>
        <w:ind w:left="420" w:leftChars="0" w:hanging="420" w:firstLineChars="0"/>
        <w:jc w:val="left"/>
        <w:outlineLvl w:val="9"/>
        <w:rPr>
          <w:rFonts w:hint="eastAsia" w:ascii="宋体" w:hAnsi="宋体" w:eastAsia="宋体" w:cs="宋体"/>
          <w:sz w:val="24"/>
          <w:szCs w:val="24"/>
        </w:rPr>
      </w:pPr>
      <w:bookmarkStart w:id="55" w:name="_Toc3919"/>
      <w:r>
        <w:rPr>
          <w:rFonts w:hint="eastAsia" w:ascii="宋体" w:hAnsi="宋体" w:eastAsia="宋体" w:cs="宋体"/>
          <w:sz w:val="24"/>
          <w:szCs w:val="24"/>
        </w:rPr>
        <w:t>筹划准备阶段</w:t>
      </w:r>
      <w:bookmarkEnd w:id="55"/>
    </w:p>
    <w:p>
      <w:pPr>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工作内容：对被测评系统防护现状进行详细分析和调研，初步确定测评施方案、范围，收集材料，签署保密协议，组建测评项目组，并进行进场实施前的安全教育工作，同时完成了检测工具、装备配置等各项准备工作。</w:t>
      </w:r>
    </w:p>
    <w:p>
      <w:pPr>
        <w:numPr>
          <w:ilvl w:val="0"/>
          <w:numId w:val="10"/>
        </w:numPr>
        <w:snapToGrid w:val="0"/>
        <w:spacing w:line="360" w:lineRule="auto"/>
        <w:ind w:left="420" w:leftChars="0" w:hanging="420" w:firstLineChars="0"/>
        <w:jc w:val="left"/>
        <w:outlineLvl w:val="9"/>
        <w:rPr>
          <w:rFonts w:hint="eastAsia" w:ascii="宋体" w:hAnsi="宋体" w:eastAsia="宋体" w:cs="宋体"/>
          <w:sz w:val="24"/>
          <w:szCs w:val="24"/>
        </w:rPr>
      </w:pPr>
      <w:bookmarkStart w:id="56" w:name="_Toc17368"/>
      <w:r>
        <w:rPr>
          <w:rFonts w:hint="eastAsia" w:ascii="宋体" w:hAnsi="宋体" w:eastAsia="宋体" w:cs="宋体"/>
          <w:sz w:val="24"/>
          <w:szCs w:val="24"/>
        </w:rPr>
        <w:t>启动阶段</w:t>
      </w:r>
      <w:bookmarkEnd w:id="56"/>
    </w:p>
    <w:p>
      <w:pPr>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工作内容：测评项目组进驻被测单位，收集分析信息资产资料、网络资料、业务系统资料和信息安全管理制度方针等相关测评所需材料，并召开启动会，就测评工作具体事宜进行落实，包括确定测评计划安排、测评范围、测评内容和配合需求等。</w:t>
      </w:r>
    </w:p>
    <w:p>
      <w:pPr>
        <w:numPr>
          <w:ilvl w:val="0"/>
          <w:numId w:val="10"/>
        </w:numPr>
        <w:snapToGrid w:val="0"/>
        <w:spacing w:line="360" w:lineRule="auto"/>
        <w:ind w:left="420" w:leftChars="0" w:hanging="420" w:firstLineChars="0"/>
        <w:jc w:val="left"/>
        <w:outlineLvl w:val="9"/>
        <w:rPr>
          <w:rFonts w:hint="eastAsia" w:ascii="宋体" w:hAnsi="宋体" w:eastAsia="宋体" w:cs="宋体"/>
          <w:sz w:val="24"/>
          <w:szCs w:val="24"/>
        </w:rPr>
      </w:pPr>
      <w:r>
        <w:rPr>
          <w:rFonts w:hint="eastAsia" w:ascii="宋体" w:hAnsi="宋体" w:eastAsia="宋体" w:cs="宋体"/>
          <w:sz w:val="24"/>
          <w:szCs w:val="24"/>
        </w:rPr>
        <w:t>现场测评</w:t>
      </w:r>
    </w:p>
    <w:p>
      <w:pPr>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测评项目组从管理和技术两个方面入手，开展被测单位系统测评工作，包括安全区划分、网络专用，评估管理和制度、基础网络、业务系统、通用服务、主机系统、数据库系统、现有安全措施等。</w:t>
      </w:r>
    </w:p>
    <w:p>
      <w:pPr>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测评方法有顾问访谈、日志审计、人工查看、漏洞扫描、自动化工具采集、白客渗透等。</w:t>
      </w:r>
    </w:p>
    <w:p>
      <w:pPr>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现场工作结束后，测评工作小组对现场测评情况进行初步整理汇总，向被测单位领导和系统管理员等汇报现场阶段工作情况。</w:t>
      </w:r>
    </w:p>
    <w:p>
      <w:pPr>
        <w:numPr>
          <w:ilvl w:val="0"/>
          <w:numId w:val="10"/>
        </w:numPr>
        <w:snapToGrid w:val="0"/>
        <w:spacing w:line="360" w:lineRule="auto"/>
        <w:ind w:left="420" w:leftChars="0" w:hanging="420" w:firstLineChars="0"/>
        <w:jc w:val="left"/>
        <w:outlineLvl w:val="9"/>
        <w:rPr>
          <w:rFonts w:hint="eastAsia" w:ascii="宋体" w:hAnsi="宋体" w:eastAsia="宋体" w:cs="宋体"/>
          <w:sz w:val="24"/>
          <w:szCs w:val="24"/>
        </w:rPr>
      </w:pPr>
      <w:r>
        <w:rPr>
          <w:rFonts w:hint="eastAsia" w:ascii="宋体" w:hAnsi="宋体" w:eastAsia="宋体" w:cs="宋体"/>
          <w:sz w:val="24"/>
          <w:szCs w:val="24"/>
        </w:rPr>
        <w:t>结论分析报告编制阶段</w:t>
      </w:r>
    </w:p>
    <w:p>
      <w:pPr>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工作内容：项目组对检测情况和采集的数据进行分类统计、风险计算、综合分析与评估，撰写被测单位系统《</w:t>
      </w:r>
      <w:r>
        <w:rPr>
          <w:rFonts w:hint="eastAsia" w:ascii="宋体" w:hAnsi="宋体" w:eastAsia="宋体" w:cs="宋体"/>
          <w:color w:val="000000"/>
          <w:sz w:val="24"/>
          <w:szCs w:val="24"/>
          <w:lang w:eastAsia="zh-CN"/>
        </w:rPr>
        <w:t>信息系统安全等级测评报告</w:t>
      </w:r>
      <w:r>
        <w:rPr>
          <w:rFonts w:hint="eastAsia" w:ascii="宋体" w:hAnsi="宋体" w:eastAsia="宋体" w:cs="宋体"/>
          <w:sz w:val="24"/>
          <w:szCs w:val="24"/>
        </w:rPr>
        <w:t>》。</w:t>
      </w:r>
    </w:p>
    <w:p>
      <w:pPr>
        <w:numPr>
          <w:ilvl w:val="0"/>
          <w:numId w:val="10"/>
        </w:numPr>
        <w:snapToGrid w:val="0"/>
        <w:spacing w:line="360" w:lineRule="auto"/>
        <w:ind w:left="420" w:leftChars="0" w:hanging="420" w:firstLineChars="0"/>
        <w:jc w:val="left"/>
        <w:outlineLvl w:val="9"/>
        <w:rPr>
          <w:rFonts w:hint="eastAsia" w:ascii="宋体" w:hAnsi="宋体" w:eastAsia="宋体" w:cs="宋体"/>
          <w:sz w:val="24"/>
          <w:szCs w:val="24"/>
        </w:rPr>
      </w:pPr>
      <w:r>
        <w:rPr>
          <w:rFonts w:hint="eastAsia" w:ascii="宋体" w:hAnsi="宋体" w:eastAsia="宋体" w:cs="宋体"/>
          <w:sz w:val="24"/>
          <w:szCs w:val="24"/>
        </w:rPr>
        <w:t>整改技术支持阶段</w:t>
      </w:r>
    </w:p>
    <w:p>
      <w:pPr>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工作周期：根据整改进度而定</w:t>
      </w:r>
    </w:p>
    <w:p>
      <w:pPr>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工作内容：项目组针对现场测评发现的问题，出具整改建议后，向被测单位提供整改技术咨询支持。</w:t>
      </w:r>
    </w:p>
    <w:p>
      <w:pPr>
        <w:numPr>
          <w:ilvl w:val="0"/>
          <w:numId w:val="0"/>
        </w:numPr>
        <w:tabs>
          <w:tab w:val="left" w:pos="567"/>
        </w:tabs>
        <w:spacing w:line="360" w:lineRule="auto"/>
        <w:ind w:left="0" w:leftChars="0" w:firstLine="0" w:firstLineChars="0"/>
        <w:outlineLvl w:val="2"/>
        <w:rPr>
          <w:rFonts w:hint="eastAsia"/>
          <w:sz w:val="24"/>
        </w:rPr>
      </w:pPr>
      <w:bookmarkStart w:id="57" w:name="_Toc14540"/>
      <w:bookmarkStart w:id="58" w:name="_Toc21650"/>
      <w:r>
        <w:rPr>
          <w:rFonts w:hint="eastAsia" w:ascii="宋体" w:hAnsi="宋体"/>
          <w:b/>
          <w:sz w:val="24"/>
          <w:szCs w:val="24"/>
          <w:lang w:val="en-US" w:eastAsia="zh-CN"/>
        </w:rPr>
        <w:t>4.2.2</w:t>
      </w:r>
      <w:r>
        <w:rPr>
          <w:rFonts w:hint="eastAsia" w:ascii="宋体" w:hAnsi="宋体"/>
          <w:b/>
          <w:sz w:val="24"/>
          <w:szCs w:val="24"/>
        </w:rPr>
        <w:t>时间计划</w:t>
      </w:r>
      <w:bookmarkEnd w:id="57"/>
      <w:bookmarkEnd w:id="58"/>
    </w:p>
    <w:p>
      <w:pPr>
        <w:widowControl/>
        <w:ind w:firstLine="0" w:firstLineChars="0"/>
        <w:jc w:val="left"/>
        <w:rPr>
          <w:rFonts w:hint="eastAsia"/>
          <w:sz w:val="24"/>
        </w:rPr>
      </w:pPr>
      <w:r>
        <w:rPr>
          <w:rFonts w:hint="eastAsia"/>
          <w:sz w:val="24"/>
        </w:rPr>
        <w:t>本次等级测评的工作流程各阶段完成的关键任务和具体时间要求如下：</w:t>
      </w:r>
    </w:p>
    <w:p>
      <w:pPr>
        <w:pStyle w:val="5"/>
        <w:jc w:val="center"/>
        <w:rPr>
          <w:rFonts w:hint="default" w:eastAsia="宋体"/>
          <w:lang w:val="en-US" w:eastAsia="zh-CN"/>
        </w:rPr>
      </w:pPr>
      <w:r>
        <w:rPr>
          <w:rFonts w:hint="eastAsia" w:ascii="宋体" w:hAnsi="宋体"/>
          <w:sz w:val="24"/>
          <w:szCs w:val="24"/>
          <w:lang w:val="en-US" w:eastAsia="zh-CN"/>
        </w:rPr>
        <w:t>工作任务和时间安排表</w:t>
      </w:r>
    </w:p>
    <w:tbl>
      <w:tblPr>
        <w:tblStyle w:val="3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4"/>
        <w:gridCol w:w="2290"/>
        <w:gridCol w:w="2813"/>
        <w:gridCol w:w="17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blHeader/>
          <w:jc w:val="center"/>
        </w:trPr>
        <w:tc>
          <w:tcPr>
            <w:tcW w:w="1634"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ascii="宋体" w:hAnsi="宋体"/>
                <w:b/>
              </w:rPr>
            </w:pPr>
            <w:r>
              <w:rPr>
                <w:rFonts w:hint="eastAsia" w:ascii="宋体" w:hAnsi="宋体"/>
                <w:b/>
              </w:rPr>
              <w:t>阶段</w:t>
            </w:r>
          </w:p>
        </w:tc>
        <w:tc>
          <w:tcPr>
            <w:tcW w:w="2290"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b/>
              </w:rPr>
            </w:pPr>
            <w:r>
              <w:rPr>
                <w:rFonts w:hint="eastAsia" w:ascii="宋体" w:hAnsi="宋体"/>
                <w:b/>
              </w:rPr>
              <w:t>工作内容</w:t>
            </w:r>
          </w:p>
        </w:tc>
        <w:tc>
          <w:tcPr>
            <w:tcW w:w="2813"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b/>
              </w:rPr>
            </w:pPr>
            <w:r>
              <w:rPr>
                <w:rFonts w:hint="eastAsia" w:ascii="宋体" w:hAnsi="宋体"/>
                <w:b/>
              </w:rPr>
              <w:t>对象</w:t>
            </w:r>
          </w:p>
        </w:tc>
        <w:tc>
          <w:tcPr>
            <w:tcW w:w="1768"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b/>
              </w:rPr>
            </w:pPr>
            <w:r>
              <w:rPr>
                <w:rFonts w:hint="eastAsia" w:ascii="宋体" w:hAnsi="宋体"/>
                <w:b/>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b/>
                <w:sz w:val="21"/>
              </w:rPr>
            </w:pPr>
            <w:r>
              <w:rPr>
                <w:rFonts w:hint="eastAsia" w:ascii="宋体" w:hAnsi="宋体"/>
                <w:b/>
                <w:sz w:val="21"/>
              </w:rPr>
              <w:t>系统备案</w:t>
            </w: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sz w:val="21"/>
                <w:szCs w:val="21"/>
              </w:rPr>
            </w:pPr>
            <w:r>
              <w:rPr>
                <w:rFonts w:hint="eastAsia"/>
                <w:sz w:val="21"/>
                <w:szCs w:val="21"/>
              </w:rPr>
              <w:t>提供备案资料、完成备案手续</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r>
              <w:rPr>
                <w:rFonts w:hint="eastAsia" w:ascii="宋体" w:hAnsi="宋体"/>
                <w:sz w:val="21"/>
              </w:rPr>
              <w:t>项目甲乙双方</w:t>
            </w:r>
          </w:p>
        </w:tc>
        <w:tc>
          <w:tcPr>
            <w:tcW w:w="17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highlight w:val="yellow"/>
              </w:rPr>
            </w:pPr>
            <w:r>
              <w:rPr>
                <w:rFonts w:hint="eastAsia" w:ascii="宋体" w:hAnsi="宋体"/>
                <w:sz w:val="21"/>
              </w:rPr>
              <w:t>12个工作日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b/>
                <w:sz w:val="21"/>
              </w:rPr>
            </w:pPr>
            <w:r>
              <w:rPr>
                <w:rFonts w:hint="eastAsia" w:ascii="宋体" w:hAnsi="宋体"/>
                <w:b/>
                <w:sz w:val="21"/>
              </w:rPr>
              <w:t>实施准备阶段</w:t>
            </w: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项目启动</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rPr>
              <w:t>项目甲乙双方</w:t>
            </w:r>
          </w:p>
        </w:tc>
        <w:tc>
          <w:tcPr>
            <w:tcW w:w="176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lang w:val="en-US" w:eastAsia="zh-CN"/>
              </w:rPr>
              <w:t>5</w:t>
            </w:r>
            <w:r>
              <w:rPr>
                <w:rFonts w:hint="eastAsia" w:ascii="宋体" w:hAnsi="宋体"/>
                <w:sz w:val="21"/>
              </w:rPr>
              <w:t>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left"/>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信息收集与分析</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rPr>
              <w:t>调研表</w:t>
            </w: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left"/>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left"/>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sz w:val="21"/>
                <w:szCs w:val="21"/>
              </w:rPr>
            </w:pPr>
            <w:r>
              <w:rPr>
                <w:rFonts w:hint="eastAsia"/>
                <w:sz w:val="21"/>
                <w:szCs w:val="21"/>
              </w:rPr>
              <w:t>工具、文档、表单准备</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r>
              <w:rPr>
                <w:rFonts w:hint="eastAsia" w:ascii="宋体" w:hAnsi="宋体"/>
                <w:sz w:val="21"/>
              </w:rPr>
              <w:t>测评工具、测评授权书、文档交接单</w:t>
            </w: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left"/>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left="0" w:leftChars="0" w:firstLine="0" w:firstLineChars="0"/>
              <w:jc w:val="both"/>
              <w:textAlignment w:val="auto"/>
              <w:rPr>
                <w:rFonts w:hint="eastAsia" w:ascii="宋体" w:hAnsi="宋体"/>
                <w:b/>
                <w:sz w:val="21"/>
              </w:rPr>
            </w:pPr>
            <w:r>
              <w:rPr>
                <w:rFonts w:hint="eastAsia" w:ascii="宋体" w:hAnsi="宋体"/>
                <w:b/>
                <w:sz w:val="21"/>
              </w:rPr>
              <w:t>方案编制阶段</w:t>
            </w: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确定测评对象、指标等</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测评方案</w:t>
            </w:r>
            <w:r>
              <w:rPr>
                <w:sz w:val="21"/>
                <w:szCs w:val="21"/>
              </w:rPr>
              <w:t>-</w:t>
            </w:r>
            <w:r>
              <w:rPr>
                <w:rFonts w:hint="eastAsia"/>
                <w:sz w:val="21"/>
                <w:szCs w:val="21"/>
              </w:rPr>
              <w:t>对象列表</w:t>
            </w:r>
          </w:p>
        </w:tc>
        <w:tc>
          <w:tcPr>
            <w:tcW w:w="176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lang w:val="en-US" w:eastAsia="zh-CN"/>
              </w:rPr>
              <w:t>5</w:t>
            </w:r>
            <w:r>
              <w:rPr>
                <w:rFonts w:hint="eastAsia" w:ascii="宋体" w:hAnsi="宋体"/>
                <w:sz w:val="21"/>
              </w:rPr>
              <w:t>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开发作业指导书</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测评作业指导书</w:t>
            </w: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编制方案</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测评方案</w:t>
            </w: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left="0" w:leftChars="0" w:firstLine="0" w:firstLineChars="0"/>
              <w:jc w:val="both"/>
              <w:textAlignment w:val="auto"/>
              <w:rPr>
                <w:rFonts w:hint="eastAsia" w:ascii="宋体" w:hAnsi="宋体"/>
                <w:b/>
                <w:sz w:val="21"/>
              </w:rPr>
            </w:pPr>
            <w:r>
              <w:rPr>
                <w:rFonts w:hint="eastAsia" w:ascii="宋体" w:hAnsi="宋体"/>
                <w:b/>
                <w:sz w:val="21"/>
              </w:rPr>
              <w:t>现场实施阶段</w:t>
            </w: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安全管理访谈</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rPr>
              <w:t>被测单位人员</w:t>
            </w:r>
          </w:p>
        </w:tc>
        <w:tc>
          <w:tcPr>
            <w:tcW w:w="176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lang w:val="en-US" w:eastAsia="zh-CN"/>
              </w:rPr>
              <w:t>8</w:t>
            </w:r>
            <w:r>
              <w:rPr>
                <w:rFonts w:hint="eastAsia" w:ascii="宋体" w:hAnsi="宋体"/>
                <w:sz w:val="21"/>
              </w:rPr>
              <w:t>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安全管理文档检查</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rPr>
              <w:t>安全管理制度、规范、运维管理记录等</w:t>
            </w: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pStyle w:val="219"/>
              <w:keepNext w:val="0"/>
              <w:keepLines w:val="0"/>
              <w:pageBreakBefore w:val="0"/>
              <w:widowControl/>
              <w:kinsoku/>
              <w:wordWrap/>
              <w:overflowPunct/>
              <w:topLinePunct w:val="0"/>
              <w:autoSpaceDE/>
              <w:autoSpaceDN/>
              <w:bidi w:val="0"/>
              <w:adjustRightInd/>
              <w:snapToGrid/>
              <w:spacing w:before="156" w:afterAutospacing="0" w:line="360" w:lineRule="auto"/>
              <w:ind w:firstLine="0" w:firstLineChars="0"/>
              <w:jc w:val="center"/>
              <w:textAlignment w:val="auto"/>
              <w:rPr>
                <w:rFonts w:hint="eastAsia" w:ascii="宋体" w:hAnsi="宋体"/>
                <w:sz w:val="21"/>
                <w:szCs w:val="21"/>
              </w:rPr>
            </w:pPr>
            <w:r>
              <w:rPr>
                <w:rFonts w:hint="eastAsia" w:cs="宋体"/>
                <w:sz w:val="21"/>
                <w:szCs w:val="21"/>
              </w:rPr>
              <w:t>安全物理环境测评</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pStyle w:val="219"/>
              <w:keepNext w:val="0"/>
              <w:keepLines w:val="0"/>
              <w:pageBreakBefore w:val="0"/>
              <w:widowControl/>
              <w:kinsoku/>
              <w:wordWrap/>
              <w:overflowPunct/>
              <w:topLinePunct w:val="0"/>
              <w:autoSpaceDE/>
              <w:autoSpaceDN/>
              <w:bidi w:val="0"/>
              <w:adjustRightInd/>
              <w:snapToGrid/>
              <w:spacing w:before="156" w:afterAutospacing="0" w:line="360" w:lineRule="auto"/>
              <w:ind w:firstLine="0" w:firstLineChars="0"/>
              <w:jc w:val="center"/>
              <w:textAlignment w:val="auto"/>
              <w:rPr>
                <w:rFonts w:hint="eastAsia" w:ascii="宋体" w:hAnsi="宋体"/>
                <w:sz w:val="21"/>
                <w:szCs w:val="21"/>
              </w:rPr>
            </w:pPr>
            <w:r>
              <w:rPr>
                <w:rFonts w:hint="eastAsia" w:cs="宋体"/>
                <w:sz w:val="21"/>
                <w:szCs w:val="21"/>
              </w:rPr>
              <w:t>机房</w:t>
            </w: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pStyle w:val="219"/>
              <w:keepNext w:val="0"/>
              <w:keepLines w:val="0"/>
              <w:pageBreakBefore w:val="0"/>
              <w:widowControl/>
              <w:kinsoku/>
              <w:wordWrap/>
              <w:overflowPunct/>
              <w:topLinePunct w:val="0"/>
              <w:autoSpaceDE/>
              <w:autoSpaceDN/>
              <w:bidi w:val="0"/>
              <w:adjustRightInd/>
              <w:snapToGrid/>
              <w:spacing w:before="156" w:afterAutospacing="0" w:line="360" w:lineRule="auto"/>
              <w:ind w:firstLine="0" w:firstLineChars="0"/>
              <w:jc w:val="center"/>
              <w:textAlignment w:val="auto"/>
              <w:rPr>
                <w:rFonts w:hint="eastAsia" w:ascii="宋体" w:hAnsi="宋体"/>
                <w:sz w:val="21"/>
                <w:szCs w:val="21"/>
              </w:rPr>
            </w:pPr>
            <w:r>
              <w:rPr>
                <w:rFonts w:hint="eastAsia" w:cs="宋体"/>
                <w:sz w:val="21"/>
                <w:szCs w:val="21"/>
              </w:rPr>
              <w:t>安全通信网络测评</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pStyle w:val="219"/>
              <w:keepNext w:val="0"/>
              <w:keepLines w:val="0"/>
              <w:pageBreakBefore w:val="0"/>
              <w:widowControl/>
              <w:kinsoku/>
              <w:wordWrap/>
              <w:overflowPunct/>
              <w:topLinePunct w:val="0"/>
              <w:autoSpaceDE/>
              <w:autoSpaceDN/>
              <w:bidi w:val="0"/>
              <w:adjustRightInd/>
              <w:snapToGrid/>
              <w:spacing w:before="156" w:afterAutospacing="0" w:line="360" w:lineRule="auto"/>
              <w:ind w:firstLine="0" w:firstLineChars="0"/>
              <w:jc w:val="center"/>
              <w:textAlignment w:val="auto"/>
              <w:rPr>
                <w:rFonts w:hint="eastAsia" w:ascii="宋体" w:hAnsi="宋体"/>
                <w:sz w:val="21"/>
                <w:szCs w:val="21"/>
              </w:rPr>
            </w:pPr>
            <w:r>
              <w:rPr>
                <w:rFonts w:hint="eastAsia" w:cs="宋体"/>
                <w:sz w:val="21"/>
                <w:szCs w:val="21"/>
              </w:rPr>
              <w:t>网络安全设备、网络设备等</w:t>
            </w: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pStyle w:val="219"/>
              <w:keepNext w:val="0"/>
              <w:keepLines w:val="0"/>
              <w:pageBreakBefore w:val="0"/>
              <w:widowControl/>
              <w:kinsoku/>
              <w:wordWrap/>
              <w:overflowPunct/>
              <w:topLinePunct w:val="0"/>
              <w:autoSpaceDE/>
              <w:autoSpaceDN/>
              <w:bidi w:val="0"/>
              <w:adjustRightInd/>
              <w:snapToGrid/>
              <w:spacing w:before="156" w:afterAutospacing="0" w:line="360" w:lineRule="auto"/>
              <w:ind w:firstLine="0" w:firstLineChars="0"/>
              <w:jc w:val="center"/>
              <w:textAlignment w:val="auto"/>
              <w:rPr>
                <w:rFonts w:hint="eastAsia" w:ascii="宋体" w:hAnsi="宋体"/>
                <w:sz w:val="21"/>
                <w:szCs w:val="21"/>
              </w:rPr>
            </w:pPr>
            <w:r>
              <w:rPr>
                <w:rFonts w:hint="eastAsia" w:cs="宋体"/>
                <w:sz w:val="21"/>
                <w:szCs w:val="21"/>
              </w:rPr>
              <w:t>安全区域边界测评</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pStyle w:val="219"/>
              <w:keepNext w:val="0"/>
              <w:keepLines w:val="0"/>
              <w:pageBreakBefore w:val="0"/>
              <w:widowControl/>
              <w:kinsoku/>
              <w:wordWrap/>
              <w:overflowPunct/>
              <w:topLinePunct w:val="0"/>
              <w:autoSpaceDE/>
              <w:autoSpaceDN/>
              <w:bidi w:val="0"/>
              <w:adjustRightInd/>
              <w:snapToGrid/>
              <w:spacing w:before="156" w:afterAutospacing="0" w:line="360" w:lineRule="auto"/>
              <w:ind w:firstLine="0" w:firstLineChars="0"/>
              <w:jc w:val="center"/>
              <w:textAlignment w:val="auto"/>
              <w:rPr>
                <w:rFonts w:hint="eastAsia" w:ascii="宋体" w:hAnsi="宋体"/>
                <w:sz w:val="21"/>
                <w:szCs w:val="21"/>
              </w:rPr>
            </w:pPr>
            <w:r>
              <w:rPr>
                <w:rFonts w:hint="eastAsia" w:ascii="宋体" w:hAnsi="宋体" w:cs="宋体"/>
                <w:sz w:val="21"/>
                <w:szCs w:val="21"/>
              </w:rPr>
              <w:t>网络安全设备、网络设备、网闸、抗apt攻击系统、网络回溯系统、威胁情报检测系统等</w:t>
            </w: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pStyle w:val="219"/>
              <w:keepNext w:val="0"/>
              <w:keepLines w:val="0"/>
              <w:pageBreakBefore w:val="0"/>
              <w:widowControl/>
              <w:kinsoku/>
              <w:wordWrap/>
              <w:overflowPunct/>
              <w:topLinePunct w:val="0"/>
              <w:autoSpaceDE/>
              <w:autoSpaceDN/>
              <w:bidi w:val="0"/>
              <w:adjustRightInd/>
              <w:snapToGrid/>
              <w:spacing w:before="156" w:afterAutospacing="0" w:line="360" w:lineRule="auto"/>
              <w:ind w:firstLine="0" w:firstLineChars="0"/>
              <w:jc w:val="center"/>
              <w:textAlignment w:val="auto"/>
              <w:rPr>
                <w:rFonts w:hint="eastAsia"/>
                <w:sz w:val="21"/>
                <w:szCs w:val="21"/>
              </w:rPr>
            </w:pPr>
            <w:r>
              <w:rPr>
                <w:rFonts w:hint="eastAsia" w:cs="宋体"/>
                <w:sz w:val="21"/>
                <w:szCs w:val="21"/>
              </w:rPr>
              <w:t>安全计算环境测评</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pStyle w:val="219"/>
              <w:keepNext w:val="0"/>
              <w:keepLines w:val="0"/>
              <w:pageBreakBefore w:val="0"/>
              <w:widowControl/>
              <w:kinsoku/>
              <w:wordWrap/>
              <w:overflowPunct/>
              <w:topLinePunct w:val="0"/>
              <w:autoSpaceDE/>
              <w:autoSpaceDN/>
              <w:bidi w:val="0"/>
              <w:adjustRightInd/>
              <w:snapToGrid/>
              <w:spacing w:before="156" w:afterAutospacing="0" w:line="360" w:lineRule="auto"/>
              <w:ind w:firstLine="0" w:firstLineChars="0"/>
              <w:jc w:val="center"/>
              <w:textAlignment w:val="auto"/>
              <w:rPr>
                <w:rFonts w:ascii="宋体" w:hAnsi="宋体"/>
                <w:sz w:val="21"/>
                <w:szCs w:val="21"/>
              </w:rPr>
            </w:pPr>
            <w:r>
              <w:rPr>
                <w:rFonts w:hint="eastAsia" w:ascii="宋体" w:hAnsi="宋体" w:cs="宋体"/>
                <w:sz w:val="21"/>
                <w:szCs w:val="21"/>
              </w:rPr>
              <w:t>终端、服务器、网络安全设备、网络设备、中间件、应用系统、数据库审计系统、系统管理平台等</w:t>
            </w: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pStyle w:val="219"/>
              <w:keepNext w:val="0"/>
              <w:keepLines w:val="0"/>
              <w:pageBreakBefore w:val="0"/>
              <w:widowControl/>
              <w:kinsoku/>
              <w:wordWrap/>
              <w:overflowPunct/>
              <w:topLinePunct w:val="0"/>
              <w:autoSpaceDE/>
              <w:autoSpaceDN/>
              <w:bidi w:val="0"/>
              <w:adjustRightInd/>
              <w:snapToGrid/>
              <w:spacing w:before="156" w:afterAutospacing="0" w:line="360" w:lineRule="auto"/>
              <w:ind w:firstLine="0" w:firstLineChars="0"/>
              <w:jc w:val="center"/>
              <w:textAlignment w:val="auto"/>
              <w:rPr>
                <w:rFonts w:hint="eastAsia" w:ascii="宋体" w:hAnsi="宋体"/>
                <w:sz w:val="21"/>
                <w:szCs w:val="21"/>
              </w:rPr>
            </w:pPr>
            <w:r>
              <w:rPr>
                <w:rFonts w:hint="eastAsia" w:cs="宋体"/>
                <w:sz w:val="21"/>
                <w:szCs w:val="21"/>
              </w:rPr>
              <w:t>安全管理中心测评</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pStyle w:val="219"/>
              <w:keepNext w:val="0"/>
              <w:keepLines w:val="0"/>
              <w:pageBreakBefore w:val="0"/>
              <w:widowControl/>
              <w:kinsoku/>
              <w:wordWrap/>
              <w:overflowPunct/>
              <w:topLinePunct w:val="0"/>
              <w:autoSpaceDE/>
              <w:autoSpaceDN/>
              <w:bidi w:val="0"/>
              <w:adjustRightInd/>
              <w:snapToGrid/>
              <w:spacing w:before="156" w:afterAutospacing="0" w:line="360" w:lineRule="auto"/>
              <w:ind w:firstLine="0" w:firstLineChars="0"/>
              <w:jc w:val="center"/>
              <w:textAlignment w:val="auto"/>
              <w:rPr>
                <w:rFonts w:hint="eastAsia" w:ascii="宋体" w:hAnsi="宋体"/>
                <w:sz w:val="21"/>
                <w:szCs w:val="21"/>
              </w:rPr>
            </w:pPr>
            <w:r>
              <w:rPr>
                <w:rFonts w:hint="eastAsia" w:ascii="宋体" w:hAnsi="宋体" w:cs="宋体"/>
                <w:sz w:val="21"/>
                <w:szCs w:val="21"/>
              </w:rPr>
              <w:t>集中管控系统、总和安全设计系统</w:t>
            </w: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sz w:val="21"/>
                <w:szCs w:val="21"/>
              </w:rPr>
            </w:pPr>
            <w:r>
              <w:rPr>
                <w:rFonts w:hint="eastAsia"/>
                <w:sz w:val="21"/>
                <w:szCs w:val="21"/>
              </w:rPr>
              <w:t>工具测试</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r>
              <w:rPr>
                <w:rFonts w:hint="eastAsia" w:ascii="宋体" w:hAnsi="宋体"/>
                <w:sz w:val="21"/>
              </w:rPr>
              <w:t>网络、主机、数据库、应用</w:t>
            </w: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left="0" w:leftChars="0" w:right="113" w:firstLine="0" w:firstLineChars="0"/>
              <w:jc w:val="both"/>
              <w:textAlignment w:val="auto"/>
              <w:rPr>
                <w:rFonts w:hint="eastAsia" w:ascii="宋体" w:hAnsi="宋体"/>
                <w:b/>
                <w:sz w:val="21"/>
              </w:rPr>
            </w:pPr>
            <w:r>
              <w:rPr>
                <w:rFonts w:hint="eastAsia" w:ascii="宋体" w:hAnsi="宋体"/>
                <w:b/>
                <w:sz w:val="21"/>
              </w:rPr>
              <w:t>差距分析阶段</w:t>
            </w: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sz w:val="21"/>
                <w:szCs w:val="21"/>
              </w:rPr>
            </w:pPr>
            <w:r>
              <w:rPr>
                <w:rFonts w:hint="eastAsia"/>
                <w:sz w:val="21"/>
                <w:szCs w:val="21"/>
              </w:rPr>
              <w:t>提供整改建议</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r>
              <w:rPr>
                <w:rFonts w:hint="eastAsia" w:ascii="宋体" w:hAnsi="宋体"/>
                <w:sz w:val="21"/>
              </w:rPr>
              <w:t>不符合项列表</w:t>
            </w:r>
          </w:p>
        </w:tc>
        <w:tc>
          <w:tcPr>
            <w:tcW w:w="17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lang w:val="en-US" w:eastAsia="zh-CN"/>
              </w:rPr>
              <w:t>8</w:t>
            </w:r>
            <w:r>
              <w:rPr>
                <w:rFonts w:hint="eastAsia" w:ascii="宋体" w:hAnsi="宋体"/>
                <w:sz w:val="21"/>
              </w:rPr>
              <w:t>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left="0" w:leftChars="0" w:right="113" w:firstLine="0" w:firstLineChars="0"/>
              <w:jc w:val="center"/>
              <w:textAlignment w:val="auto"/>
              <w:rPr>
                <w:rFonts w:hint="eastAsia" w:ascii="宋体" w:hAnsi="宋体"/>
                <w:b/>
                <w:sz w:val="21"/>
              </w:rPr>
            </w:pPr>
            <w:r>
              <w:rPr>
                <w:rFonts w:hint="eastAsia" w:ascii="宋体" w:hAnsi="宋体"/>
                <w:b/>
                <w:sz w:val="21"/>
              </w:rPr>
              <w:t>安全加固优化阶段</w:t>
            </w: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sz w:val="21"/>
                <w:szCs w:val="21"/>
              </w:rPr>
            </w:pPr>
            <w:r>
              <w:rPr>
                <w:rFonts w:hint="eastAsia"/>
                <w:sz w:val="21"/>
                <w:szCs w:val="21"/>
              </w:rPr>
              <w:t>修补漏洞、增强安全配置、提升安全策略</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r>
              <w:rPr>
                <w:rFonts w:hint="eastAsia" w:ascii="宋体" w:hAnsi="宋体"/>
                <w:sz w:val="21"/>
              </w:rPr>
              <w:t>网络、主机、数据库、应用</w:t>
            </w:r>
          </w:p>
        </w:tc>
        <w:tc>
          <w:tcPr>
            <w:tcW w:w="17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rPr>
              <w:t>8个工作日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left="0" w:leftChars="0" w:firstLine="0" w:firstLineChars="0"/>
              <w:jc w:val="center"/>
              <w:textAlignment w:val="auto"/>
              <w:rPr>
                <w:rFonts w:hint="eastAsia" w:ascii="宋体" w:hAnsi="宋体"/>
                <w:b/>
                <w:sz w:val="21"/>
              </w:rPr>
            </w:pPr>
            <w:r>
              <w:rPr>
                <w:rFonts w:hint="eastAsia" w:ascii="宋体" w:hAnsi="宋体"/>
                <w:b/>
                <w:sz w:val="21"/>
              </w:rPr>
              <w:t>分析与报告编制阶段</w:t>
            </w: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b/>
                <w:sz w:val="21"/>
              </w:rPr>
            </w:pPr>
            <w:r>
              <w:rPr>
                <w:rFonts w:hint="eastAsia"/>
                <w:sz w:val="21"/>
                <w:szCs w:val="21"/>
              </w:rPr>
              <w:t>单项结果判定</w:t>
            </w:r>
          </w:p>
        </w:tc>
        <w:tc>
          <w:tcPr>
            <w:tcW w:w="2813"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rPr>
              <w:t>测评报告</w:t>
            </w:r>
          </w:p>
        </w:tc>
        <w:tc>
          <w:tcPr>
            <w:tcW w:w="176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rPr>
              <w:t>10个工作日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单元结果判定</w:t>
            </w:r>
          </w:p>
        </w:tc>
        <w:tc>
          <w:tcPr>
            <w:tcW w:w="281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sz w:val="21"/>
                <w:szCs w:val="21"/>
              </w:rPr>
              <w:t>整体测评</w:t>
            </w:r>
          </w:p>
        </w:tc>
        <w:tc>
          <w:tcPr>
            <w:tcW w:w="281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sz w:val="21"/>
                <w:szCs w:val="21"/>
              </w:rPr>
            </w:pPr>
            <w:r>
              <w:rPr>
                <w:rFonts w:hint="eastAsia"/>
                <w:sz w:val="21"/>
                <w:szCs w:val="21"/>
              </w:rPr>
              <w:t>风险分析</w:t>
            </w:r>
          </w:p>
        </w:tc>
        <w:tc>
          <w:tcPr>
            <w:tcW w:w="281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sz w:val="21"/>
                <w:szCs w:val="21"/>
              </w:rPr>
            </w:pPr>
            <w:r>
              <w:rPr>
                <w:rFonts w:hint="eastAsia"/>
                <w:sz w:val="21"/>
                <w:szCs w:val="21"/>
              </w:rPr>
              <w:t>形成初步结论</w:t>
            </w:r>
          </w:p>
        </w:tc>
        <w:tc>
          <w:tcPr>
            <w:tcW w:w="281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b/>
                <w:sz w:val="21"/>
              </w:rPr>
            </w:pP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sz w:val="21"/>
                <w:szCs w:val="21"/>
              </w:rPr>
            </w:pPr>
            <w:r>
              <w:rPr>
                <w:rFonts w:hint="eastAsia"/>
                <w:sz w:val="21"/>
                <w:szCs w:val="21"/>
              </w:rPr>
              <w:t>编制报告</w:t>
            </w:r>
          </w:p>
        </w:tc>
        <w:tc>
          <w:tcPr>
            <w:tcW w:w="281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c>
          <w:tcPr>
            <w:tcW w:w="17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63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Autospacing="0"/>
              <w:ind w:left="0" w:leftChars="0" w:firstLine="0" w:firstLineChars="0"/>
              <w:jc w:val="both"/>
              <w:textAlignment w:val="auto"/>
              <w:rPr>
                <w:rFonts w:ascii="宋体" w:hAnsi="宋体"/>
                <w:b/>
                <w:sz w:val="21"/>
              </w:rPr>
            </w:pPr>
            <w:r>
              <w:rPr>
                <w:rFonts w:hint="eastAsia" w:ascii="宋体" w:hAnsi="宋体"/>
                <w:b/>
                <w:sz w:val="21"/>
              </w:rPr>
              <w:t>出具结果</w:t>
            </w:r>
          </w:p>
        </w:tc>
        <w:tc>
          <w:tcPr>
            <w:tcW w:w="2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sz w:val="21"/>
                <w:szCs w:val="21"/>
              </w:rPr>
            </w:pPr>
            <w:r>
              <w:rPr>
                <w:rFonts w:hint="eastAsia"/>
                <w:sz w:val="21"/>
                <w:szCs w:val="21"/>
              </w:rPr>
              <w:t>报告送检</w:t>
            </w:r>
          </w:p>
        </w:tc>
        <w:tc>
          <w:tcPr>
            <w:tcW w:w="28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ascii="宋体" w:hAnsi="宋体"/>
                <w:sz w:val="21"/>
              </w:rPr>
            </w:pPr>
            <w:r>
              <w:rPr>
                <w:rFonts w:hint="eastAsia" w:ascii="宋体" w:hAnsi="宋体"/>
                <w:sz w:val="21"/>
              </w:rPr>
              <w:t>测评结果通知书</w:t>
            </w:r>
          </w:p>
        </w:tc>
        <w:tc>
          <w:tcPr>
            <w:tcW w:w="17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spacing w:afterAutospacing="0"/>
              <w:ind w:firstLine="0" w:firstLineChars="0"/>
              <w:jc w:val="center"/>
              <w:textAlignment w:val="auto"/>
              <w:rPr>
                <w:rFonts w:hint="eastAsia" w:ascii="宋体" w:hAnsi="宋体"/>
                <w:sz w:val="21"/>
              </w:rPr>
            </w:pPr>
            <w:r>
              <w:rPr>
                <w:rFonts w:hint="eastAsia" w:ascii="宋体" w:hAnsi="宋体"/>
                <w:sz w:val="21"/>
                <w:lang w:val="en-US" w:eastAsia="zh-CN"/>
              </w:rPr>
              <w:t>8</w:t>
            </w:r>
            <w:r>
              <w:rPr>
                <w:rFonts w:hint="eastAsia" w:ascii="宋体" w:hAnsi="宋体"/>
                <w:sz w:val="21"/>
              </w:rPr>
              <w:t>个工作日</w:t>
            </w:r>
          </w:p>
        </w:tc>
      </w:tr>
    </w:tbl>
    <w:p>
      <w:pPr>
        <w:numPr>
          <w:ilvl w:val="0"/>
          <w:numId w:val="0"/>
        </w:numPr>
        <w:tabs>
          <w:tab w:val="left" w:pos="567"/>
        </w:tabs>
        <w:spacing w:line="360" w:lineRule="auto"/>
        <w:ind w:left="0" w:leftChars="0" w:firstLine="0" w:firstLineChars="0"/>
        <w:outlineLvl w:val="2"/>
        <w:rPr>
          <w:rFonts w:hint="eastAsia" w:ascii="宋体" w:hAnsi="宋体" w:eastAsia="宋体" w:cs="Times New Roman"/>
          <w:b/>
          <w:sz w:val="24"/>
          <w:szCs w:val="24"/>
          <w:lang w:val="en-US" w:eastAsia="zh-CN"/>
        </w:rPr>
      </w:pPr>
      <w:bookmarkStart w:id="59" w:name="_Toc236462388"/>
      <w:bookmarkStart w:id="60" w:name="_Toc236037502"/>
      <w:bookmarkStart w:id="61" w:name="_Toc236816242"/>
      <w:r>
        <w:rPr>
          <w:rFonts w:hint="eastAsia" w:ascii="宋体" w:hAnsi="宋体" w:eastAsia="宋体" w:cs="Times New Roman"/>
          <w:b/>
          <w:sz w:val="24"/>
          <w:szCs w:val="24"/>
          <w:lang w:val="en-US" w:eastAsia="zh-CN"/>
        </w:rPr>
        <w:t>4.2.3风险控制</w:t>
      </w:r>
    </w:p>
    <w:p>
      <w:pPr>
        <w:pStyle w:val="218"/>
        <w:overflowPunct w:val="0"/>
        <w:topLinePunct/>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测评工作本身也会引入安全风险，必须加强测评过程中的风险控制。测评实施前，双方应充分讨论并明确测评对系统可能带来的风险和隐患，确定测评对象、测评方法和工具，并制定应急恢复措施。</w:t>
      </w:r>
    </w:p>
    <w:bookmarkEnd w:id="59"/>
    <w:bookmarkEnd w:id="60"/>
    <w:bookmarkEnd w:id="61"/>
    <w:p>
      <w:pPr>
        <w:spacing w:line="360" w:lineRule="auto"/>
        <w:ind w:firstLine="480" w:firstLineChars="200"/>
        <w:rPr>
          <w:rFonts w:hint="eastAsia" w:ascii="宋体" w:hAnsi="宋体" w:eastAsia="宋体" w:cs="宋体"/>
          <w:sz w:val="24"/>
          <w:szCs w:val="24"/>
        </w:rPr>
      </w:pPr>
      <w:bookmarkStart w:id="62" w:name="_Toc113357465"/>
      <w:bookmarkStart w:id="63" w:name="_Toc113358272"/>
      <w:r>
        <w:rPr>
          <w:rFonts w:hint="eastAsia" w:ascii="宋体" w:hAnsi="宋体" w:eastAsia="宋体" w:cs="宋体"/>
          <w:sz w:val="24"/>
          <w:szCs w:val="24"/>
        </w:rPr>
        <w:t>（1）操作的申请和监护</w:t>
      </w:r>
      <w:bookmarkEnd w:id="62"/>
      <w:bookmarkEnd w:id="63"/>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测评操作必须遵守现场运行规章制度，确保系统安全稳定运行。如需在线测试，按照相关工作规程，事前申请，并在专责人员的指导和监护下进行。</w:t>
      </w:r>
    </w:p>
    <w:p>
      <w:pPr>
        <w:spacing w:line="360" w:lineRule="auto"/>
        <w:ind w:firstLine="480" w:firstLineChars="200"/>
        <w:rPr>
          <w:rFonts w:hint="eastAsia" w:ascii="宋体" w:hAnsi="宋体" w:eastAsia="宋体" w:cs="宋体"/>
          <w:sz w:val="24"/>
          <w:szCs w:val="24"/>
        </w:rPr>
      </w:pPr>
      <w:bookmarkStart w:id="64" w:name="_Toc113358273"/>
      <w:bookmarkStart w:id="65" w:name="_Toc113357466"/>
      <w:r>
        <w:rPr>
          <w:rFonts w:hint="eastAsia" w:ascii="宋体" w:hAnsi="宋体" w:eastAsia="宋体" w:cs="宋体"/>
          <w:sz w:val="24"/>
          <w:szCs w:val="24"/>
        </w:rPr>
        <w:t>（2）人员与数据管理</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重视测评保密工作，加强测评过程中的保密管理，确保参与测评工作人员的可靠、稳定，防止敏感信息泄漏。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w:t>
      </w:r>
      <w:bookmarkEnd w:id="64"/>
      <w:bookmarkEnd w:id="65"/>
      <w:bookmarkStart w:id="66" w:name="_Toc113358276"/>
      <w:bookmarkStart w:id="67" w:name="_Toc113357469"/>
      <w:bookmarkStart w:id="68" w:name="_Toc113357468"/>
      <w:bookmarkStart w:id="69" w:name="_Toc113358275"/>
      <w:r>
        <w:rPr>
          <w:rFonts w:hint="eastAsia" w:ascii="宋体" w:hAnsi="宋体" w:eastAsia="宋体" w:cs="宋体"/>
          <w:sz w:val="24"/>
          <w:szCs w:val="24"/>
        </w:rPr>
        <w:t>测评对象选择</w:t>
      </w:r>
      <w:bookmarkEnd w:id="66"/>
      <w:bookmarkEnd w:id="67"/>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优先选择备用设备（系统）或临时搭建的</w:t>
      </w:r>
      <w:r>
        <w:rPr>
          <w:rFonts w:hint="eastAsia" w:ascii="宋体" w:hAnsi="宋体" w:eastAsia="宋体" w:cs="宋体"/>
          <w:bCs/>
          <w:iCs/>
          <w:sz w:val="24"/>
          <w:szCs w:val="24"/>
        </w:rPr>
        <w:t>模拟</w:t>
      </w:r>
      <w:r>
        <w:rPr>
          <w:rFonts w:hint="eastAsia" w:ascii="宋体" w:hAnsi="宋体" w:eastAsia="宋体" w:cs="宋体"/>
          <w:sz w:val="24"/>
          <w:szCs w:val="24"/>
        </w:rPr>
        <w:t>环境进行测评，避免影响在线系统运行。</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（4）制定应急预案</w:t>
      </w:r>
      <w:bookmarkEnd w:id="68"/>
      <w:bookmarkEnd w:id="69"/>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根据被测评系统情况，在测评实施前制定应急预案，加强系统在线应急处置能力。</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（5）关键业务系统风险控制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生产控制大区在线运行系统禁止采用渗透测试工具进行测评。</w:t>
      </w:r>
    </w:p>
    <w:p>
      <w:pPr>
        <w:numPr>
          <w:ilvl w:val="0"/>
          <w:numId w:val="0"/>
        </w:numPr>
        <w:tabs>
          <w:tab w:val="left" w:pos="567"/>
        </w:tabs>
        <w:spacing w:line="360" w:lineRule="auto"/>
        <w:ind w:left="0" w:leftChars="0" w:firstLine="0" w:firstLineChars="0"/>
        <w:outlineLvl w:val="2"/>
        <w:rPr>
          <w:rFonts w:hint="eastAsia" w:ascii="宋体" w:hAnsi="宋体" w:eastAsia="宋体" w:cs="Times New Roman"/>
          <w:b/>
          <w:sz w:val="24"/>
          <w:szCs w:val="24"/>
          <w:lang w:val="en-US" w:eastAsia="zh-CN"/>
        </w:rPr>
      </w:pPr>
      <w:bookmarkStart w:id="70" w:name="_Toc311015405"/>
      <w:bookmarkStart w:id="71" w:name="_Toc2330"/>
      <w:r>
        <w:rPr>
          <w:rFonts w:hint="eastAsia" w:ascii="宋体" w:hAnsi="宋体" w:eastAsia="宋体" w:cs="Times New Roman"/>
          <w:b/>
          <w:sz w:val="24"/>
          <w:szCs w:val="24"/>
          <w:lang w:val="en-US" w:eastAsia="zh-CN"/>
        </w:rPr>
        <w:t>4.2.4测评流程</w:t>
      </w:r>
      <w:bookmarkEnd w:id="70"/>
      <w:bookmarkEnd w:id="71"/>
    </w:p>
    <w:p>
      <w:pPr>
        <w:pStyle w:val="218"/>
        <w:overflowPunct w:val="0"/>
        <w:topLinePunct/>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根据国家等级保护相关标准，安全等级保护测评流程分为四个阶段：测评准备阶段、方案编制阶段、现场测评阶段、分析与报告编制阶段。测评完成后，提供整改建议书，配合采购方根据测评范围进行整改实施。</w:t>
      </w:r>
    </w:p>
    <w:p>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安全等级保护测评流程如下图所示：</w:t>
      </w:r>
    </w:p>
    <w:p>
      <w:pPr>
        <w:bidi w:val="0"/>
        <w:ind w:left="0" w:leftChars="0" w:firstLine="0" w:firstLineChars="0"/>
      </w:pPr>
      <w:r>
        <w:rPr>
          <w:rFonts w:hint="eastAsia"/>
        </w:rPr>
        <w:drawing>
          <wp:inline distT="0" distB="0" distL="114300" distR="114300">
            <wp:extent cx="4582160" cy="6730365"/>
            <wp:effectExtent l="0" t="0" r="8890" b="13335"/>
            <wp:docPr id="1" name="图片 1" descr="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流程图"/>
                    <pic:cNvPicPr>
                      <a:picLocks noChangeAspect="1"/>
                    </pic:cNvPicPr>
                  </pic:nvPicPr>
                  <pic:blipFill>
                    <a:blip r:embed="rId14"/>
                    <a:stretch>
                      <a:fillRect/>
                    </a:stretch>
                  </pic:blipFill>
                  <pic:spPr>
                    <a:xfrm>
                      <a:off x="0" y="0"/>
                      <a:ext cx="4582160" cy="6730365"/>
                    </a:xfrm>
                    <a:prstGeom prst="rect">
                      <a:avLst/>
                    </a:prstGeom>
                    <a:noFill/>
                    <a:ln>
                      <a:noFill/>
                    </a:ln>
                  </pic:spPr>
                </pic:pic>
              </a:graphicData>
            </a:graphic>
          </wp:inline>
        </w:drawing>
      </w:r>
    </w:p>
    <w:p>
      <w:pPr>
        <w:keepNext/>
        <w:keepLines/>
        <w:numPr>
          <w:ilvl w:val="1"/>
          <w:numId w:val="0"/>
        </w:numPr>
        <w:spacing w:before="260" w:after="260" w:line="360" w:lineRule="auto"/>
        <w:ind w:left="576" w:hanging="576"/>
        <w:outlineLvl w:val="1"/>
        <w:rPr>
          <w:rFonts w:hint="eastAsia"/>
          <w:b/>
          <w:bCs/>
          <w:kern w:val="44"/>
          <w:sz w:val="24"/>
          <w:lang w:val="en-US" w:eastAsia="zh-CN"/>
        </w:rPr>
      </w:pPr>
      <w:r>
        <w:rPr>
          <w:b/>
          <w:bCs/>
          <w:kern w:val="44"/>
          <w:sz w:val="24"/>
        </w:rPr>
        <w:t xml:space="preserve">4.3 </w:t>
      </w:r>
      <w:r>
        <w:rPr>
          <w:rFonts w:hint="eastAsia"/>
          <w:b/>
          <w:bCs/>
          <w:kern w:val="44"/>
          <w:sz w:val="24"/>
          <w:lang w:val="en-US" w:eastAsia="zh-CN"/>
        </w:rPr>
        <w:t>职责划分</w:t>
      </w:r>
    </w:p>
    <w:p>
      <w:pPr>
        <w:spacing w:line="360" w:lineRule="auto"/>
        <w:ind w:firstLine="480" w:firstLineChars="20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为切实保障本项目的工作质量，确保测评工作达到预期目标，对投标方及招标方双方技术工作责任约定如下：</w:t>
      </w:r>
    </w:p>
    <w:p>
      <w:pPr>
        <w:keepNext/>
        <w:keepLines/>
        <w:spacing w:line="360" w:lineRule="auto"/>
        <w:ind w:firstLine="482" w:firstLineChars="200"/>
        <w:outlineLvl w:val="2"/>
        <w:rPr>
          <w:rFonts w:hint="eastAsia" w:ascii="宋体" w:hAnsi="宋体" w:eastAsia="宋体" w:cs="宋体"/>
          <w:sz w:val="24"/>
          <w:szCs w:val="24"/>
        </w:rPr>
      </w:pPr>
      <w:r>
        <w:rPr>
          <w:b/>
          <w:bCs/>
          <w:sz w:val="24"/>
        </w:rPr>
        <w:t xml:space="preserve">4.3.1 </w:t>
      </w:r>
      <w:r>
        <w:rPr>
          <w:rFonts w:hint="eastAsia" w:ascii="Times New Roman" w:hAnsi="Times New Roman" w:eastAsia="宋体" w:cs="Times New Roman"/>
          <w:b/>
          <w:bCs/>
          <w:sz w:val="24"/>
          <w:lang w:eastAsia="zh-CN"/>
        </w:rPr>
        <w:t>招标方</w:t>
      </w:r>
      <w:r>
        <w:rPr>
          <w:rFonts w:hint="eastAsia" w:ascii="Times New Roman" w:hAnsi="Times New Roman" w:eastAsia="宋体" w:cs="Times New Roman"/>
          <w:b/>
          <w:bCs/>
          <w:sz w:val="24"/>
        </w:rPr>
        <w:t>责任</w:t>
      </w:r>
    </w:p>
    <w:p>
      <w:pPr>
        <w:numPr>
          <w:ilvl w:val="0"/>
          <w:numId w:val="0"/>
        </w:num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招标方</w:t>
      </w:r>
      <w:r>
        <w:rPr>
          <w:rFonts w:hint="eastAsia" w:ascii="宋体" w:hAnsi="宋体" w:eastAsia="宋体" w:cs="宋体"/>
          <w:sz w:val="24"/>
          <w:szCs w:val="24"/>
        </w:rPr>
        <w:t>负责测评实施过程中同相关单位和部门的协调</w:t>
      </w:r>
      <w:r>
        <w:rPr>
          <w:rFonts w:hint="eastAsia" w:ascii="宋体" w:hAnsi="宋体" w:eastAsia="宋体" w:cs="宋体"/>
          <w:sz w:val="24"/>
          <w:szCs w:val="24"/>
          <w:lang w:eastAsia="zh-CN"/>
        </w:rPr>
        <w:t>，</w:t>
      </w:r>
      <w:r>
        <w:rPr>
          <w:rFonts w:hint="eastAsia" w:ascii="宋体" w:hAnsi="宋体" w:eastAsia="宋体" w:cs="宋体"/>
          <w:sz w:val="24"/>
          <w:szCs w:val="24"/>
        </w:rPr>
        <w:t>为</w:t>
      </w:r>
      <w:r>
        <w:rPr>
          <w:rFonts w:hint="eastAsia" w:ascii="宋体" w:hAnsi="宋体" w:eastAsia="宋体" w:cs="宋体"/>
          <w:sz w:val="24"/>
          <w:szCs w:val="24"/>
          <w:lang w:eastAsia="zh-CN"/>
        </w:rPr>
        <w:t>投标方</w:t>
      </w:r>
      <w:r>
        <w:rPr>
          <w:rFonts w:hint="eastAsia" w:ascii="宋体" w:hAnsi="宋体" w:eastAsia="宋体" w:cs="宋体"/>
          <w:sz w:val="24"/>
          <w:szCs w:val="24"/>
        </w:rPr>
        <w:t>提供良好的工作场地和环境</w:t>
      </w:r>
      <w:r>
        <w:rPr>
          <w:rFonts w:hint="eastAsia" w:ascii="宋体" w:hAnsi="宋体" w:eastAsia="宋体" w:cs="宋体"/>
          <w:sz w:val="24"/>
          <w:szCs w:val="24"/>
          <w:lang w:eastAsia="zh-CN"/>
        </w:rPr>
        <w:t>，</w:t>
      </w:r>
      <w:r>
        <w:rPr>
          <w:rFonts w:hint="eastAsia" w:ascii="宋体" w:hAnsi="宋体" w:eastAsia="宋体" w:cs="宋体"/>
          <w:sz w:val="24"/>
          <w:szCs w:val="24"/>
        </w:rPr>
        <w:t>按工作要求提供相关的资料和信息</w:t>
      </w:r>
      <w:r>
        <w:rPr>
          <w:rFonts w:hint="eastAsia" w:ascii="宋体" w:hAnsi="宋体" w:eastAsia="宋体" w:cs="宋体"/>
          <w:sz w:val="24"/>
          <w:szCs w:val="24"/>
          <w:lang w:eastAsia="zh-CN"/>
        </w:rPr>
        <w:t>，</w:t>
      </w:r>
      <w:r>
        <w:rPr>
          <w:rFonts w:hint="eastAsia" w:ascii="宋体" w:hAnsi="宋体" w:eastAsia="宋体" w:cs="宋体"/>
          <w:sz w:val="24"/>
          <w:szCs w:val="24"/>
        </w:rPr>
        <w:t>准备应急措施，负责实施过程中的紧急情况的处理</w:t>
      </w:r>
      <w:r>
        <w:rPr>
          <w:rFonts w:hint="eastAsia" w:ascii="宋体" w:hAnsi="宋体" w:eastAsia="宋体" w:cs="宋体"/>
          <w:sz w:val="24"/>
          <w:szCs w:val="24"/>
          <w:lang w:eastAsia="zh-CN"/>
        </w:rPr>
        <w:t>。</w:t>
      </w:r>
    </w:p>
    <w:p>
      <w:pPr>
        <w:keepNext/>
        <w:keepLines/>
        <w:spacing w:line="360" w:lineRule="auto"/>
        <w:ind w:firstLine="482" w:firstLineChars="200"/>
        <w:outlineLvl w:val="2"/>
        <w:rPr>
          <w:rFonts w:hint="eastAsia" w:ascii="宋体" w:hAnsi="宋体" w:eastAsia="宋体" w:cs="宋体"/>
          <w:sz w:val="24"/>
          <w:szCs w:val="24"/>
        </w:rPr>
      </w:pPr>
      <w:r>
        <w:rPr>
          <w:b/>
          <w:bCs/>
          <w:sz w:val="24"/>
        </w:rPr>
        <w:t xml:space="preserve">4.3.2 </w:t>
      </w:r>
      <w:r>
        <w:rPr>
          <w:rFonts w:hint="eastAsia" w:ascii="Times New Roman" w:hAnsi="Times New Roman" w:eastAsia="宋体" w:cs="Times New Roman"/>
          <w:b/>
          <w:bCs/>
          <w:sz w:val="24"/>
          <w:lang w:eastAsia="zh-CN"/>
        </w:rPr>
        <w:t>投标方</w:t>
      </w:r>
      <w:r>
        <w:rPr>
          <w:rFonts w:hint="eastAsia" w:ascii="Times New Roman" w:hAnsi="Times New Roman" w:eastAsia="宋体" w:cs="Times New Roman"/>
          <w:b/>
          <w:bCs/>
          <w:sz w:val="24"/>
        </w:rPr>
        <w:t>责任</w:t>
      </w:r>
    </w:p>
    <w:p>
      <w:pPr>
        <w:numPr>
          <w:ilvl w:val="0"/>
          <w:numId w:val="0"/>
        </w:numPr>
        <w:spacing w:line="360" w:lineRule="auto"/>
        <w:ind w:firstLine="480" w:firstLineChars="200"/>
        <w:rPr>
          <w:sz w:val="24"/>
        </w:rPr>
      </w:pPr>
      <w:r>
        <w:rPr>
          <w:rFonts w:hint="eastAsia" w:ascii="宋体" w:hAnsi="宋体" w:eastAsia="宋体" w:cs="宋体"/>
          <w:sz w:val="24"/>
          <w:szCs w:val="24"/>
          <w:lang w:val="en-US" w:eastAsia="zh-CN"/>
        </w:rPr>
        <w:t>投标方</w:t>
      </w:r>
      <w:r>
        <w:rPr>
          <w:rFonts w:hint="eastAsia" w:ascii="宋体" w:hAnsi="宋体" w:eastAsia="宋体" w:cs="宋体"/>
          <w:sz w:val="24"/>
          <w:szCs w:val="24"/>
        </w:rPr>
        <w:t>按照</w:t>
      </w:r>
      <w:r>
        <w:rPr>
          <w:rFonts w:hint="eastAsia" w:ascii="宋体" w:hAnsi="宋体" w:eastAsia="宋体" w:cs="宋体"/>
          <w:sz w:val="24"/>
          <w:szCs w:val="24"/>
          <w:lang w:eastAsia="zh-CN"/>
        </w:rPr>
        <w:t>招标方</w:t>
      </w:r>
      <w:r>
        <w:rPr>
          <w:rFonts w:hint="eastAsia" w:ascii="宋体" w:hAnsi="宋体" w:eastAsia="宋体" w:cs="宋体"/>
          <w:sz w:val="24"/>
          <w:szCs w:val="24"/>
        </w:rPr>
        <w:t>工作章程开展工作</w:t>
      </w:r>
      <w:r>
        <w:rPr>
          <w:rFonts w:hint="eastAsia" w:ascii="宋体" w:hAnsi="宋体" w:eastAsia="宋体" w:cs="宋体"/>
          <w:sz w:val="24"/>
          <w:szCs w:val="24"/>
          <w:lang w:eastAsia="zh-CN"/>
        </w:rPr>
        <w:t>，</w:t>
      </w:r>
      <w:r>
        <w:rPr>
          <w:rFonts w:hint="eastAsia" w:ascii="宋体" w:hAnsi="宋体" w:eastAsia="宋体" w:cs="宋体"/>
          <w:sz w:val="24"/>
          <w:szCs w:val="24"/>
        </w:rPr>
        <w:t>项目内容的变更即时与</w:t>
      </w:r>
      <w:r>
        <w:rPr>
          <w:rFonts w:hint="eastAsia" w:ascii="宋体" w:hAnsi="宋体" w:eastAsia="宋体" w:cs="宋体"/>
          <w:sz w:val="24"/>
          <w:szCs w:val="24"/>
          <w:lang w:eastAsia="zh-CN"/>
        </w:rPr>
        <w:t>招标方</w:t>
      </w:r>
      <w:r>
        <w:rPr>
          <w:rFonts w:hint="eastAsia" w:ascii="宋体" w:hAnsi="宋体" w:eastAsia="宋体" w:cs="宋体"/>
          <w:sz w:val="24"/>
          <w:szCs w:val="24"/>
        </w:rPr>
        <w:t>代表沟通</w:t>
      </w:r>
      <w:r>
        <w:rPr>
          <w:rFonts w:hint="eastAsia" w:ascii="宋体" w:hAnsi="宋体" w:eastAsia="宋体" w:cs="宋体"/>
          <w:sz w:val="24"/>
          <w:szCs w:val="24"/>
          <w:lang w:eastAsia="zh-CN"/>
        </w:rPr>
        <w:t>。</w:t>
      </w:r>
      <w:r>
        <w:rPr>
          <w:rFonts w:hint="eastAsia" w:ascii="宋体" w:hAnsi="宋体" w:eastAsia="宋体" w:cs="宋体"/>
          <w:sz w:val="24"/>
          <w:szCs w:val="24"/>
        </w:rPr>
        <w:t>按照协议要求提供技术服务和成果</w:t>
      </w:r>
      <w:r>
        <w:rPr>
          <w:rFonts w:hint="eastAsia" w:ascii="宋体" w:hAnsi="宋体" w:eastAsia="宋体" w:cs="宋体"/>
          <w:sz w:val="24"/>
          <w:szCs w:val="24"/>
          <w:lang w:eastAsia="zh-CN"/>
        </w:rPr>
        <w:t>，，</w:t>
      </w:r>
      <w:r>
        <w:rPr>
          <w:rFonts w:hint="eastAsia" w:ascii="宋体" w:hAnsi="宋体" w:eastAsia="宋体" w:cs="宋体"/>
          <w:sz w:val="24"/>
          <w:szCs w:val="24"/>
        </w:rPr>
        <w:t>确保测评工作质量</w:t>
      </w:r>
      <w:r>
        <w:rPr>
          <w:rFonts w:hint="eastAsia" w:ascii="宋体" w:hAnsi="宋体" w:eastAsia="宋体" w:cs="宋体"/>
          <w:sz w:val="24"/>
          <w:szCs w:val="24"/>
          <w:lang w:eastAsia="zh-CN"/>
        </w:rPr>
        <w:t>。</w:t>
      </w:r>
      <w:r>
        <w:rPr>
          <w:rFonts w:hint="eastAsia" w:ascii="宋体" w:hAnsi="宋体" w:eastAsia="宋体" w:cs="宋体"/>
          <w:sz w:val="24"/>
          <w:szCs w:val="24"/>
        </w:rPr>
        <w:t>配合</w:t>
      </w:r>
      <w:r>
        <w:rPr>
          <w:rFonts w:hint="eastAsia" w:ascii="宋体" w:hAnsi="宋体" w:eastAsia="宋体" w:cs="宋体"/>
          <w:sz w:val="24"/>
          <w:szCs w:val="24"/>
          <w:lang w:eastAsia="zh-CN"/>
        </w:rPr>
        <w:t>招标方</w:t>
      </w:r>
      <w:r>
        <w:rPr>
          <w:rFonts w:hint="eastAsia" w:ascii="宋体" w:hAnsi="宋体" w:eastAsia="宋体" w:cs="宋体"/>
          <w:sz w:val="24"/>
          <w:szCs w:val="24"/>
        </w:rPr>
        <w:t>准备应急预案和实施过程中的紧急情况处理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投标方需</w:t>
      </w:r>
      <w:r>
        <w:rPr>
          <w:rFonts w:hint="eastAsia" w:ascii="宋体" w:hAnsi="宋体" w:eastAsia="宋体" w:cs="宋体"/>
          <w:sz w:val="24"/>
          <w:szCs w:val="24"/>
        </w:rPr>
        <w:t>负责按时完成所有工作同时，双方都必须遵循保密要求。</w:t>
      </w:r>
    </w:p>
    <w:p>
      <w:pPr>
        <w:keepNext/>
        <w:keepLines/>
        <w:spacing w:line="360" w:lineRule="auto"/>
        <w:ind w:firstLine="482" w:firstLineChars="200"/>
        <w:outlineLvl w:val="2"/>
        <w:rPr>
          <w:rFonts w:ascii="Times New Roman" w:hAnsi="Times New Roman" w:eastAsia="宋体" w:cs="Times New Roman"/>
          <w:b/>
          <w:bCs/>
          <w:sz w:val="24"/>
        </w:rPr>
      </w:pPr>
      <w:bookmarkStart w:id="72" w:name="_Toc21420"/>
      <w:bookmarkStart w:id="73" w:name="_Toc25395"/>
      <w:r>
        <w:rPr>
          <w:rFonts w:hint="eastAsia" w:ascii="Times New Roman" w:hAnsi="Times New Roman" w:eastAsia="宋体" w:cs="Times New Roman"/>
          <w:b/>
          <w:bCs/>
          <w:sz w:val="24"/>
          <w:lang w:val="en-US" w:eastAsia="zh-CN"/>
        </w:rPr>
        <w:t>4.3.3</w:t>
      </w:r>
      <w:r>
        <w:rPr>
          <w:rFonts w:hint="eastAsia" w:ascii="Times New Roman" w:hAnsi="Times New Roman" w:eastAsia="宋体" w:cs="Times New Roman"/>
          <w:b/>
          <w:bCs/>
          <w:sz w:val="24"/>
        </w:rPr>
        <w:t>测评工作职责划分</w:t>
      </w:r>
      <w:bookmarkEnd w:id="72"/>
      <w:bookmarkEnd w:id="73"/>
    </w:p>
    <w:p>
      <w:pPr>
        <w:tabs>
          <w:tab w:val="left" w:pos="1080"/>
          <w:tab w:val="left" w:pos="1680"/>
        </w:tabs>
        <w:snapToGrid w:val="0"/>
        <w:spacing w:line="360" w:lineRule="auto"/>
        <w:ind w:firstLine="480" w:firstLineChars="200"/>
        <w:rPr>
          <w:rFonts w:ascii="宋体" w:hAnsi="宋体"/>
          <w:color w:val="000000"/>
          <w:sz w:val="24"/>
          <w:szCs w:val="24"/>
        </w:rPr>
      </w:pPr>
      <w:r>
        <w:rPr>
          <w:rFonts w:ascii="宋体" w:hAnsi="宋体"/>
          <w:color w:val="000000"/>
          <w:sz w:val="24"/>
          <w:szCs w:val="24"/>
        </w:rPr>
        <w:t>本技术规范书提出的是最低限度的技术要求。凡本技术规范书中未规定，但在相关国家标准、电力行业标准中有规定的规范条文，乙方应按相应标准的条文进行</w:t>
      </w:r>
      <w:r>
        <w:rPr>
          <w:rFonts w:hint="eastAsia" w:ascii="宋体" w:hAnsi="宋体"/>
          <w:color w:val="000000"/>
          <w:sz w:val="24"/>
          <w:szCs w:val="24"/>
        </w:rPr>
        <w:t>服务</w:t>
      </w:r>
      <w:r>
        <w:rPr>
          <w:rFonts w:hint="eastAsia" w:ascii="宋体" w:hAnsi="宋体"/>
          <w:color w:val="000000"/>
          <w:sz w:val="24"/>
          <w:szCs w:val="24"/>
          <w:lang w:val="en-US" w:eastAsia="zh-CN"/>
        </w:rPr>
        <w:t>说明供应</w:t>
      </w:r>
      <w:r>
        <w:rPr>
          <w:rFonts w:ascii="宋体" w:hAnsi="宋体"/>
          <w:color w:val="000000"/>
          <w:sz w:val="24"/>
          <w:szCs w:val="24"/>
        </w:rPr>
        <w:t>。</w:t>
      </w:r>
    </w:p>
    <w:p>
      <w:pPr>
        <w:tabs>
          <w:tab w:val="left" w:pos="1080"/>
          <w:tab w:val="left" w:pos="1680"/>
        </w:tabs>
        <w:snapToGrid w:val="0"/>
        <w:spacing w:line="360" w:lineRule="auto"/>
        <w:ind w:firstLine="480" w:firstLineChars="200"/>
        <w:rPr>
          <w:rFonts w:ascii="宋体" w:hAnsi="宋体"/>
          <w:color w:val="000000"/>
          <w:sz w:val="24"/>
          <w:szCs w:val="24"/>
        </w:rPr>
      </w:pPr>
      <w:r>
        <w:rPr>
          <w:rFonts w:ascii="宋体" w:hAnsi="宋体"/>
          <w:color w:val="000000"/>
          <w:sz w:val="24"/>
          <w:szCs w:val="24"/>
        </w:rPr>
        <w:t>如果乙方没有以书面形式对本技术规范书的条文提出异议，则甲方认为乙方提供的</w:t>
      </w:r>
      <w:r>
        <w:rPr>
          <w:rFonts w:hint="eastAsia" w:ascii="宋体" w:hAnsi="宋体"/>
          <w:color w:val="000000"/>
          <w:sz w:val="24"/>
          <w:szCs w:val="24"/>
        </w:rPr>
        <w:t>服务</w:t>
      </w:r>
      <w:r>
        <w:rPr>
          <w:rFonts w:ascii="宋体" w:hAnsi="宋体"/>
          <w:color w:val="000000"/>
          <w:sz w:val="24"/>
          <w:szCs w:val="24"/>
        </w:rPr>
        <w:t>完全符合本技术规范书。</w:t>
      </w:r>
    </w:p>
    <w:p>
      <w:pPr>
        <w:tabs>
          <w:tab w:val="left" w:pos="1080"/>
          <w:tab w:val="left" w:pos="1680"/>
        </w:tabs>
        <w:snapToGrid w:val="0"/>
        <w:spacing w:line="360" w:lineRule="auto"/>
        <w:ind w:firstLine="480" w:firstLineChars="200"/>
        <w:rPr>
          <w:rFonts w:ascii="宋体" w:hAnsi="宋体"/>
          <w:color w:val="000000"/>
          <w:sz w:val="24"/>
          <w:szCs w:val="24"/>
        </w:rPr>
      </w:pPr>
      <w:r>
        <w:rPr>
          <w:rFonts w:ascii="宋体" w:hAnsi="宋体"/>
          <w:color w:val="000000"/>
          <w:sz w:val="24"/>
          <w:szCs w:val="24"/>
        </w:rPr>
        <w:t>本技术规范书所建议使用的标准如与乙方所执行的标准不一致，乙方应按更严格标准的条文执行或按双方商定的标准执行。</w:t>
      </w:r>
    </w:p>
    <w:p>
      <w:pPr>
        <w:tabs>
          <w:tab w:val="left" w:pos="1080"/>
          <w:tab w:val="left" w:pos="1680"/>
        </w:tabs>
        <w:snapToGrid w:val="0"/>
        <w:spacing w:line="360" w:lineRule="auto"/>
        <w:ind w:firstLine="480" w:firstLineChars="200"/>
        <w:rPr>
          <w:rFonts w:ascii="宋体" w:hAnsi="宋体"/>
          <w:color w:val="000000"/>
          <w:sz w:val="24"/>
          <w:szCs w:val="24"/>
        </w:rPr>
      </w:pPr>
      <w:r>
        <w:rPr>
          <w:rFonts w:ascii="宋体" w:hAnsi="宋体"/>
          <w:color w:val="000000"/>
          <w:sz w:val="24"/>
          <w:szCs w:val="24"/>
        </w:rPr>
        <w:t>本技术规范书经</w:t>
      </w:r>
      <w:r>
        <w:rPr>
          <w:rFonts w:hint="eastAsia" w:ascii="宋体" w:hAnsi="宋体"/>
          <w:color w:val="000000"/>
          <w:sz w:val="24"/>
          <w:szCs w:val="24"/>
        </w:rPr>
        <w:t>甲乙</w:t>
      </w:r>
      <w:r>
        <w:rPr>
          <w:rFonts w:ascii="宋体" w:hAnsi="宋体"/>
          <w:color w:val="000000"/>
          <w:sz w:val="24"/>
          <w:szCs w:val="24"/>
        </w:rPr>
        <w:t>双方确认后作为</w:t>
      </w:r>
      <w:r>
        <w:rPr>
          <w:rFonts w:hint="eastAsia" w:ascii="宋体" w:hAnsi="宋体"/>
          <w:color w:val="000000"/>
          <w:sz w:val="24"/>
          <w:szCs w:val="24"/>
        </w:rPr>
        <w:t>实施</w:t>
      </w:r>
      <w:r>
        <w:rPr>
          <w:rFonts w:ascii="宋体" w:hAnsi="宋体"/>
          <w:color w:val="000000"/>
          <w:sz w:val="24"/>
          <w:szCs w:val="24"/>
        </w:rPr>
        <w:t>合同的技术附件，与合同正文具有同等的法律效力。</w:t>
      </w:r>
    </w:p>
    <w:p>
      <w:pPr>
        <w:spacing w:line="360" w:lineRule="auto"/>
        <w:ind w:firstLine="480" w:firstLineChars="200"/>
        <w:rPr>
          <w:rFonts w:ascii="宋体" w:hAnsi="宋体"/>
          <w:sz w:val="24"/>
          <w:szCs w:val="24"/>
        </w:rPr>
      </w:pPr>
      <w:r>
        <w:rPr>
          <w:rFonts w:hint="eastAsia" w:ascii="宋体" w:hAnsi="宋体"/>
          <w:sz w:val="24"/>
          <w:szCs w:val="24"/>
        </w:rPr>
        <w:t>为切实保障本项目的工作质量，确保测评及评估工作达到预期目标，对甲方及乙方双方技术工作责任约定如下：</w:t>
      </w:r>
    </w:p>
    <w:p>
      <w:pPr>
        <w:spacing w:line="360" w:lineRule="auto"/>
        <w:ind w:firstLine="482" w:firstLineChars="200"/>
        <w:rPr>
          <w:rFonts w:hint="eastAsia" w:ascii="宋体" w:hAnsi="宋体" w:eastAsia="宋体" w:cs="Times New Roman"/>
          <w:b/>
          <w:bCs/>
          <w:sz w:val="24"/>
          <w:szCs w:val="24"/>
          <w:lang w:eastAsia="zh-CN"/>
        </w:rPr>
      </w:pPr>
      <w:r>
        <w:rPr>
          <w:rFonts w:hint="eastAsia" w:ascii="宋体" w:hAnsi="宋体" w:eastAsia="宋体" w:cs="Times New Roman"/>
          <w:b/>
          <w:bCs/>
          <w:sz w:val="24"/>
          <w:szCs w:val="24"/>
        </w:rPr>
        <w:t>甲方责任</w:t>
      </w:r>
      <w:r>
        <w:rPr>
          <w:rFonts w:hint="eastAsia" w:ascii="宋体" w:hAnsi="宋体" w:eastAsia="宋体" w:cs="Times New Roman"/>
          <w:b/>
          <w:bCs/>
          <w:sz w:val="24"/>
          <w:szCs w:val="24"/>
          <w:lang w:eastAsia="zh-CN"/>
        </w:rPr>
        <w:t>：</w:t>
      </w:r>
    </w:p>
    <w:p>
      <w:pPr>
        <w:numPr>
          <w:ilvl w:val="0"/>
          <w:numId w:val="11"/>
        </w:numPr>
        <w:spacing w:line="360" w:lineRule="auto"/>
        <w:ind w:firstLine="147"/>
        <w:rPr>
          <w:rFonts w:ascii="宋体" w:hAnsi="宋体" w:cs="宋体"/>
          <w:sz w:val="24"/>
          <w:szCs w:val="24"/>
        </w:rPr>
      </w:pPr>
      <w:r>
        <w:rPr>
          <w:rFonts w:hint="eastAsia" w:ascii="宋体" w:hAnsi="宋体" w:cs="宋体"/>
          <w:sz w:val="24"/>
          <w:szCs w:val="24"/>
        </w:rPr>
        <w:t>为</w:t>
      </w:r>
      <w:r>
        <w:rPr>
          <w:rFonts w:hint="eastAsia" w:ascii="宋体" w:hAnsi="宋体"/>
          <w:sz w:val="24"/>
          <w:szCs w:val="24"/>
        </w:rPr>
        <w:t>乙方</w:t>
      </w:r>
      <w:r>
        <w:rPr>
          <w:rFonts w:hint="eastAsia" w:ascii="宋体" w:hAnsi="宋体" w:cs="宋体"/>
          <w:sz w:val="24"/>
          <w:szCs w:val="24"/>
        </w:rPr>
        <w:t>提供良好的工作场地和环境。</w:t>
      </w:r>
    </w:p>
    <w:p>
      <w:pPr>
        <w:numPr>
          <w:ilvl w:val="0"/>
          <w:numId w:val="11"/>
        </w:numPr>
        <w:spacing w:line="360" w:lineRule="auto"/>
        <w:ind w:firstLine="147"/>
        <w:rPr>
          <w:rFonts w:ascii="宋体" w:hAnsi="宋体" w:cs="宋体"/>
          <w:sz w:val="24"/>
          <w:szCs w:val="24"/>
        </w:rPr>
      </w:pPr>
      <w:r>
        <w:rPr>
          <w:rFonts w:hint="eastAsia" w:ascii="宋体" w:hAnsi="宋体" w:cs="宋体"/>
          <w:sz w:val="24"/>
          <w:szCs w:val="24"/>
        </w:rPr>
        <w:t>提供相关的资料和信息。</w:t>
      </w:r>
    </w:p>
    <w:p>
      <w:pPr>
        <w:spacing w:line="360" w:lineRule="auto"/>
        <w:ind w:firstLine="482" w:firstLineChars="200"/>
        <w:rPr>
          <w:rFonts w:hint="eastAsia" w:ascii="宋体" w:hAnsi="宋体" w:eastAsia="宋体" w:cs="Times New Roman"/>
          <w:b/>
          <w:bCs/>
          <w:sz w:val="24"/>
          <w:szCs w:val="24"/>
          <w:lang w:eastAsia="zh-CN"/>
        </w:rPr>
      </w:pPr>
      <w:r>
        <w:rPr>
          <w:rFonts w:hint="eastAsia" w:ascii="宋体" w:hAnsi="宋体" w:eastAsia="宋体" w:cs="Times New Roman"/>
          <w:b/>
          <w:bCs/>
          <w:sz w:val="24"/>
          <w:szCs w:val="24"/>
        </w:rPr>
        <w:t>乙方责任</w:t>
      </w:r>
      <w:r>
        <w:rPr>
          <w:rFonts w:hint="eastAsia" w:ascii="宋体" w:hAnsi="宋体" w:eastAsia="宋体" w:cs="Times New Roman"/>
          <w:b/>
          <w:bCs/>
          <w:sz w:val="24"/>
          <w:szCs w:val="24"/>
          <w:lang w:eastAsia="zh-CN"/>
        </w:rPr>
        <w:t>：</w:t>
      </w:r>
    </w:p>
    <w:p>
      <w:pPr>
        <w:numPr>
          <w:ilvl w:val="0"/>
          <w:numId w:val="11"/>
        </w:numPr>
        <w:spacing w:line="360" w:lineRule="auto"/>
        <w:ind w:firstLine="147"/>
        <w:rPr>
          <w:rFonts w:ascii="宋体" w:hAnsi="宋体" w:cs="宋体"/>
          <w:sz w:val="24"/>
          <w:szCs w:val="24"/>
        </w:rPr>
      </w:pPr>
      <w:r>
        <w:rPr>
          <w:rFonts w:hint="eastAsia" w:ascii="宋体" w:hAnsi="宋体" w:cs="宋体"/>
          <w:sz w:val="24"/>
          <w:szCs w:val="24"/>
        </w:rPr>
        <w:t>按照甲方工作章程开展工作。</w:t>
      </w:r>
    </w:p>
    <w:p>
      <w:pPr>
        <w:numPr>
          <w:ilvl w:val="0"/>
          <w:numId w:val="11"/>
        </w:numPr>
        <w:spacing w:line="360" w:lineRule="auto"/>
        <w:ind w:firstLine="147"/>
        <w:rPr>
          <w:rFonts w:ascii="宋体" w:hAnsi="宋体" w:cs="宋体"/>
          <w:sz w:val="24"/>
          <w:szCs w:val="24"/>
        </w:rPr>
      </w:pPr>
      <w:r>
        <w:rPr>
          <w:rFonts w:hint="eastAsia" w:ascii="宋体" w:hAnsi="宋体" w:cs="宋体"/>
          <w:sz w:val="24"/>
          <w:szCs w:val="24"/>
        </w:rPr>
        <w:t>提供实施方案及应急预案，并获得甲方的认可后方可实施。</w:t>
      </w:r>
    </w:p>
    <w:p>
      <w:pPr>
        <w:numPr>
          <w:ilvl w:val="0"/>
          <w:numId w:val="11"/>
        </w:numPr>
        <w:spacing w:line="360" w:lineRule="auto"/>
        <w:ind w:firstLine="147"/>
        <w:rPr>
          <w:rFonts w:ascii="宋体" w:hAnsi="宋体" w:cs="宋体"/>
          <w:sz w:val="24"/>
          <w:szCs w:val="24"/>
        </w:rPr>
      </w:pPr>
      <w:r>
        <w:rPr>
          <w:rFonts w:hint="eastAsia" w:ascii="宋体" w:hAnsi="宋体" w:cs="宋体"/>
          <w:sz w:val="24"/>
          <w:szCs w:val="24"/>
        </w:rPr>
        <w:t>项目内容的变更及时与甲方代表沟通。</w:t>
      </w:r>
    </w:p>
    <w:p>
      <w:pPr>
        <w:numPr>
          <w:ilvl w:val="0"/>
          <w:numId w:val="11"/>
        </w:numPr>
        <w:spacing w:line="360" w:lineRule="auto"/>
        <w:ind w:firstLine="147"/>
        <w:rPr>
          <w:rFonts w:ascii="宋体" w:hAnsi="宋体" w:cs="宋体"/>
          <w:sz w:val="24"/>
          <w:szCs w:val="24"/>
        </w:rPr>
      </w:pPr>
      <w:r>
        <w:rPr>
          <w:rFonts w:hint="eastAsia" w:ascii="宋体" w:hAnsi="宋体" w:cs="宋体"/>
          <w:sz w:val="24"/>
          <w:szCs w:val="24"/>
        </w:rPr>
        <w:t>按照技术规范要求提供技术服务和成果。</w:t>
      </w:r>
    </w:p>
    <w:p>
      <w:pPr>
        <w:numPr>
          <w:ilvl w:val="0"/>
          <w:numId w:val="11"/>
        </w:numPr>
        <w:spacing w:line="360" w:lineRule="auto"/>
        <w:ind w:firstLine="147"/>
        <w:rPr>
          <w:rFonts w:ascii="宋体" w:hAnsi="宋体" w:cs="宋体"/>
          <w:sz w:val="24"/>
          <w:szCs w:val="24"/>
        </w:rPr>
      </w:pPr>
      <w:r>
        <w:rPr>
          <w:rFonts w:hint="eastAsia" w:ascii="宋体" w:hAnsi="宋体" w:cs="宋体"/>
          <w:sz w:val="24"/>
          <w:szCs w:val="24"/>
        </w:rPr>
        <w:t>确保测评及评估工作质量。</w:t>
      </w:r>
    </w:p>
    <w:p>
      <w:pPr>
        <w:numPr>
          <w:ilvl w:val="0"/>
          <w:numId w:val="11"/>
        </w:numPr>
        <w:spacing w:line="360" w:lineRule="auto"/>
        <w:ind w:firstLine="147"/>
        <w:rPr>
          <w:rFonts w:ascii="宋体" w:hAnsi="宋体" w:cs="宋体"/>
          <w:sz w:val="24"/>
          <w:szCs w:val="24"/>
        </w:rPr>
      </w:pPr>
      <w:r>
        <w:rPr>
          <w:rFonts w:hint="eastAsia" w:ascii="宋体" w:hAnsi="宋体" w:cs="宋体"/>
          <w:sz w:val="24"/>
          <w:szCs w:val="24"/>
        </w:rPr>
        <w:t>配合甲方准备应急预案和实施过程中的紧急情况处理。</w:t>
      </w:r>
    </w:p>
    <w:p>
      <w:pPr>
        <w:numPr>
          <w:ilvl w:val="0"/>
          <w:numId w:val="11"/>
        </w:numPr>
        <w:spacing w:line="360" w:lineRule="auto"/>
        <w:ind w:firstLine="147"/>
        <w:rPr>
          <w:rFonts w:ascii="宋体" w:hAnsi="宋体" w:cs="宋体"/>
          <w:sz w:val="24"/>
          <w:szCs w:val="24"/>
        </w:rPr>
      </w:pPr>
      <w:r>
        <w:rPr>
          <w:rFonts w:hint="eastAsia" w:ascii="宋体" w:hAnsi="宋体" w:cs="宋体"/>
          <w:sz w:val="24"/>
          <w:szCs w:val="24"/>
        </w:rPr>
        <w:t>负责按时完成所有工作。</w:t>
      </w:r>
    </w:p>
    <w:p>
      <w:pPr>
        <w:numPr>
          <w:ilvl w:val="0"/>
          <w:numId w:val="11"/>
        </w:numPr>
        <w:spacing w:line="360" w:lineRule="auto"/>
        <w:ind w:firstLine="147"/>
        <w:rPr>
          <w:rFonts w:ascii="宋体" w:hAnsi="宋体" w:cs="宋体"/>
          <w:sz w:val="24"/>
          <w:szCs w:val="24"/>
        </w:rPr>
      </w:pPr>
      <w:r>
        <w:rPr>
          <w:rFonts w:hint="eastAsia" w:ascii="宋体" w:hAnsi="宋体" w:cs="宋体"/>
          <w:sz w:val="24"/>
          <w:szCs w:val="24"/>
        </w:rPr>
        <w:t>根据甲方提供的资料完成相关网站、平台信息的、注册/录入。</w:t>
      </w:r>
    </w:p>
    <w:p>
      <w:pPr>
        <w:numPr>
          <w:ilvl w:val="0"/>
          <w:numId w:val="11"/>
        </w:numPr>
        <w:spacing w:line="360" w:lineRule="auto"/>
        <w:ind w:firstLine="147"/>
        <w:rPr>
          <w:rFonts w:ascii="宋体" w:hAnsi="宋体" w:cs="宋体"/>
          <w:sz w:val="24"/>
          <w:szCs w:val="24"/>
        </w:rPr>
      </w:pPr>
      <w:r>
        <w:rPr>
          <w:rFonts w:hint="eastAsia" w:ascii="宋体" w:hAnsi="宋体" w:cs="宋体"/>
          <w:sz w:val="24"/>
          <w:szCs w:val="24"/>
        </w:rPr>
        <w:t>协助甲方通过相关主管部门验收并获得验收文件。</w:t>
      </w:r>
    </w:p>
    <w:p>
      <w:pPr>
        <w:spacing w:before="156" w:beforeLines="50" w:after="156" w:afterLines="50" w:line="360" w:lineRule="auto"/>
        <w:ind w:firstLine="480" w:firstLineChars="200"/>
        <w:rPr>
          <w:rFonts w:hint="eastAsia"/>
        </w:rPr>
      </w:pPr>
      <w:r>
        <w:rPr>
          <w:rFonts w:hint="eastAsia" w:ascii="宋体" w:hAnsi="宋体"/>
          <w:sz w:val="24"/>
          <w:szCs w:val="24"/>
        </w:rPr>
        <w:t>同时，双方都必须遵循保密要求。</w:t>
      </w:r>
    </w:p>
    <w:p>
      <w:pPr>
        <w:keepNext/>
        <w:keepLines/>
        <w:numPr>
          <w:ilvl w:val="1"/>
          <w:numId w:val="0"/>
        </w:numPr>
        <w:spacing w:before="260" w:after="260" w:line="360" w:lineRule="auto"/>
        <w:ind w:left="576" w:hanging="576"/>
        <w:outlineLvl w:val="1"/>
        <w:rPr>
          <w:b/>
          <w:bCs/>
          <w:kern w:val="44"/>
          <w:sz w:val="24"/>
        </w:rPr>
      </w:pPr>
      <w:r>
        <w:rPr>
          <w:b/>
          <w:bCs/>
          <w:kern w:val="44"/>
          <w:sz w:val="24"/>
        </w:rPr>
        <w:t xml:space="preserve">4.4 </w:t>
      </w:r>
      <w:r>
        <w:rPr>
          <w:rFonts w:hint="eastAsia"/>
          <w:b/>
          <w:bCs/>
          <w:kern w:val="44"/>
          <w:sz w:val="24"/>
          <w:lang w:val="en-US" w:eastAsia="zh-CN"/>
        </w:rPr>
        <w:t>保密要求</w:t>
      </w:r>
      <w:r>
        <w:rPr>
          <w:b/>
          <w:bCs/>
          <w:kern w:val="44"/>
          <w:sz w:val="24"/>
        </w:rPr>
        <w:t>及保障措施</w:t>
      </w:r>
    </w:p>
    <w:bookmarkEnd w:id="54"/>
    <w:p>
      <w:pPr>
        <w:keepNext/>
        <w:keepLines/>
        <w:spacing w:line="360" w:lineRule="auto"/>
        <w:ind w:firstLine="482" w:firstLineChars="200"/>
        <w:outlineLvl w:val="2"/>
        <w:rPr>
          <w:b/>
          <w:bCs/>
          <w:sz w:val="24"/>
        </w:rPr>
      </w:pPr>
      <w:r>
        <w:rPr>
          <w:b/>
          <w:bCs/>
          <w:sz w:val="24"/>
        </w:rPr>
        <w:t xml:space="preserve">4.4.1 </w:t>
      </w:r>
      <w:r>
        <w:rPr>
          <w:rFonts w:hint="eastAsia"/>
          <w:b/>
          <w:bCs/>
          <w:sz w:val="24"/>
          <w:lang w:val="en-US" w:eastAsia="zh-CN"/>
        </w:rPr>
        <w:t>保密</w:t>
      </w:r>
      <w:r>
        <w:rPr>
          <w:b/>
          <w:bCs/>
          <w:sz w:val="24"/>
        </w:rPr>
        <w:t>要求</w:t>
      </w:r>
    </w:p>
    <w:p>
      <w:pPr>
        <w:numPr>
          <w:ilvl w:val="0"/>
          <w:numId w:val="12"/>
        </w:numPr>
        <w:overflowPunct w:val="0"/>
        <w:topLinePunct/>
        <w:snapToGrid w:val="0"/>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lang w:eastAsia="zh-CN"/>
        </w:rPr>
        <w:t>投标方</w:t>
      </w:r>
      <w:r>
        <w:rPr>
          <w:rFonts w:hint="eastAsia" w:ascii="宋体" w:hAnsi="宋体" w:eastAsia="宋体" w:cs="宋体"/>
          <w:sz w:val="24"/>
          <w:szCs w:val="24"/>
        </w:rPr>
        <w:t>承担被测评单位敏感信息的保密责任，在项目实施过程中，双方需要复制对方提供的相关资料时，应提交书面申请，在得到对方书面同意后方可复制，并将数据内容记录成表，签字确认。</w:t>
      </w:r>
    </w:p>
    <w:p>
      <w:pPr>
        <w:numPr>
          <w:ilvl w:val="0"/>
          <w:numId w:val="12"/>
        </w:numPr>
        <w:overflowPunct w:val="0"/>
        <w:topLinePunct/>
        <w:snapToGrid w:val="0"/>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未经双方书面同意，不得向第三方透露项目和涉及双方企业信息安全、技术成果的任何内容。</w:t>
      </w:r>
    </w:p>
    <w:p>
      <w:pPr>
        <w:numPr>
          <w:ilvl w:val="0"/>
          <w:numId w:val="12"/>
        </w:numPr>
        <w:overflowPunct w:val="0"/>
        <w:topLinePunct/>
        <w:snapToGrid w:val="0"/>
        <w:spacing w:line="360" w:lineRule="auto"/>
        <w:ind w:left="420" w:leftChars="0" w:hanging="420" w:firstLineChars="0"/>
        <w:rPr>
          <w:rFonts w:hint="eastAsia" w:ascii="宋体" w:hAnsi="宋体" w:eastAsia="宋体" w:cs="宋体"/>
          <w:sz w:val="24"/>
          <w:szCs w:val="24"/>
        </w:rPr>
      </w:pPr>
      <w:r>
        <w:rPr>
          <w:rFonts w:hint="eastAsia" w:ascii="宋体" w:hAnsi="宋体" w:eastAsia="宋体" w:cs="宋体"/>
          <w:sz w:val="24"/>
          <w:szCs w:val="24"/>
        </w:rPr>
        <w:t>项目结束后，双方必须互相确认测评过程中提供的相关资料，相互承担保密责任。</w:t>
      </w:r>
    </w:p>
    <w:p>
      <w:pPr>
        <w:pStyle w:val="2"/>
        <w:numPr>
          <w:ilvl w:val="0"/>
          <w:numId w:val="12"/>
        </w:numPr>
        <w:ind w:left="420" w:leftChars="0" w:hanging="420" w:firstLineChars="0"/>
        <w:rPr>
          <w:rFonts w:hint="eastAsia"/>
        </w:rPr>
      </w:pPr>
      <w:r>
        <w:rPr>
          <w:rFonts w:hint="eastAsia"/>
        </w:rPr>
        <w:t>服务方签署项目保密协议，对项目过程获取的业务资料、网络拓扑、资产清单、账号信息、安全漏洞、测评原始记录全部严格保密。</w:t>
      </w:r>
    </w:p>
    <w:p>
      <w:pPr>
        <w:pStyle w:val="2"/>
        <w:numPr>
          <w:ilvl w:val="0"/>
          <w:numId w:val="12"/>
        </w:numPr>
        <w:ind w:left="420" w:leftChars="0" w:hanging="420" w:firstLineChars="0"/>
        <w:rPr>
          <w:rFonts w:hint="eastAsia"/>
        </w:rPr>
      </w:pPr>
      <w:r>
        <w:rPr>
          <w:rFonts w:hint="eastAsia"/>
        </w:rPr>
        <w:t>项目所有资料不得对外泄露，不得用于本项目以外其他用途；项目结束后按采购人要求删除全部本地副本。</w:t>
      </w:r>
    </w:p>
    <w:p>
      <w:pPr>
        <w:pStyle w:val="2"/>
        <w:numPr>
          <w:ilvl w:val="0"/>
          <w:numId w:val="12"/>
        </w:numPr>
        <w:ind w:left="420" w:leftChars="0" w:hanging="420" w:firstLineChars="0"/>
      </w:pPr>
      <w:r>
        <w:rPr>
          <w:rFonts w:hint="eastAsia"/>
        </w:rPr>
        <w:t>项目人员签订保密承诺书；发生泄密事件，服务商承担全部法律及经济责任。</w:t>
      </w:r>
    </w:p>
    <w:bookmarkEnd w:id="26"/>
    <w:bookmarkEnd w:id="27"/>
    <w:p>
      <w:pPr>
        <w:keepNext/>
        <w:keepLines/>
        <w:spacing w:line="360" w:lineRule="auto"/>
        <w:ind w:firstLine="482" w:firstLineChars="200"/>
        <w:outlineLvl w:val="2"/>
        <w:rPr>
          <w:b/>
          <w:bCs/>
          <w:sz w:val="24"/>
        </w:rPr>
      </w:pPr>
      <w:r>
        <w:rPr>
          <w:b/>
          <w:bCs/>
          <w:sz w:val="24"/>
        </w:rPr>
        <w:t>4.4.2 项目质量保障要求</w:t>
      </w:r>
    </w:p>
    <w:p>
      <w:pPr>
        <w:autoSpaceDN w:val="0"/>
        <w:spacing w:line="360" w:lineRule="auto"/>
        <w:ind w:firstLine="480" w:firstLineChars="200"/>
        <w:textAlignment w:val="baseline"/>
        <w:rPr>
          <w:sz w:val="24"/>
        </w:rPr>
      </w:pPr>
      <w:r>
        <w:rPr>
          <w:sz w:val="24"/>
        </w:rPr>
        <w:t xml:space="preserve">应建立严格的质量保证体系，制定各阶段质量控制方案及控制措施，并督促落实各环节质量控制内容和目标，保证各个阶段工作满足项目单位的质量要求。应根据整个项目的研究工作计划，对阶段性工作成果进行审查，并向项目单位提交里程碑式工作成果。通过保证各阶段性成果的质量，最终保证整个项目工作的质量。 </w:t>
      </w:r>
    </w:p>
    <w:p>
      <w:pPr>
        <w:overflowPunct w:val="0"/>
        <w:topLinePunct/>
        <w:snapToGrid w:val="0"/>
        <w:spacing w:line="360" w:lineRule="auto"/>
        <w:ind w:firstLine="420"/>
        <w:rPr>
          <w:rFonts w:hint="eastAsia" w:ascii="宋体" w:hAnsi="宋体" w:eastAsia="宋体" w:cs="宋体"/>
          <w:sz w:val="24"/>
          <w:szCs w:val="24"/>
        </w:rPr>
      </w:pPr>
      <w:r>
        <w:rPr>
          <w:rFonts w:hint="eastAsia" w:ascii="宋体" w:hAnsi="宋体" w:eastAsia="宋体" w:cs="宋体"/>
          <w:sz w:val="24"/>
          <w:szCs w:val="24"/>
          <w:lang w:eastAsia="zh-CN"/>
        </w:rPr>
        <w:t>投标方</w:t>
      </w:r>
      <w:r>
        <w:rPr>
          <w:rFonts w:hint="eastAsia" w:ascii="宋体" w:hAnsi="宋体" w:eastAsia="宋体" w:cs="宋体"/>
          <w:sz w:val="24"/>
          <w:szCs w:val="24"/>
        </w:rPr>
        <w:t>在等级保护测评方案设计、实施、验收的各个阶段，均应满足</w:t>
      </w:r>
      <w:r>
        <w:rPr>
          <w:rFonts w:hint="eastAsia" w:ascii="宋体" w:hAnsi="宋体" w:eastAsia="宋体" w:cs="宋体"/>
          <w:sz w:val="24"/>
          <w:szCs w:val="24"/>
          <w:lang w:val="en-US" w:eastAsia="zh-CN"/>
        </w:rPr>
        <w:t>被测评</w:t>
      </w:r>
      <w:r>
        <w:rPr>
          <w:rFonts w:hint="eastAsia" w:ascii="宋体" w:hAnsi="宋体" w:eastAsia="宋体" w:cs="宋体"/>
          <w:sz w:val="24"/>
          <w:szCs w:val="24"/>
        </w:rPr>
        <w:t>系统正常稳定运行的要求。</w:t>
      </w:r>
    </w:p>
    <w:p>
      <w:pPr>
        <w:bidi w:val="0"/>
        <w:rPr>
          <w:rFonts w:hint="eastAsia" w:ascii="宋体" w:hAnsi="宋体" w:cs="宋体"/>
          <w:sz w:val="24"/>
          <w:szCs w:val="24"/>
          <w:lang w:val="en-US" w:eastAsia="zh-CN"/>
        </w:rPr>
      </w:pPr>
      <w:r>
        <w:rPr>
          <w:rFonts w:hint="eastAsia" w:ascii="宋体" w:hAnsi="宋体" w:eastAsia="宋体" w:cs="宋体"/>
          <w:sz w:val="24"/>
          <w:szCs w:val="24"/>
          <w:lang w:eastAsia="zh-CN"/>
        </w:rPr>
        <w:t>投标方</w:t>
      </w:r>
      <w:r>
        <w:rPr>
          <w:rFonts w:hint="eastAsia" w:ascii="宋体" w:hAnsi="宋体" w:eastAsia="宋体" w:cs="宋体"/>
          <w:sz w:val="24"/>
          <w:szCs w:val="24"/>
        </w:rPr>
        <w:t>出具的相关报告应得到等级保护行业主管单位认定。报告正本一式四份。</w:t>
      </w:r>
      <w:r>
        <w:rPr>
          <w:rFonts w:hint="eastAsia" w:ascii="宋体" w:hAnsi="宋体" w:cs="宋体"/>
          <w:sz w:val="24"/>
          <w:szCs w:val="24"/>
          <w:lang w:val="en-US" w:eastAsia="zh-CN"/>
        </w:rPr>
        <w:t>取得备案证书，完成备案。</w:t>
      </w:r>
    </w:p>
    <w:p>
      <w:pPr>
        <w:keepNext/>
        <w:keepLines/>
        <w:numPr>
          <w:ilvl w:val="1"/>
          <w:numId w:val="0"/>
        </w:numPr>
        <w:spacing w:before="260" w:after="260" w:line="360" w:lineRule="auto"/>
        <w:ind w:left="576" w:hanging="576"/>
        <w:outlineLvl w:val="1"/>
        <w:rPr>
          <w:b/>
          <w:bCs/>
          <w:kern w:val="44"/>
          <w:sz w:val="24"/>
        </w:rPr>
      </w:pPr>
      <w:r>
        <w:rPr>
          <w:b/>
          <w:bCs/>
          <w:kern w:val="44"/>
          <w:sz w:val="24"/>
        </w:rPr>
        <w:t>4.5 成果交付物要求</w:t>
      </w:r>
    </w:p>
    <w:p>
      <w:pPr>
        <w:kinsoku w:val="0"/>
        <w:overflowPunct w:val="0"/>
        <w:autoSpaceDE w:val="0"/>
        <w:autoSpaceDN w:val="0"/>
        <w:adjustRightInd w:val="0"/>
        <w:snapToGrid w:val="0"/>
        <w:spacing w:line="360" w:lineRule="auto"/>
        <w:ind w:firstLine="480" w:firstLineChars="200"/>
        <w:rPr>
          <w:snapToGrid w:val="0"/>
          <w:kern w:val="0"/>
          <w:sz w:val="24"/>
        </w:rPr>
      </w:pPr>
      <w:r>
        <w:rPr>
          <w:snapToGrid w:val="0"/>
          <w:kern w:val="0"/>
          <w:sz w:val="24"/>
        </w:rPr>
        <w:t>本项目交付成果包括但不限如下：</w:t>
      </w:r>
    </w:p>
    <w:p>
      <w:pPr>
        <w:kinsoku w:val="0"/>
        <w:overflowPunct w:val="0"/>
        <w:autoSpaceDE w:val="0"/>
        <w:autoSpaceDN w:val="0"/>
        <w:adjustRightInd w:val="0"/>
        <w:snapToGrid w:val="0"/>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备案证明</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壹</w:t>
      </w:r>
      <w:r>
        <w:rPr>
          <w:rFonts w:hint="eastAsia" w:ascii="宋体" w:hAnsi="宋体" w:eastAsia="宋体" w:cs="宋体"/>
          <w:color w:val="000000"/>
          <w:sz w:val="24"/>
          <w:szCs w:val="24"/>
          <w:lang w:eastAsia="zh-CN"/>
        </w:rPr>
        <w:t>份、《信息系统安全等级测评报告》肆份。</w:t>
      </w:r>
    </w:p>
    <w:p>
      <w:pPr>
        <w:keepNext/>
        <w:keepLines/>
        <w:numPr>
          <w:ilvl w:val="1"/>
          <w:numId w:val="0"/>
        </w:numPr>
        <w:spacing w:before="260" w:after="260" w:line="360" w:lineRule="auto"/>
        <w:ind w:left="576" w:hanging="576"/>
        <w:outlineLvl w:val="1"/>
        <w:rPr>
          <w:b/>
          <w:bCs/>
          <w:kern w:val="44"/>
          <w:sz w:val="24"/>
        </w:rPr>
      </w:pPr>
      <w:r>
        <w:rPr>
          <w:b/>
          <w:bCs/>
          <w:kern w:val="44"/>
          <w:sz w:val="24"/>
        </w:rPr>
        <w:t>4.6 技术差异表</w:t>
      </w:r>
    </w:p>
    <w:tbl>
      <w:tblPr>
        <w:tblStyle w:val="36"/>
        <w:tblW w:w="939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99"/>
        <w:gridCol w:w="2294"/>
        <w:gridCol w:w="1827"/>
        <w:gridCol w:w="2234"/>
        <w:gridCol w:w="134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9" w:hRule="exact"/>
        </w:trPr>
        <w:tc>
          <w:tcPr>
            <w:tcW w:w="1699" w:type="dxa"/>
            <w:tcBorders>
              <w:top w:val="single" w:color="auto" w:sz="12" w:space="0"/>
              <w:bottom w:val="single" w:color="auto" w:sz="12" w:space="0"/>
            </w:tcBorders>
            <w:vAlign w:val="center"/>
          </w:tcPr>
          <w:p>
            <w:pPr>
              <w:keepNext w:val="0"/>
              <w:keepLines w:val="0"/>
              <w:pageBreakBefore w:val="0"/>
              <w:widowControl w:val="0"/>
              <w:kinsoku/>
              <w:wordWrap/>
              <w:overflowPunct/>
              <w:topLinePunct w:val="0"/>
              <w:autoSpaceDE/>
              <w:autoSpaceDN/>
              <w:bidi w:val="0"/>
              <w:snapToGrid/>
              <w:spacing w:line="360" w:lineRule="auto"/>
              <w:ind w:firstLine="0" w:firstLineChars="0"/>
              <w:jc w:val="center"/>
              <w:rPr>
                <w:rFonts w:hint="eastAsia" w:ascii="宋体" w:hAnsi="宋体"/>
                <w:b/>
                <w:bCs/>
                <w:sz w:val="22"/>
                <w:szCs w:val="22"/>
              </w:rPr>
            </w:pPr>
            <w:r>
              <w:rPr>
                <w:rFonts w:ascii="宋体" w:hAnsi="宋体"/>
                <w:b/>
                <w:bCs/>
                <w:sz w:val="22"/>
                <w:szCs w:val="22"/>
              </w:rPr>
              <w:t>规范书条目</w:t>
            </w:r>
          </w:p>
        </w:tc>
        <w:tc>
          <w:tcPr>
            <w:tcW w:w="2294" w:type="dxa"/>
            <w:tcBorders>
              <w:top w:val="single" w:color="auto" w:sz="12" w:space="0"/>
              <w:bottom w:val="single" w:color="auto" w:sz="12" w:space="0"/>
            </w:tcBorders>
            <w:vAlign w:val="center"/>
          </w:tcPr>
          <w:p>
            <w:pPr>
              <w:keepNext w:val="0"/>
              <w:keepLines w:val="0"/>
              <w:pageBreakBefore w:val="0"/>
              <w:widowControl w:val="0"/>
              <w:kinsoku/>
              <w:wordWrap/>
              <w:overflowPunct/>
              <w:topLinePunct w:val="0"/>
              <w:autoSpaceDE/>
              <w:autoSpaceDN/>
              <w:bidi w:val="0"/>
              <w:snapToGrid/>
              <w:spacing w:line="360" w:lineRule="auto"/>
              <w:ind w:firstLine="0" w:firstLineChars="0"/>
              <w:jc w:val="center"/>
              <w:rPr>
                <w:rFonts w:hint="eastAsia" w:ascii="宋体" w:hAnsi="宋体"/>
                <w:b/>
                <w:bCs/>
                <w:sz w:val="22"/>
                <w:szCs w:val="22"/>
              </w:rPr>
            </w:pPr>
            <w:r>
              <w:rPr>
                <w:rFonts w:ascii="宋体" w:hAnsi="宋体"/>
                <w:b/>
                <w:bCs/>
                <w:sz w:val="22"/>
                <w:szCs w:val="22"/>
              </w:rPr>
              <w:t>技术规范书要求</w:t>
            </w:r>
          </w:p>
        </w:tc>
        <w:tc>
          <w:tcPr>
            <w:tcW w:w="1827" w:type="dxa"/>
            <w:tcBorders>
              <w:top w:val="single" w:color="auto" w:sz="12" w:space="0"/>
              <w:bottom w:val="single" w:color="auto" w:sz="12" w:space="0"/>
            </w:tcBorders>
            <w:vAlign w:val="center"/>
          </w:tcPr>
          <w:p>
            <w:pPr>
              <w:keepNext w:val="0"/>
              <w:keepLines w:val="0"/>
              <w:pageBreakBefore w:val="0"/>
              <w:widowControl w:val="0"/>
              <w:kinsoku/>
              <w:wordWrap/>
              <w:overflowPunct/>
              <w:topLinePunct w:val="0"/>
              <w:autoSpaceDE/>
              <w:autoSpaceDN/>
              <w:bidi w:val="0"/>
              <w:snapToGrid/>
              <w:spacing w:line="360" w:lineRule="auto"/>
              <w:ind w:firstLine="0" w:firstLineChars="0"/>
              <w:jc w:val="center"/>
              <w:rPr>
                <w:rFonts w:hint="eastAsia" w:ascii="宋体" w:hAnsi="宋体"/>
                <w:b/>
                <w:bCs/>
                <w:sz w:val="22"/>
                <w:szCs w:val="22"/>
              </w:rPr>
            </w:pPr>
            <w:r>
              <w:rPr>
                <w:rFonts w:ascii="宋体" w:hAnsi="宋体"/>
                <w:b/>
                <w:bCs/>
                <w:sz w:val="22"/>
                <w:szCs w:val="22"/>
              </w:rPr>
              <w:t>技术偏差</w:t>
            </w:r>
          </w:p>
        </w:tc>
        <w:tc>
          <w:tcPr>
            <w:tcW w:w="2234" w:type="dxa"/>
            <w:tcBorders>
              <w:top w:val="single" w:color="auto" w:sz="12" w:space="0"/>
              <w:bottom w:val="single" w:color="auto" w:sz="12" w:space="0"/>
            </w:tcBorders>
            <w:vAlign w:val="center"/>
          </w:tcPr>
          <w:p>
            <w:pPr>
              <w:keepNext w:val="0"/>
              <w:keepLines w:val="0"/>
              <w:pageBreakBefore w:val="0"/>
              <w:widowControl w:val="0"/>
              <w:kinsoku/>
              <w:wordWrap/>
              <w:overflowPunct/>
              <w:topLinePunct w:val="0"/>
              <w:autoSpaceDE/>
              <w:autoSpaceDN/>
              <w:bidi w:val="0"/>
              <w:snapToGrid/>
              <w:spacing w:line="360" w:lineRule="auto"/>
              <w:ind w:firstLine="0" w:firstLineChars="0"/>
              <w:jc w:val="center"/>
              <w:rPr>
                <w:rFonts w:hint="eastAsia" w:ascii="宋体" w:hAnsi="宋体"/>
                <w:b/>
                <w:bCs/>
                <w:sz w:val="22"/>
                <w:szCs w:val="22"/>
              </w:rPr>
            </w:pPr>
            <w:r>
              <w:rPr>
                <w:rFonts w:ascii="宋体" w:hAnsi="宋体"/>
                <w:b/>
                <w:bCs/>
                <w:sz w:val="22"/>
                <w:szCs w:val="22"/>
              </w:rPr>
              <w:t>详细说明</w:t>
            </w:r>
          </w:p>
        </w:tc>
        <w:tc>
          <w:tcPr>
            <w:tcW w:w="1343" w:type="dxa"/>
            <w:tcBorders>
              <w:top w:val="single" w:color="auto" w:sz="12" w:space="0"/>
              <w:bottom w:val="single" w:color="auto" w:sz="12" w:space="0"/>
            </w:tcBorders>
            <w:vAlign w:val="center"/>
          </w:tcPr>
          <w:p>
            <w:pPr>
              <w:keepNext w:val="0"/>
              <w:keepLines w:val="0"/>
              <w:pageBreakBefore w:val="0"/>
              <w:widowControl w:val="0"/>
              <w:kinsoku/>
              <w:wordWrap/>
              <w:overflowPunct/>
              <w:topLinePunct w:val="0"/>
              <w:autoSpaceDE/>
              <w:autoSpaceDN/>
              <w:bidi w:val="0"/>
              <w:snapToGrid/>
              <w:spacing w:line="360" w:lineRule="auto"/>
              <w:ind w:firstLine="0" w:firstLineChars="0"/>
              <w:jc w:val="center"/>
              <w:rPr>
                <w:rFonts w:hint="eastAsia" w:ascii="宋体" w:hAnsi="宋体"/>
                <w:b/>
                <w:bCs/>
                <w:sz w:val="22"/>
                <w:szCs w:val="22"/>
              </w:rPr>
            </w:pPr>
            <w:r>
              <w:rPr>
                <w:rFonts w:ascii="宋体" w:hAnsi="宋体"/>
                <w:b/>
                <w:bCs/>
                <w:sz w:val="22"/>
                <w:szCs w:val="22"/>
              </w:rPr>
              <w:t>备 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1699" w:type="dxa"/>
            <w:tcBorders>
              <w:top w:val="single" w:color="auto" w:sz="12" w:space="0"/>
            </w:tcBorders>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2294" w:type="dxa"/>
            <w:tcBorders>
              <w:top w:val="single" w:color="auto" w:sz="12" w:space="0"/>
            </w:tcBorders>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1827" w:type="dxa"/>
            <w:tcBorders>
              <w:top w:val="single" w:color="auto" w:sz="12" w:space="0"/>
            </w:tcBorders>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2234" w:type="dxa"/>
            <w:tcBorders>
              <w:top w:val="single" w:color="auto" w:sz="12" w:space="0"/>
            </w:tcBorders>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1343" w:type="dxa"/>
            <w:tcBorders>
              <w:top w:val="single" w:color="auto" w:sz="12" w:space="0"/>
            </w:tcBorders>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1699" w:type="dxa"/>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2294" w:type="dxa"/>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1827" w:type="dxa"/>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2234" w:type="dxa"/>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1343" w:type="dxa"/>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7" w:hRule="exact"/>
        </w:trPr>
        <w:tc>
          <w:tcPr>
            <w:tcW w:w="1699" w:type="dxa"/>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2294" w:type="dxa"/>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1827" w:type="dxa"/>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2234" w:type="dxa"/>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c>
          <w:tcPr>
            <w:tcW w:w="1343" w:type="dxa"/>
          </w:tcPr>
          <w:p>
            <w:pPr>
              <w:keepNext w:val="0"/>
              <w:keepLines w:val="0"/>
              <w:pageBreakBefore w:val="0"/>
              <w:widowControl w:val="0"/>
              <w:kinsoku/>
              <w:wordWrap/>
              <w:overflowPunct/>
              <w:topLinePunct w:val="0"/>
              <w:autoSpaceDE/>
              <w:autoSpaceDN/>
              <w:bidi w:val="0"/>
              <w:adjustRightInd w:val="0"/>
              <w:snapToGrid/>
              <w:spacing w:before="152" w:after="160" w:line="360" w:lineRule="auto"/>
              <w:ind w:firstLine="0" w:firstLineChars="0"/>
              <w:jc w:val="left"/>
              <w:textAlignment w:val="baseline"/>
              <w:rPr>
                <w:rFonts w:hint="eastAsia" w:ascii="宋体" w:hAnsi="宋体"/>
                <w:b/>
                <w:kern w:val="0"/>
                <w:sz w:val="22"/>
                <w:szCs w:val="22"/>
              </w:rPr>
            </w:pPr>
          </w:p>
        </w:tc>
      </w:tr>
    </w:tbl>
    <w:p>
      <w:pPr>
        <w:spacing w:line="360" w:lineRule="auto"/>
      </w:pPr>
    </w:p>
    <w:bookmarkEnd w:id="19"/>
    <w:p>
      <w:pPr>
        <w:keepNext/>
        <w:keepLines/>
        <w:pageBreakBefore/>
        <w:pBdr>
          <w:bottom w:val="inset" w:color="C0C0C0" w:sz="6" w:space="1"/>
        </w:pBdr>
        <w:tabs>
          <w:tab w:val="left" w:pos="284"/>
        </w:tabs>
        <w:spacing w:before="340" w:after="330" w:line="360" w:lineRule="auto"/>
        <w:outlineLvl w:val="0"/>
        <w:rPr>
          <w:b/>
          <w:bCs/>
          <w:kern w:val="44"/>
          <w:sz w:val="28"/>
          <w:szCs w:val="28"/>
        </w:rPr>
      </w:pPr>
      <w:bookmarkStart w:id="74" w:name="_Toc25768"/>
      <w:r>
        <w:rPr>
          <w:b/>
          <w:bCs/>
          <w:kern w:val="44"/>
          <w:sz w:val="28"/>
          <w:szCs w:val="28"/>
        </w:rPr>
        <w:t>5服务质量要求</w:t>
      </w:r>
      <w:bookmarkEnd w:id="74"/>
    </w:p>
    <w:p>
      <w:pPr>
        <w:numPr>
          <w:ilvl w:val="1"/>
          <w:numId w:val="0"/>
        </w:numPr>
        <w:kinsoku w:val="0"/>
        <w:overflowPunct w:val="0"/>
        <w:autoSpaceDE w:val="0"/>
        <w:autoSpaceDN w:val="0"/>
        <w:adjustRightInd w:val="0"/>
        <w:snapToGrid w:val="0"/>
        <w:spacing w:before="260" w:after="120" w:line="360" w:lineRule="auto"/>
        <w:outlineLvl w:val="1"/>
        <w:rPr>
          <w:b/>
          <w:bCs/>
          <w:kern w:val="44"/>
          <w:sz w:val="24"/>
        </w:rPr>
      </w:pPr>
      <w:bookmarkStart w:id="75" w:name="_Toc11731"/>
      <w:r>
        <w:rPr>
          <w:b/>
          <w:bCs/>
          <w:kern w:val="44"/>
          <w:sz w:val="24"/>
        </w:rPr>
        <w:t>5.1标准服务要求</w:t>
      </w:r>
      <w:bookmarkEnd w:id="75"/>
    </w:p>
    <w:p>
      <w:pPr>
        <w:bidi w:val="0"/>
        <w:rPr>
          <w:rFonts w:hint="eastAsia"/>
        </w:rPr>
      </w:pPr>
      <w:bookmarkStart w:id="76" w:name="_Toc3902"/>
      <w:r>
        <w:rPr>
          <w:rFonts w:hint="eastAsia"/>
        </w:rPr>
        <w:t>1. 服务方按照《信息安全技术 网络安全等级保护基本要求》（GB/T 22239‑2019）第二级安全要求、GB/T 28448‑2019、GB/T 28449‑2019及电力行业、南方电网相关网络安全管理规定开展本次二级系统初测工作。</w:t>
      </w:r>
    </w:p>
    <w:p>
      <w:pPr>
        <w:bidi w:val="0"/>
        <w:rPr>
          <w:rFonts w:hint="eastAsia"/>
        </w:rPr>
      </w:pPr>
      <w:r>
        <w:rPr>
          <w:rFonts w:hint="eastAsia"/>
        </w:rPr>
        <w:t>2. 因被测系统暂未确定正式系统名称、系统边界、备案材料，服务方需配合采购人完成系统调研、资产梳理、边界界定工作，最终测评范围以双方现场共同确认的系统资产与业务边界为准。</w:t>
      </w:r>
    </w:p>
    <w:p>
      <w:pPr>
        <w:bidi w:val="0"/>
        <w:rPr>
          <w:rFonts w:hint="eastAsia"/>
        </w:rPr>
      </w:pPr>
      <w:r>
        <w:rPr>
          <w:rFonts w:hint="eastAsia"/>
        </w:rPr>
        <w:t>3. 本次为等级保护初测服务，主要目标为摸清系统安全现状、识别安全风险、梳理与二级等保标准差距，输出初测成果，用于支撑系统定级论证、备案准备工作，不替代公安备案后的正式等级保护测评。</w:t>
      </w:r>
    </w:p>
    <w:p>
      <w:pPr>
        <w:bidi w:val="0"/>
        <w:rPr>
          <w:rFonts w:hint="eastAsia"/>
        </w:rPr>
      </w:pPr>
      <w:r>
        <w:rPr>
          <w:rFonts w:hint="eastAsia"/>
        </w:rPr>
        <w:t>4. 服务全过程不得影响被测系统业务正常运行，测试前编制测试方案、风险应急预案；测试操作必须经采购人书面许可，严禁开展可能造成业务中断、数据丢失、系统瘫痪的测试动作。</w:t>
      </w:r>
    </w:p>
    <w:p>
      <w:pPr>
        <w:bidi w:val="0"/>
        <w:rPr>
          <w:rFonts w:hint="eastAsia"/>
        </w:rPr>
      </w:pPr>
      <w:r>
        <w:rPr>
          <w:rFonts w:hint="eastAsia"/>
        </w:rPr>
        <w:t>5. 服务方对项目获取的拓扑、资产、账号、漏洞、业务资料等全部信息承担保密责任，项目人员签订保密承诺书，项目资料不得外泄，项目结束按采购人要求销毁全部副本。</w:t>
      </w:r>
    </w:p>
    <w:p>
      <w:pPr>
        <w:numPr>
          <w:ilvl w:val="1"/>
          <w:numId w:val="0"/>
        </w:numPr>
        <w:kinsoku w:val="0"/>
        <w:overflowPunct w:val="0"/>
        <w:autoSpaceDE w:val="0"/>
        <w:autoSpaceDN w:val="0"/>
        <w:adjustRightInd w:val="0"/>
        <w:snapToGrid w:val="0"/>
        <w:spacing w:before="260" w:after="260" w:line="360" w:lineRule="auto"/>
        <w:outlineLvl w:val="1"/>
        <w:rPr>
          <w:b/>
          <w:bCs/>
          <w:kern w:val="44"/>
          <w:sz w:val="24"/>
        </w:rPr>
      </w:pPr>
      <w:r>
        <w:rPr>
          <w:b/>
          <w:bCs/>
          <w:kern w:val="44"/>
          <w:sz w:val="24"/>
        </w:rPr>
        <w:t>5.2验收要求</w:t>
      </w:r>
      <w:bookmarkEnd w:id="76"/>
    </w:p>
    <w:p>
      <w:pPr>
        <w:numPr>
          <w:ilvl w:val="2"/>
          <w:numId w:val="0"/>
        </w:numPr>
        <w:kinsoku w:val="0"/>
        <w:overflowPunct w:val="0"/>
        <w:autoSpaceDE w:val="0"/>
        <w:autoSpaceDN w:val="0"/>
        <w:adjustRightInd w:val="0"/>
        <w:snapToGrid w:val="0"/>
        <w:spacing w:line="360" w:lineRule="auto"/>
        <w:ind w:firstLine="482" w:firstLineChars="200"/>
        <w:outlineLvl w:val="2"/>
        <w:rPr>
          <w:b/>
          <w:bCs/>
          <w:snapToGrid w:val="0"/>
          <w:kern w:val="0"/>
          <w:sz w:val="24"/>
        </w:rPr>
      </w:pPr>
      <w:bookmarkStart w:id="77" w:name="_Toc25660"/>
      <w:r>
        <w:rPr>
          <w:b/>
          <w:snapToGrid w:val="0"/>
          <w:kern w:val="0"/>
          <w:sz w:val="24"/>
        </w:rPr>
        <w:t>5.2.1</w:t>
      </w:r>
      <w:r>
        <w:rPr>
          <w:b/>
          <w:bCs/>
          <w:snapToGrid w:val="0"/>
          <w:kern w:val="0"/>
          <w:sz w:val="24"/>
        </w:rPr>
        <w:t>验收标准</w:t>
      </w:r>
      <w:bookmarkEnd w:id="77"/>
    </w:p>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snapToGrid w:val="0"/>
          <w:kern w:val="0"/>
          <w:sz w:val="24"/>
        </w:rPr>
      </w:pPr>
      <w:r>
        <w:rPr>
          <w:snapToGrid w:val="0"/>
          <w:kern w:val="0"/>
          <w:sz w:val="24"/>
        </w:rPr>
        <w:t>（1）按照双方签订的技术协议完成双方约定的工作内容。</w:t>
      </w:r>
    </w:p>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sz w:val="24"/>
        </w:rPr>
      </w:pPr>
      <w:r>
        <w:rPr>
          <w:sz w:val="24"/>
        </w:rPr>
        <w:t>（2）成交人提交成果必须符合采购人相关标准和管理办法。</w:t>
      </w:r>
    </w:p>
    <w:p>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sz w:val="24"/>
        </w:rPr>
      </w:pPr>
      <w:r>
        <w:rPr>
          <w:sz w:val="24"/>
        </w:rPr>
        <w:t>（3）成交人必须完成项目要求的所有工作内容，</w:t>
      </w:r>
      <w:r>
        <w:rPr>
          <w:rFonts w:hint="eastAsia"/>
          <w:sz w:val="24"/>
        </w:rPr>
        <w:t>全部交付物提交采购人审核，根据采购人合理意见完成修改完善；交付成果完整、内容符合国家二级等保标准，通过采购人验收即为项目完成。</w:t>
      </w:r>
    </w:p>
    <w:p>
      <w:pPr>
        <w:numPr>
          <w:ilvl w:val="2"/>
          <w:numId w:val="0"/>
        </w:numPr>
        <w:kinsoku w:val="0"/>
        <w:overflowPunct w:val="0"/>
        <w:autoSpaceDE w:val="0"/>
        <w:autoSpaceDN w:val="0"/>
        <w:adjustRightInd w:val="0"/>
        <w:snapToGrid w:val="0"/>
        <w:spacing w:line="360" w:lineRule="auto"/>
        <w:ind w:firstLine="482" w:firstLineChars="200"/>
        <w:outlineLvl w:val="2"/>
        <w:rPr>
          <w:b/>
          <w:bCs/>
          <w:sz w:val="24"/>
        </w:rPr>
      </w:pPr>
      <w:bookmarkStart w:id="78" w:name="_Toc29201"/>
      <w:r>
        <w:rPr>
          <w:b/>
          <w:sz w:val="24"/>
        </w:rPr>
        <w:t>5.2.2</w:t>
      </w:r>
      <w:r>
        <w:rPr>
          <w:b/>
          <w:bCs/>
          <w:sz w:val="24"/>
        </w:rPr>
        <w:t>验收方法</w:t>
      </w:r>
      <w:bookmarkEnd w:id="78"/>
    </w:p>
    <w:p>
      <w:pPr>
        <w:kinsoku w:val="0"/>
        <w:overflowPunct w:val="0"/>
        <w:autoSpaceDE w:val="0"/>
        <w:autoSpaceDN w:val="0"/>
        <w:adjustRightInd w:val="0"/>
        <w:snapToGrid w:val="0"/>
        <w:spacing w:line="360" w:lineRule="auto"/>
        <w:ind w:firstLine="480" w:firstLineChars="200"/>
        <w:jc w:val="left"/>
        <w:rPr>
          <w:sz w:val="24"/>
        </w:rPr>
      </w:pPr>
      <w:r>
        <w:rPr>
          <w:sz w:val="24"/>
        </w:rPr>
        <w:t>如双方认为项目已具备验收条件，成交人以书面方式向采购人提出验收申请，采购人在接到成交人验收申请后组织对成交人提交的资料进行审核，确认成交人提交资料符合采购人项目验收标准后，由采购人组织相关人员对成交人工作提交的交付物进行评审。</w:t>
      </w:r>
    </w:p>
    <w:p>
      <w:pPr>
        <w:numPr>
          <w:ilvl w:val="2"/>
          <w:numId w:val="0"/>
        </w:numPr>
        <w:kinsoku w:val="0"/>
        <w:overflowPunct w:val="0"/>
        <w:autoSpaceDE w:val="0"/>
        <w:autoSpaceDN w:val="0"/>
        <w:adjustRightInd w:val="0"/>
        <w:snapToGrid w:val="0"/>
        <w:spacing w:line="360" w:lineRule="auto"/>
        <w:ind w:firstLine="482" w:firstLineChars="200"/>
        <w:outlineLvl w:val="2"/>
        <w:rPr>
          <w:b/>
          <w:bCs/>
          <w:sz w:val="24"/>
        </w:rPr>
      </w:pPr>
      <w:bookmarkStart w:id="79" w:name="_Toc13775"/>
      <w:r>
        <w:rPr>
          <w:b/>
          <w:sz w:val="24"/>
        </w:rPr>
        <w:t>5.2.3</w:t>
      </w:r>
      <w:r>
        <w:rPr>
          <w:b/>
          <w:bCs/>
          <w:sz w:val="24"/>
        </w:rPr>
        <w:t>验收时间与地点</w:t>
      </w:r>
      <w:bookmarkEnd w:id="79"/>
    </w:p>
    <w:p>
      <w:pPr>
        <w:kinsoku w:val="0"/>
        <w:overflowPunct w:val="0"/>
        <w:autoSpaceDE w:val="0"/>
        <w:autoSpaceDN w:val="0"/>
        <w:adjustRightInd w:val="0"/>
        <w:snapToGrid w:val="0"/>
        <w:spacing w:line="360" w:lineRule="auto"/>
        <w:ind w:firstLine="480" w:firstLineChars="200"/>
        <w:jc w:val="left"/>
        <w:rPr>
          <w:sz w:val="24"/>
        </w:rPr>
      </w:pPr>
      <w:r>
        <w:rPr>
          <w:sz w:val="24"/>
        </w:rPr>
        <w:t>（1）验收时间：在完成项目合同约定内容后，成交人按照合同约定时间提交验收申请，经采购人确认提交资料满足采购人项目验收标准，可开展验收。</w:t>
      </w:r>
    </w:p>
    <w:p>
      <w:pPr>
        <w:kinsoku w:val="0"/>
        <w:overflowPunct w:val="0"/>
        <w:autoSpaceDE w:val="0"/>
        <w:autoSpaceDN w:val="0"/>
        <w:adjustRightInd w:val="0"/>
        <w:snapToGrid w:val="0"/>
        <w:spacing w:line="360" w:lineRule="auto"/>
        <w:ind w:firstLine="480" w:firstLineChars="200"/>
        <w:rPr>
          <w:sz w:val="24"/>
        </w:rPr>
      </w:pPr>
      <w:r>
        <w:rPr>
          <w:sz w:val="24"/>
        </w:rPr>
        <w:t>（2）验收地点：双方具体约定。</w:t>
      </w:r>
    </w:p>
    <w:p>
      <w:pPr>
        <w:kinsoku w:val="0"/>
        <w:overflowPunct w:val="0"/>
        <w:autoSpaceDE w:val="0"/>
        <w:autoSpaceDN w:val="0"/>
        <w:adjustRightInd w:val="0"/>
        <w:snapToGrid w:val="0"/>
        <w:spacing w:line="360" w:lineRule="auto"/>
        <w:ind w:firstLine="480" w:firstLineChars="200"/>
        <w:rPr>
          <w:sz w:val="24"/>
        </w:rPr>
      </w:pPr>
    </w:p>
    <w:p>
      <w:pPr>
        <w:spacing w:line="360" w:lineRule="auto"/>
        <w:ind w:firstLine="480" w:firstLineChars="200"/>
        <w:rPr>
          <w:rFonts w:hint="eastAsia" w:ascii="宋体" w:hAnsi="宋体" w:cs="宋体"/>
          <w:szCs w:val="21"/>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panose1 w:val="02010609030101010101"/>
    <w:charset w:val="86"/>
    <w:family w:val="modern"/>
    <w:pitch w:val="default"/>
    <w:sig w:usb0="00000001" w:usb1="080E0000" w:usb2="00000000" w:usb3="00000000" w:csb0="00040000" w:csb1="00000000"/>
  </w:font>
  <w:font w:name="方正书宋简体">
    <w:altName w:val="方正书宋_GBK"/>
    <w:panose1 w:val="00000000000000000000"/>
    <w:charset w:val="86"/>
    <w:family w:val="auto"/>
    <w:pitch w:val="default"/>
    <w:sig w:usb0="00000000" w:usb1="00000000" w:usb2="0000001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ˎ̥">
    <w:altName w:val="华文中宋"/>
    <w:panose1 w:val="00000000000000000000"/>
    <w:charset w:val="00"/>
    <w:family w:val="roman"/>
    <w:pitch w:val="default"/>
    <w:sig w:usb0="00000000" w:usb1="00000000" w:usb2="00000000" w:usb3="00000000" w:csb0="00040001" w:csb1="00000000"/>
  </w:font>
  <w:font w:name="Microsoft JhengHei">
    <w:altName w:val="方正书宋_GBK"/>
    <w:panose1 w:val="020B0604030504040204"/>
    <w:charset w:val="88"/>
    <w:family w:val="swiss"/>
    <w:pitch w:val="default"/>
    <w:sig w:usb0="00000000" w:usb1="00000000" w:usb2="00000016" w:usb3="00000000" w:csb0="00100009" w:csb1="00000000"/>
  </w:font>
  <w:font w:name="仿宋">
    <w:panose1 w:val="02010609060101010101"/>
    <w:charset w:val="86"/>
    <w:family w:val="modern"/>
    <w:pitch w:val="default"/>
    <w:sig w:usb0="800002BF" w:usb1="38CF7CFA" w:usb2="00000016" w:usb3="00000000" w:csb0="00040001" w:csb1="00000000"/>
  </w:font>
  <w:font w:name="Cambria Math">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等线 Light">
    <w:altName w:val="华文中宋"/>
    <w:panose1 w:val="02010600030101010101"/>
    <w:charset w:val="86"/>
    <w:family w:val="auto"/>
    <w:pitch w:val="default"/>
    <w:sig w:usb0="00000000" w:usb1="00000000" w:usb2="00000016" w:usb3="00000000" w:csb0="0004000F" w:csb1="00000000"/>
  </w:font>
  <w:font w:name="微软雅黑">
    <w:altName w:val="方正黑体_GBK"/>
    <w:panose1 w:val="020B0503020204020204"/>
    <w:charset w:val="86"/>
    <w:family w:val="swiss"/>
    <w:pitch w:val="default"/>
    <w:sig w:usb0="00000000" w:usb1="00000000" w:usb2="00000016" w:usb3="00000000" w:csb0="0004001F" w:csb1="00000000"/>
  </w:font>
  <w:font w:name="楷体">
    <w:panose1 w:val="02010609060101010101"/>
    <w:charset w:val="86"/>
    <w:family w:val="modern"/>
    <w:pitch w:val="default"/>
    <w:sig w:usb0="800002BF" w:usb1="38CF7CFA" w:usb2="00000016" w:usb3="00000000" w:csb0="00040001" w:csb1="00000000"/>
  </w:font>
  <w:font w:name="微软雅黑">
    <w:altName w:val="方正黑体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等线 Light">
    <w:altName w:val="仿宋"/>
    <w:panose1 w:val="00000000000000000000"/>
    <w:charset w:val="00"/>
    <w:family w:val="auto"/>
    <w:pitch w:val="default"/>
    <w:sig w:usb0="00000000" w:usb1="00000000" w:usb2="00000000" w:usb3="00000000" w:csb0="00000000" w:csb1="00000000"/>
  </w:font>
  <w:font w:name="等线">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spacing w:line="360" w:lineRule="auto"/>
      <w:ind w:firstLine="360" w:firstLineChars="200"/>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lang w:val="zh-CN"/>
      </w:rPr>
      <w:t>25</w:t>
    </w:r>
    <w:r>
      <w:rPr>
        <w:sz w:val="18"/>
        <w:szCs w:val="18"/>
        <w:lang w:val="zh-CN"/>
      </w:rPr>
      <w:fldChar w:fldCharType="end"/>
    </w:r>
  </w:p>
  <w:p>
    <w:pPr>
      <w:spacing w:line="360" w:lineRule="auto"/>
      <w:ind w:firstLine="480" w:firstLineChars="200"/>
    </w:pPr>
  </w:p>
  <w:p>
    <w:pPr>
      <w:spacing w:line="360" w:lineRule="auto"/>
      <w:ind w:firstLine="480" w:firstLineChars="2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spacing w:line="360" w:lineRule="auto"/>
      <w:ind w:firstLine="360" w:firstLineChars="200"/>
      <w:jc w:val="left"/>
      <w:rPr>
        <w:sz w:val="18"/>
        <w:szCs w:val="18"/>
      </w:rPr>
    </w:pPr>
  </w:p>
  <w:p>
    <w:pPr>
      <w:spacing w:line="360" w:lineRule="auto"/>
      <w:ind w:firstLine="480" w:firstLineChars="200"/>
    </w:pPr>
  </w:p>
  <w:p>
    <w:pPr>
      <w:spacing w:line="360" w:lineRule="auto"/>
      <w:ind w:firstLine="480" w:firstLineChars="2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spacing w:line="360" w:lineRule="auto"/>
      <w:ind w:firstLine="360" w:firstLineChars="200"/>
      <w:jc w:val="lef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right"/>
      <w:rPr>
        <w:rFonts w:hint="eastAsia" w:ascii="宋体" w:hAnsi="宋体"/>
        <w:b/>
        <w:sz w:val="18"/>
        <w:szCs w:val="18"/>
      </w:rPr>
    </w:pPr>
  </w:p>
  <w:p>
    <w:pPr>
      <w:spacing w:line="360" w:lineRule="auto"/>
      <w:ind w:firstLine="480" w:firstLineChars="200"/>
    </w:pPr>
  </w:p>
  <w:p>
    <w:pPr>
      <w:spacing w:line="360" w:lineRule="auto"/>
      <w:ind w:firstLine="480" w:firstLineChars="2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tabs>
        <w:tab w:val="center" w:pos="4153"/>
        <w:tab w:val="right" w:pos="8306"/>
      </w:tabs>
      <w:snapToGrid w:val="0"/>
      <w:spacing w:line="360" w:lineRule="auto"/>
      <w:ind w:firstLine="360" w:firstLineChars="200"/>
      <w:jc w:val="center"/>
      <w:rPr>
        <w:sz w:val="18"/>
        <w:szCs w:val="18"/>
      </w:rPr>
    </w:pPr>
  </w:p>
  <w:p>
    <w:pPr>
      <w:spacing w:line="360" w:lineRule="auto"/>
      <w:ind w:firstLine="480" w:firstLineChars="200"/>
    </w:pPr>
  </w:p>
  <w:p>
    <w:pPr>
      <w:spacing w:line="360" w:lineRule="auto"/>
      <w:ind w:firstLine="480" w:firstLineChars="2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tabs>
        <w:tab w:val="center" w:pos="4153"/>
        <w:tab w:val="right" w:pos="8306"/>
      </w:tabs>
      <w:snapToGrid w:val="0"/>
      <w:spacing w:line="360" w:lineRule="auto"/>
      <w:ind w:firstLine="360" w:firstLineChars="20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10D68A"/>
    <w:multiLevelType w:val="singleLevel"/>
    <w:tmpl w:val="AD10D68A"/>
    <w:lvl w:ilvl="0" w:tentative="0">
      <w:start w:val="1"/>
      <w:numFmt w:val="bullet"/>
      <w:lvlText w:val=""/>
      <w:lvlJc w:val="left"/>
      <w:pPr>
        <w:ind w:left="420" w:hanging="420"/>
      </w:pPr>
      <w:rPr>
        <w:rFonts w:hint="default" w:ascii="Wingdings" w:hAnsi="Wingdings"/>
      </w:rPr>
    </w:lvl>
  </w:abstractNum>
  <w:abstractNum w:abstractNumId="1">
    <w:nsid w:val="D557E1D5"/>
    <w:multiLevelType w:val="singleLevel"/>
    <w:tmpl w:val="D557E1D5"/>
    <w:lvl w:ilvl="0" w:tentative="0">
      <w:start w:val="1"/>
      <w:numFmt w:val="decimalEnclosedCircleChinese"/>
      <w:suff w:val="nothing"/>
      <w:lvlText w:val="%1　"/>
      <w:lvlJc w:val="left"/>
      <w:pPr>
        <w:ind w:left="0" w:firstLine="400"/>
      </w:pPr>
      <w:rPr>
        <w:rFonts w:hint="eastAsia"/>
      </w:rPr>
    </w:lvl>
  </w:abstractNum>
  <w:abstractNum w:abstractNumId="2">
    <w:nsid w:val="00000007"/>
    <w:multiLevelType w:val="multilevel"/>
    <w:tmpl w:val="00000007"/>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1B136F61"/>
    <w:multiLevelType w:val="multilevel"/>
    <w:tmpl w:val="1B136F61"/>
    <w:lvl w:ilvl="0" w:tentative="0">
      <w:start w:val="1"/>
      <w:numFmt w:val="none"/>
      <w:pStyle w:val="149"/>
      <w:lvlText w:val="表"/>
      <w:lvlJc w:val="left"/>
      <w:pPr>
        <w:tabs>
          <w:tab w:val="left" w:pos="360"/>
        </w:tabs>
      </w:pPr>
      <w:rPr>
        <w:rFonts w:hint="eastAsia" w:ascii="黑体" w:eastAsia="黑体" w:cs="Times New Roman"/>
        <w:b/>
        <w:i w:val="0"/>
        <w:sz w:val="2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268323CB"/>
    <w:multiLevelType w:val="multilevel"/>
    <w:tmpl w:val="268323CB"/>
    <w:lvl w:ilvl="0" w:tentative="0">
      <w:start w:val="1"/>
      <w:numFmt w:val="decimal"/>
      <w:pStyle w:val="183"/>
      <w:suff w:val="nothing"/>
      <w:lvlText w:val="%1"/>
      <w:lvlJc w:val="left"/>
      <w:pPr>
        <w:ind w:left="0" w:firstLine="0"/>
      </w:pPr>
      <w:rPr>
        <w:rFonts w:hint="default" w:ascii="Times New Roman" w:hAnsi="Times New Roman" w:eastAsia="宋体"/>
        <w:b w:val="0"/>
        <w:i w:val="0"/>
        <w:sz w:val="18"/>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2C8E742B"/>
    <w:multiLevelType w:val="multilevel"/>
    <w:tmpl w:val="2C8E742B"/>
    <w:lvl w:ilvl="0" w:tentative="0">
      <w:start w:val="1"/>
      <w:numFmt w:val="bullet"/>
      <w:lvlText w:val=""/>
      <w:lvlJc w:val="left"/>
      <w:pPr>
        <w:tabs>
          <w:tab w:val="left" w:pos="544"/>
        </w:tabs>
        <w:ind w:left="420" w:hanging="420"/>
      </w:pPr>
      <w:rPr>
        <w:rFonts w:hint="default" w:ascii="Wingdings" w:hAnsi="Wingdings"/>
      </w:rPr>
    </w:lvl>
    <w:lvl w:ilvl="1" w:tentative="0">
      <w:start w:val="1"/>
      <w:numFmt w:val="decimal"/>
      <w:lvlText w:val="%1.%2"/>
      <w:lvlJc w:val="left"/>
      <w:pPr>
        <w:tabs>
          <w:tab w:val="left" w:pos="567"/>
        </w:tabs>
        <w:ind w:left="567" w:hanging="567"/>
      </w:pPr>
      <w:rPr>
        <w:rFonts w:hint="default" w:ascii="Times New Roman" w:hAnsi="Times New Roman" w:cs="Times New Roman"/>
      </w:rPr>
    </w:lvl>
    <w:lvl w:ilvl="2" w:tentative="0">
      <w:start w:val="1"/>
      <w:numFmt w:val="decimal"/>
      <w:lvlText w:val="%1.%2.%3"/>
      <w:lvlJc w:val="left"/>
      <w:pPr>
        <w:tabs>
          <w:tab w:val="left" w:pos="709"/>
        </w:tabs>
        <w:ind w:left="709" w:hanging="709"/>
      </w:pPr>
      <w:rPr>
        <w:rFonts w:hint="default" w:ascii="Times New Roman" w:hAnsi="Times New Roman" w:cs="Times New Roman"/>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375A65EE"/>
    <w:multiLevelType w:val="singleLevel"/>
    <w:tmpl w:val="375A65EE"/>
    <w:lvl w:ilvl="0" w:tentative="0">
      <w:start w:val="1"/>
      <w:numFmt w:val="bullet"/>
      <w:lvlText w:val=""/>
      <w:lvlJc w:val="left"/>
      <w:pPr>
        <w:ind w:left="420" w:hanging="420"/>
      </w:pPr>
      <w:rPr>
        <w:rFonts w:hint="default" w:ascii="Wingdings" w:hAnsi="Wingdings"/>
      </w:rPr>
    </w:lvl>
  </w:abstractNum>
  <w:abstractNum w:abstractNumId="7">
    <w:nsid w:val="48C16391"/>
    <w:multiLevelType w:val="multilevel"/>
    <w:tmpl w:val="48C16391"/>
    <w:lvl w:ilvl="0" w:tentative="0">
      <w:start w:val="1"/>
      <w:numFmt w:val="decimal"/>
      <w:pStyle w:val="3"/>
      <w:suff w:val="space"/>
      <w:lvlText w:val="%1."/>
      <w:lvlJc w:val="left"/>
      <w:pPr>
        <w:ind w:left="432" w:hanging="432"/>
      </w:pPr>
      <w:rPr>
        <w:rFonts w:hint="default"/>
      </w:rPr>
    </w:lvl>
    <w:lvl w:ilvl="1" w:tentative="0">
      <w:start w:val="1"/>
      <w:numFmt w:val="decimal"/>
      <w:pStyle w:val="4"/>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8">
    <w:nsid w:val="501C0DC9"/>
    <w:multiLevelType w:val="multilevel"/>
    <w:tmpl w:val="501C0DC9"/>
    <w:lvl w:ilvl="0" w:tentative="0">
      <w:start w:val="1"/>
      <w:numFmt w:val="lowerLetter"/>
      <w:pStyle w:val="194"/>
      <w:lvlText w:val="%1)"/>
      <w:lvlJc w:val="left"/>
      <w:pPr>
        <w:ind w:left="840" w:hanging="420"/>
      </w:pPr>
      <w:rPr>
        <w:rFonts w:hint="default"/>
        <w:i w:val="0"/>
        <w:color w:val="auto"/>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646260FA"/>
    <w:multiLevelType w:val="multilevel"/>
    <w:tmpl w:val="646260FA"/>
    <w:lvl w:ilvl="0" w:tentative="0">
      <w:start w:val="1"/>
      <w:numFmt w:val="decimal"/>
      <w:pStyle w:val="192"/>
      <w:suff w:val="nothing"/>
      <w:lvlText w:val="表%1　"/>
      <w:lvlJc w:val="left"/>
      <w:pPr>
        <w:ind w:left="3261" w:firstLine="0"/>
      </w:pPr>
      <w:rPr>
        <w:rFonts w:hint="default" w:ascii="黑体" w:hAnsi="黑体" w:eastAsia="黑体" w:cs="Times New Roman"/>
        <w:b w:val="0"/>
        <w:i w:val="0"/>
        <w:sz w:val="21"/>
      </w:rPr>
    </w:lvl>
    <w:lvl w:ilvl="1" w:tentative="0">
      <w:start w:val="1"/>
      <w:numFmt w:val="decimal"/>
      <w:lvlText w:val="%1.%2"/>
      <w:lvlJc w:val="left"/>
      <w:pPr>
        <w:tabs>
          <w:tab w:val="left" w:pos="4253"/>
        </w:tabs>
        <w:ind w:left="4253" w:hanging="567"/>
      </w:pPr>
      <w:rPr>
        <w:rFonts w:hint="eastAsia"/>
      </w:rPr>
    </w:lvl>
    <w:lvl w:ilvl="2" w:tentative="0">
      <w:start w:val="1"/>
      <w:numFmt w:val="decimal"/>
      <w:lvlText w:val="%1.%2.%3"/>
      <w:lvlJc w:val="left"/>
      <w:pPr>
        <w:tabs>
          <w:tab w:val="left" w:pos="4679"/>
        </w:tabs>
        <w:ind w:left="4679" w:hanging="567"/>
      </w:pPr>
      <w:rPr>
        <w:rFonts w:hint="eastAsia"/>
      </w:rPr>
    </w:lvl>
    <w:lvl w:ilvl="3" w:tentative="0">
      <w:start w:val="1"/>
      <w:numFmt w:val="decimal"/>
      <w:lvlText w:val="%1.%2.%3.%4"/>
      <w:lvlJc w:val="left"/>
      <w:pPr>
        <w:tabs>
          <w:tab w:val="left" w:pos="5245"/>
        </w:tabs>
        <w:ind w:left="5245" w:hanging="708"/>
      </w:pPr>
      <w:rPr>
        <w:rFonts w:hint="eastAsia"/>
      </w:rPr>
    </w:lvl>
    <w:lvl w:ilvl="4" w:tentative="0">
      <w:start w:val="1"/>
      <w:numFmt w:val="decimal"/>
      <w:lvlText w:val="%1.%2.%3.%4.%5"/>
      <w:lvlJc w:val="left"/>
      <w:pPr>
        <w:tabs>
          <w:tab w:val="left" w:pos="5812"/>
        </w:tabs>
        <w:ind w:left="5812" w:hanging="850"/>
      </w:pPr>
      <w:rPr>
        <w:rFonts w:hint="eastAsia"/>
      </w:rPr>
    </w:lvl>
    <w:lvl w:ilvl="5" w:tentative="0">
      <w:start w:val="1"/>
      <w:numFmt w:val="decimal"/>
      <w:lvlText w:val="%1.%2.%3.%4.%5.%6"/>
      <w:lvlJc w:val="left"/>
      <w:pPr>
        <w:tabs>
          <w:tab w:val="left" w:pos="6521"/>
        </w:tabs>
        <w:ind w:left="6521" w:hanging="1134"/>
      </w:pPr>
      <w:rPr>
        <w:rFonts w:hint="eastAsia"/>
      </w:rPr>
    </w:lvl>
    <w:lvl w:ilvl="6" w:tentative="0">
      <w:start w:val="1"/>
      <w:numFmt w:val="decimal"/>
      <w:lvlText w:val="%1.%2.%3.%4.%5.%6.%7"/>
      <w:lvlJc w:val="left"/>
      <w:pPr>
        <w:tabs>
          <w:tab w:val="left" w:pos="7088"/>
        </w:tabs>
        <w:ind w:left="7088" w:hanging="1276"/>
      </w:pPr>
      <w:rPr>
        <w:rFonts w:hint="eastAsia"/>
      </w:rPr>
    </w:lvl>
    <w:lvl w:ilvl="7" w:tentative="0">
      <w:start w:val="1"/>
      <w:numFmt w:val="decimal"/>
      <w:lvlText w:val="%1.%2.%3.%4.%5.%6.%7.%8"/>
      <w:lvlJc w:val="left"/>
      <w:pPr>
        <w:tabs>
          <w:tab w:val="left" w:pos="7655"/>
        </w:tabs>
        <w:ind w:left="7655" w:hanging="1418"/>
      </w:pPr>
      <w:rPr>
        <w:rFonts w:hint="eastAsia"/>
      </w:rPr>
    </w:lvl>
    <w:lvl w:ilvl="8" w:tentative="0">
      <w:start w:val="1"/>
      <w:numFmt w:val="decimal"/>
      <w:lvlText w:val="%1.%2.%3.%4.%5.%6.%7.%8.%9"/>
      <w:lvlJc w:val="left"/>
      <w:pPr>
        <w:tabs>
          <w:tab w:val="left" w:pos="8363"/>
        </w:tabs>
        <w:ind w:left="8363" w:hanging="1700"/>
      </w:pPr>
      <w:rPr>
        <w:rFonts w:hint="eastAsia"/>
      </w:rPr>
    </w:lvl>
  </w:abstractNum>
  <w:abstractNum w:abstractNumId="10">
    <w:nsid w:val="67F9ED99"/>
    <w:multiLevelType w:val="singleLevel"/>
    <w:tmpl w:val="67F9ED99"/>
    <w:lvl w:ilvl="0" w:tentative="0">
      <w:start w:val="1"/>
      <w:numFmt w:val="bullet"/>
      <w:lvlText w:val=""/>
      <w:lvlJc w:val="left"/>
      <w:pPr>
        <w:ind w:left="420" w:hanging="420"/>
      </w:pPr>
      <w:rPr>
        <w:rFonts w:hint="default" w:ascii="Wingdings" w:hAnsi="Wingdings"/>
      </w:rPr>
    </w:lvl>
  </w:abstractNum>
  <w:abstractNum w:abstractNumId="11">
    <w:nsid w:val="7F566D7A"/>
    <w:multiLevelType w:val="multilevel"/>
    <w:tmpl w:val="7F566D7A"/>
    <w:lvl w:ilvl="0" w:tentative="0">
      <w:start w:val="1"/>
      <w:numFmt w:val="decimal"/>
      <w:pStyle w:val="195"/>
      <w:lvlText w:val="%1)"/>
      <w:lvlJc w:val="left"/>
      <w:pPr>
        <w:ind w:left="1259" w:hanging="420"/>
      </w:pPr>
    </w:lvl>
    <w:lvl w:ilvl="1" w:tentative="0">
      <w:start w:val="1"/>
      <w:numFmt w:val="lowerLetter"/>
      <w:lvlText w:val="%2)"/>
      <w:lvlJc w:val="left"/>
      <w:pPr>
        <w:ind w:left="1679" w:hanging="420"/>
      </w:pPr>
    </w:lvl>
    <w:lvl w:ilvl="2" w:tentative="0">
      <w:start w:val="1"/>
      <w:numFmt w:val="lowerRoman"/>
      <w:lvlText w:val="%3."/>
      <w:lvlJc w:val="right"/>
      <w:pPr>
        <w:ind w:left="2099" w:hanging="420"/>
      </w:pPr>
    </w:lvl>
    <w:lvl w:ilvl="3" w:tentative="0">
      <w:start w:val="1"/>
      <w:numFmt w:val="decimal"/>
      <w:lvlText w:val="%4."/>
      <w:lvlJc w:val="left"/>
      <w:pPr>
        <w:ind w:left="2519" w:hanging="420"/>
      </w:pPr>
    </w:lvl>
    <w:lvl w:ilvl="4" w:tentative="0">
      <w:start w:val="1"/>
      <w:numFmt w:val="lowerLetter"/>
      <w:lvlText w:val="%5)"/>
      <w:lvlJc w:val="left"/>
      <w:pPr>
        <w:ind w:left="2939" w:hanging="420"/>
      </w:pPr>
    </w:lvl>
    <w:lvl w:ilvl="5" w:tentative="0">
      <w:start w:val="1"/>
      <w:numFmt w:val="lowerRoman"/>
      <w:lvlText w:val="%6."/>
      <w:lvlJc w:val="right"/>
      <w:pPr>
        <w:ind w:left="3359" w:hanging="420"/>
      </w:pPr>
    </w:lvl>
    <w:lvl w:ilvl="6" w:tentative="0">
      <w:start w:val="1"/>
      <w:numFmt w:val="decimal"/>
      <w:lvlText w:val="%7."/>
      <w:lvlJc w:val="left"/>
      <w:pPr>
        <w:ind w:left="3779" w:hanging="420"/>
      </w:pPr>
    </w:lvl>
    <w:lvl w:ilvl="7" w:tentative="0">
      <w:start w:val="1"/>
      <w:numFmt w:val="lowerLetter"/>
      <w:lvlText w:val="%8)"/>
      <w:lvlJc w:val="left"/>
      <w:pPr>
        <w:ind w:left="4199" w:hanging="420"/>
      </w:pPr>
    </w:lvl>
    <w:lvl w:ilvl="8" w:tentative="0">
      <w:start w:val="1"/>
      <w:numFmt w:val="lowerRoman"/>
      <w:lvlText w:val="%9."/>
      <w:lvlJc w:val="right"/>
      <w:pPr>
        <w:ind w:left="4619" w:hanging="420"/>
      </w:pPr>
    </w:lvl>
  </w:abstractNum>
  <w:num w:numId="1">
    <w:abstractNumId w:val="7"/>
  </w:num>
  <w:num w:numId="2">
    <w:abstractNumId w:val="3"/>
  </w:num>
  <w:num w:numId="3">
    <w:abstractNumId w:val="4"/>
  </w:num>
  <w:num w:numId="4">
    <w:abstractNumId w:val="9"/>
  </w:num>
  <w:num w:numId="5">
    <w:abstractNumId w:val="8"/>
    <w:lvlOverride w:ilvl="0">
      <w:startOverride w:val="1"/>
    </w:lvlOverride>
  </w:num>
  <w:num w:numId="6">
    <w:abstractNumId w:val="11"/>
  </w:num>
  <w:num w:numId="7">
    <w:abstractNumId w:val="2"/>
  </w:num>
  <w:num w:numId="8">
    <w:abstractNumId w:val="1"/>
  </w:num>
  <w:num w:numId="9">
    <w:abstractNumId w:val="6"/>
  </w:num>
  <w:num w:numId="10">
    <w:abstractNumId w:val="0"/>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Y3ZTg0NjAwZjEyYzMyODY4MzA2Yzc0MDk5OTg4ZTMifQ=="/>
  </w:docVars>
  <w:rsids>
    <w:rsidRoot w:val="00172A27"/>
    <w:rsid w:val="000000B1"/>
    <w:rsid w:val="0000229A"/>
    <w:rsid w:val="00002E7E"/>
    <w:rsid w:val="000030CE"/>
    <w:rsid w:val="0000357E"/>
    <w:rsid w:val="00004CBE"/>
    <w:rsid w:val="00004D1F"/>
    <w:rsid w:val="00005843"/>
    <w:rsid w:val="00005CEF"/>
    <w:rsid w:val="00007604"/>
    <w:rsid w:val="000100E6"/>
    <w:rsid w:val="000100F2"/>
    <w:rsid w:val="00010432"/>
    <w:rsid w:val="00010FBC"/>
    <w:rsid w:val="00011333"/>
    <w:rsid w:val="000116CE"/>
    <w:rsid w:val="00011D62"/>
    <w:rsid w:val="00011F9F"/>
    <w:rsid w:val="000142BB"/>
    <w:rsid w:val="0001523E"/>
    <w:rsid w:val="00015678"/>
    <w:rsid w:val="00015E01"/>
    <w:rsid w:val="00015ED2"/>
    <w:rsid w:val="00015F22"/>
    <w:rsid w:val="0001683B"/>
    <w:rsid w:val="00016A52"/>
    <w:rsid w:val="000203DF"/>
    <w:rsid w:val="00020F4F"/>
    <w:rsid w:val="00024537"/>
    <w:rsid w:val="00024E15"/>
    <w:rsid w:val="00025143"/>
    <w:rsid w:val="00025717"/>
    <w:rsid w:val="00025B63"/>
    <w:rsid w:val="00026231"/>
    <w:rsid w:val="00030000"/>
    <w:rsid w:val="000306DA"/>
    <w:rsid w:val="00030BA0"/>
    <w:rsid w:val="000324BA"/>
    <w:rsid w:val="000331F3"/>
    <w:rsid w:val="000365DB"/>
    <w:rsid w:val="0003769F"/>
    <w:rsid w:val="000438C2"/>
    <w:rsid w:val="000453E9"/>
    <w:rsid w:val="000460C2"/>
    <w:rsid w:val="0004627E"/>
    <w:rsid w:val="0004651A"/>
    <w:rsid w:val="00046B9D"/>
    <w:rsid w:val="00050DFB"/>
    <w:rsid w:val="00051B38"/>
    <w:rsid w:val="0005267A"/>
    <w:rsid w:val="000538BA"/>
    <w:rsid w:val="00053C2A"/>
    <w:rsid w:val="00055E9A"/>
    <w:rsid w:val="00056AE1"/>
    <w:rsid w:val="000578B8"/>
    <w:rsid w:val="00057D18"/>
    <w:rsid w:val="000604F3"/>
    <w:rsid w:val="00060D18"/>
    <w:rsid w:val="000610AB"/>
    <w:rsid w:val="0006156C"/>
    <w:rsid w:val="0006325A"/>
    <w:rsid w:val="00063CB1"/>
    <w:rsid w:val="00063D1B"/>
    <w:rsid w:val="00064FF0"/>
    <w:rsid w:val="00065812"/>
    <w:rsid w:val="00066CB2"/>
    <w:rsid w:val="00066FD6"/>
    <w:rsid w:val="00067F22"/>
    <w:rsid w:val="00071395"/>
    <w:rsid w:val="00071D92"/>
    <w:rsid w:val="00071E61"/>
    <w:rsid w:val="000744AF"/>
    <w:rsid w:val="00074541"/>
    <w:rsid w:val="000749E5"/>
    <w:rsid w:val="0007584E"/>
    <w:rsid w:val="00076481"/>
    <w:rsid w:val="00077194"/>
    <w:rsid w:val="00077E19"/>
    <w:rsid w:val="00080FFE"/>
    <w:rsid w:val="000819AB"/>
    <w:rsid w:val="000819CE"/>
    <w:rsid w:val="00084176"/>
    <w:rsid w:val="00084DF8"/>
    <w:rsid w:val="00085FA2"/>
    <w:rsid w:val="000861E2"/>
    <w:rsid w:val="000928A9"/>
    <w:rsid w:val="00093948"/>
    <w:rsid w:val="000944AE"/>
    <w:rsid w:val="0009538C"/>
    <w:rsid w:val="000958AE"/>
    <w:rsid w:val="00095CDE"/>
    <w:rsid w:val="000968A1"/>
    <w:rsid w:val="000975C8"/>
    <w:rsid w:val="00097B70"/>
    <w:rsid w:val="00097C70"/>
    <w:rsid w:val="00097E93"/>
    <w:rsid w:val="000A1260"/>
    <w:rsid w:val="000A1854"/>
    <w:rsid w:val="000A1CFA"/>
    <w:rsid w:val="000A1DCF"/>
    <w:rsid w:val="000A1E8E"/>
    <w:rsid w:val="000A1FEF"/>
    <w:rsid w:val="000A25AA"/>
    <w:rsid w:val="000A3D65"/>
    <w:rsid w:val="000A48F1"/>
    <w:rsid w:val="000A5D5C"/>
    <w:rsid w:val="000A6291"/>
    <w:rsid w:val="000A6E81"/>
    <w:rsid w:val="000A7C14"/>
    <w:rsid w:val="000B0F8D"/>
    <w:rsid w:val="000B10A1"/>
    <w:rsid w:val="000B1B28"/>
    <w:rsid w:val="000B2C2C"/>
    <w:rsid w:val="000B3545"/>
    <w:rsid w:val="000B3CE6"/>
    <w:rsid w:val="000B464F"/>
    <w:rsid w:val="000B56D9"/>
    <w:rsid w:val="000B64C1"/>
    <w:rsid w:val="000B7327"/>
    <w:rsid w:val="000B7A58"/>
    <w:rsid w:val="000C2F76"/>
    <w:rsid w:val="000C4769"/>
    <w:rsid w:val="000C4F02"/>
    <w:rsid w:val="000C559D"/>
    <w:rsid w:val="000C5D4F"/>
    <w:rsid w:val="000C602A"/>
    <w:rsid w:val="000C6F8F"/>
    <w:rsid w:val="000C7487"/>
    <w:rsid w:val="000C77CF"/>
    <w:rsid w:val="000C7FB7"/>
    <w:rsid w:val="000D10BF"/>
    <w:rsid w:val="000D112F"/>
    <w:rsid w:val="000D1438"/>
    <w:rsid w:val="000D1875"/>
    <w:rsid w:val="000D3213"/>
    <w:rsid w:val="000D34A5"/>
    <w:rsid w:val="000D3A59"/>
    <w:rsid w:val="000D459A"/>
    <w:rsid w:val="000D64B7"/>
    <w:rsid w:val="000E0C9A"/>
    <w:rsid w:val="000E0D4B"/>
    <w:rsid w:val="000E0F79"/>
    <w:rsid w:val="000E2795"/>
    <w:rsid w:val="000E2EF7"/>
    <w:rsid w:val="000E30EE"/>
    <w:rsid w:val="000E45F0"/>
    <w:rsid w:val="000E494D"/>
    <w:rsid w:val="000E49AB"/>
    <w:rsid w:val="000E546B"/>
    <w:rsid w:val="000E5742"/>
    <w:rsid w:val="000E57A5"/>
    <w:rsid w:val="000E5A91"/>
    <w:rsid w:val="000E5B91"/>
    <w:rsid w:val="000E7C18"/>
    <w:rsid w:val="000F0741"/>
    <w:rsid w:val="000F0F1A"/>
    <w:rsid w:val="000F17E2"/>
    <w:rsid w:val="000F2D69"/>
    <w:rsid w:val="000F43B1"/>
    <w:rsid w:val="000F4F64"/>
    <w:rsid w:val="000F631B"/>
    <w:rsid w:val="000F65BE"/>
    <w:rsid w:val="000F690E"/>
    <w:rsid w:val="000F6DB7"/>
    <w:rsid w:val="000F6E67"/>
    <w:rsid w:val="000F6FDD"/>
    <w:rsid w:val="000F711C"/>
    <w:rsid w:val="001003C6"/>
    <w:rsid w:val="00100836"/>
    <w:rsid w:val="0010148B"/>
    <w:rsid w:val="00102877"/>
    <w:rsid w:val="00104078"/>
    <w:rsid w:val="00104279"/>
    <w:rsid w:val="00104343"/>
    <w:rsid w:val="001050BC"/>
    <w:rsid w:val="00105678"/>
    <w:rsid w:val="00106E18"/>
    <w:rsid w:val="0010729E"/>
    <w:rsid w:val="0010799B"/>
    <w:rsid w:val="00111C74"/>
    <w:rsid w:val="001120E4"/>
    <w:rsid w:val="00115BAC"/>
    <w:rsid w:val="0011615A"/>
    <w:rsid w:val="0011740F"/>
    <w:rsid w:val="00117678"/>
    <w:rsid w:val="00117CC0"/>
    <w:rsid w:val="0012015E"/>
    <w:rsid w:val="00123EC8"/>
    <w:rsid w:val="00125025"/>
    <w:rsid w:val="00125B7E"/>
    <w:rsid w:val="00125EAB"/>
    <w:rsid w:val="00130079"/>
    <w:rsid w:val="00130AEC"/>
    <w:rsid w:val="00131851"/>
    <w:rsid w:val="00131D68"/>
    <w:rsid w:val="0013332E"/>
    <w:rsid w:val="001352C8"/>
    <w:rsid w:val="00135F2D"/>
    <w:rsid w:val="00135FE7"/>
    <w:rsid w:val="00137C7B"/>
    <w:rsid w:val="00141196"/>
    <w:rsid w:val="001411B8"/>
    <w:rsid w:val="001427E7"/>
    <w:rsid w:val="00142CD3"/>
    <w:rsid w:val="00142FCC"/>
    <w:rsid w:val="0014365C"/>
    <w:rsid w:val="00143A02"/>
    <w:rsid w:val="00144091"/>
    <w:rsid w:val="00144BB8"/>
    <w:rsid w:val="001452A4"/>
    <w:rsid w:val="00145502"/>
    <w:rsid w:val="00145958"/>
    <w:rsid w:val="00146727"/>
    <w:rsid w:val="00146E3D"/>
    <w:rsid w:val="001472D2"/>
    <w:rsid w:val="00150560"/>
    <w:rsid w:val="00151EE6"/>
    <w:rsid w:val="00153775"/>
    <w:rsid w:val="001538C9"/>
    <w:rsid w:val="00155022"/>
    <w:rsid w:val="001607EB"/>
    <w:rsid w:val="00161D1E"/>
    <w:rsid w:val="001622D3"/>
    <w:rsid w:val="00162307"/>
    <w:rsid w:val="001626A9"/>
    <w:rsid w:val="00164193"/>
    <w:rsid w:val="00164C30"/>
    <w:rsid w:val="001650E8"/>
    <w:rsid w:val="00167A85"/>
    <w:rsid w:val="00167BB9"/>
    <w:rsid w:val="00167D63"/>
    <w:rsid w:val="0017030A"/>
    <w:rsid w:val="00170FE3"/>
    <w:rsid w:val="001716D5"/>
    <w:rsid w:val="001721D0"/>
    <w:rsid w:val="00172393"/>
    <w:rsid w:val="001726DC"/>
    <w:rsid w:val="00172A27"/>
    <w:rsid w:val="00173D43"/>
    <w:rsid w:val="00174E2F"/>
    <w:rsid w:val="001751E1"/>
    <w:rsid w:val="00176E9B"/>
    <w:rsid w:val="00177171"/>
    <w:rsid w:val="00177BAB"/>
    <w:rsid w:val="00180BFD"/>
    <w:rsid w:val="00181928"/>
    <w:rsid w:val="00183464"/>
    <w:rsid w:val="00183DF5"/>
    <w:rsid w:val="00185554"/>
    <w:rsid w:val="00185EF7"/>
    <w:rsid w:val="00187920"/>
    <w:rsid w:val="00190155"/>
    <w:rsid w:val="00191638"/>
    <w:rsid w:val="001920BF"/>
    <w:rsid w:val="00192A85"/>
    <w:rsid w:val="00192CFE"/>
    <w:rsid w:val="00192E67"/>
    <w:rsid w:val="00194B8C"/>
    <w:rsid w:val="00194EF8"/>
    <w:rsid w:val="00196C2E"/>
    <w:rsid w:val="001977D4"/>
    <w:rsid w:val="001A0287"/>
    <w:rsid w:val="001A148D"/>
    <w:rsid w:val="001A416D"/>
    <w:rsid w:val="001A441E"/>
    <w:rsid w:val="001A486A"/>
    <w:rsid w:val="001A55FF"/>
    <w:rsid w:val="001A5F8B"/>
    <w:rsid w:val="001A6E35"/>
    <w:rsid w:val="001B10B0"/>
    <w:rsid w:val="001B32F7"/>
    <w:rsid w:val="001B3F8E"/>
    <w:rsid w:val="001B47F1"/>
    <w:rsid w:val="001B60B2"/>
    <w:rsid w:val="001B77DB"/>
    <w:rsid w:val="001C0548"/>
    <w:rsid w:val="001C0974"/>
    <w:rsid w:val="001C1499"/>
    <w:rsid w:val="001C2962"/>
    <w:rsid w:val="001C39AB"/>
    <w:rsid w:val="001C4357"/>
    <w:rsid w:val="001C485B"/>
    <w:rsid w:val="001C4D33"/>
    <w:rsid w:val="001C5618"/>
    <w:rsid w:val="001C7489"/>
    <w:rsid w:val="001C7CAB"/>
    <w:rsid w:val="001D1A87"/>
    <w:rsid w:val="001D290E"/>
    <w:rsid w:val="001D30AE"/>
    <w:rsid w:val="001D38FE"/>
    <w:rsid w:val="001D40A1"/>
    <w:rsid w:val="001D45D4"/>
    <w:rsid w:val="001D4F58"/>
    <w:rsid w:val="001D6CB2"/>
    <w:rsid w:val="001D7B77"/>
    <w:rsid w:val="001E0848"/>
    <w:rsid w:val="001E1058"/>
    <w:rsid w:val="001E1619"/>
    <w:rsid w:val="001E187C"/>
    <w:rsid w:val="001E190A"/>
    <w:rsid w:val="001E1EB4"/>
    <w:rsid w:val="001E21CE"/>
    <w:rsid w:val="001E3A64"/>
    <w:rsid w:val="001E3FD5"/>
    <w:rsid w:val="001E4826"/>
    <w:rsid w:val="001E4ED6"/>
    <w:rsid w:val="001E4F2F"/>
    <w:rsid w:val="001E52EE"/>
    <w:rsid w:val="001E78A4"/>
    <w:rsid w:val="001E7E08"/>
    <w:rsid w:val="001F0423"/>
    <w:rsid w:val="001F07D5"/>
    <w:rsid w:val="001F0E63"/>
    <w:rsid w:val="001F136D"/>
    <w:rsid w:val="001F189D"/>
    <w:rsid w:val="001F330E"/>
    <w:rsid w:val="001F3A2A"/>
    <w:rsid w:val="001F44C3"/>
    <w:rsid w:val="001F5FCA"/>
    <w:rsid w:val="001F775F"/>
    <w:rsid w:val="0020007D"/>
    <w:rsid w:val="00200E99"/>
    <w:rsid w:val="00201034"/>
    <w:rsid w:val="00202B51"/>
    <w:rsid w:val="00202B6B"/>
    <w:rsid w:val="0020360E"/>
    <w:rsid w:val="00203747"/>
    <w:rsid w:val="00203D31"/>
    <w:rsid w:val="00204A7B"/>
    <w:rsid w:val="00204D36"/>
    <w:rsid w:val="00205089"/>
    <w:rsid w:val="0020799E"/>
    <w:rsid w:val="0021061C"/>
    <w:rsid w:val="00211597"/>
    <w:rsid w:val="00212587"/>
    <w:rsid w:val="002125FD"/>
    <w:rsid w:val="00212A94"/>
    <w:rsid w:val="00213E95"/>
    <w:rsid w:val="00215165"/>
    <w:rsid w:val="002152AF"/>
    <w:rsid w:val="002159CC"/>
    <w:rsid w:val="00216110"/>
    <w:rsid w:val="002166C7"/>
    <w:rsid w:val="00216882"/>
    <w:rsid w:val="00216FBB"/>
    <w:rsid w:val="00217024"/>
    <w:rsid w:val="00220575"/>
    <w:rsid w:val="00223F6F"/>
    <w:rsid w:val="0022463F"/>
    <w:rsid w:val="002246EA"/>
    <w:rsid w:val="00226A42"/>
    <w:rsid w:val="00226B87"/>
    <w:rsid w:val="0022727E"/>
    <w:rsid w:val="00227484"/>
    <w:rsid w:val="00227866"/>
    <w:rsid w:val="002322CE"/>
    <w:rsid w:val="002353CA"/>
    <w:rsid w:val="002356A4"/>
    <w:rsid w:val="00235A6E"/>
    <w:rsid w:val="0023602C"/>
    <w:rsid w:val="002361A0"/>
    <w:rsid w:val="002373B5"/>
    <w:rsid w:val="00237636"/>
    <w:rsid w:val="00237C55"/>
    <w:rsid w:val="00237E9B"/>
    <w:rsid w:val="002406AC"/>
    <w:rsid w:val="00240A01"/>
    <w:rsid w:val="00241231"/>
    <w:rsid w:val="0024256B"/>
    <w:rsid w:val="00242E00"/>
    <w:rsid w:val="0024330E"/>
    <w:rsid w:val="00244865"/>
    <w:rsid w:val="00245B83"/>
    <w:rsid w:val="00246216"/>
    <w:rsid w:val="00246CE5"/>
    <w:rsid w:val="00251216"/>
    <w:rsid w:val="00252E1B"/>
    <w:rsid w:val="0025316D"/>
    <w:rsid w:val="002543ED"/>
    <w:rsid w:val="002546C6"/>
    <w:rsid w:val="00255846"/>
    <w:rsid w:val="00256AE0"/>
    <w:rsid w:val="00257D2C"/>
    <w:rsid w:val="0026042A"/>
    <w:rsid w:val="00260A3A"/>
    <w:rsid w:val="00260EA3"/>
    <w:rsid w:val="002629C7"/>
    <w:rsid w:val="00262DEF"/>
    <w:rsid w:val="00263D4A"/>
    <w:rsid w:val="00263E28"/>
    <w:rsid w:val="00264629"/>
    <w:rsid w:val="00265D95"/>
    <w:rsid w:val="002662B8"/>
    <w:rsid w:val="002667A9"/>
    <w:rsid w:val="002667B8"/>
    <w:rsid w:val="00270206"/>
    <w:rsid w:val="002702F7"/>
    <w:rsid w:val="00270E09"/>
    <w:rsid w:val="00273D74"/>
    <w:rsid w:val="00273E33"/>
    <w:rsid w:val="002740DB"/>
    <w:rsid w:val="00274115"/>
    <w:rsid w:val="00274789"/>
    <w:rsid w:val="00276A86"/>
    <w:rsid w:val="002814EA"/>
    <w:rsid w:val="00281770"/>
    <w:rsid w:val="00285C36"/>
    <w:rsid w:val="00285DAE"/>
    <w:rsid w:val="0028649B"/>
    <w:rsid w:val="00286BBF"/>
    <w:rsid w:val="00287076"/>
    <w:rsid w:val="00290367"/>
    <w:rsid w:val="00290FFB"/>
    <w:rsid w:val="00292B40"/>
    <w:rsid w:val="00293694"/>
    <w:rsid w:val="00297E22"/>
    <w:rsid w:val="002A017C"/>
    <w:rsid w:val="002A03F8"/>
    <w:rsid w:val="002A10BA"/>
    <w:rsid w:val="002A187F"/>
    <w:rsid w:val="002A3E0E"/>
    <w:rsid w:val="002A3F63"/>
    <w:rsid w:val="002A6688"/>
    <w:rsid w:val="002A6FA9"/>
    <w:rsid w:val="002B0A26"/>
    <w:rsid w:val="002B1707"/>
    <w:rsid w:val="002B1825"/>
    <w:rsid w:val="002B1FAD"/>
    <w:rsid w:val="002B2C49"/>
    <w:rsid w:val="002B3BE9"/>
    <w:rsid w:val="002B40C4"/>
    <w:rsid w:val="002B4371"/>
    <w:rsid w:val="002B5AF2"/>
    <w:rsid w:val="002C0643"/>
    <w:rsid w:val="002C10FF"/>
    <w:rsid w:val="002C1599"/>
    <w:rsid w:val="002C256F"/>
    <w:rsid w:val="002C2C37"/>
    <w:rsid w:val="002C32D9"/>
    <w:rsid w:val="002C3C60"/>
    <w:rsid w:val="002C3EA2"/>
    <w:rsid w:val="002C4A2D"/>
    <w:rsid w:val="002C5A7F"/>
    <w:rsid w:val="002C7F38"/>
    <w:rsid w:val="002D0166"/>
    <w:rsid w:val="002D13DF"/>
    <w:rsid w:val="002D1BD9"/>
    <w:rsid w:val="002D1EC8"/>
    <w:rsid w:val="002D2028"/>
    <w:rsid w:val="002D210E"/>
    <w:rsid w:val="002D3F34"/>
    <w:rsid w:val="002D4818"/>
    <w:rsid w:val="002D496E"/>
    <w:rsid w:val="002D505E"/>
    <w:rsid w:val="002D5C06"/>
    <w:rsid w:val="002D688A"/>
    <w:rsid w:val="002D78A1"/>
    <w:rsid w:val="002E2A87"/>
    <w:rsid w:val="002E3B5E"/>
    <w:rsid w:val="002E44F0"/>
    <w:rsid w:val="002E56A8"/>
    <w:rsid w:val="002E6489"/>
    <w:rsid w:val="002E6CE0"/>
    <w:rsid w:val="002F092F"/>
    <w:rsid w:val="002F2DC8"/>
    <w:rsid w:val="002F3155"/>
    <w:rsid w:val="002F5681"/>
    <w:rsid w:val="002F5999"/>
    <w:rsid w:val="002F66F2"/>
    <w:rsid w:val="0030092B"/>
    <w:rsid w:val="0030217B"/>
    <w:rsid w:val="00302B1C"/>
    <w:rsid w:val="0030555F"/>
    <w:rsid w:val="0030596B"/>
    <w:rsid w:val="00305B51"/>
    <w:rsid w:val="003061C2"/>
    <w:rsid w:val="00306436"/>
    <w:rsid w:val="00307590"/>
    <w:rsid w:val="0031002C"/>
    <w:rsid w:val="00310423"/>
    <w:rsid w:val="003111BA"/>
    <w:rsid w:val="00312895"/>
    <w:rsid w:val="00313377"/>
    <w:rsid w:val="00313611"/>
    <w:rsid w:val="00314B5E"/>
    <w:rsid w:val="00315063"/>
    <w:rsid w:val="003150BD"/>
    <w:rsid w:val="00315CAA"/>
    <w:rsid w:val="00317B29"/>
    <w:rsid w:val="00317BCA"/>
    <w:rsid w:val="00320E84"/>
    <w:rsid w:val="003210B0"/>
    <w:rsid w:val="0032167A"/>
    <w:rsid w:val="0032283E"/>
    <w:rsid w:val="00322EA4"/>
    <w:rsid w:val="003234FA"/>
    <w:rsid w:val="0032375A"/>
    <w:rsid w:val="0032375F"/>
    <w:rsid w:val="00323B69"/>
    <w:rsid w:val="003241A0"/>
    <w:rsid w:val="00325253"/>
    <w:rsid w:val="00325571"/>
    <w:rsid w:val="00326F87"/>
    <w:rsid w:val="00330C16"/>
    <w:rsid w:val="003316C9"/>
    <w:rsid w:val="00331C58"/>
    <w:rsid w:val="00332EC6"/>
    <w:rsid w:val="00333566"/>
    <w:rsid w:val="00333B93"/>
    <w:rsid w:val="00335601"/>
    <w:rsid w:val="00336BC6"/>
    <w:rsid w:val="00336D96"/>
    <w:rsid w:val="00337E59"/>
    <w:rsid w:val="00340103"/>
    <w:rsid w:val="00340ADD"/>
    <w:rsid w:val="00342587"/>
    <w:rsid w:val="00343981"/>
    <w:rsid w:val="00343E5D"/>
    <w:rsid w:val="00345217"/>
    <w:rsid w:val="003454F1"/>
    <w:rsid w:val="0034589C"/>
    <w:rsid w:val="003466AB"/>
    <w:rsid w:val="003466AF"/>
    <w:rsid w:val="00347AF7"/>
    <w:rsid w:val="00347F1A"/>
    <w:rsid w:val="0035072C"/>
    <w:rsid w:val="00350872"/>
    <w:rsid w:val="00350996"/>
    <w:rsid w:val="00350A66"/>
    <w:rsid w:val="003512B1"/>
    <w:rsid w:val="003519DE"/>
    <w:rsid w:val="00352056"/>
    <w:rsid w:val="003524B0"/>
    <w:rsid w:val="00352D40"/>
    <w:rsid w:val="003546FF"/>
    <w:rsid w:val="0035472D"/>
    <w:rsid w:val="003559AF"/>
    <w:rsid w:val="00356CAB"/>
    <w:rsid w:val="00356D38"/>
    <w:rsid w:val="00360C7B"/>
    <w:rsid w:val="003616C3"/>
    <w:rsid w:val="00361D02"/>
    <w:rsid w:val="00363963"/>
    <w:rsid w:val="00363E9C"/>
    <w:rsid w:val="00363EC2"/>
    <w:rsid w:val="00365269"/>
    <w:rsid w:val="0036549D"/>
    <w:rsid w:val="003656A6"/>
    <w:rsid w:val="0036738D"/>
    <w:rsid w:val="003677AA"/>
    <w:rsid w:val="0036792D"/>
    <w:rsid w:val="00373358"/>
    <w:rsid w:val="0037456F"/>
    <w:rsid w:val="00374A90"/>
    <w:rsid w:val="00375173"/>
    <w:rsid w:val="0037520F"/>
    <w:rsid w:val="003756FC"/>
    <w:rsid w:val="0037669C"/>
    <w:rsid w:val="00377122"/>
    <w:rsid w:val="0037723B"/>
    <w:rsid w:val="00380B29"/>
    <w:rsid w:val="003818B3"/>
    <w:rsid w:val="0038248C"/>
    <w:rsid w:val="003826BC"/>
    <w:rsid w:val="00384DFF"/>
    <w:rsid w:val="00386472"/>
    <w:rsid w:val="00386F0E"/>
    <w:rsid w:val="00386FDC"/>
    <w:rsid w:val="0038709D"/>
    <w:rsid w:val="00387780"/>
    <w:rsid w:val="003878E0"/>
    <w:rsid w:val="00387E27"/>
    <w:rsid w:val="0039001A"/>
    <w:rsid w:val="00390954"/>
    <w:rsid w:val="0039300E"/>
    <w:rsid w:val="003936C4"/>
    <w:rsid w:val="00393BE2"/>
    <w:rsid w:val="00393DC0"/>
    <w:rsid w:val="003949AA"/>
    <w:rsid w:val="003959A5"/>
    <w:rsid w:val="00395E8B"/>
    <w:rsid w:val="0039710A"/>
    <w:rsid w:val="003A09F8"/>
    <w:rsid w:val="003A1B9D"/>
    <w:rsid w:val="003A1EC1"/>
    <w:rsid w:val="003A2444"/>
    <w:rsid w:val="003A27B1"/>
    <w:rsid w:val="003A3351"/>
    <w:rsid w:val="003A529E"/>
    <w:rsid w:val="003A57AD"/>
    <w:rsid w:val="003A6E2F"/>
    <w:rsid w:val="003A73DB"/>
    <w:rsid w:val="003A7EBF"/>
    <w:rsid w:val="003B0EE1"/>
    <w:rsid w:val="003B1125"/>
    <w:rsid w:val="003B16E6"/>
    <w:rsid w:val="003B320E"/>
    <w:rsid w:val="003B35F2"/>
    <w:rsid w:val="003B5551"/>
    <w:rsid w:val="003B56BD"/>
    <w:rsid w:val="003B6118"/>
    <w:rsid w:val="003B6376"/>
    <w:rsid w:val="003C000C"/>
    <w:rsid w:val="003C3269"/>
    <w:rsid w:val="003C3DA2"/>
    <w:rsid w:val="003C52B4"/>
    <w:rsid w:val="003C60B4"/>
    <w:rsid w:val="003C6984"/>
    <w:rsid w:val="003C7003"/>
    <w:rsid w:val="003C799F"/>
    <w:rsid w:val="003D087D"/>
    <w:rsid w:val="003D2E3C"/>
    <w:rsid w:val="003D4117"/>
    <w:rsid w:val="003D44AD"/>
    <w:rsid w:val="003D4631"/>
    <w:rsid w:val="003D66F1"/>
    <w:rsid w:val="003D6ADC"/>
    <w:rsid w:val="003D6C8C"/>
    <w:rsid w:val="003D79BB"/>
    <w:rsid w:val="003E0129"/>
    <w:rsid w:val="003E1AA6"/>
    <w:rsid w:val="003E1D24"/>
    <w:rsid w:val="003E4D64"/>
    <w:rsid w:val="003E5C9A"/>
    <w:rsid w:val="003E6B95"/>
    <w:rsid w:val="003F0C37"/>
    <w:rsid w:val="003F1314"/>
    <w:rsid w:val="003F23B2"/>
    <w:rsid w:val="003F2817"/>
    <w:rsid w:val="003F2B01"/>
    <w:rsid w:val="003F3808"/>
    <w:rsid w:val="003F5C6F"/>
    <w:rsid w:val="003F673E"/>
    <w:rsid w:val="003F7799"/>
    <w:rsid w:val="003F7B07"/>
    <w:rsid w:val="003F7E12"/>
    <w:rsid w:val="004006D2"/>
    <w:rsid w:val="0040089B"/>
    <w:rsid w:val="00400C7F"/>
    <w:rsid w:val="00401E11"/>
    <w:rsid w:val="004023E5"/>
    <w:rsid w:val="00402D6B"/>
    <w:rsid w:val="00403082"/>
    <w:rsid w:val="00403408"/>
    <w:rsid w:val="00403A03"/>
    <w:rsid w:val="00404D62"/>
    <w:rsid w:val="0040505B"/>
    <w:rsid w:val="00405EA1"/>
    <w:rsid w:val="004062DC"/>
    <w:rsid w:val="00406366"/>
    <w:rsid w:val="004076D7"/>
    <w:rsid w:val="0040772F"/>
    <w:rsid w:val="00407F27"/>
    <w:rsid w:val="00412DBB"/>
    <w:rsid w:val="00412DDF"/>
    <w:rsid w:val="00413E90"/>
    <w:rsid w:val="00414C20"/>
    <w:rsid w:val="00415667"/>
    <w:rsid w:val="0041634C"/>
    <w:rsid w:val="00417DF9"/>
    <w:rsid w:val="004206D0"/>
    <w:rsid w:val="0042117D"/>
    <w:rsid w:val="004220F3"/>
    <w:rsid w:val="00422CEB"/>
    <w:rsid w:val="004246CD"/>
    <w:rsid w:val="004248AC"/>
    <w:rsid w:val="00424D41"/>
    <w:rsid w:val="00425782"/>
    <w:rsid w:val="00427000"/>
    <w:rsid w:val="00430DED"/>
    <w:rsid w:val="00431A70"/>
    <w:rsid w:val="00434438"/>
    <w:rsid w:val="0043556A"/>
    <w:rsid w:val="00435916"/>
    <w:rsid w:val="0043724E"/>
    <w:rsid w:val="00440C54"/>
    <w:rsid w:val="00441297"/>
    <w:rsid w:val="00441328"/>
    <w:rsid w:val="00442350"/>
    <w:rsid w:val="0044244F"/>
    <w:rsid w:val="004427B8"/>
    <w:rsid w:val="00443C39"/>
    <w:rsid w:val="0044421E"/>
    <w:rsid w:val="004449F2"/>
    <w:rsid w:val="0044574C"/>
    <w:rsid w:val="0044716C"/>
    <w:rsid w:val="004472BA"/>
    <w:rsid w:val="00447843"/>
    <w:rsid w:val="00447BDE"/>
    <w:rsid w:val="00447F80"/>
    <w:rsid w:val="00451083"/>
    <w:rsid w:val="004515A1"/>
    <w:rsid w:val="004521EE"/>
    <w:rsid w:val="0045397C"/>
    <w:rsid w:val="0045456A"/>
    <w:rsid w:val="0045738F"/>
    <w:rsid w:val="004627D5"/>
    <w:rsid w:val="0046609E"/>
    <w:rsid w:val="00466813"/>
    <w:rsid w:val="00466C22"/>
    <w:rsid w:val="00467437"/>
    <w:rsid w:val="0046784C"/>
    <w:rsid w:val="00467C59"/>
    <w:rsid w:val="00471204"/>
    <w:rsid w:val="00472E46"/>
    <w:rsid w:val="004733ED"/>
    <w:rsid w:val="00473575"/>
    <w:rsid w:val="00474861"/>
    <w:rsid w:val="00474CE8"/>
    <w:rsid w:val="0047620D"/>
    <w:rsid w:val="00476F49"/>
    <w:rsid w:val="00477A59"/>
    <w:rsid w:val="00477C61"/>
    <w:rsid w:val="00477D23"/>
    <w:rsid w:val="004811B7"/>
    <w:rsid w:val="00483890"/>
    <w:rsid w:val="004861BF"/>
    <w:rsid w:val="00486C23"/>
    <w:rsid w:val="004876EC"/>
    <w:rsid w:val="00487F75"/>
    <w:rsid w:val="004901BD"/>
    <w:rsid w:val="0049149D"/>
    <w:rsid w:val="00491C3F"/>
    <w:rsid w:val="00492559"/>
    <w:rsid w:val="004929FB"/>
    <w:rsid w:val="00493476"/>
    <w:rsid w:val="0049348D"/>
    <w:rsid w:val="00494B9C"/>
    <w:rsid w:val="004963D4"/>
    <w:rsid w:val="00496856"/>
    <w:rsid w:val="00496D0C"/>
    <w:rsid w:val="00497578"/>
    <w:rsid w:val="004977F5"/>
    <w:rsid w:val="004978BF"/>
    <w:rsid w:val="004A0F53"/>
    <w:rsid w:val="004A2430"/>
    <w:rsid w:val="004A3062"/>
    <w:rsid w:val="004A623F"/>
    <w:rsid w:val="004A7F87"/>
    <w:rsid w:val="004B1A16"/>
    <w:rsid w:val="004B2457"/>
    <w:rsid w:val="004B3D44"/>
    <w:rsid w:val="004B3EF5"/>
    <w:rsid w:val="004B4A79"/>
    <w:rsid w:val="004B4DF3"/>
    <w:rsid w:val="004B573C"/>
    <w:rsid w:val="004B589A"/>
    <w:rsid w:val="004B5AA8"/>
    <w:rsid w:val="004B5EAD"/>
    <w:rsid w:val="004B5F6C"/>
    <w:rsid w:val="004B775F"/>
    <w:rsid w:val="004B79BA"/>
    <w:rsid w:val="004B7AE7"/>
    <w:rsid w:val="004C189F"/>
    <w:rsid w:val="004C1D99"/>
    <w:rsid w:val="004C23E3"/>
    <w:rsid w:val="004C2739"/>
    <w:rsid w:val="004C283C"/>
    <w:rsid w:val="004C46CF"/>
    <w:rsid w:val="004C47D7"/>
    <w:rsid w:val="004C4AC1"/>
    <w:rsid w:val="004C4C16"/>
    <w:rsid w:val="004C6E12"/>
    <w:rsid w:val="004C70FF"/>
    <w:rsid w:val="004C7260"/>
    <w:rsid w:val="004D065F"/>
    <w:rsid w:val="004D11B5"/>
    <w:rsid w:val="004D25C0"/>
    <w:rsid w:val="004D3146"/>
    <w:rsid w:val="004D4F86"/>
    <w:rsid w:val="004D51BC"/>
    <w:rsid w:val="004D6618"/>
    <w:rsid w:val="004D6EC2"/>
    <w:rsid w:val="004D7FA1"/>
    <w:rsid w:val="004E1A1C"/>
    <w:rsid w:val="004E1B52"/>
    <w:rsid w:val="004E1FD7"/>
    <w:rsid w:val="004E2983"/>
    <w:rsid w:val="004E3C5C"/>
    <w:rsid w:val="004E3EE2"/>
    <w:rsid w:val="004E4905"/>
    <w:rsid w:val="004E54B0"/>
    <w:rsid w:val="004E596D"/>
    <w:rsid w:val="004E664E"/>
    <w:rsid w:val="004E674B"/>
    <w:rsid w:val="004E76BF"/>
    <w:rsid w:val="004F0659"/>
    <w:rsid w:val="004F4988"/>
    <w:rsid w:val="004F4EA6"/>
    <w:rsid w:val="004F4ECF"/>
    <w:rsid w:val="004F4ED4"/>
    <w:rsid w:val="004F53E5"/>
    <w:rsid w:val="004F5EB8"/>
    <w:rsid w:val="004F6304"/>
    <w:rsid w:val="004F6ADC"/>
    <w:rsid w:val="004F7A37"/>
    <w:rsid w:val="005008D1"/>
    <w:rsid w:val="00501CEB"/>
    <w:rsid w:val="005028B8"/>
    <w:rsid w:val="00502CA4"/>
    <w:rsid w:val="00502F47"/>
    <w:rsid w:val="005033BD"/>
    <w:rsid w:val="00503E6D"/>
    <w:rsid w:val="00504ECD"/>
    <w:rsid w:val="00504FE2"/>
    <w:rsid w:val="005069BF"/>
    <w:rsid w:val="00506BC1"/>
    <w:rsid w:val="00507111"/>
    <w:rsid w:val="00507144"/>
    <w:rsid w:val="005072DE"/>
    <w:rsid w:val="0050795B"/>
    <w:rsid w:val="00510241"/>
    <w:rsid w:val="0051083D"/>
    <w:rsid w:val="00510A8D"/>
    <w:rsid w:val="00510FB0"/>
    <w:rsid w:val="005119DF"/>
    <w:rsid w:val="005142F9"/>
    <w:rsid w:val="0051496D"/>
    <w:rsid w:val="00514A8C"/>
    <w:rsid w:val="00514EB5"/>
    <w:rsid w:val="00516EDA"/>
    <w:rsid w:val="005178E1"/>
    <w:rsid w:val="005216C2"/>
    <w:rsid w:val="00522623"/>
    <w:rsid w:val="00523A45"/>
    <w:rsid w:val="00523AD5"/>
    <w:rsid w:val="00524511"/>
    <w:rsid w:val="00525A7B"/>
    <w:rsid w:val="00525CCE"/>
    <w:rsid w:val="00526B5B"/>
    <w:rsid w:val="00526EB3"/>
    <w:rsid w:val="005302D4"/>
    <w:rsid w:val="0053089D"/>
    <w:rsid w:val="00530925"/>
    <w:rsid w:val="00531530"/>
    <w:rsid w:val="00533611"/>
    <w:rsid w:val="00535895"/>
    <w:rsid w:val="00536901"/>
    <w:rsid w:val="00536C03"/>
    <w:rsid w:val="00536D07"/>
    <w:rsid w:val="0053706E"/>
    <w:rsid w:val="00537C2F"/>
    <w:rsid w:val="00540C98"/>
    <w:rsid w:val="0054137C"/>
    <w:rsid w:val="0054233A"/>
    <w:rsid w:val="005423B2"/>
    <w:rsid w:val="00542757"/>
    <w:rsid w:val="005438BA"/>
    <w:rsid w:val="00543E8A"/>
    <w:rsid w:val="00544F81"/>
    <w:rsid w:val="00545237"/>
    <w:rsid w:val="005467A3"/>
    <w:rsid w:val="005475AD"/>
    <w:rsid w:val="00552A59"/>
    <w:rsid w:val="0055485A"/>
    <w:rsid w:val="005548B0"/>
    <w:rsid w:val="00556121"/>
    <w:rsid w:val="00556728"/>
    <w:rsid w:val="00556E28"/>
    <w:rsid w:val="0056025D"/>
    <w:rsid w:val="005610C3"/>
    <w:rsid w:val="005623A7"/>
    <w:rsid w:val="005629D1"/>
    <w:rsid w:val="005631B8"/>
    <w:rsid w:val="005633B4"/>
    <w:rsid w:val="00563500"/>
    <w:rsid w:val="00564EFE"/>
    <w:rsid w:val="00564F69"/>
    <w:rsid w:val="0056518D"/>
    <w:rsid w:val="00565A64"/>
    <w:rsid w:val="0056787C"/>
    <w:rsid w:val="00572D14"/>
    <w:rsid w:val="005734E8"/>
    <w:rsid w:val="0057544C"/>
    <w:rsid w:val="00576E2A"/>
    <w:rsid w:val="00580156"/>
    <w:rsid w:val="005802E2"/>
    <w:rsid w:val="0058193D"/>
    <w:rsid w:val="00582696"/>
    <w:rsid w:val="005827FA"/>
    <w:rsid w:val="00582B03"/>
    <w:rsid w:val="00584AD0"/>
    <w:rsid w:val="00585131"/>
    <w:rsid w:val="005873F9"/>
    <w:rsid w:val="00587579"/>
    <w:rsid w:val="00590F22"/>
    <w:rsid w:val="005917AA"/>
    <w:rsid w:val="00593697"/>
    <w:rsid w:val="0059386C"/>
    <w:rsid w:val="00593EF5"/>
    <w:rsid w:val="00594BD8"/>
    <w:rsid w:val="00594C51"/>
    <w:rsid w:val="00595BDE"/>
    <w:rsid w:val="00596AFA"/>
    <w:rsid w:val="005A07B7"/>
    <w:rsid w:val="005A0D4E"/>
    <w:rsid w:val="005A176C"/>
    <w:rsid w:val="005A262D"/>
    <w:rsid w:val="005A2CF6"/>
    <w:rsid w:val="005A329C"/>
    <w:rsid w:val="005A3E18"/>
    <w:rsid w:val="005A6723"/>
    <w:rsid w:val="005B0EB3"/>
    <w:rsid w:val="005B0ED6"/>
    <w:rsid w:val="005B13AA"/>
    <w:rsid w:val="005B2C3F"/>
    <w:rsid w:val="005B2CB7"/>
    <w:rsid w:val="005B31DA"/>
    <w:rsid w:val="005B6287"/>
    <w:rsid w:val="005B78B7"/>
    <w:rsid w:val="005C0D72"/>
    <w:rsid w:val="005C124A"/>
    <w:rsid w:val="005C1CFD"/>
    <w:rsid w:val="005C1D04"/>
    <w:rsid w:val="005C2A12"/>
    <w:rsid w:val="005C2A59"/>
    <w:rsid w:val="005C2F32"/>
    <w:rsid w:val="005C427F"/>
    <w:rsid w:val="005C4F8D"/>
    <w:rsid w:val="005C58A8"/>
    <w:rsid w:val="005C6CB9"/>
    <w:rsid w:val="005D0391"/>
    <w:rsid w:val="005D087C"/>
    <w:rsid w:val="005D0A01"/>
    <w:rsid w:val="005D2149"/>
    <w:rsid w:val="005D60FA"/>
    <w:rsid w:val="005D7F69"/>
    <w:rsid w:val="005E0209"/>
    <w:rsid w:val="005E07C0"/>
    <w:rsid w:val="005E1020"/>
    <w:rsid w:val="005E12D8"/>
    <w:rsid w:val="005E1411"/>
    <w:rsid w:val="005E1BFD"/>
    <w:rsid w:val="005E29D1"/>
    <w:rsid w:val="005E2A31"/>
    <w:rsid w:val="005E32FE"/>
    <w:rsid w:val="005E3700"/>
    <w:rsid w:val="005E3F3B"/>
    <w:rsid w:val="005E4273"/>
    <w:rsid w:val="005E45FC"/>
    <w:rsid w:val="005E4A56"/>
    <w:rsid w:val="005E5955"/>
    <w:rsid w:val="005E6D25"/>
    <w:rsid w:val="005E7EBE"/>
    <w:rsid w:val="005E7F4D"/>
    <w:rsid w:val="005F0052"/>
    <w:rsid w:val="005F015D"/>
    <w:rsid w:val="005F042C"/>
    <w:rsid w:val="005F0718"/>
    <w:rsid w:val="005F0B6C"/>
    <w:rsid w:val="005F240F"/>
    <w:rsid w:val="005F367F"/>
    <w:rsid w:val="005F3C9D"/>
    <w:rsid w:val="005F4E55"/>
    <w:rsid w:val="005F5599"/>
    <w:rsid w:val="005F600E"/>
    <w:rsid w:val="005F6E42"/>
    <w:rsid w:val="00600955"/>
    <w:rsid w:val="00600B58"/>
    <w:rsid w:val="006015FE"/>
    <w:rsid w:val="00602144"/>
    <w:rsid w:val="00602370"/>
    <w:rsid w:val="00602871"/>
    <w:rsid w:val="006049C7"/>
    <w:rsid w:val="00605D48"/>
    <w:rsid w:val="00605DA9"/>
    <w:rsid w:val="00606711"/>
    <w:rsid w:val="006127B8"/>
    <w:rsid w:val="00612F4A"/>
    <w:rsid w:val="006144FC"/>
    <w:rsid w:val="0061554F"/>
    <w:rsid w:val="006175A6"/>
    <w:rsid w:val="006175A8"/>
    <w:rsid w:val="006178FD"/>
    <w:rsid w:val="00617B6C"/>
    <w:rsid w:val="006213F3"/>
    <w:rsid w:val="00622162"/>
    <w:rsid w:val="006244B5"/>
    <w:rsid w:val="00625567"/>
    <w:rsid w:val="00626C16"/>
    <w:rsid w:val="006309C3"/>
    <w:rsid w:val="00630FEF"/>
    <w:rsid w:val="0063161E"/>
    <w:rsid w:val="0063268B"/>
    <w:rsid w:val="00632C16"/>
    <w:rsid w:val="00633016"/>
    <w:rsid w:val="006339E8"/>
    <w:rsid w:val="00633C8B"/>
    <w:rsid w:val="00633DB9"/>
    <w:rsid w:val="00633E99"/>
    <w:rsid w:val="00634325"/>
    <w:rsid w:val="00637CE9"/>
    <w:rsid w:val="0064022B"/>
    <w:rsid w:val="006415FA"/>
    <w:rsid w:val="00642A77"/>
    <w:rsid w:val="00642AFF"/>
    <w:rsid w:val="00642CBE"/>
    <w:rsid w:val="0064314A"/>
    <w:rsid w:val="0064321F"/>
    <w:rsid w:val="006438F3"/>
    <w:rsid w:val="006446EB"/>
    <w:rsid w:val="00644BD4"/>
    <w:rsid w:val="00647B81"/>
    <w:rsid w:val="00652453"/>
    <w:rsid w:val="0065262F"/>
    <w:rsid w:val="00653917"/>
    <w:rsid w:val="00653F8B"/>
    <w:rsid w:val="00654999"/>
    <w:rsid w:val="00655907"/>
    <w:rsid w:val="00657FD6"/>
    <w:rsid w:val="00660410"/>
    <w:rsid w:val="0066198F"/>
    <w:rsid w:val="00662108"/>
    <w:rsid w:val="00666248"/>
    <w:rsid w:val="006679EE"/>
    <w:rsid w:val="00667A28"/>
    <w:rsid w:val="00670B1E"/>
    <w:rsid w:val="00671572"/>
    <w:rsid w:val="006723E9"/>
    <w:rsid w:val="006734C4"/>
    <w:rsid w:val="00674401"/>
    <w:rsid w:val="00674774"/>
    <w:rsid w:val="00675657"/>
    <w:rsid w:val="0067713B"/>
    <w:rsid w:val="0067775A"/>
    <w:rsid w:val="00677822"/>
    <w:rsid w:val="00677F26"/>
    <w:rsid w:val="00682902"/>
    <w:rsid w:val="006834C6"/>
    <w:rsid w:val="00685BA5"/>
    <w:rsid w:val="00687ADC"/>
    <w:rsid w:val="00690508"/>
    <w:rsid w:val="00691A89"/>
    <w:rsid w:val="00692BB7"/>
    <w:rsid w:val="0069423A"/>
    <w:rsid w:val="00694D4C"/>
    <w:rsid w:val="00694F3F"/>
    <w:rsid w:val="00694F7E"/>
    <w:rsid w:val="00695CF3"/>
    <w:rsid w:val="006974CC"/>
    <w:rsid w:val="006A1870"/>
    <w:rsid w:val="006A60F3"/>
    <w:rsid w:val="006A70EE"/>
    <w:rsid w:val="006A7BB7"/>
    <w:rsid w:val="006B05E0"/>
    <w:rsid w:val="006B152E"/>
    <w:rsid w:val="006B1620"/>
    <w:rsid w:val="006B1A78"/>
    <w:rsid w:val="006B2322"/>
    <w:rsid w:val="006B2554"/>
    <w:rsid w:val="006B2745"/>
    <w:rsid w:val="006B2CC0"/>
    <w:rsid w:val="006B31C7"/>
    <w:rsid w:val="006B3654"/>
    <w:rsid w:val="006B579A"/>
    <w:rsid w:val="006B797B"/>
    <w:rsid w:val="006B79BC"/>
    <w:rsid w:val="006C06D7"/>
    <w:rsid w:val="006C0E1A"/>
    <w:rsid w:val="006C10FD"/>
    <w:rsid w:val="006C2E4B"/>
    <w:rsid w:val="006C3D92"/>
    <w:rsid w:val="006C5807"/>
    <w:rsid w:val="006C73AB"/>
    <w:rsid w:val="006D0440"/>
    <w:rsid w:val="006D0983"/>
    <w:rsid w:val="006D1818"/>
    <w:rsid w:val="006D236B"/>
    <w:rsid w:val="006D27C2"/>
    <w:rsid w:val="006D3C3B"/>
    <w:rsid w:val="006D3C40"/>
    <w:rsid w:val="006D46FE"/>
    <w:rsid w:val="006D532C"/>
    <w:rsid w:val="006D68CE"/>
    <w:rsid w:val="006D6BBF"/>
    <w:rsid w:val="006D7AF8"/>
    <w:rsid w:val="006E11B0"/>
    <w:rsid w:val="006E1C7F"/>
    <w:rsid w:val="006E3751"/>
    <w:rsid w:val="006E3CF5"/>
    <w:rsid w:val="006E4BD1"/>
    <w:rsid w:val="006E535B"/>
    <w:rsid w:val="006E5B18"/>
    <w:rsid w:val="006E5FA4"/>
    <w:rsid w:val="006E621F"/>
    <w:rsid w:val="006E643F"/>
    <w:rsid w:val="006E6967"/>
    <w:rsid w:val="006E736D"/>
    <w:rsid w:val="006F002F"/>
    <w:rsid w:val="006F02FE"/>
    <w:rsid w:val="006F0997"/>
    <w:rsid w:val="006F1CFA"/>
    <w:rsid w:val="006F2A99"/>
    <w:rsid w:val="006F44C4"/>
    <w:rsid w:val="006F4EF7"/>
    <w:rsid w:val="006F5601"/>
    <w:rsid w:val="006F5C35"/>
    <w:rsid w:val="006F63E8"/>
    <w:rsid w:val="006F6648"/>
    <w:rsid w:val="00701BFE"/>
    <w:rsid w:val="00701C02"/>
    <w:rsid w:val="007028D7"/>
    <w:rsid w:val="00703C2E"/>
    <w:rsid w:val="00704099"/>
    <w:rsid w:val="00704D01"/>
    <w:rsid w:val="007053CE"/>
    <w:rsid w:val="007069DC"/>
    <w:rsid w:val="00707AFA"/>
    <w:rsid w:val="00710273"/>
    <w:rsid w:val="007109DC"/>
    <w:rsid w:val="00711D66"/>
    <w:rsid w:val="007136CD"/>
    <w:rsid w:val="00713FAC"/>
    <w:rsid w:val="007152F3"/>
    <w:rsid w:val="007154EC"/>
    <w:rsid w:val="0071625B"/>
    <w:rsid w:val="00716351"/>
    <w:rsid w:val="00716D0B"/>
    <w:rsid w:val="00716ECE"/>
    <w:rsid w:val="00721186"/>
    <w:rsid w:val="00723164"/>
    <w:rsid w:val="007247B1"/>
    <w:rsid w:val="00724CD0"/>
    <w:rsid w:val="007251AD"/>
    <w:rsid w:val="00725E08"/>
    <w:rsid w:val="0072614C"/>
    <w:rsid w:val="0072762B"/>
    <w:rsid w:val="007277B6"/>
    <w:rsid w:val="00727E22"/>
    <w:rsid w:val="00730ADC"/>
    <w:rsid w:val="007316F3"/>
    <w:rsid w:val="007336A8"/>
    <w:rsid w:val="007337DB"/>
    <w:rsid w:val="007341C6"/>
    <w:rsid w:val="00735C8A"/>
    <w:rsid w:val="007375F6"/>
    <w:rsid w:val="00737C74"/>
    <w:rsid w:val="007409D3"/>
    <w:rsid w:val="007414C3"/>
    <w:rsid w:val="007415B8"/>
    <w:rsid w:val="0074269C"/>
    <w:rsid w:val="007438B8"/>
    <w:rsid w:val="00743937"/>
    <w:rsid w:val="00743973"/>
    <w:rsid w:val="007443E6"/>
    <w:rsid w:val="007449EC"/>
    <w:rsid w:val="0074630A"/>
    <w:rsid w:val="00746D25"/>
    <w:rsid w:val="0075043C"/>
    <w:rsid w:val="007512C2"/>
    <w:rsid w:val="00752105"/>
    <w:rsid w:val="00752CE2"/>
    <w:rsid w:val="00753A59"/>
    <w:rsid w:val="0075560B"/>
    <w:rsid w:val="00755849"/>
    <w:rsid w:val="00756435"/>
    <w:rsid w:val="00756D77"/>
    <w:rsid w:val="00760A8A"/>
    <w:rsid w:val="007615D1"/>
    <w:rsid w:val="007618DF"/>
    <w:rsid w:val="00761DA7"/>
    <w:rsid w:val="00762D29"/>
    <w:rsid w:val="007635B1"/>
    <w:rsid w:val="00764652"/>
    <w:rsid w:val="00764898"/>
    <w:rsid w:val="007653B2"/>
    <w:rsid w:val="00765C6D"/>
    <w:rsid w:val="00766467"/>
    <w:rsid w:val="00767702"/>
    <w:rsid w:val="00767F35"/>
    <w:rsid w:val="00767F84"/>
    <w:rsid w:val="00770A7C"/>
    <w:rsid w:val="0077154B"/>
    <w:rsid w:val="007717BE"/>
    <w:rsid w:val="00771AFF"/>
    <w:rsid w:val="007743B2"/>
    <w:rsid w:val="007749E1"/>
    <w:rsid w:val="00775387"/>
    <w:rsid w:val="00775D91"/>
    <w:rsid w:val="00776C1A"/>
    <w:rsid w:val="00776F9E"/>
    <w:rsid w:val="007774EA"/>
    <w:rsid w:val="00780816"/>
    <w:rsid w:val="00780BE7"/>
    <w:rsid w:val="00780C46"/>
    <w:rsid w:val="0078105D"/>
    <w:rsid w:val="007827C0"/>
    <w:rsid w:val="00782975"/>
    <w:rsid w:val="00786E47"/>
    <w:rsid w:val="0078797D"/>
    <w:rsid w:val="00787E4A"/>
    <w:rsid w:val="0079075A"/>
    <w:rsid w:val="00791184"/>
    <w:rsid w:val="00791F11"/>
    <w:rsid w:val="00794CF2"/>
    <w:rsid w:val="00796C5F"/>
    <w:rsid w:val="00797701"/>
    <w:rsid w:val="007A0869"/>
    <w:rsid w:val="007A2563"/>
    <w:rsid w:val="007A256A"/>
    <w:rsid w:val="007A4131"/>
    <w:rsid w:val="007A481B"/>
    <w:rsid w:val="007A4A47"/>
    <w:rsid w:val="007A4D68"/>
    <w:rsid w:val="007A4E63"/>
    <w:rsid w:val="007A6A17"/>
    <w:rsid w:val="007A6EE9"/>
    <w:rsid w:val="007A75C1"/>
    <w:rsid w:val="007B0115"/>
    <w:rsid w:val="007B0A31"/>
    <w:rsid w:val="007B11B1"/>
    <w:rsid w:val="007B1B4D"/>
    <w:rsid w:val="007B3982"/>
    <w:rsid w:val="007B41BE"/>
    <w:rsid w:val="007B42FD"/>
    <w:rsid w:val="007B4C0B"/>
    <w:rsid w:val="007B4F92"/>
    <w:rsid w:val="007B6242"/>
    <w:rsid w:val="007B69ED"/>
    <w:rsid w:val="007B6DA1"/>
    <w:rsid w:val="007B6FA1"/>
    <w:rsid w:val="007B78F8"/>
    <w:rsid w:val="007C0393"/>
    <w:rsid w:val="007C082D"/>
    <w:rsid w:val="007C12C9"/>
    <w:rsid w:val="007C1F90"/>
    <w:rsid w:val="007C2C5C"/>
    <w:rsid w:val="007C3D98"/>
    <w:rsid w:val="007C5A54"/>
    <w:rsid w:val="007C5D1F"/>
    <w:rsid w:val="007C6454"/>
    <w:rsid w:val="007D0359"/>
    <w:rsid w:val="007D06BA"/>
    <w:rsid w:val="007D3905"/>
    <w:rsid w:val="007D3FE2"/>
    <w:rsid w:val="007D69CA"/>
    <w:rsid w:val="007D7E8F"/>
    <w:rsid w:val="007E04FB"/>
    <w:rsid w:val="007E098D"/>
    <w:rsid w:val="007E09CC"/>
    <w:rsid w:val="007E0BB0"/>
    <w:rsid w:val="007E0C2C"/>
    <w:rsid w:val="007E1D37"/>
    <w:rsid w:val="007E29F1"/>
    <w:rsid w:val="007E50D0"/>
    <w:rsid w:val="007E526A"/>
    <w:rsid w:val="007E5675"/>
    <w:rsid w:val="007E5AD9"/>
    <w:rsid w:val="007E6D18"/>
    <w:rsid w:val="007F001A"/>
    <w:rsid w:val="007F0984"/>
    <w:rsid w:val="007F2B48"/>
    <w:rsid w:val="007F39E4"/>
    <w:rsid w:val="007F4D28"/>
    <w:rsid w:val="007F5731"/>
    <w:rsid w:val="007F6812"/>
    <w:rsid w:val="007F6F48"/>
    <w:rsid w:val="007F7A5E"/>
    <w:rsid w:val="0080037B"/>
    <w:rsid w:val="00801AC9"/>
    <w:rsid w:val="00802390"/>
    <w:rsid w:val="00802C24"/>
    <w:rsid w:val="00803B8F"/>
    <w:rsid w:val="00804152"/>
    <w:rsid w:val="008048A7"/>
    <w:rsid w:val="008057CF"/>
    <w:rsid w:val="00805AC2"/>
    <w:rsid w:val="008060F8"/>
    <w:rsid w:val="00806C87"/>
    <w:rsid w:val="00806FDF"/>
    <w:rsid w:val="008073EA"/>
    <w:rsid w:val="00807BD3"/>
    <w:rsid w:val="008102C1"/>
    <w:rsid w:val="00810B4D"/>
    <w:rsid w:val="00810CBD"/>
    <w:rsid w:val="008114E2"/>
    <w:rsid w:val="00812036"/>
    <w:rsid w:val="00813036"/>
    <w:rsid w:val="00815400"/>
    <w:rsid w:val="008176B6"/>
    <w:rsid w:val="0082098E"/>
    <w:rsid w:val="00821027"/>
    <w:rsid w:val="00821B0D"/>
    <w:rsid w:val="008230A1"/>
    <w:rsid w:val="008230C7"/>
    <w:rsid w:val="00823610"/>
    <w:rsid w:val="008251C0"/>
    <w:rsid w:val="0082544A"/>
    <w:rsid w:val="0082581A"/>
    <w:rsid w:val="00825AEF"/>
    <w:rsid w:val="00825CCD"/>
    <w:rsid w:val="00826032"/>
    <w:rsid w:val="008307DF"/>
    <w:rsid w:val="0083119F"/>
    <w:rsid w:val="008331F7"/>
    <w:rsid w:val="00833F7E"/>
    <w:rsid w:val="00834720"/>
    <w:rsid w:val="0083493C"/>
    <w:rsid w:val="008355D9"/>
    <w:rsid w:val="00837A04"/>
    <w:rsid w:val="008402CC"/>
    <w:rsid w:val="00841DE2"/>
    <w:rsid w:val="00842057"/>
    <w:rsid w:val="0084241B"/>
    <w:rsid w:val="00842528"/>
    <w:rsid w:val="00842C09"/>
    <w:rsid w:val="008432BC"/>
    <w:rsid w:val="0084372C"/>
    <w:rsid w:val="008446FE"/>
    <w:rsid w:val="008474F4"/>
    <w:rsid w:val="00847F6E"/>
    <w:rsid w:val="0085058D"/>
    <w:rsid w:val="00850B17"/>
    <w:rsid w:val="008514BD"/>
    <w:rsid w:val="008521FB"/>
    <w:rsid w:val="00854070"/>
    <w:rsid w:val="008547E6"/>
    <w:rsid w:val="00854A22"/>
    <w:rsid w:val="0085507A"/>
    <w:rsid w:val="00856E7F"/>
    <w:rsid w:val="008603B3"/>
    <w:rsid w:val="00860723"/>
    <w:rsid w:val="00860EA2"/>
    <w:rsid w:val="00861DAB"/>
    <w:rsid w:val="0086215F"/>
    <w:rsid w:val="008625C6"/>
    <w:rsid w:val="00862E6A"/>
    <w:rsid w:val="00863284"/>
    <w:rsid w:val="008636B0"/>
    <w:rsid w:val="00863C2F"/>
    <w:rsid w:val="00863FA0"/>
    <w:rsid w:val="008647EE"/>
    <w:rsid w:val="008652AC"/>
    <w:rsid w:val="008654DA"/>
    <w:rsid w:val="008661D9"/>
    <w:rsid w:val="0086630C"/>
    <w:rsid w:val="00867169"/>
    <w:rsid w:val="0086796A"/>
    <w:rsid w:val="00871C32"/>
    <w:rsid w:val="00872CEE"/>
    <w:rsid w:val="00873F8C"/>
    <w:rsid w:val="00875B2D"/>
    <w:rsid w:val="008817FB"/>
    <w:rsid w:val="00881C91"/>
    <w:rsid w:val="00881EEF"/>
    <w:rsid w:val="00883456"/>
    <w:rsid w:val="00884636"/>
    <w:rsid w:val="008871EB"/>
    <w:rsid w:val="0089033D"/>
    <w:rsid w:val="00890A31"/>
    <w:rsid w:val="00891D2C"/>
    <w:rsid w:val="008921FE"/>
    <w:rsid w:val="0089264C"/>
    <w:rsid w:val="00893AE0"/>
    <w:rsid w:val="0089529C"/>
    <w:rsid w:val="0089580B"/>
    <w:rsid w:val="00895AFD"/>
    <w:rsid w:val="00897495"/>
    <w:rsid w:val="008A0D88"/>
    <w:rsid w:val="008A24CF"/>
    <w:rsid w:val="008A2981"/>
    <w:rsid w:val="008A2B27"/>
    <w:rsid w:val="008A338E"/>
    <w:rsid w:val="008A3A43"/>
    <w:rsid w:val="008A54CB"/>
    <w:rsid w:val="008A5763"/>
    <w:rsid w:val="008A5C25"/>
    <w:rsid w:val="008A5DC5"/>
    <w:rsid w:val="008A690F"/>
    <w:rsid w:val="008A7149"/>
    <w:rsid w:val="008B06AD"/>
    <w:rsid w:val="008B22B6"/>
    <w:rsid w:val="008B2B91"/>
    <w:rsid w:val="008B2BE1"/>
    <w:rsid w:val="008B38C4"/>
    <w:rsid w:val="008B3C42"/>
    <w:rsid w:val="008B3D10"/>
    <w:rsid w:val="008B694B"/>
    <w:rsid w:val="008B7B22"/>
    <w:rsid w:val="008B7B75"/>
    <w:rsid w:val="008B7B90"/>
    <w:rsid w:val="008B7D51"/>
    <w:rsid w:val="008C0DBE"/>
    <w:rsid w:val="008C11C1"/>
    <w:rsid w:val="008C1C84"/>
    <w:rsid w:val="008C2300"/>
    <w:rsid w:val="008C23F2"/>
    <w:rsid w:val="008C2B92"/>
    <w:rsid w:val="008C33BB"/>
    <w:rsid w:val="008C3CA7"/>
    <w:rsid w:val="008C40F6"/>
    <w:rsid w:val="008C4305"/>
    <w:rsid w:val="008C4312"/>
    <w:rsid w:val="008C6BE7"/>
    <w:rsid w:val="008C7A51"/>
    <w:rsid w:val="008D163C"/>
    <w:rsid w:val="008D2188"/>
    <w:rsid w:val="008D22B6"/>
    <w:rsid w:val="008D30C9"/>
    <w:rsid w:val="008D322A"/>
    <w:rsid w:val="008D349C"/>
    <w:rsid w:val="008D43CC"/>
    <w:rsid w:val="008D47F8"/>
    <w:rsid w:val="008D60C5"/>
    <w:rsid w:val="008D60E8"/>
    <w:rsid w:val="008D6394"/>
    <w:rsid w:val="008D648E"/>
    <w:rsid w:val="008D66A8"/>
    <w:rsid w:val="008D76CB"/>
    <w:rsid w:val="008E02CD"/>
    <w:rsid w:val="008E0869"/>
    <w:rsid w:val="008E14B7"/>
    <w:rsid w:val="008E1754"/>
    <w:rsid w:val="008E23E0"/>
    <w:rsid w:val="008E25B9"/>
    <w:rsid w:val="008E3CAE"/>
    <w:rsid w:val="008E3F80"/>
    <w:rsid w:val="008E4868"/>
    <w:rsid w:val="008E4E35"/>
    <w:rsid w:val="008E573A"/>
    <w:rsid w:val="008E5EA6"/>
    <w:rsid w:val="008E626B"/>
    <w:rsid w:val="008E69E9"/>
    <w:rsid w:val="008E69FC"/>
    <w:rsid w:val="008E6CE9"/>
    <w:rsid w:val="008E73F8"/>
    <w:rsid w:val="008E79A9"/>
    <w:rsid w:val="008E7BD1"/>
    <w:rsid w:val="008F11AC"/>
    <w:rsid w:val="008F1B37"/>
    <w:rsid w:val="008F26A5"/>
    <w:rsid w:val="008F3222"/>
    <w:rsid w:val="008F340B"/>
    <w:rsid w:val="008F3EAB"/>
    <w:rsid w:val="008F4299"/>
    <w:rsid w:val="008F44F0"/>
    <w:rsid w:val="00900C7D"/>
    <w:rsid w:val="00900CE0"/>
    <w:rsid w:val="0090152A"/>
    <w:rsid w:val="009028DA"/>
    <w:rsid w:val="009038DB"/>
    <w:rsid w:val="00903CAD"/>
    <w:rsid w:val="00903F4E"/>
    <w:rsid w:val="009057A7"/>
    <w:rsid w:val="00906CF7"/>
    <w:rsid w:val="00907DFC"/>
    <w:rsid w:val="00907F69"/>
    <w:rsid w:val="009106F8"/>
    <w:rsid w:val="00912716"/>
    <w:rsid w:val="00914026"/>
    <w:rsid w:val="00914105"/>
    <w:rsid w:val="00914415"/>
    <w:rsid w:val="0091446C"/>
    <w:rsid w:val="00915A02"/>
    <w:rsid w:val="009166E7"/>
    <w:rsid w:val="009174AB"/>
    <w:rsid w:val="00920305"/>
    <w:rsid w:val="0092069C"/>
    <w:rsid w:val="00920758"/>
    <w:rsid w:val="00920A7B"/>
    <w:rsid w:val="00920DD1"/>
    <w:rsid w:val="00921609"/>
    <w:rsid w:val="0092243C"/>
    <w:rsid w:val="00922E79"/>
    <w:rsid w:val="00923EC8"/>
    <w:rsid w:val="00924018"/>
    <w:rsid w:val="00924A44"/>
    <w:rsid w:val="00924E37"/>
    <w:rsid w:val="00925C82"/>
    <w:rsid w:val="009265CB"/>
    <w:rsid w:val="009302A9"/>
    <w:rsid w:val="009316AE"/>
    <w:rsid w:val="009317F3"/>
    <w:rsid w:val="0093266B"/>
    <w:rsid w:val="00933B43"/>
    <w:rsid w:val="00934980"/>
    <w:rsid w:val="00936D97"/>
    <w:rsid w:val="00936DDA"/>
    <w:rsid w:val="00937323"/>
    <w:rsid w:val="0093786A"/>
    <w:rsid w:val="00941176"/>
    <w:rsid w:val="00941D55"/>
    <w:rsid w:val="00942A4B"/>
    <w:rsid w:val="00943391"/>
    <w:rsid w:val="00944379"/>
    <w:rsid w:val="00944951"/>
    <w:rsid w:val="009469DE"/>
    <w:rsid w:val="00946A27"/>
    <w:rsid w:val="00946B5A"/>
    <w:rsid w:val="009475E2"/>
    <w:rsid w:val="00950CD3"/>
    <w:rsid w:val="00950F7E"/>
    <w:rsid w:val="00951421"/>
    <w:rsid w:val="00952FA3"/>
    <w:rsid w:val="00953051"/>
    <w:rsid w:val="00953B06"/>
    <w:rsid w:val="0095495B"/>
    <w:rsid w:val="00955A50"/>
    <w:rsid w:val="00956729"/>
    <w:rsid w:val="00956C88"/>
    <w:rsid w:val="009601F9"/>
    <w:rsid w:val="009607EC"/>
    <w:rsid w:val="009611B4"/>
    <w:rsid w:val="0096223C"/>
    <w:rsid w:val="00963DFE"/>
    <w:rsid w:val="009644AC"/>
    <w:rsid w:val="009672AD"/>
    <w:rsid w:val="00967569"/>
    <w:rsid w:val="00967C20"/>
    <w:rsid w:val="00967F77"/>
    <w:rsid w:val="009700E4"/>
    <w:rsid w:val="009702F0"/>
    <w:rsid w:val="00970BC7"/>
    <w:rsid w:val="00970D0C"/>
    <w:rsid w:val="00971575"/>
    <w:rsid w:val="00971E09"/>
    <w:rsid w:val="00972E26"/>
    <w:rsid w:val="009745B3"/>
    <w:rsid w:val="009750D5"/>
    <w:rsid w:val="00975A8F"/>
    <w:rsid w:val="00976274"/>
    <w:rsid w:val="00976A29"/>
    <w:rsid w:val="009776B9"/>
    <w:rsid w:val="009806FF"/>
    <w:rsid w:val="0098081E"/>
    <w:rsid w:val="009823E5"/>
    <w:rsid w:val="009824E9"/>
    <w:rsid w:val="0098287B"/>
    <w:rsid w:val="009837F5"/>
    <w:rsid w:val="009840B4"/>
    <w:rsid w:val="00986FF5"/>
    <w:rsid w:val="00987DB9"/>
    <w:rsid w:val="009901E7"/>
    <w:rsid w:val="00991822"/>
    <w:rsid w:val="0099242C"/>
    <w:rsid w:val="00992C40"/>
    <w:rsid w:val="0099457B"/>
    <w:rsid w:val="00996198"/>
    <w:rsid w:val="00996DDC"/>
    <w:rsid w:val="00997E1C"/>
    <w:rsid w:val="009A0819"/>
    <w:rsid w:val="009A0A01"/>
    <w:rsid w:val="009A1A17"/>
    <w:rsid w:val="009A29BF"/>
    <w:rsid w:val="009A2B0E"/>
    <w:rsid w:val="009A2E19"/>
    <w:rsid w:val="009A6266"/>
    <w:rsid w:val="009A691F"/>
    <w:rsid w:val="009A7527"/>
    <w:rsid w:val="009A78F0"/>
    <w:rsid w:val="009B2744"/>
    <w:rsid w:val="009B2BB1"/>
    <w:rsid w:val="009B7F11"/>
    <w:rsid w:val="009C0F4A"/>
    <w:rsid w:val="009C1692"/>
    <w:rsid w:val="009C17CD"/>
    <w:rsid w:val="009C2DDA"/>
    <w:rsid w:val="009C3B24"/>
    <w:rsid w:val="009C49A3"/>
    <w:rsid w:val="009C55F0"/>
    <w:rsid w:val="009C62DB"/>
    <w:rsid w:val="009C6C1F"/>
    <w:rsid w:val="009C7EE9"/>
    <w:rsid w:val="009D1DF0"/>
    <w:rsid w:val="009D24D2"/>
    <w:rsid w:val="009D33CA"/>
    <w:rsid w:val="009D3AEE"/>
    <w:rsid w:val="009D3E1F"/>
    <w:rsid w:val="009D63AD"/>
    <w:rsid w:val="009D77A3"/>
    <w:rsid w:val="009E0723"/>
    <w:rsid w:val="009E22DC"/>
    <w:rsid w:val="009E2BB6"/>
    <w:rsid w:val="009E34B9"/>
    <w:rsid w:val="009E37D8"/>
    <w:rsid w:val="009E451C"/>
    <w:rsid w:val="009E58E9"/>
    <w:rsid w:val="009E66E2"/>
    <w:rsid w:val="009F1F49"/>
    <w:rsid w:val="009F3030"/>
    <w:rsid w:val="009F55CE"/>
    <w:rsid w:val="009F5F5C"/>
    <w:rsid w:val="009F625A"/>
    <w:rsid w:val="00A002E9"/>
    <w:rsid w:val="00A0343E"/>
    <w:rsid w:val="00A03D9E"/>
    <w:rsid w:val="00A05260"/>
    <w:rsid w:val="00A072B1"/>
    <w:rsid w:val="00A0770B"/>
    <w:rsid w:val="00A1099B"/>
    <w:rsid w:val="00A113B3"/>
    <w:rsid w:val="00A118DF"/>
    <w:rsid w:val="00A125B4"/>
    <w:rsid w:val="00A129BA"/>
    <w:rsid w:val="00A15355"/>
    <w:rsid w:val="00A1537B"/>
    <w:rsid w:val="00A1774B"/>
    <w:rsid w:val="00A17CC8"/>
    <w:rsid w:val="00A207A5"/>
    <w:rsid w:val="00A20D56"/>
    <w:rsid w:val="00A21805"/>
    <w:rsid w:val="00A237E8"/>
    <w:rsid w:val="00A237F8"/>
    <w:rsid w:val="00A247D8"/>
    <w:rsid w:val="00A256B1"/>
    <w:rsid w:val="00A2576C"/>
    <w:rsid w:val="00A25B61"/>
    <w:rsid w:val="00A25FF9"/>
    <w:rsid w:val="00A268D7"/>
    <w:rsid w:val="00A304BC"/>
    <w:rsid w:val="00A3086F"/>
    <w:rsid w:val="00A30E4D"/>
    <w:rsid w:val="00A3484F"/>
    <w:rsid w:val="00A34A37"/>
    <w:rsid w:val="00A35441"/>
    <w:rsid w:val="00A36644"/>
    <w:rsid w:val="00A400E9"/>
    <w:rsid w:val="00A42622"/>
    <w:rsid w:val="00A42CE0"/>
    <w:rsid w:val="00A44587"/>
    <w:rsid w:val="00A44871"/>
    <w:rsid w:val="00A45E69"/>
    <w:rsid w:val="00A47FCE"/>
    <w:rsid w:val="00A47FEE"/>
    <w:rsid w:val="00A50298"/>
    <w:rsid w:val="00A50BC4"/>
    <w:rsid w:val="00A51466"/>
    <w:rsid w:val="00A5371F"/>
    <w:rsid w:val="00A53F94"/>
    <w:rsid w:val="00A5587B"/>
    <w:rsid w:val="00A55B37"/>
    <w:rsid w:val="00A56118"/>
    <w:rsid w:val="00A564CC"/>
    <w:rsid w:val="00A5658C"/>
    <w:rsid w:val="00A56B3C"/>
    <w:rsid w:val="00A57A74"/>
    <w:rsid w:val="00A616D9"/>
    <w:rsid w:val="00A61C5B"/>
    <w:rsid w:val="00A61CA4"/>
    <w:rsid w:val="00A63BCF"/>
    <w:rsid w:val="00A64D5F"/>
    <w:rsid w:val="00A71025"/>
    <w:rsid w:val="00A712DC"/>
    <w:rsid w:val="00A7130C"/>
    <w:rsid w:val="00A72529"/>
    <w:rsid w:val="00A72BC4"/>
    <w:rsid w:val="00A734B9"/>
    <w:rsid w:val="00A73B77"/>
    <w:rsid w:val="00A744DC"/>
    <w:rsid w:val="00A74D12"/>
    <w:rsid w:val="00A75216"/>
    <w:rsid w:val="00A75444"/>
    <w:rsid w:val="00A7746E"/>
    <w:rsid w:val="00A778C7"/>
    <w:rsid w:val="00A778CD"/>
    <w:rsid w:val="00A77AC9"/>
    <w:rsid w:val="00A806C8"/>
    <w:rsid w:val="00A80926"/>
    <w:rsid w:val="00A81FB1"/>
    <w:rsid w:val="00A821D2"/>
    <w:rsid w:val="00A826D3"/>
    <w:rsid w:val="00A90E31"/>
    <w:rsid w:val="00A91011"/>
    <w:rsid w:val="00A91D2B"/>
    <w:rsid w:val="00A92387"/>
    <w:rsid w:val="00A92765"/>
    <w:rsid w:val="00A93471"/>
    <w:rsid w:val="00A943E8"/>
    <w:rsid w:val="00A947BD"/>
    <w:rsid w:val="00A94842"/>
    <w:rsid w:val="00A94D40"/>
    <w:rsid w:val="00A94DD0"/>
    <w:rsid w:val="00A95C10"/>
    <w:rsid w:val="00A963D2"/>
    <w:rsid w:val="00A96722"/>
    <w:rsid w:val="00A978AF"/>
    <w:rsid w:val="00AA00BC"/>
    <w:rsid w:val="00AA11EC"/>
    <w:rsid w:val="00AA410B"/>
    <w:rsid w:val="00AA488B"/>
    <w:rsid w:val="00AA623D"/>
    <w:rsid w:val="00AA6319"/>
    <w:rsid w:val="00AA6393"/>
    <w:rsid w:val="00AA7111"/>
    <w:rsid w:val="00AA72F2"/>
    <w:rsid w:val="00AA779C"/>
    <w:rsid w:val="00AA7CAD"/>
    <w:rsid w:val="00AB235A"/>
    <w:rsid w:val="00AB26F4"/>
    <w:rsid w:val="00AB5C45"/>
    <w:rsid w:val="00AB62F9"/>
    <w:rsid w:val="00AB64E5"/>
    <w:rsid w:val="00AB673D"/>
    <w:rsid w:val="00AB7969"/>
    <w:rsid w:val="00AC00EE"/>
    <w:rsid w:val="00AC090A"/>
    <w:rsid w:val="00AC1083"/>
    <w:rsid w:val="00AC375F"/>
    <w:rsid w:val="00AC451A"/>
    <w:rsid w:val="00AD073D"/>
    <w:rsid w:val="00AD07FF"/>
    <w:rsid w:val="00AD27C3"/>
    <w:rsid w:val="00AD4814"/>
    <w:rsid w:val="00AD4DD9"/>
    <w:rsid w:val="00AD4DF8"/>
    <w:rsid w:val="00AD5586"/>
    <w:rsid w:val="00AD57B6"/>
    <w:rsid w:val="00AD5A5B"/>
    <w:rsid w:val="00AD6398"/>
    <w:rsid w:val="00AD76FA"/>
    <w:rsid w:val="00AE2BC8"/>
    <w:rsid w:val="00AE31AF"/>
    <w:rsid w:val="00AE375E"/>
    <w:rsid w:val="00AE5CEA"/>
    <w:rsid w:val="00AE5D18"/>
    <w:rsid w:val="00AE6E49"/>
    <w:rsid w:val="00AE707C"/>
    <w:rsid w:val="00AE766E"/>
    <w:rsid w:val="00AF0CC6"/>
    <w:rsid w:val="00AF1DDF"/>
    <w:rsid w:val="00AF3D58"/>
    <w:rsid w:val="00AF4729"/>
    <w:rsid w:val="00AF4741"/>
    <w:rsid w:val="00AF4917"/>
    <w:rsid w:val="00AF5E17"/>
    <w:rsid w:val="00AF63AC"/>
    <w:rsid w:val="00AF6829"/>
    <w:rsid w:val="00AF7CF5"/>
    <w:rsid w:val="00B009E3"/>
    <w:rsid w:val="00B01454"/>
    <w:rsid w:val="00B02086"/>
    <w:rsid w:val="00B04318"/>
    <w:rsid w:val="00B052C9"/>
    <w:rsid w:val="00B0544D"/>
    <w:rsid w:val="00B07954"/>
    <w:rsid w:val="00B117C6"/>
    <w:rsid w:val="00B123E2"/>
    <w:rsid w:val="00B1244C"/>
    <w:rsid w:val="00B12B99"/>
    <w:rsid w:val="00B149B8"/>
    <w:rsid w:val="00B15983"/>
    <w:rsid w:val="00B21384"/>
    <w:rsid w:val="00B2139E"/>
    <w:rsid w:val="00B2279C"/>
    <w:rsid w:val="00B22BA0"/>
    <w:rsid w:val="00B2335A"/>
    <w:rsid w:val="00B252E4"/>
    <w:rsid w:val="00B271B9"/>
    <w:rsid w:val="00B32C0F"/>
    <w:rsid w:val="00B334FB"/>
    <w:rsid w:val="00B33EC9"/>
    <w:rsid w:val="00B348B7"/>
    <w:rsid w:val="00B35A65"/>
    <w:rsid w:val="00B419B4"/>
    <w:rsid w:val="00B41FA6"/>
    <w:rsid w:val="00B422CA"/>
    <w:rsid w:val="00B42517"/>
    <w:rsid w:val="00B44A72"/>
    <w:rsid w:val="00B44D55"/>
    <w:rsid w:val="00B4569B"/>
    <w:rsid w:val="00B4614D"/>
    <w:rsid w:val="00B466C8"/>
    <w:rsid w:val="00B471BB"/>
    <w:rsid w:val="00B473AB"/>
    <w:rsid w:val="00B474D7"/>
    <w:rsid w:val="00B47602"/>
    <w:rsid w:val="00B47808"/>
    <w:rsid w:val="00B47B9F"/>
    <w:rsid w:val="00B50EAF"/>
    <w:rsid w:val="00B51CBD"/>
    <w:rsid w:val="00B5278D"/>
    <w:rsid w:val="00B53B38"/>
    <w:rsid w:val="00B54C93"/>
    <w:rsid w:val="00B54D35"/>
    <w:rsid w:val="00B5550C"/>
    <w:rsid w:val="00B575E1"/>
    <w:rsid w:val="00B601B2"/>
    <w:rsid w:val="00B610D3"/>
    <w:rsid w:val="00B61214"/>
    <w:rsid w:val="00B61B50"/>
    <w:rsid w:val="00B61C89"/>
    <w:rsid w:val="00B622BE"/>
    <w:rsid w:val="00B62A0F"/>
    <w:rsid w:val="00B63E55"/>
    <w:rsid w:val="00B65BEA"/>
    <w:rsid w:val="00B66702"/>
    <w:rsid w:val="00B6674A"/>
    <w:rsid w:val="00B71D56"/>
    <w:rsid w:val="00B7249D"/>
    <w:rsid w:val="00B73737"/>
    <w:rsid w:val="00B75713"/>
    <w:rsid w:val="00B757C5"/>
    <w:rsid w:val="00B75C85"/>
    <w:rsid w:val="00B77BA8"/>
    <w:rsid w:val="00B8104B"/>
    <w:rsid w:val="00B8138B"/>
    <w:rsid w:val="00B820BE"/>
    <w:rsid w:val="00B83670"/>
    <w:rsid w:val="00B86139"/>
    <w:rsid w:val="00B86296"/>
    <w:rsid w:val="00B8661E"/>
    <w:rsid w:val="00B8743F"/>
    <w:rsid w:val="00B87894"/>
    <w:rsid w:val="00B91B4F"/>
    <w:rsid w:val="00B951FB"/>
    <w:rsid w:val="00B953D1"/>
    <w:rsid w:val="00B95F40"/>
    <w:rsid w:val="00B969F3"/>
    <w:rsid w:val="00B97C6A"/>
    <w:rsid w:val="00BA030D"/>
    <w:rsid w:val="00BA0DFD"/>
    <w:rsid w:val="00BA3870"/>
    <w:rsid w:val="00BA3C9C"/>
    <w:rsid w:val="00BA4996"/>
    <w:rsid w:val="00BA4CA0"/>
    <w:rsid w:val="00BA5E13"/>
    <w:rsid w:val="00BB017D"/>
    <w:rsid w:val="00BB01F4"/>
    <w:rsid w:val="00BB1F81"/>
    <w:rsid w:val="00BB3759"/>
    <w:rsid w:val="00BB42F1"/>
    <w:rsid w:val="00BB64AD"/>
    <w:rsid w:val="00BB6A9A"/>
    <w:rsid w:val="00BB6D6E"/>
    <w:rsid w:val="00BB70C9"/>
    <w:rsid w:val="00BB7135"/>
    <w:rsid w:val="00BC0E05"/>
    <w:rsid w:val="00BC4BDC"/>
    <w:rsid w:val="00BC4D63"/>
    <w:rsid w:val="00BC659E"/>
    <w:rsid w:val="00BC65AD"/>
    <w:rsid w:val="00BC7903"/>
    <w:rsid w:val="00BD0222"/>
    <w:rsid w:val="00BD1755"/>
    <w:rsid w:val="00BD2DA9"/>
    <w:rsid w:val="00BD5846"/>
    <w:rsid w:val="00BD5CE2"/>
    <w:rsid w:val="00BD6FE6"/>
    <w:rsid w:val="00BD71D5"/>
    <w:rsid w:val="00BE0098"/>
    <w:rsid w:val="00BE1125"/>
    <w:rsid w:val="00BE147D"/>
    <w:rsid w:val="00BE19DC"/>
    <w:rsid w:val="00BE1C75"/>
    <w:rsid w:val="00BE337B"/>
    <w:rsid w:val="00BE3CD7"/>
    <w:rsid w:val="00BE5FDB"/>
    <w:rsid w:val="00BE74FA"/>
    <w:rsid w:val="00BF0128"/>
    <w:rsid w:val="00BF1BB8"/>
    <w:rsid w:val="00BF3024"/>
    <w:rsid w:val="00BF3639"/>
    <w:rsid w:val="00BF3973"/>
    <w:rsid w:val="00BF64F4"/>
    <w:rsid w:val="00C00234"/>
    <w:rsid w:val="00C0087C"/>
    <w:rsid w:val="00C024B6"/>
    <w:rsid w:val="00C0264E"/>
    <w:rsid w:val="00C027FB"/>
    <w:rsid w:val="00C02BB2"/>
    <w:rsid w:val="00C032BC"/>
    <w:rsid w:val="00C0391C"/>
    <w:rsid w:val="00C03993"/>
    <w:rsid w:val="00C07612"/>
    <w:rsid w:val="00C07EEC"/>
    <w:rsid w:val="00C10A11"/>
    <w:rsid w:val="00C10D6B"/>
    <w:rsid w:val="00C10FCD"/>
    <w:rsid w:val="00C11CE9"/>
    <w:rsid w:val="00C11FFA"/>
    <w:rsid w:val="00C1349F"/>
    <w:rsid w:val="00C14B5D"/>
    <w:rsid w:val="00C15937"/>
    <w:rsid w:val="00C17378"/>
    <w:rsid w:val="00C17CEE"/>
    <w:rsid w:val="00C201A3"/>
    <w:rsid w:val="00C21777"/>
    <w:rsid w:val="00C21980"/>
    <w:rsid w:val="00C24502"/>
    <w:rsid w:val="00C2561E"/>
    <w:rsid w:val="00C25D11"/>
    <w:rsid w:val="00C26602"/>
    <w:rsid w:val="00C2704C"/>
    <w:rsid w:val="00C27D02"/>
    <w:rsid w:val="00C309E6"/>
    <w:rsid w:val="00C3112D"/>
    <w:rsid w:val="00C32783"/>
    <w:rsid w:val="00C35198"/>
    <w:rsid w:val="00C357FA"/>
    <w:rsid w:val="00C35980"/>
    <w:rsid w:val="00C361B6"/>
    <w:rsid w:val="00C37083"/>
    <w:rsid w:val="00C40312"/>
    <w:rsid w:val="00C40448"/>
    <w:rsid w:val="00C407D9"/>
    <w:rsid w:val="00C40B8B"/>
    <w:rsid w:val="00C40C23"/>
    <w:rsid w:val="00C40FE1"/>
    <w:rsid w:val="00C41156"/>
    <w:rsid w:val="00C412FC"/>
    <w:rsid w:val="00C41B50"/>
    <w:rsid w:val="00C426CB"/>
    <w:rsid w:val="00C426F0"/>
    <w:rsid w:val="00C4491E"/>
    <w:rsid w:val="00C45258"/>
    <w:rsid w:val="00C45FCE"/>
    <w:rsid w:val="00C47576"/>
    <w:rsid w:val="00C505A1"/>
    <w:rsid w:val="00C563D6"/>
    <w:rsid w:val="00C56F64"/>
    <w:rsid w:val="00C57A2F"/>
    <w:rsid w:val="00C62A35"/>
    <w:rsid w:val="00C62BA0"/>
    <w:rsid w:val="00C62BBF"/>
    <w:rsid w:val="00C635AE"/>
    <w:rsid w:val="00C64656"/>
    <w:rsid w:val="00C6593E"/>
    <w:rsid w:val="00C65FFC"/>
    <w:rsid w:val="00C664A1"/>
    <w:rsid w:val="00C7054F"/>
    <w:rsid w:val="00C70C98"/>
    <w:rsid w:val="00C711E1"/>
    <w:rsid w:val="00C724BA"/>
    <w:rsid w:val="00C74421"/>
    <w:rsid w:val="00C746B3"/>
    <w:rsid w:val="00C75203"/>
    <w:rsid w:val="00C7530F"/>
    <w:rsid w:val="00C754B4"/>
    <w:rsid w:val="00C75C88"/>
    <w:rsid w:val="00C7639A"/>
    <w:rsid w:val="00C763BA"/>
    <w:rsid w:val="00C8165D"/>
    <w:rsid w:val="00C8361F"/>
    <w:rsid w:val="00C842D5"/>
    <w:rsid w:val="00C84596"/>
    <w:rsid w:val="00C84B02"/>
    <w:rsid w:val="00C8580C"/>
    <w:rsid w:val="00C85D8B"/>
    <w:rsid w:val="00C862F2"/>
    <w:rsid w:val="00C869CB"/>
    <w:rsid w:val="00C87991"/>
    <w:rsid w:val="00C902B5"/>
    <w:rsid w:val="00C908E2"/>
    <w:rsid w:val="00C91555"/>
    <w:rsid w:val="00C91C8C"/>
    <w:rsid w:val="00C91EA5"/>
    <w:rsid w:val="00C93614"/>
    <w:rsid w:val="00C95999"/>
    <w:rsid w:val="00C96090"/>
    <w:rsid w:val="00C964CE"/>
    <w:rsid w:val="00C96E45"/>
    <w:rsid w:val="00C974C1"/>
    <w:rsid w:val="00CA1B5E"/>
    <w:rsid w:val="00CA21D0"/>
    <w:rsid w:val="00CA2B57"/>
    <w:rsid w:val="00CA332B"/>
    <w:rsid w:val="00CA3E6E"/>
    <w:rsid w:val="00CA5E41"/>
    <w:rsid w:val="00CA65B8"/>
    <w:rsid w:val="00CA6B8B"/>
    <w:rsid w:val="00CA71DE"/>
    <w:rsid w:val="00CA75E4"/>
    <w:rsid w:val="00CA7C1D"/>
    <w:rsid w:val="00CB06AC"/>
    <w:rsid w:val="00CB1DD6"/>
    <w:rsid w:val="00CB210D"/>
    <w:rsid w:val="00CB23B5"/>
    <w:rsid w:val="00CB29A7"/>
    <w:rsid w:val="00CB2F16"/>
    <w:rsid w:val="00CB4280"/>
    <w:rsid w:val="00CB4CC8"/>
    <w:rsid w:val="00CB56E4"/>
    <w:rsid w:val="00CB6C19"/>
    <w:rsid w:val="00CC0C60"/>
    <w:rsid w:val="00CC1701"/>
    <w:rsid w:val="00CC33CF"/>
    <w:rsid w:val="00CC42CF"/>
    <w:rsid w:val="00CC482C"/>
    <w:rsid w:val="00CC4D25"/>
    <w:rsid w:val="00CC4D95"/>
    <w:rsid w:val="00CC60C0"/>
    <w:rsid w:val="00CC64F5"/>
    <w:rsid w:val="00CC6A1D"/>
    <w:rsid w:val="00CC7581"/>
    <w:rsid w:val="00CD03D6"/>
    <w:rsid w:val="00CD0797"/>
    <w:rsid w:val="00CD1BA8"/>
    <w:rsid w:val="00CD3156"/>
    <w:rsid w:val="00CD3F6E"/>
    <w:rsid w:val="00CD437A"/>
    <w:rsid w:val="00CD4A98"/>
    <w:rsid w:val="00CD5C5A"/>
    <w:rsid w:val="00CD61F3"/>
    <w:rsid w:val="00CE08EB"/>
    <w:rsid w:val="00CE0BEA"/>
    <w:rsid w:val="00CE2141"/>
    <w:rsid w:val="00CE2CD6"/>
    <w:rsid w:val="00CE4A65"/>
    <w:rsid w:val="00CE4AA0"/>
    <w:rsid w:val="00CE57D4"/>
    <w:rsid w:val="00CE597E"/>
    <w:rsid w:val="00CE5D9C"/>
    <w:rsid w:val="00CE5E56"/>
    <w:rsid w:val="00CE664B"/>
    <w:rsid w:val="00CE6BBF"/>
    <w:rsid w:val="00CE75AA"/>
    <w:rsid w:val="00CF23D6"/>
    <w:rsid w:val="00CF2D27"/>
    <w:rsid w:val="00CF2E54"/>
    <w:rsid w:val="00CF3806"/>
    <w:rsid w:val="00CF4625"/>
    <w:rsid w:val="00CF5691"/>
    <w:rsid w:val="00CF5CE2"/>
    <w:rsid w:val="00CF7593"/>
    <w:rsid w:val="00D0033A"/>
    <w:rsid w:val="00D00DB1"/>
    <w:rsid w:val="00D0195B"/>
    <w:rsid w:val="00D027DF"/>
    <w:rsid w:val="00D04F7A"/>
    <w:rsid w:val="00D0500F"/>
    <w:rsid w:val="00D05968"/>
    <w:rsid w:val="00D074C6"/>
    <w:rsid w:val="00D07BAC"/>
    <w:rsid w:val="00D1153E"/>
    <w:rsid w:val="00D116F4"/>
    <w:rsid w:val="00D11A40"/>
    <w:rsid w:val="00D11B99"/>
    <w:rsid w:val="00D1258C"/>
    <w:rsid w:val="00D159FF"/>
    <w:rsid w:val="00D2154C"/>
    <w:rsid w:val="00D21CD1"/>
    <w:rsid w:val="00D2214E"/>
    <w:rsid w:val="00D2294E"/>
    <w:rsid w:val="00D22CF9"/>
    <w:rsid w:val="00D24B6A"/>
    <w:rsid w:val="00D25060"/>
    <w:rsid w:val="00D27203"/>
    <w:rsid w:val="00D27449"/>
    <w:rsid w:val="00D27501"/>
    <w:rsid w:val="00D30DC1"/>
    <w:rsid w:val="00D31802"/>
    <w:rsid w:val="00D31D5A"/>
    <w:rsid w:val="00D326C5"/>
    <w:rsid w:val="00D32B2D"/>
    <w:rsid w:val="00D33F06"/>
    <w:rsid w:val="00D34C56"/>
    <w:rsid w:val="00D34DB4"/>
    <w:rsid w:val="00D35402"/>
    <w:rsid w:val="00D363FA"/>
    <w:rsid w:val="00D36543"/>
    <w:rsid w:val="00D3690D"/>
    <w:rsid w:val="00D36C4F"/>
    <w:rsid w:val="00D40BC7"/>
    <w:rsid w:val="00D40FFF"/>
    <w:rsid w:val="00D41201"/>
    <w:rsid w:val="00D41BAF"/>
    <w:rsid w:val="00D422F2"/>
    <w:rsid w:val="00D4256E"/>
    <w:rsid w:val="00D43D1A"/>
    <w:rsid w:val="00D43F2C"/>
    <w:rsid w:val="00D44BF5"/>
    <w:rsid w:val="00D44D31"/>
    <w:rsid w:val="00D45640"/>
    <w:rsid w:val="00D4665A"/>
    <w:rsid w:val="00D47068"/>
    <w:rsid w:val="00D475F8"/>
    <w:rsid w:val="00D50826"/>
    <w:rsid w:val="00D5180A"/>
    <w:rsid w:val="00D51E42"/>
    <w:rsid w:val="00D51F28"/>
    <w:rsid w:val="00D53E5C"/>
    <w:rsid w:val="00D5627D"/>
    <w:rsid w:val="00D57CD1"/>
    <w:rsid w:val="00D6069E"/>
    <w:rsid w:val="00D6090C"/>
    <w:rsid w:val="00D60BAD"/>
    <w:rsid w:val="00D612C7"/>
    <w:rsid w:val="00D6148E"/>
    <w:rsid w:val="00D62806"/>
    <w:rsid w:val="00D6284C"/>
    <w:rsid w:val="00D63C3A"/>
    <w:rsid w:val="00D641DF"/>
    <w:rsid w:val="00D642B8"/>
    <w:rsid w:val="00D65182"/>
    <w:rsid w:val="00D65609"/>
    <w:rsid w:val="00D65E93"/>
    <w:rsid w:val="00D66373"/>
    <w:rsid w:val="00D727C3"/>
    <w:rsid w:val="00D7527B"/>
    <w:rsid w:val="00D75733"/>
    <w:rsid w:val="00D75FD4"/>
    <w:rsid w:val="00D76892"/>
    <w:rsid w:val="00D76D8C"/>
    <w:rsid w:val="00D806CB"/>
    <w:rsid w:val="00D80BF4"/>
    <w:rsid w:val="00D80D50"/>
    <w:rsid w:val="00D81C1A"/>
    <w:rsid w:val="00D827DC"/>
    <w:rsid w:val="00D84C9A"/>
    <w:rsid w:val="00D85223"/>
    <w:rsid w:val="00D86676"/>
    <w:rsid w:val="00D86791"/>
    <w:rsid w:val="00D8723F"/>
    <w:rsid w:val="00D90C41"/>
    <w:rsid w:val="00D91435"/>
    <w:rsid w:val="00D91955"/>
    <w:rsid w:val="00D91B69"/>
    <w:rsid w:val="00D91D37"/>
    <w:rsid w:val="00D94709"/>
    <w:rsid w:val="00D9480E"/>
    <w:rsid w:val="00DA05CD"/>
    <w:rsid w:val="00DA0C88"/>
    <w:rsid w:val="00DA23A4"/>
    <w:rsid w:val="00DA267B"/>
    <w:rsid w:val="00DA470A"/>
    <w:rsid w:val="00DA4778"/>
    <w:rsid w:val="00DA561E"/>
    <w:rsid w:val="00DA6470"/>
    <w:rsid w:val="00DA781B"/>
    <w:rsid w:val="00DA792F"/>
    <w:rsid w:val="00DB0442"/>
    <w:rsid w:val="00DB1F38"/>
    <w:rsid w:val="00DB23EE"/>
    <w:rsid w:val="00DB3221"/>
    <w:rsid w:val="00DB3C16"/>
    <w:rsid w:val="00DB4017"/>
    <w:rsid w:val="00DB4E8D"/>
    <w:rsid w:val="00DC11E0"/>
    <w:rsid w:val="00DC16B0"/>
    <w:rsid w:val="00DC2AEA"/>
    <w:rsid w:val="00DC3DCA"/>
    <w:rsid w:val="00DC43D9"/>
    <w:rsid w:val="00DC49FF"/>
    <w:rsid w:val="00DC5128"/>
    <w:rsid w:val="00DC5A94"/>
    <w:rsid w:val="00DC6027"/>
    <w:rsid w:val="00DC65C9"/>
    <w:rsid w:val="00DC67C5"/>
    <w:rsid w:val="00DD03F4"/>
    <w:rsid w:val="00DD065A"/>
    <w:rsid w:val="00DD1614"/>
    <w:rsid w:val="00DD32FC"/>
    <w:rsid w:val="00DD56AD"/>
    <w:rsid w:val="00DD57C8"/>
    <w:rsid w:val="00DD5C05"/>
    <w:rsid w:val="00DD6443"/>
    <w:rsid w:val="00DD6CD4"/>
    <w:rsid w:val="00DD7F64"/>
    <w:rsid w:val="00DE08CB"/>
    <w:rsid w:val="00DE22A2"/>
    <w:rsid w:val="00DE32C3"/>
    <w:rsid w:val="00DE37AC"/>
    <w:rsid w:val="00DE5498"/>
    <w:rsid w:val="00DE564E"/>
    <w:rsid w:val="00DE637C"/>
    <w:rsid w:val="00DE6FA6"/>
    <w:rsid w:val="00DE7B12"/>
    <w:rsid w:val="00DE7BBA"/>
    <w:rsid w:val="00DF073C"/>
    <w:rsid w:val="00DF0CCB"/>
    <w:rsid w:val="00DF3FF5"/>
    <w:rsid w:val="00DF46B3"/>
    <w:rsid w:val="00DF47B5"/>
    <w:rsid w:val="00DF5A88"/>
    <w:rsid w:val="00DF5AC7"/>
    <w:rsid w:val="00DF6139"/>
    <w:rsid w:val="00DF7E58"/>
    <w:rsid w:val="00E014BF"/>
    <w:rsid w:val="00E0403B"/>
    <w:rsid w:val="00E0430B"/>
    <w:rsid w:val="00E06FDC"/>
    <w:rsid w:val="00E07C13"/>
    <w:rsid w:val="00E105BB"/>
    <w:rsid w:val="00E108D1"/>
    <w:rsid w:val="00E11433"/>
    <w:rsid w:val="00E12819"/>
    <w:rsid w:val="00E12D86"/>
    <w:rsid w:val="00E14D9C"/>
    <w:rsid w:val="00E150A9"/>
    <w:rsid w:val="00E154E2"/>
    <w:rsid w:val="00E15883"/>
    <w:rsid w:val="00E15F2A"/>
    <w:rsid w:val="00E16718"/>
    <w:rsid w:val="00E17D78"/>
    <w:rsid w:val="00E2031A"/>
    <w:rsid w:val="00E217DD"/>
    <w:rsid w:val="00E22C83"/>
    <w:rsid w:val="00E2320B"/>
    <w:rsid w:val="00E24A1D"/>
    <w:rsid w:val="00E253B7"/>
    <w:rsid w:val="00E25D19"/>
    <w:rsid w:val="00E26407"/>
    <w:rsid w:val="00E26EBC"/>
    <w:rsid w:val="00E2791A"/>
    <w:rsid w:val="00E3013B"/>
    <w:rsid w:val="00E301C1"/>
    <w:rsid w:val="00E30FEA"/>
    <w:rsid w:val="00E32F2C"/>
    <w:rsid w:val="00E3338B"/>
    <w:rsid w:val="00E3600A"/>
    <w:rsid w:val="00E405AB"/>
    <w:rsid w:val="00E40747"/>
    <w:rsid w:val="00E41694"/>
    <w:rsid w:val="00E42007"/>
    <w:rsid w:val="00E42D80"/>
    <w:rsid w:val="00E43C5C"/>
    <w:rsid w:val="00E4659B"/>
    <w:rsid w:val="00E47103"/>
    <w:rsid w:val="00E47506"/>
    <w:rsid w:val="00E475AB"/>
    <w:rsid w:val="00E50890"/>
    <w:rsid w:val="00E50DE1"/>
    <w:rsid w:val="00E51AB0"/>
    <w:rsid w:val="00E52037"/>
    <w:rsid w:val="00E52530"/>
    <w:rsid w:val="00E5254D"/>
    <w:rsid w:val="00E54F5C"/>
    <w:rsid w:val="00E55728"/>
    <w:rsid w:val="00E561EB"/>
    <w:rsid w:val="00E569B0"/>
    <w:rsid w:val="00E56EAD"/>
    <w:rsid w:val="00E56F16"/>
    <w:rsid w:val="00E57C36"/>
    <w:rsid w:val="00E60059"/>
    <w:rsid w:val="00E60C54"/>
    <w:rsid w:val="00E61832"/>
    <w:rsid w:val="00E61860"/>
    <w:rsid w:val="00E61B9F"/>
    <w:rsid w:val="00E63319"/>
    <w:rsid w:val="00E63847"/>
    <w:rsid w:val="00E649E5"/>
    <w:rsid w:val="00E64EE5"/>
    <w:rsid w:val="00E65F89"/>
    <w:rsid w:val="00E66B92"/>
    <w:rsid w:val="00E72072"/>
    <w:rsid w:val="00E7212F"/>
    <w:rsid w:val="00E727E2"/>
    <w:rsid w:val="00E729FB"/>
    <w:rsid w:val="00E7304B"/>
    <w:rsid w:val="00E739CE"/>
    <w:rsid w:val="00E743D8"/>
    <w:rsid w:val="00E748F7"/>
    <w:rsid w:val="00E74950"/>
    <w:rsid w:val="00E751E1"/>
    <w:rsid w:val="00E7528C"/>
    <w:rsid w:val="00E75AA2"/>
    <w:rsid w:val="00E75CF6"/>
    <w:rsid w:val="00E77ED4"/>
    <w:rsid w:val="00E80439"/>
    <w:rsid w:val="00E81C75"/>
    <w:rsid w:val="00E827B1"/>
    <w:rsid w:val="00E82AAE"/>
    <w:rsid w:val="00E82B66"/>
    <w:rsid w:val="00E82FF7"/>
    <w:rsid w:val="00E844BB"/>
    <w:rsid w:val="00E84939"/>
    <w:rsid w:val="00E852ED"/>
    <w:rsid w:val="00E879D8"/>
    <w:rsid w:val="00E87E1E"/>
    <w:rsid w:val="00E900D2"/>
    <w:rsid w:val="00E905F3"/>
    <w:rsid w:val="00E906B9"/>
    <w:rsid w:val="00E918EE"/>
    <w:rsid w:val="00E91D30"/>
    <w:rsid w:val="00E92278"/>
    <w:rsid w:val="00E9265B"/>
    <w:rsid w:val="00E92D81"/>
    <w:rsid w:val="00E92F46"/>
    <w:rsid w:val="00E92F5B"/>
    <w:rsid w:val="00E92F7E"/>
    <w:rsid w:val="00E947BA"/>
    <w:rsid w:val="00E94E5E"/>
    <w:rsid w:val="00E9587D"/>
    <w:rsid w:val="00E96CC2"/>
    <w:rsid w:val="00E96E65"/>
    <w:rsid w:val="00E96F31"/>
    <w:rsid w:val="00E971E8"/>
    <w:rsid w:val="00E974D7"/>
    <w:rsid w:val="00EA0A48"/>
    <w:rsid w:val="00EA0CBE"/>
    <w:rsid w:val="00EA0E69"/>
    <w:rsid w:val="00EA1324"/>
    <w:rsid w:val="00EA1EF7"/>
    <w:rsid w:val="00EA2B84"/>
    <w:rsid w:val="00EA5B79"/>
    <w:rsid w:val="00EA6A94"/>
    <w:rsid w:val="00EB0DD7"/>
    <w:rsid w:val="00EB1527"/>
    <w:rsid w:val="00EB323C"/>
    <w:rsid w:val="00EB33F2"/>
    <w:rsid w:val="00EB38E5"/>
    <w:rsid w:val="00EB4DDC"/>
    <w:rsid w:val="00EB57C5"/>
    <w:rsid w:val="00EB5E9B"/>
    <w:rsid w:val="00EB7CBA"/>
    <w:rsid w:val="00EC0170"/>
    <w:rsid w:val="00EC412D"/>
    <w:rsid w:val="00EC4597"/>
    <w:rsid w:val="00EC476C"/>
    <w:rsid w:val="00EC49AB"/>
    <w:rsid w:val="00EC6365"/>
    <w:rsid w:val="00EC64BA"/>
    <w:rsid w:val="00EC7850"/>
    <w:rsid w:val="00EC78CC"/>
    <w:rsid w:val="00EC7AE7"/>
    <w:rsid w:val="00ED258A"/>
    <w:rsid w:val="00ED26D5"/>
    <w:rsid w:val="00ED2AD9"/>
    <w:rsid w:val="00ED3167"/>
    <w:rsid w:val="00ED3647"/>
    <w:rsid w:val="00ED59CB"/>
    <w:rsid w:val="00ED6C02"/>
    <w:rsid w:val="00EE04DB"/>
    <w:rsid w:val="00EE059C"/>
    <w:rsid w:val="00EE13AF"/>
    <w:rsid w:val="00EE256C"/>
    <w:rsid w:val="00EE2B33"/>
    <w:rsid w:val="00EE41FC"/>
    <w:rsid w:val="00EE4615"/>
    <w:rsid w:val="00EE58E2"/>
    <w:rsid w:val="00EE5EC4"/>
    <w:rsid w:val="00EE7047"/>
    <w:rsid w:val="00EE70B4"/>
    <w:rsid w:val="00EE7437"/>
    <w:rsid w:val="00EF0FEC"/>
    <w:rsid w:val="00EF1386"/>
    <w:rsid w:val="00EF2004"/>
    <w:rsid w:val="00EF209A"/>
    <w:rsid w:val="00EF258C"/>
    <w:rsid w:val="00EF25F6"/>
    <w:rsid w:val="00EF26F9"/>
    <w:rsid w:val="00EF3191"/>
    <w:rsid w:val="00EF328E"/>
    <w:rsid w:val="00EF3DE4"/>
    <w:rsid w:val="00EF3E6E"/>
    <w:rsid w:val="00EF4664"/>
    <w:rsid w:val="00EF4BCC"/>
    <w:rsid w:val="00EF4E24"/>
    <w:rsid w:val="00EF57B0"/>
    <w:rsid w:val="00EF5DBF"/>
    <w:rsid w:val="00EF684A"/>
    <w:rsid w:val="00EF68CE"/>
    <w:rsid w:val="00EF73AC"/>
    <w:rsid w:val="00EF7D4F"/>
    <w:rsid w:val="00EF7D97"/>
    <w:rsid w:val="00F01B2C"/>
    <w:rsid w:val="00F01D6B"/>
    <w:rsid w:val="00F03893"/>
    <w:rsid w:val="00F03FAC"/>
    <w:rsid w:val="00F041C9"/>
    <w:rsid w:val="00F0463C"/>
    <w:rsid w:val="00F06682"/>
    <w:rsid w:val="00F06DAA"/>
    <w:rsid w:val="00F06F62"/>
    <w:rsid w:val="00F1088C"/>
    <w:rsid w:val="00F11E10"/>
    <w:rsid w:val="00F1282A"/>
    <w:rsid w:val="00F13921"/>
    <w:rsid w:val="00F148BE"/>
    <w:rsid w:val="00F14AFC"/>
    <w:rsid w:val="00F1578C"/>
    <w:rsid w:val="00F16D8E"/>
    <w:rsid w:val="00F16F33"/>
    <w:rsid w:val="00F2040F"/>
    <w:rsid w:val="00F20876"/>
    <w:rsid w:val="00F20DDC"/>
    <w:rsid w:val="00F211A8"/>
    <w:rsid w:val="00F2387D"/>
    <w:rsid w:val="00F23A13"/>
    <w:rsid w:val="00F255BE"/>
    <w:rsid w:val="00F26199"/>
    <w:rsid w:val="00F26ED1"/>
    <w:rsid w:val="00F30796"/>
    <w:rsid w:val="00F31183"/>
    <w:rsid w:val="00F319AF"/>
    <w:rsid w:val="00F31C82"/>
    <w:rsid w:val="00F333EB"/>
    <w:rsid w:val="00F358A9"/>
    <w:rsid w:val="00F35A8B"/>
    <w:rsid w:val="00F36159"/>
    <w:rsid w:val="00F36898"/>
    <w:rsid w:val="00F417EB"/>
    <w:rsid w:val="00F41EB5"/>
    <w:rsid w:val="00F42C5B"/>
    <w:rsid w:val="00F43484"/>
    <w:rsid w:val="00F449D3"/>
    <w:rsid w:val="00F45D12"/>
    <w:rsid w:val="00F460A3"/>
    <w:rsid w:val="00F50938"/>
    <w:rsid w:val="00F509A3"/>
    <w:rsid w:val="00F510BB"/>
    <w:rsid w:val="00F51AF9"/>
    <w:rsid w:val="00F522ED"/>
    <w:rsid w:val="00F53B57"/>
    <w:rsid w:val="00F54B17"/>
    <w:rsid w:val="00F5620B"/>
    <w:rsid w:val="00F569FE"/>
    <w:rsid w:val="00F57E70"/>
    <w:rsid w:val="00F60981"/>
    <w:rsid w:val="00F60AD1"/>
    <w:rsid w:val="00F60BF7"/>
    <w:rsid w:val="00F62A8C"/>
    <w:rsid w:val="00F63556"/>
    <w:rsid w:val="00F64A8C"/>
    <w:rsid w:val="00F64F12"/>
    <w:rsid w:val="00F66374"/>
    <w:rsid w:val="00F664B7"/>
    <w:rsid w:val="00F66E2F"/>
    <w:rsid w:val="00F679A2"/>
    <w:rsid w:val="00F67B43"/>
    <w:rsid w:val="00F70149"/>
    <w:rsid w:val="00F72355"/>
    <w:rsid w:val="00F723D8"/>
    <w:rsid w:val="00F72B8C"/>
    <w:rsid w:val="00F740C6"/>
    <w:rsid w:val="00F76139"/>
    <w:rsid w:val="00F772B7"/>
    <w:rsid w:val="00F77923"/>
    <w:rsid w:val="00F80148"/>
    <w:rsid w:val="00F8162D"/>
    <w:rsid w:val="00F81D52"/>
    <w:rsid w:val="00F81E31"/>
    <w:rsid w:val="00F8299D"/>
    <w:rsid w:val="00F8307C"/>
    <w:rsid w:val="00F83318"/>
    <w:rsid w:val="00F83941"/>
    <w:rsid w:val="00F83A25"/>
    <w:rsid w:val="00F8502D"/>
    <w:rsid w:val="00F85E96"/>
    <w:rsid w:val="00F86EE6"/>
    <w:rsid w:val="00F873E7"/>
    <w:rsid w:val="00F8746A"/>
    <w:rsid w:val="00F90F17"/>
    <w:rsid w:val="00F91D23"/>
    <w:rsid w:val="00F91D95"/>
    <w:rsid w:val="00F9381F"/>
    <w:rsid w:val="00F9413A"/>
    <w:rsid w:val="00F94170"/>
    <w:rsid w:val="00F94171"/>
    <w:rsid w:val="00F947B4"/>
    <w:rsid w:val="00F95FF9"/>
    <w:rsid w:val="00F96681"/>
    <w:rsid w:val="00FA0312"/>
    <w:rsid w:val="00FA03EA"/>
    <w:rsid w:val="00FA05D5"/>
    <w:rsid w:val="00FA0713"/>
    <w:rsid w:val="00FA08B1"/>
    <w:rsid w:val="00FA0914"/>
    <w:rsid w:val="00FA243F"/>
    <w:rsid w:val="00FA5259"/>
    <w:rsid w:val="00FA52C5"/>
    <w:rsid w:val="00FA5BA2"/>
    <w:rsid w:val="00FA657F"/>
    <w:rsid w:val="00FA690B"/>
    <w:rsid w:val="00FA6B74"/>
    <w:rsid w:val="00FA7900"/>
    <w:rsid w:val="00FB042A"/>
    <w:rsid w:val="00FB1DD1"/>
    <w:rsid w:val="00FB1E13"/>
    <w:rsid w:val="00FB2075"/>
    <w:rsid w:val="00FB23C1"/>
    <w:rsid w:val="00FB26FB"/>
    <w:rsid w:val="00FB2CDD"/>
    <w:rsid w:val="00FB2DE3"/>
    <w:rsid w:val="00FB38D4"/>
    <w:rsid w:val="00FB495E"/>
    <w:rsid w:val="00FB5627"/>
    <w:rsid w:val="00FB5B72"/>
    <w:rsid w:val="00FB6748"/>
    <w:rsid w:val="00FC09EB"/>
    <w:rsid w:val="00FC3A77"/>
    <w:rsid w:val="00FC4DC6"/>
    <w:rsid w:val="00FC5914"/>
    <w:rsid w:val="00FC77D2"/>
    <w:rsid w:val="00FC77EC"/>
    <w:rsid w:val="00FC7B4A"/>
    <w:rsid w:val="00FC7C8F"/>
    <w:rsid w:val="00FD371D"/>
    <w:rsid w:val="00FD4E7A"/>
    <w:rsid w:val="00FD585C"/>
    <w:rsid w:val="00FD6611"/>
    <w:rsid w:val="00FD67B7"/>
    <w:rsid w:val="00FD6FF8"/>
    <w:rsid w:val="00FD70FE"/>
    <w:rsid w:val="00FE02F3"/>
    <w:rsid w:val="00FE2713"/>
    <w:rsid w:val="00FE311D"/>
    <w:rsid w:val="00FE3394"/>
    <w:rsid w:val="00FE37AB"/>
    <w:rsid w:val="00FE620C"/>
    <w:rsid w:val="00FE69E4"/>
    <w:rsid w:val="00FE7CA0"/>
    <w:rsid w:val="00FF0F24"/>
    <w:rsid w:val="00FF1281"/>
    <w:rsid w:val="00FF27F1"/>
    <w:rsid w:val="00FF4400"/>
    <w:rsid w:val="00FF53BC"/>
    <w:rsid w:val="00FF6019"/>
    <w:rsid w:val="00FF6B40"/>
    <w:rsid w:val="00FF6CCF"/>
    <w:rsid w:val="01423F24"/>
    <w:rsid w:val="019E2562"/>
    <w:rsid w:val="029B7152"/>
    <w:rsid w:val="031511C4"/>
    <w:rsid w:val="032041D4"/>
    <w:rsid w:val="0338270A"/>
    <w:rsid w:val="038B0D51"/>
    <w:rsid w:val="03A81B72"/>
    <w:rsid w:val="05305FED"/>
    <w:rsid w:val="062C0CFF"/>
    <w:rsid w:val="063D320B"/>
    <w:rsid w:val="07586B2D"/>
    <w:rsid w:val="08016835"/>
    <w:rsid w:val="08200BE4"/>
    <w:rsid w:val="084E1401"/>
    <w:rsid w:val="08656AC2"/>
    <w:rsid w:val="0892246D"/>
    <w:rsid w:val="09640AB2"/>
    <w:rsid w:val="09840F77"/>
    <w:rsid w:val="09D973F0"/>
    <w:rsid w:val="09DA6CC4"/>
    <w:rsid w:val="0A7D273D"/>
    <w:rsid w:val="0A8A603B"/>
    <w:rsid w:val="0AA03A6A"/>
    <w:rsid w:val="0AD87F91"/>
    <w:rsid w:val="0B0443BA"/>
    <w:rsid w:val="0B071D3B"/>
    <w:rsid w:val="0B0C1D2F"/>
    <w:rsid w:val="0B2D2C2E"/>
    <w:rsid w:val="0B4B60CB"/>
    <w:rsid w:val="0B5F27A5"/>
    <w:rsid w:val="0B993FD3"/>
    <w:rsid w:val="0BED0F30"/>
    <w:rsid w:val="0C131C14"/>
    <w:rsid w:val="0C1F4E62"/>
    <w:rsid w:val="0C262CD9"/>
    <w:rsid w:val="0C40696E"/>
    <w:rsid w:val="0C6D3E1F"/>
    <w:rsid w:val="0C946F96"/>
    <w:rsid w:val="0C9B7385"/>
    <w:rsid w:val="0CDE1BDA"/>
    <w:rsid w:val="0DA62980"/>
    <w:rsid w:val="0DB22432"/>
    <w:rsid w:val="0DF11743"/>
    <w:rsid w:val="0E1F4A06"/>
    <w:rsid w:val="0E4B481D"/>
    <w:rsid w:val="0E576B35"/>
    <w:rsid w:val="0E5A7AD5"/>
    <w:rsid w:val="0E782A9C"/>
    <w:rsid w:val="0E8200DB"/>
    <w:rsid w:val="0ECD6DF7"/>
    <w:rsid w:val="0F05156F"/>
    <w:rsid w:val="0F32314F"/>
    <w:rsid w:val="0F48567B"/>
    <w:rsid w:val="0F832B02"/>
    <w:rsid w:val="0FA933C0"/>
    <w:rsid w:val="0FB14E4E"/>
    <w:rsid w:val="0FDB6B6B"/>
    <w:rsid w:val="10205FE2"/>
    <w:rsid w:val="10555B1F"/>
    <w:rsid w:val="1058514D"/>
    <w:rsid w:val="108F6A5A"/>
    <w:rsid w:val="10967641"/>
    <w:rsid w:val="10D97CD5"/>
    <w:rsid w:val="113E4E57"/>
    <w:rsid w:val="116D727C"/>
    <w:rsid w:val="119831AD"/>
    <w:rsid w:val="11BA3E16"/>
    <w:rsid w:val="121D7160"/>
    <w:rsid w:val="12456761"/>
    <w:rsid w:val="1363594E"/>
    <w:rsid w:val="13944D9C"/>
    <w:rsid w:val="139A39B8"/>
    <w:rsid w:val="13AB10EA"/>
    <w:rsid w:val="140825FF"/>
    <w:rsid w:val="14F37AF1"/>
    <w:rsid w:val="15241AE8"/>
    <w:rsid w:val="152F4368"/>
    <w:rsid w:val="15554DD2"/>
    <w:rsid w:val="160406AF"/>
    <w:rsid w:val="164D6D43"/>
    <w:rsid w:val="16A570D6"/>
    <w:rsid w:val="16BF7EE0"/>
    <w:rsid w:val="16EF3BF3"/>
    <w:rsid w:val="17824C23"/>
    <w:rsid w:val="194311B9"/>
    <w:rsid w:val="1969544D"/>
    <w:rsid w:val="1A163D48"/>
    <w:rsid w:val="1AA417D5"/>
    <w:rsid w:val="1AAC0209"/>
    <w:rsid w:val="1B080547"/>
    <w:rsid w:val="1B300E3A"/>
    <w:rsid w:val="1BAA14CE"/>
    <w:rsid w:val="1C4D6952"/>
    <w:rsid w:val="1C845D74"/>
    <w:rsid w:val="1CD32226"/>
    <w:rsid w:val="1DA12CC0"/>
    <w:rsid w:val="1E2101A2"/>
    <w:rsid w:val="1E3429EF"/>
    <w:rsid w:val="1E391DB3"/>
    <w:rsid w:val="1E8C1D73"/>
    <w:rsid w:val="1EAC0561"/>
    <w:rsid w:val="1EF81E7B"/>
    <w:rsid w:val="1F0E35AF"/>
    <w:rsid w:val="20404352"/>
    <w:rsid w:val="20783D10"/>
    <w:rsid w:val="208647C4"/>
    <w:rsid w:val="20A0436C"/>
    <w:rsid w:val="20F326ED"/>
    <w:rsid w:val="21050673"/>
    <w:rsid w:val="21867A05"/>
    <w:rsid w:val="21A854BA"/>
    <w:rsid w:val="21E1315C"/>
    <w:rsid w:val="22364428"/>
    <w:rsid w:val="229D28A6"/>
    <w:rsid w:val="23580F2E"/>
    <w:rsid w:val="23B76B1D"/>
    <w:rsid w:val="23F563AA"/>
    <w:rsid w:val="247B3116"/>
    <w:rsid w:val="24A01F65"/>
    <w:rsid w:val="24C148B0"/>
    <w:rsid w:val="24F5112A"/>
    <w:rsid w:val="25253606"/>
    <w:rsid w:val="25790BF4"/>
    <w:rsid w:val="258A47D0"/>
    <w:rsid w:val="259A2368"/>
    <w:rsid w:val="25EC31C1"/>
    <w:rsid w:val="25F20D4B"/>
    <w:rsid w:val="26926505"/>
    <w:rsid w:val="26A1499A"/>
    <w:rsid w:val="26DF76B4"/>
    <w:rsid w:val="276669A7"/>
    <w:rsid w:val="27F41637"/>
    <w:rsid w:val="285B33DC"/>
    <w:rsid w:val="28795BCE"/>
    <w:rsid w:val="2888032F"/>
    <w:rsid w:val="28F726DE"/>
    <w:rsid w:val="296F6E5A"/>
    <w:rsid w:val="2A78703F"/>
    <w:rsid w:val="2A8F0497"/>
    <w:rsid w:val="2AD31BAE"/>
    <w:rsid w:val="2B1D7845"/>
    <w:rsid w:val="2B9C5EB8"/>
    <w:rsid w:val="2BBF5E5B"/>
    <w:rsid w:val="2BC03B14"/>
    <w:rsid w:val="2C3012C5"/>
    <w:rsid w:val="2C5D75B5"/>
    <w:rsid w:val="2CB52E46"/>
    <w:rsid w:val="2E5549E7"/>
    <w:rsid w:val="2E9A06CF"/>
    <w:rsid w:val="2EAB14BF"/>
    <w:rsid w:val="2EAE6CA3"/>
    <w:rsid w:val="2EB62EE4"/>
    <w:rsid w:val="2F081A5A"/>
    <w:rsid w:val="2F37612C"/>
    <w:rsid w:val="2F511653"/>
    <w:rsid w:val="2F7F5230"/>
    <w:rsid w:val="2F9278AF"/>
    <w:rsid w:val="2FA14FB2"/>
    <w:rsid w:val="2FFD0E93"/>
    <w:rsid w:val="30607673"/>
    <w:rsid w:val="307D059E"/>
    <w:rsid w:val="30B33C47"/>
    <w:rsid w:val="30B907C1"/>
    <w:rsid w:val="325D20BC"/>
    <w:rsid w:val="32623E30"/>
    <w:rsid w:val="327078AA"/>
    <w:rsid w:val="32891103"/>
    <w:rsid w:val="331C123C"/>
    <w:rsid w:val="337771AE"/>
    <w:rsid w:val="34046622"/>
    <w:rsid w:val="342B42AF"/>
    <w:rsid w:val="346239BA"/>
    <w:rsid w:val="34F87512"/>
    <w:rsid w:val="3529561E"/>
    <w:rsid w:val="352E7EE0"/>
    <w:rsid w:val="358D786E"/>
    <w:rsid w:val="37300EEE"/>
    <w:rsid w:val="373A61E9"/>
    <w:rsid w:val="37804731"/>
    <w:rsid w:val="37A97B52"/>
    <w:rsid w:val="38576C19"/>
    <w:rsid w:val="38797123"/>
    <w:rsid w:val="387B67A4"/>
    <w:rsid w:val="392E0742"/>
    <w:rsid w:val="395E0C52"/>
    <w:rsid w:val="39634A1F"/>
    <w:rsid w:val="39700927"/>
    <w:rsid w:val="398E6FFF"/>
    <w:rsid w:val="3D677DF3"/>
    <w:rsid w:val="3E2D1BCB"/>
    <w:rsid w:val="3E927592"/>
    <w:rsid w:val="3F185CE9"/>
    <w:rsid w:val="3F6040D9"/>
    <w:rsid w:val="3F807564"/>
    <w:rsid w:val="3F8153D0"/>
    <w:rsid w:val="400F7AFB"/>
    <w:rsid w:val="40876E36"/>
    <w:rsid w:val="40EE6CB6"/>
    <w:rsid w:val="41395F26"/>
    <w:rsid w:val="41744D2D"/>
    <w:rsid w:val="41A26B32"/>
    <w:rsid w:val="42246753"/>
    <w:rsid w:val="423A5DB0"/>
    <w:rsid w:val="42471356"/>
    <w:rsid w:val="4300698E"/>
    <w:rsid w:val="436B215F"/>
    <w:rsid w:val="439B0C97"/>
    <w:rsid w:val="4414531D"/>
    <w:rsid w:val="441C6831"/>
    <w:rsid w:val="44623562"/>
    <w:rsid w:val="446D2137"/>
    <w:rsid w:val="44947ABC"/>
    <w:rsid w:val="44DC50C3"/>
    <w:rsid w:val="44EB79FC"/>
    <w:rsid w:val="45B16B27"/>
    <w:rsid w:val="460E36A4"/>
    <w:rsid w:val="46235872"/>
    <w:rsid w:val="467F03FC"/>
    <w:rsid w:val="46935C55"/>
    <w:rsid w:val="46C606E7"/>
    <w:rsid w:val="47067FDA"/>
    <w:rsid w:val="47E32C0C"/>
    <w:rsid w:val="480768FB"/>
    <w:rsid w:val="482A1C45"/>
    <w:rsid w:val="486C23C5"/>
    <w:rsid w:val="492557CF"/>
    <w:rsid w:val="4954230A"/>
    <w:rsid w:val="49971F00"/>
    <w:rsid w:val="49DE62AE"/>
    <w:rsid w:val="4A9B3DB7"/>
    <w:rsid w:val="4AF71B1E"/>
    <w:rsid w:val="4AF91561"/>
    <w:rsid w:val="4BAB1C93"/>
    <w:rsid w:val="4BB40B47"/>
    <w:rsid w:val="4BF922B4"/>
    <w:rsid w:val="4C3D3595"/>
    <w:rsid w:val="4C3F024B"/>
    <w:rsid w:val="4C8A7AFA"/>
    <w:rsid w:val="4CBF55DE"/>
    <w:rsid w:val="4CF06FA9"/>
    <w:rsid w:val="4D743CC1"/>
    <w:rsid w:val="4DA3023B"/>
    <w:rsid w:val="4DFC265C"/>
    <w:rsid w:val="4E110A3D"/>
    <w:rsid w:val="4E320449"/>
    <w:rsid w:val="4EEE14ED"/>
    <w:rsid w:val="4F0771E0"/>
    <w:rsid w:val="4F12091A"/>
    <w:rsid w:val="4FB21842"/>
    <w:rsid w:val="4FBE4E47"/>
    <w:rsid w:val="50625EE2"/>
    <w:rsid w:val="50634294"/>
    <w:rsid w:val="506C6001"/>
    <w:rsid w:val="508B7A56"/>
    <w:rsid w:val="50BD39FE"/>
    <w:rsid w:val="50CF76DB"/>
    <w:rsid w:val="5189520E"/>
    <w:rsid w:val="527E4F21"/>
    <w:rsid w:val="52AD3DFE"/>
    <w:rsid w:val="52B51850"/>
    <w:rsid w:val="531F7C3E"/>
    <w:rsid w:val="542D593B"/>
    <w:rsid w:val="545B29F3"/>
    <w:rsid w:val="547678B9"/>
    <w:rsid w:val="54A8488A"/>
    <w:rsid w:val="54B03E76"/>
    <w:rsid w:val="54CF4984"/>
    <w:rsid w:val="55A25DBA"/>
    <w:rsid w:val="55C022BA"/>
    <w:rsid w:val="55DF2139"/>
    <w:rsid w:val="56242D6E"/>
    <w:rsid w:val="5646623C"/>
    <w:rsid w:val="56715961"/>
    <w:rsid w:val="56B24CB9"/>
    <w:rsid w:val="571D34E2"/>
    <w:rsid w:val="57234DD3"/>
    <w:rsid w:val="57333F5C"/>
    <w:rsid w:val="57790E97"/>
    <w:rsid w:val="57AB2443"/>
    <w:rsid w:val="580B03C5"/>
    <w:rsid w:val="58947F84"/>
    <w:rsid w:val="58984AC0"/>
    <w:rsid w:val="58C249DB"/>
    <w:rsid w:val="58DA3BB7"/>
    <w:rsid w:val="59787591"/>
    <w:rsid w:val="599947AE"/>
    <w:rsid w:val="599A1269"/>
    <w:rsid w:val="59C56616"/>
    <w:rsid w:val="5A2D6323"/>
    <w:rsid w:val="5A303651"/>
    <w:rsid w:val="5A5D684E"/>
    <w:rsid w:val="5A9E51C3"/>
    <w:rsid w:val="5AD50873"/>
    <w:rsid w:val="5B9444F1"/>
    <w:rsid w:val="5BDC684B"/>
    <w:rsid w:val="5BE53BBA"/>
    <w:rsid w:val="5C204F03"/>
    <w:rsid w:val="5C2E2250"/>
    <w:rsid w:val="5C447CC6"/>
    <w:rsid w:val="5C8A64E1"/>
    <w:rsid w:val="5CBD6FBC"/>
    <w:rsid w:val="5CE46DB3"/>
    <w:rsid w:val="5CFD21A5"/>
    <w:rsid w:val="5D0C53C8"/>
    <w:rsid w:val="5E020DEE"/>
    <w:rsid w:val="5E227B93"/>
    <w:rsid w:val="5E2B7497"/>
    <w:rsid w:val="5E84646B"/>
    <w:rsid w:val="5F076D88"/>
    <w:rsid w:val="5F571ABE"/>
    <w:rsid w:val="5F6366B5"/>
    <w:rsid w:val="5F915269"/>
    <w:rsid w:val="5FA05DF2"/>
    <w:rsid w:val="5FAF36A8"/>
    <w:rsid w:val="5FC902C0"/>
    <w:rsid w:val="5FE23241"/>
    <w:rsid w:val="5FFF523B"/>
    <w:rsid w:val="61457497"/>
    <w:rsid w:val="61AD242D"/>
    <w:rsid w:val="621F43E9"/>
    <w:rsid w:val="62543216"/>
    <w:rsid w:val="62796565"/>
    <w:rsid w:val="62FC74AA"/>
    <w:rsid w:val="62FE5D89"/>
    <w:rsid w:val="63561CDB"/>
    <w:rsid w:val="635C0004"/>
    <w:rsid w:val="635C1B0B"/>
    <w:rsid w:val="63B845BD"/>
    <w:rsid w:val="63BE65AF"/>
    <w:rsid w:val="646F55F7"/>
    <w:rsid w:val="649269B2"/>
    <w:rsid w:val="649433CF"/>
    <w:rsid w:val="64CA2D32"/>
    <w:rsid w:val="654E2686"/>
    <w:rsid w:val="666371EA"/>
    <w:rsid w:val="677F36F2"/>
    <w:rsid w:val="67A30B96"/>
    <w:rsid w:val="67C577E1"/>
    <w:rsid w:val="67D6379C"/>
    <w:rsid w:val="67EE4644"/>
    <w:rsid w:val="67F02AB0"/>
    <w:rsid w:val="6826773F"/>
    <w:rsid w:val="684339C9"/>
    <w:rsid w:val="68D549BF"/>
    <w:rsid w:val="692F1F37"/>
    <w:rsid w:val="694D0E60"/>
    <w:rsid w:val="697A2F79"/>
    <w:rsid w:val="699F2638"/>
    <w:rsid w:val="6A2B6021"/>
    <w:rsid w:val="6A601B24"/>
    <w:rsid w:val="6B0B6EAA"/>
    <w:rsid w:val="6B1D7DAD"/>
    <w:rsid w:val="6BAB6D24"/>
    <w:rsid w:val="6BDF70C3"/>
    <w:rsid w:val="6BE24E05"/>
    <w:rsid w:val="6CFA4FE4"/>
    <w:rsid w:val="6D0B366D"/>
    <w:rsid w:val="6D13078A"/>
    <w:rsid w:val="6D15067D"/>
    <w:rsid w:val="6D782ACD"/>
    <w:rsid w:val="6D8048D6"/>
    <w:rsid w:val="6DC05D8D"/>
    <w:rsid w:val="6ECC489D"/>
    <w:rsid w:val="6F0D03EB"/>
    <w:rsid w:val="6F23746D"/>
    <w:rsid w:val="6F675D4D"/>
    <w:rsid w:val="6FFB76E6"/>
    <w:rsid w:val="702C19E4"/>
    <w:rsid w:val="70A73F27"/>
    <w:rsid w:val="712E54D4"/>
    <w:rsid w:val="716F0EE9"/>
    <w:rsid w:val="71721AF7"/>
    <w:rsid w:val="71BB412E"/>
    <w:rsid w:val="722A12B4"/>
    <w:rsid w:val="72B877C5"/>
    <w:rsid w:val="731C6E4F"/>
    <w:rsid w:val="732127F2"/>
    <w:rsid w:val="738A200A"/>
    <w:rsid w:val="73BF3F52"/>
    <w:rsid w:val="74116287"/>
    <w:rsid w:val="74D97CC6"/>
    <w:rsid w:val="75345F3F"/>
    <w:rsid w:val="754B7577"/>
    <w:rsid w:val="754E1438"/>
    <w:rsid w:val="7557416E"/>
    <w:rsid w:val="75E22BDF"/>
    <w:rsid w:val="762304F4"/>
    <w:rsid w:val="76475789"/>
    <w:rsid w:val="76AE0FA8"/>
    <w:rsid w:val="772722F0"/>
    <w:rsid w:val="77E61B47"/>
    <w:rsid w:val="78EE4DE9"/>
    <w:rsid w:val="790A6167"/>
    <w:rsid w:val="79940054"/>
    <w:rsid w:val="7A0568A1"/>
    <w:rsid w:val="7A4556B0"/>
    <w:rsid w:val="7A5F0939"/>
    <w:rsid w:val="7A772BBC"/>
    <w:rsid w:val="7A8877BF"/>
    <w:rsid w:val="7AB160CE"/>
    <w:rsid w:val="7B5F16BB"/>
    <w:rsid w:val="7C947A56"/>
    <w:rsid w:val="7CBE0F77"/>
    <w:rsid w:val="7D252F18"/>
    <w:rsid w:val="7D292894"/>
    <w:rsid w:val="7D44585B"/>
    <w:rsid w:val="7D455A1F"/>
    <w:rsid w:val="7D52472A"/>
    <w:rsid w:val="7D727ED2"/>
    <w:rsid w:val="7D8C697F"/>
    <w:rsid w:val="7DB650C5"/>
    <w:rsid w:val="7E415835"/>
    <w:rsid w:val="7EC56C8D"/>
    <w:rsid w:val="7ED44D8F"/>
    <w:rsid w:val="7F166E48"/>
    <w:rsid w:val="7F1E7AAB"/>
    <w:rsid w:val="7F5760AF"/>
    <w:rsid w:val="7F6E0A32"/>
    <w:rsid w:val="7F7964CA"/>
    <w:rsid w:val="7F8C0EB8"/>
    <w:rsid w:val="7FB855CD"/>
    <w:rsid w:val="DFB7F2D3"/>
    <w:rsid w:val="EFB394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35"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qFormat="1" w:unhideWhenUsed="0"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6"/>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4">
    <w:name w:val="heading 2"/>
    <w:basedOn w:val="1"/>
    <w:next w:val="5"/>
    <w:link w:val="181"/>
    <w:qFormat/>
    <w:uiPriority w:val="9"/>
    <w:pPr>
      <w:keepLines/>
      <w:numPr>
        <w:ilvl w:val="1"/>
        <w:numId w:val="1"/>
      </w:numPr>
      <w:adjustRightInd w:val="0"/>
      <w:snapToGrid w:val="0"/>
      <w:spacing w:before="156" w:beforeLines="50" w:line="360" w:lineRule="auto"/>
      <w:outlineLvl w:val="1"/>
    </w:pPr>
    <w:rPr>
      <w:rFonts w:ascii="宋体" w:hAnsi="宋体"/>
      <w:bCs/>
      <w:sz w:val="24"/>
    </w:rPr>
  </w:style>
  <w:style w:type="paragraph" w:styleId="6">
    <w:name w:val="heading 3"/>
    <w:basedOn w:val="1"/>
    <w:next w:val="1"/>
    <w:link w:val="47"/>
    <w:qFormat/>
    <w:uiPriority w:val="9"/>
    <w:pPr>
      <w:numPr>
        <w:ilvl w:val="2"/>
        <w:numId w:val="1"/>
      </w:numPr>
      <w:tabs>
        <w:tab w:val="left" w:pos="1560"/>
      </w:tabs>
      <w:snapToGrid w:val="0"/>
      <w:spacing w:before="156" w:beforeLines="50" w:line="360" w:lineRule="auto"/>
      <w:outlineLvl w:val="2"/>
    </w:pPr>
    <w:rPr>
      <w:rFonts w:ascii="宋体" w:hAnsi="宋体"/>
      <w:bCs/>
      <w:sz w:val="24"/>
    </w:rPr>
  </w:style>
  <w:style w:type="paragraph" w:styleId="7">
    <w:name w:val="heading 4"/>
    <w:basedOn w:val="1"/>
    <w:next w:val="1"/>
    <w:link w:val="48"/>
    <w:qFormat/>
    <w:uiPriority w:val="0"/>
    <w:pPr>
      <w:numPr>
        <w:ilvl w:val="3"/>
        <w:numId w:val="1"/>
      </w:numPr>
      <w:spacing w:line="360" w:lineRule="auto"/>
      <w:outlineLvl w:val="3"/>
    </w:pPr>
    <w:rPr>
      <w:rFonts w:ascii="宋体"/>
      <w:bCs/>
      <w:szCs w:val="21"/>
    </w:rPr>
  </w:style>
  <w:style w:type="paragraph" w:styleId="8">
    <w:name w:val="heading 5"/>
    <w:basedOn w:val="1"/>
    <w:next w:val="1"/>
    <w:link w:val="77"/>
    <w:qFormat/>
    <w:uiPriority w:val="9"/>
    <w:pPr>
      <w:keepNext/>
      <w:keepLines/>
      <w:numPr>
        <w:ilvl w:val="4"/>
        <w:numId w:val="1"/>
      </w:numPr>
      <w:adjustRightInd w:val="0"/>
      <w:spacing w:line="360" w:lineRule="auto"/>
      <w:ind w:right="100" w:rightChars="100"/>
      <w:textAlignment w:val="baseline"/>
      <w:outlineLvl w:val="4"/>
    </w:pPr>
    <w:rPr>
      <w:bCs/>
      <w:kern w:val="0"/>
      <w:szCs w:val="21"/>
    </w:rPr>
  </w:style>
  <w:style w:type="paragraph" w:styleId="9">
    <w:name w:val="heading 6"/>
    <w:basedOn w:val="1"/>
    <w:next w:val="1"/>
    <w:link w:val="50"/>
    <w:qFormat/>
    <w:uiPriority w:val="9"/>
    <w:pPr>
      <w:keepNext/>
      <w:keepLines/>
      <w:numPr>
        <w:ilvl w:val="5"/>
        <w:numId w:val="1"/>
      </w:numPr>
      <w:spacing w:before="240" w:after="64" w:line="320" w:lineRule="auto"/>
      <w:outlineLvl w:val="5"/>
    </w:pPr>
    <w:rPr>
      <w:rFonts w:ascii="Arial" w:hAnsi="Arial" w:eastAsia="黑体"/>
      <w:b/>
      <w:bCs/>
      <w:sz w:val="24"/>
    </w:rPr>
  </w:style>
  <w:style w:type="paragraph" w:styleId="10">
    <w:name w:val="heading 7"/>
    <w:basedOn w:val="1"/>
    <w:next w:val="1"/>
    <w:link w:val="58"/>
    <w:qFormat/>
    <w:uiPriority w:val="9"/>
    <w:pPr>
      <w:keepNext/>
      <w:keepLines/>
      <w:numPr>
        <w:ilvl w:val="6"/>
        <w:numId w:val="1"/>
      </w:numPr>
      <w:spacing w:before="240" w:after="64" w:line="320" w:lineRule="auto"/>
      <w:outlineLvl w:val="6"/>
    </w:pPr>
    <w:rPr>
      <w:b/>
      <w:bCs/>
      <w:sz w:val="24"/>
    </w:rPr>
  </w:style>
  <w:style w:type="paragraph" w:styleId="11">
    <w:name w:val="heading 8"/>
    <w:basedOn w:val="1"/>
    <w:next w:val="1"/>
    <w:link w:val="52"/>
    <w:qFormat/>
    <w:uiPriority w:val="9"/>
    <w:pPr>
      <w:keepNext/>
      <w:keepLines/>
      <w:numPr>
        <w:ilvl w:val="7"/>
        <w:numId w:val="1"/>
      </w:numPr>
      <w:spacing w:before="240" w:after="64" w:line="320" w:lineRule="auto"/>
      <w:outlineLvl w:val="7"/>
    </w:pPr>
    <w:rPr>
      <w:rFonts w:ascii="Arial" w:hAnsi="Arial" w:eastAsia="黑体"/>
      <w:sz w:val="24"/>
    </w:rPr>
  </w:style>
  <w:style w:type="paragraph" w:styleId="12">
    <w:name w:val="heading 9"/>
    <w:basedOn w:val="1"/>
    <w:next w:val="1"/>
    <w:link w:val="70"/>
    <w:qFormat/>
    <w:uiPriority w:val="9"/>
    <w:pPr>
      <w:keepNext/>
      <w:keepLines/>
      <w:numPr>
        <w:ilvl w:val="8"/>
        <w:numId w:val="1"/>
      </w:numPr>
      <w:spacing w:before="240" w:after="64" w:line="320" w:lineRule="auto"/>
      <w:outlineLvl w:val="8"/>
    </w:pPr>
    <w:rPr>
      <w:rFonts w:ascii="Arial" w:hAnsi="Arial" w:eastAsia="黑体"/>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8"/>
    <w:qFormat/>
    <w:uiPriority w:val="0"/>
    <w:pPr>
      <w:spacing w:after="120"/>
    </w:pPr>
  </w:style>
  <w:style w:type="paragraph" w:styleId="5">
    <w:name w:val="Normal Indent"/>
    <w:basedOn w:val="1"/>
    <w:next w:val="1"/>
    <w:link w:val="63"/>
    <w:qFormat/>
    <w:uiPriority w:val="0"/>
    <w:pPr>
      <w:spacing w:line="360" w:lineRule="auto"/>
      <w:ind w:firstLine="420" w:firstLineChars="200"/>
    </w:pPr>
  </w:style>
  <w:style w:type="paragraph" w:styleId="13">
    <w:name w:val="toc 7"/>
    <w:basedOn w:val="1"/>
    <w:next w:val="1"/>
    <w:unhideWhenUsed/>
    <w:qFormat/>
    <w:uiPriority w:val="39"/>
    <w:pPr>
      <w:ind w:left="1260"/>
      <w:jc w:val="left"/>
    </w:pPr>
    <w:rPr>
      <w:rFonts w:asciiTheme="minorHAnsi" w:eastAsiaTheme="minorHAnsi"/>
      <w:sz w:val="18"/>
      <w:szCs w:val="18"/>
    </w:rPr>
  </w:style>
  <w:style w:type="paragraph" w:styleId="14">
    <w:name w:val="caption"/>
    <w:basedOn w:val="1"/>
    <w:next w:val="1"/>
    <w:qFormat/>
    <w:uiPriority w:val="35"/>
    <w:rPr>
      <w:rFonts w:ascii="Cambria" w:hAnsi="Cambria" w:eastAsia="黑体"/>
      <w:sz w:val="20"/>
      <w:szCs w:val="20"/>
    </w:rPr>
  </w:style>
  <w:style w:type="paragraph" w:styleId="15">
    <w:name w:val="Document Map"/>
    <w:basedOn w:val="1"/>
    <w:link w:val="128"/>
    <w:qFormat/>
    <w:uiPriority w:val="0"/>
    <w:rPr>
      <w:rFonts w:ascii="宋体"/>
      <w:sz w:val="18"/>
      <w:szCs w:val="18"/>
    </w:rPr>
  </w:style>
  <w:style w:type="paragraph" w:styleId="16">
    <w:name w:val="annotation text"/>
    <w:basedOn w:val="1"/>
    <w:link w:val="104"/>
    <w:qFormat/>
    <w:uiPriority w:val="99"/>
    <w:pPr>
      <w:jc w:val="left"/>
    </w:pPr>
  </w:style>
  <w:style w:type="paragraph" w:styleId="17">
    <w:name w:val="toc 5"/>
    <w:basedOn w:val="1"/>
    <w:next w:val="1"/>
    <w:unhideWhenUsed/>
    <w:qFormat/>
    <w:uiPriority w:val="39"/>
    <w:pPr>
      <w:ind w:left="840"/>
      <w:jc w:val="left"/>
    </w:pPr>
    <w:rPr>
      <w:rFonts w:asciiTheme="minorHAnsi" w:eastAsiaTheme="minorHAnsi"/>
      <w:sz w:val="18"/>
      <w:szCs w:val="18"/>
    </w:rPr>
  </w:style>
  <w:style w:type="paragraph" w:styleId="18">
    <w:name w:val="toc 3"/>
    <w:basedOn w:val="1"/>
    <w:next w:val="1"/>
    <w:qFormat/>
    <w:uiPriority w:val="39"/>
    <w:pPr>
      <w:ind w:left="420"/>
      <w:jc w:val="left"/>
    </w:pPr>
    <w:rPr>
      <w:rFonts w:asciiTheme="minorHAnsi" w:eastAsiaTheme="minorHAnsi"/>
      <w:i/>
      <w:iCs/>
      <w:sz w:val="20"/>
      <w:szCs w:val="20"/>
    </w:rPr>
  </w:style>
  <w:style w:type="paragraph" w:styleId="19">
    <w:name w:val="Plain Text"/>
    <w:basedOn w:val="1"/>
    <w:link w:val="117"/>
    <w:qFormat/>
    <w:uiPriority w:val="0"/>
    <w:rPr>
      <w:rFonts w:ascii="宋体" w:hAnsi="Courier New"/>
    </w:rPr>
  </w:style>
  <w:style w:type="paragraph" w:styleId="20">
    <w:name w:val="toc 8"/>
    <w:basedOn w:val="1"/>
    <w:next w:val="1"/>
    <w:unhideWhenUsed/>
    <w:qFormat/>
    <w:uiPriority w:val="39"/>
    <w:pPr>
      <w:ind w:left="1470"/>
      <w:jc w:val="left"/>
    </w:pPr>
    <w:rPr>
      <w:rFonts w:asciiTheme="minorHAnsi" w:eastAsiaTheme="minorHAnsi"/>
      <w:sz w:val="18"/>
      <w:szCs w:val="18"/>
    </w:rPr>
  </w:style>
  <w:style w:type="paragraph" w:styleId="21">
    <w:name w:val="Date"/>
    <w:basedOn w:val="1"/>
    <w:next w:val="1"/>
    <w:link w:val="113"/>
    <w:qFormat/>
    <w:uiPriority w:val="0"/>
    <w:pPr>
      <w:ind w:left="100" w:leftChars="2500"/>
    </w:pPr>
  </w:style>
  <w:style w:type="paragraph" w:styleId="22">
    <w:name w:val="Body Text Indent 2"/>
    <w:basedOn w:val="1"/>
    <w:qFormat/>
    <w:uiPriority w:val="0"/>
    <w:pPr>
      <w:adjustRightInd w:val="0"/>
      <w:spacing w:before="120" w:line="300" w:lineRule="auto"/>
      <w:ind w:firstLine="480"/>
      <w:jc w:val="left"/>
      <w:textAlignment w:val="baseline"/>
    </w:pPr>
    <w:rPr>
      <w:rFonts w:eastAsia="仿宋_GB2312"/>
      <w:kern w:val="0"/>
      <w:sz w:val="28"/>
      <w:szCs w:val="20"/>
    </w:rPr>
  </w:style>
  <w:style w:type="paragraph" w:styleId="23">
    <w:name w:val="Balloon Text"/>
    <w:basedOn w:val="1"/>
    <w:link w:val="111"/>
    <w:semiHidden/>
    <w:qFormat/>
    <w:uiPriority w:val="99"/>
    <w:rPr>
      <w:sz w:val="18"/>
      <w:szCs w:val="18"/>
    </w:rPr>
  </w:style>
  <w:style w:type="paragraph" w:styleId="24">
    <w:name w:val="footer"/>
    <w:basedOn w:val="1"/>
    <w:link w:val="59"/>
    <w:qFormat/>
    <w:uiPriority w:val="99"/>
    <w:pPr>
      <w:tabs>
        <w:tab w:val="center" w:pos="4153"/>
        <w:tab w:val="right" w:pos="8306"/>
      </w:tabs>
      <w:snapToGrid w:val="0"/>
      <w:jc w:val="left"/>
    </w:pPr>
    <w:rPr>
      <w:sz w:val="18"/>
      <w:szCs w:val="18"/>
    </w:rPr>
  </w:style>
  <w:style w:type="paragraph" w:styleId="25">
    <w:name w:val="header"/>
    <w:basedOn w:val="1"/>
    <w:link w:val="51"/>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spacing w:before="120" w:after="120"/>
      <w:jc w:val="left"/>
    </w:pPr>
    <w:rPr>
      <w:rFonts w:asciiTheme="minorHAnsi" w:eastAsiaTheme="minorHAnsi"/>
      <w:b/>
      <w:bCs/>
      <w:caps/>
      <w:sz w:val="20"/>
      <w:szCs w:val="20"/>
    </w:rPr>
  </w:style>
  <w:style w:type="paragraph" w:styleId="27">
    <w:name w:val="toc 4"/>
    <w:basedOn w:val="1"/>
    <w:next w:val="1"/>
    <w:qFormat/>
    <w:uiPriority w:val="39"/>
    <w:pPr>
      <w:ind w:left="630"/>
      <w:jc w:val="left"/>
    </w:pPr>
    <w:rPr>
      <w:rFonts w:asciiTheme="minorHAnsi" w:eastAsiaTheme="minorHAnsi"/>
      <w:sz w:val="18"/>
      <w:szCs w:val="18"/>
    </w:rPr>
  </w:style>
  <w:style w:type="paragraph" w:styleId="28">
    <w:name w:val="toc 6"/>
    <w:basedOn w:val="1"/>
    <w:next w:val="1"/>
    <w:unhideWhenUsed/>
    <w:qFormat/>
    <w:uiPriority w:val="39"/>
    <w:pPr>
      <w:ind w:left="1050"/>
      <w:jc w:val="left"/>
    </w:pPr>
    <w:rPr>
      <w:rFonts w:asciiTheme="minorHAnsi" w:eastAsiaTheme="minorHAnsi"/>
      <w:sz w:val="18"/>
      <w:szCs w:val="18"/>
    </w:rPr>
  </w:style>
  <w:style w:type="paragraph" w:styleId="29">
    <w:name w:val="toc 2"/>
    <w:basedOn w:val="1"/>
    <w:next w:val="1"/>
    <w:qFormat/>
    <w:uiPriority w:val="39"/>
    <w:pPr>
      <w:ind w:left="210"/>
      <w:jc w:val="left"/>
    </w:pPr>
    <w:rPr>
      <w:rFonts w:asciiTheme="minorHAnsi" w:eastAsiaTheme="minorHAnsi"/>
      <w:smallCaps/>
      <w:sz w:val="20"/>
      <w:szCs w:val="20"/>
    </w:rPr>
  </w:style>
  <w:style w:type="paragraph" w:styleId="30">
    <w:name w:val="toc 9"/>
    <w:basedOn w:val="1"/>
    <w:next w:val="1"/>
    <w:unhideWhenUsed/>
    <w:qFormat/>
    <w:uiPriority w:val="39"/>
    <w:pPr>
      <w:ind w:left="1680"/>
      <w:jc w:val="left"/>
    </w:pPr>
    <w:rPr>
      <w:rFonts w:asciiTheme="minorHAnsi" w:eastAsiaTheme="minorHAnsi"/>
      <w:sz w:val="18"/>
      <w:szCs w:val="18"/>
    </w:rPr>
  </w:style>
  <w:style w:type="paragraph" w:styleId="31">
    <w:name w:val="Message Header"/>
    <w:basedOn w:val="1"/>
    <w:link w:val="119"/>
    <w:qFormat/>
    <w:uiPriority w:val="0"/>
    <w:pPr>
      <w:widowControl/>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pacing w:val="8"/>
      <w:kern w:val="0"/>
      <w:sz w:val="24"/>
      <w:szCs w:val="20"/>
      <w:shd w:val="pct20" w:color="auto" w:fill="auto"/>
      <w:lang w:val="en-GB"/>
    </w:rPr>
  </w:style>
  <w:style w:type="paragraph" w:styleId="32">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33">
    <w:name w:val="Title"/>
    <w:basedOn w:val="1"/>
    <w:next w:val="1"/>
    <w:qFormat/>
    <w:uiPriority w:val="0"/>
    <w:pPr>
      <w:spacing w:before="240" w:after="60"/>
      <w:jc w:val="center"/>
      <w:outlineLvl w:val="0"/>
    </w:pPr>
    <w:rPr>
      <w:rFonts w:ascii="Arial" w:hAnsi="Arial" w:cs="Arial"/>
      <w:b/>
      <w:bCs/>
      <w:sz w:val="32"/>
      <w:szCs w:val="32"/>
    </w:rPr>
  </w:style>
  <w:style w:type="paragraph" w:styleId="34">
    <w:name w:val="annotation subject"/>
    <w:basedOn w:val="16"/>
    <w:next w:val="16"/>
    <w:link w:val="115"/>
    <w:semiHidden/>
    <w:qFormat/>
    <w:uiPriority w:val="99"/>
    <w:rPr>
      <w:b/>
      <w:bCs/>
    </w:rPr>
  </w:style>
  <w:style w:type="paragraph" w:styleId="35">
    <w:name w:val="Body Text First Indent"/>
    <w:basedOn w:val="2"/>
    <w:unhideWhenUsed/>
    <w:qFormat/>
    <w:uiPriority w:val="99"/>
    <w:pPr>
      <w:ind w:firstLine="420" w:firstLineChars="100"/>
    </w:pPr>
  </w:style>
  <w:style w:type="table" w:styleId="37">
    <w:name w:val="Table Grid"/>
    <w:basedOn w:val="3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qFormat/>
    <w:uiPriority w:val="22"/>
    <w:rPr>
      <w:b/>
      <w:bCs/>
    </w:rPr>
  </w:style>
  <w:style w:type="character" w:styleId="40">
    <w:name w:val="page number"/>
    <w:basedOn w:val="38"/>
    <w:qFormat/>
    <w:uiPriority w:val="0"/>
  </w:style>
  <w:style w:type="character" w:styleId="41">
    <w:name w:val="Emphasis"/>
    <w:qFormat/>
    <w:uiPriority w:val="0"/>
    <w:rPr>
      <w:color w:val="CC0000"/>
    </w:rPr>
  </w:style>
  <w:style w:type="character" w:styleId="42">
    <w:name w:val="HTML Definition"/>
    <w:semiHidden/>
    <w:qFormat/>
    <w:uiPriority w:val="0"/>
    <w:rPr>
      <w:i/>
      <w:iCs/>
    </w:rPr>
  </w:style>
  <w:style w:type="character" w:styleId="43">
    <w:name w:val="Hyperlink"/>
    <w:qFormat/>
    <w:uiPriority w:val="99"/>
    <w:rPr>
      <w:color w:val="0000FF"/>
      <w:u w:val="single"/>
    </w:rPr>
  </w:style>
  <w:style w:type="character" w:styleId="44">
    <w:name w:val="annotation reference"/>
    <w:semiHidden/>
    <w:qFormat/>
    <w:uiPriority w:val="99"/>
    <w:rPr>
      <w:sz w:val="21"/>
      <w:szCs w:val="21"/>
    </w:rPr>
  </w:style>
  <w:style w:type="character" w:customStyle="1" w:styleId="45">
    <w:name w:val="标题 2 Char"/>
    <w:qFormat/>
    <w:uiPriority w:val="9"/>
    <w:rPr>
      <w:rFonts w:ascii="宋体" w:hAnsi="宋体"/>
      <w:bCs/>
      <w:kern w:val="2"/>
      <w:sz w:val="24"/>
      <w:szCs w:val="24"/>
    </w:rPr>
  </w:style>
  <w:style w:type="character" w:customStyle="1" w:styleId="46">
    <w:name w:val="标题 1 字符"/>
    <w:link w:val="3"/>
    <w:qFormat/>
    <w:uiPriority w:val="0"/>
    <w:rPr>
      <w:rFonts w:ascii="宋体"/>
      <w:b/>
      <w:bCs/>
      <w:kern w:val="44"/>
      <w:sz w:val="21"/>
      <w:szCs w:val="21"/>
    </w:rPr>
  </w:style>
  <w:style w:type="character" w:customStyle="1" w:styleId="47">
    <w:name w:val="标题 3 字符"/>
    <w:link w:val="6"/>
    <w:qFormat/>
    <w:locked/>
    <w:uiPriority w:val="9"/>
    <w:rPr>
      <w:rFonts w:ascii="宋体" w:hAnsi="宋体"/>
      <w:bCs/>
      <w:kern w:val="2"/>
      <w:sz w:val="24"/>
      <w:szCs w:val="24"/>
    </w:rPr>
  </w:style>
  <w:style w:type="character" w:customStyle="1" w:styleId="48">
    <w:name w:val="标题 4 字符"/>
    <w:link w:val="7"/>
    <w:qFormat/>
    <w:uiPriority w:val="0"/>
    <w:rPr>
      <w:rFonts w:ascii="宋体" w:eastAsia="宋体"/>
      <w:bCs/>
      <w:kern w:val="2"/>
      <w:sz w:val="21"/>
      <w:szCs w:val="21"/>
      <w:lang w:val="en-US" w:eastAsia="zh-CN" w:bidi="ar-SA"/>
    </w:rPr>
  </w:style>
  <w:style w:type="character" w:customStyle="1" w:styleId="49">
    <w:name w:val="信息标题 Char119"/>
    <w:semiHidden/>
    <w:qFormat/>
    <w:uiPriority w:val="99"/>
    <w:rPr>
      <w:rFonts w:ascii="Cambria" w:hAnsi="Cambria" w:eastAsia="宋体" w:cs="Times New Roman"/>
      <w:sz w:val="24"/>
      <w:szCs w:val="24"/>
      <w:shd w:val="pct20" w:color="auto" w:fill="auto"/>
    </w:rPr>
  </w:style>
  <w:style w:type="character" w:customStyle="1" w:styleId="50">
    <w:name w:val="标题 6 字符"/>
    <w:link w:val="9"/>
    <w:qFormat/>
    <w:locked/>
    <w:uiPriority w:val="9"/>
    <w:rPr>
      <w:rFonts w:ascii="Arial" w:hAnsi="Arial" w:eastAsia="黑体"/>
      <w:b/>
      <w:bCs/>
      <w:kern w:val="2"/>
      <w:sz w:val="24"/>
      <w:szCs w:val="24"/>
    </w:rPr>
  </w:style>
  <w:style w:type="character" w:customStyle="1" w:styleId="51">
    <w:name w:val="页眉 字符"/>
    <w:link w:val="25"/>
    <w:qFormat/>
    <w:locked/>
    <w:uiPriority w:val="99"/>
    <w:rPr>
      <w:kern w:val="2"/>
      <w:sz w:val="18"/>
      <w:szCs w:val="18"/>
    </w:rPr>
  </w:style>
  <w:style w:type="character" w:customStyle="1" w:styleId="52">
    <w:name w:val="标题 8 字符"/>
    <w:link w:val="11"/>
    <w:qFormat/>
    <w:locked/>
    <w:uiPriority w:val="9"/>
    <w:rPr>
      <w:rFonts w:ascii="Arial" w:hAnsi="Arial" w:eastAsia="黑体"/>
      <w:kern w:val="2"/>
      <w:sz w:val="24"/>
      <w:szCs w:val="24"/>
    </w:rPr>
  </w:style>
  <w:style w:type="character" w:customStyle="1" w:styleId="53">
    <w:name w:val="信息标题 Char110"/>
    <w:semiHidden/>
    <w:qFormat/>
    <w:uiPriority w:val="99"/>
    <w:rPr>
      <w:rFonts w:ascii="Cambria" w:hAnsi="Cambria" w:eastAsia="宋体" w:cs="Times New Roman"/>
      <w:sz w:val="24"/>
      <w:szCs w:val="24"/>
      <w:shd w:val="pct20" w:color="auto" w:fill="auto"/>
    </w:rPr>
  </w:style>
  <w:style w:type="character" w:customStyle="1" w:styleId="54">
    <w:name w:val="表内居中小五 Char"/>
    <w:link w:val="55"/>
    <w:qFormat/>
    <w:uiPriority w:val="0"/>
    <w:rPr>
      <w:rFonts w:eastAsia="宋体" w:cs="宋体"/>
      <w:kern w:val="2"/>
      <w:sz w:val="18"/>
      <w:szCs w:val="18"/>
      <w:lang w:val="en-US" w:eastAsia="zh-CN" w:bidi="ar-SA"/>
    </w:rPr>
  </w:style>
  <w:style w:type="paragraph" w:customStyle="1" w:styleId="55">
    <w:name w:val="表内居中小五"/>
    <w:basedOn w:val="1"/>
    <w:link w:val="54"/>
    <w:qFormat/>
    <w:uiPriority w:val="0"/>
    <w:pPr>
      <w:jc w:val="center"/>
    </w:pPr>
    <w:rPr>
      <w:rFonts w:cs="宋体"/>
      <w:sz w:val="18"/>
      <w:szCs w:val="18"/>
    </w:rPr>
  </w:style>
  <w:style w:type="character" w:customStyle="1" w:styleId="56">
    <w:name w:val="信息标题 Char142"/>
    <w:semiHidden/>
    <w:qFormat/>
    <w:uiPriority w:val="99"/>
    <w:rPr>
      <w:rFonts w:ascii="Cambria" w:hAnsi="Cambria" w:eastAsia="宋体" w:cs="Times New Roman"/>
      <w:sz w:val="24"/>
      <w:szCs w:val="24"/>
      <w:shd w:val="pct20" w:color="auto" w:fill="auto"/>
    </w:rPr>
  </w:style>
  <w:style w:type="character" w:customStyle="1" w:styleId="57">
    <w:name w:val="信息标题 Char127"/>
    <w:semiHidden/>
    <w:qFormat/>
    <w:uiPriority w:val="99"/>
    <w:rPr>
      <w:rFonts w:ascii="Cambria" w:hAnsi="Cambria" w:eastAsia="宋体" w:cs="Times New Roman"/>
      <w:sz w:val="24"/>
      <w:szCs w:val="24"/>
      <w:shd w:val="pct20" w:color="auto" w:fill="auto"/>
    </w:rPr>
  </w:style>
  <w:style w:type="character" w:customStyle="1" w:styleId="58">
    <w:name w:val="标题 7 字符"/>
    <w:link w:val="10"/>
    <w:qFormat/>
    <w:locked/>
    <w:uiPriority w:val="9"/>
    <w:rPr>
      <w:b/>
      <w:bCs/>
      <w:kern w:val="2"/>
      <w:sz w:val="24"/>
      <w:szCs w:val="24"/>
    </w:rPr>
  </w:style>
  <w:style w:type="character" w:customStyle="1" w:styleId="59">
    <w:name w:val="页脚 字符"/>
    <w:link w:val="24"/>
    <w:qFormat/>
    <w:uiPriority w:val="99"/>
    <w:rPr>
      <w:rFonts w:eastAsia="宋体"/>
      <w:kern w:val="2"/>
      <w:sz w:val="18"/>
      <w:szCs w:val="18"/>
      <w:lang w:val="en-US" w:eastAsia="zh-CN" w:bidi="ar-SA"/>
    </w:rPr>
  </w:style>
  <w:style w:type="character" w:customStyle="1" w:styleId="60">
    <w:name w:val="信息标题 Char14"/>
    <w:semiHidden/>
    <w:qFormat/>
    <w:uiPriority w:val="99"/>
    <w:rPr>
      <w:rFonts w:ascii="Cambria" w:hAnsi="Cambria" w:eastAsia="宋体" w:cs="Times New Roman"/>
      <w:sz w:val="24"/>
      <w:szCs w:val="24"/>
      <w:shd w:val="pct20" w:color="auto" w:fill="auto"/>
    </w:rPr>
  </w:style>
  <w:style w:type="character" w:customStyle="1" w:styleId="61">
    <w:name w:val="信息标题 Char146"/>
    <w:semiHidden/>
    <w:qFormat/>
    <w:uiPriority w:val="99"/>
    <w:rPr>
      <w:rFonts w:ascii="Cambria" w:hAnsi="Cambria" w:eastAsia="宋体" w:cs="Times New Roman"/>
      <w:sz w:val="24"/>
      <w:szCs w:val="24"/>
      <w:shd w:val="pct20" w:color="auto" w:fill="auto"/>
    </w:rPr>
  </w:style>
  <w:style w:type="character" w:customStyle="1" w:styleId="62">
    <w:name w:val="信息标题 Char141"/>
    <w:semiHidden/>
    <w:qFormat/>
    <w:uiPriority w:val="99"/>
    <w:rPr>
      <w:rFonts w:ascii="Cambria" w:hAnsi="Cambria" w:eastAsia="宋体" w:cs="Times New Roman"/>
      <w:sz w:val="24"/>
      <w:szCs w:val="24"/>
      <w:shd w:val="pct20" w:color="auto" w:fill="auto"/>
    </w:rPr>
  </w:style>
  <w:style w:type="character" w:customStyle="1" w:styleId="63">
    <w:name w:val="正文缩进 字符"/>
    <w:link w:val="5"/>
    <w:qFormat/>
    <w:uiPriority w:val="0"/>
    <w:rPr>
      <w:rFonts w:eastAsia="宋体"/>
      <w:kern w:val="2"/>
      <w:sz w:val="21"/>
      <w:szCs w:val="24"/>
      <w:lang w:val="en-US" w:eastAsia="zh-CN" w:bidi="ar-SA"/>
    </w:rPr>
  </w:style>
  <w:style w:type="character" w:customStyle="1" w:styleId="64">
    <w:name w:val="信息标题 Char19"/>
    <w:semiHidden/>
    <w:qFormat/>
    <w:uiPriority w:val="99"/>
    <w:rPr>
      <w:rFonts w:ascii="Cambria" w:hAnsi="Cambria" w:eastAsia="宋体" w:cs="Times New Roman"/>
      <w:sz w:val="24"/>
      <w:szCs w:val="24"/>
      <w:shd w:val="pct20" w:color="auto" w:fill="auto"/>
    </w:rPr>
  </w:style>
  <w:style w:type="character" w:customStyle="1" w:styleId="65">
    <w:name w:val="信息标题 Char13"/>
    <w:semiHidden/>
    <w:qFormat/>
    <w:uiPriority w:val="99"/>
    <w:rPr>
      <w:rFonts w:ascii="Cambria" w:hAnsi="Cambria" w:eastAsia="宋体" w:cs="Times New Roman"/>
      <w:sz w:val="24"/>
      <w:szCs w:val="24"/>
      <w:shd w:val="pct20" w:color="auto" w:fill="auto"/>
    </w:rPr>
  </w:style>
  <w:style w:type="character" w:customStyle="1" w:styleId="66">
    <w:name w:val="apple-converted-space"/>
    <w:qFormat/>
    <w:uiPriority w:val="0"/>
  </w:style>
  <w:style w:type="character" w:customStyle="1" w:styleId="67">
    <w:name w:val="信息标题 Char139"/>
    <w:semiHidden/>
    <w:qFormat/>
    <w:uiPriority w:val="99"/>
    <w:rPr>
      <w:rFonts w:ascii="Cambria" w:hAnsi="Cambria" w:eastAsia="宋体" w:cs="Times New Roman"/>
      <w:sz w:val="24"/>
      <w:szCs w:val="24"/>
      <w:shd w:val="pct20" w:color="auto" w:fill="auto"/>
    </w:rPr>
  </w:style>
  <w:style w:type="character" w:customStyle="1" w:styleId="68">
    <w:name w:val="正文文本 字符"/>
    <w:link w:val="2"/>
    <w:qFormat/>
    <w:uiPriority w:val="0"/>
    <w:rPr>
      <w:kern w:val="2"/>
      <w:sz w:val="21"/>
      <w:szCs w:val="24"/>
    </w:rPr>
  </w:style>
  <w:style w:type="character" w:customStyle="1" w:styleId="69">
    <w:name w:val="信息标题 Char16"/>
    <w:semiHidden/>
    <w:qFormat/>
    <w:uiPriority w:val="99"/>
    <w:rPr>
      <w:rFonts w:ascii="Cambria" w:hAnsi="Cambria" w:eastAsia="宋体" w:cs="Times New Roman"/>
      <w:sz w:val="24"/>
      <w:szCs w:val="24"/>
      <w:shd w:val="pct20" w:color="auto" w:fill="auto"/>
    </w:rPr>
  </w:style>
  <w:style w:type="character" w:customStyle="1" w:styleId="70">
    <w:name w:val="标题 9 字符"/>
    <w:link w:val="12"/>
    <w:qFormat/>
    <w:locked/>
    <w:uiPriority w:val="9"/>
    <w:rPr>
      <w:rFonts w:ascii="Arial" w:hAnsi="Arial" w:eastAsia="黑体"/>
      <w:kern w:val="2"/>
      <w:sz w:val="21"/>
      <w:szCs w:val="21"/>
    </w:rPr>
  </w:style>
  <w:style w:type="character" w:customStyle="1" w:styleId="71">
    <w:name w:val="信息标题 Char12"/>
    <w:semiHidden/>
    <w:qFormat/>
    <w:uiPriority w:val="99"/>
    <w:rPr>
      <w:rFonts w:ascii="Cambria" w:hAnsi="Cambria" w:eastAsia="宋体" w:cs="Times New Roman"/>
      <w:sz w:val="24"/>
      <w:szCs w:val="24"/>
      <w:shd w:val="pct20" w:color="auto" w:fill="auto"/>
    </w:rPr>
  </w:style>
  <w:style w:type="character" w:customStyle="1" w:styleId="72">
    <w:name w:val="信息标题 Char118"/>
    <w:semiHidden/>
    <w:qFormat/>
    <w:uiPriority w:val="99"/>
    <w:rPr>
      <w:rFonts w:ascii="Cambria" w:hAnsi="Cambria" w:eastAsia="宋体" w:cs="Times New Roman"/>
      <w:sz w:val="24"/>
      <w:szCs w:val="24"/>
      <w:shd w:val="pct20" w:color="auto" w:fill="auto"/>
    </w:rPr>
  </w:style>
  <w:style w:type="character" w:customStyle="1" w:styleId="73">
    <w:name w:val="信息标题 Char131"/>
    <w:semiHidden/>
    <w:qFormat/>
    <w:uiPriority w:val="99"/>
    <w:rPr>
      <w:rFonts w:ascii="Cambria" w:hAnsi="Cambria" w:eastAsia="宋体" w:cs="Times New Roman"/>
      <w:sz w:val="24"/>
      <w:szCs w:val="24"/>
      <w:shd w:val="pct20" w:color="auto" w:fill="auto"/>
    </w:rPr>
  </w:style>
  <w:style w:type="character" w:customStyle="1" w:styleId="74">
    <w:name w:val="纯文本 Char1"/>
    <w:qFormat/>
    <w:locked/>
    <w:uiPriority w:val="99"/>
    <w:rPr>
      <w:rFonts w:ascii="宋体" w:hAnsi="Courier New" w:eastAsia="宋体" w:cs="Times New Roman"/>
      <w:sz w:val="20"/>
      <w:szCs w:val="20"/>
    </w:rPr>
  </w:style>
  <w:style w:type="character" w:customStyle="1" w:styleId="75">
    <w:name w:val="未处理的提及1"/>
    <w:unhideWhenUsed/>
    <w:qFormat/>
    <w:uiPriority w:val="99"/>
    <w:rPr>
      <w:color w:val="808080"/>
      <w:shd w:val="clear" w:color="auto" w:fill="E6E6E6"/>
    </w:rPr>
  </w:style>
  <w:style w:type="character" w:customStyle="1" w:styleId="76">
    <w:name w:val="信息标题 Char18"/>
    <w:semiHidden/>
    <w:qFormat/>
    <w:uiPriority w:val="99"/>
    <w:rPr>
      <w:rFonts w:ascii="Cambria" w:hAnsi="Cambria" w:eastAsia="宋体" w:cs="Times New Roman"/>
      <w:sz w:val="24"/>
      <w:szCs w:val="24"/>
      <w:shd w:val="pct20" w:color="auto" w:fill="auto"/>
    </w:rPr>
  </w:style>
  <w:style w:type="character" w:customStyle="1" w:styleId="77">
    <w:name w:val="标题 5 字符"/>
    <w:link w:val="8"/>
    <w:qFormat/>
    <w:uiPriority w:val="9"/>
    <w:rPr>
      <w:bCs/>
      <w:sz w:val="21"/>
      <w:szCs w:val="21"/>
    </w:rPr>
  </w:style>
  <w:style w:type="character" w:customStyle="1" w:styleId="78">
    <w:name w:val="信息标题 Char137"/>
    <w:semiHidden/>
    <w:qFormat/>
    <w:uiPriority w:val="99"/>
    <w:rPr>
      <w:rFonts w:ascii="Cambria" w:hAnsi="Cambria" w:eastAsia="宋体" w:cs="Times New Roman"/>
      <w:sz w:val="24"/>
      <w:szCs w:val="24"/>
      <w:shd w:val="pct20" w:color="auto" w:fill="auto"/>
    </w:rPr>
  </w:style>
  <w:style w:type="character" w:customStyle="1" w:styleId="79">
    <w:name w:val="信息标题 Char125"/>
    <w:semiHidden/>
    <w:qFormat/>
    <w:uiPriority w:val="99"/>
    <w:rPr>
      <w:rFonts w:ascii="Cambria" w:hAnsi="Cambria" w:eastAsia="宋体" w:cs="Times New Roman"/>
      <w:sz w:val="24"/>
      <w:szCs w:val="24"/>
      <w:shd w:val="pct20" w:color="auto" w:fill="auto"/>
    </w:rPr>
  </w:style>
  <w:style w:type="character" w:customStyle="1" w:styleId="80">
    <w:name w:val="信息标题 Char122"/>
    <w:semiHidden/>
    <w:qFormat/>
    <w:uiPriority w:val="99"/>
    <w:rPr>
      <w:rFonts w:ascii="Cambria" w:hAnsi="Cambria" w:eastAsia="宋体" w:cs="Times New Roman"/>
      <w:sz w:val="24"/>
      <w:szCs w:val="24"/>
      <w:shd w:val="pct20" w:color="auto" w:fill="auto"/>
    </w:rPr>
  </w:style>
  <w:style w:type="character" w:customStyle="1" w:styleId="81">
    <w:name w:val="三级条标题 Char"/>
    <w:link w:val="82"/>
    <w:qFormat/>
    <w:uiPriority w:val="0"/>
    <w:rPr>
      <w:rFonts w:ascii="黑体" w:eastAsia="黑体"/>
      <w:sz w:val="21"/>
    </w:rPr>
  </w:style>
  <w:style w:type="paragraph" w:customStyle="1" w:styleId="82">
    <w:name w:val="三级条标题"/>
    <w:basedOn w:val="83"/>
    <w:next w:val="84"/>
    <w:link w:val="81"/>
    <w:qFormat/>
    <w:uiPriority w:val="0"/>
    <w:pPr>
      <w:tabs>
        <w:tab w:val="left" w:pos="360"/>
      </w:tabs>
      <w:ind w:left="-180"/>
      <w:outlineLvl w:val="4"/>
    </w:pPr>
  </w:style>
  <w:style w:type="paragraph" w:customStyle="1" w:styleId="83">
    <w:name w:val="二级条标题"/>
    <w:basedOn w:val="1"/>
    <w:next w:val="84"/>
    <w:link w:val="116"/>
    <w:qFormat/>
    <w:uiPriority w:val="0"/>
    <w:pPr>
      <w:widowControl/>
      <w:outlineLvl w:val="3"/>
    </w:pPr>
    <w:rPr>
      <w:rFonts w:ascii="黑体" w:eastAsia="黑体"/>
      <w:kern w:val="0"/>
      <w:szCs w:val="20"/>
    </w:rPr>
  </w:style>
  <w:style w:type="paragraph" w:customStyle="1" w:styleId="84">
    <w:name w:val="段"/>
    <w:link w:val="188"/>
    <w:qFormat/>
    <w:uiPriority w:val="0"/>
    <w:pPr>
      <w:ind w:firstLine="200" w:firstLineChars="200"/>
      <w:jc w:val="both"/>
    </w:pPr>
    <w:rPr>
      <w:rFonts w:ascii="宋体" w:hAnsi="Times New Roman" w:eastAsia="宋体" w:cs="Times New Roman"/>
      <w:sz w:val="21"/>
      <w:lang w:val="en-US" w:eastAsia="zh-CN" w:bidi="ar-SA"/>
    </w:rPr>
  </w:style>
  <w:style w:type="character" w:customStyle="1" w:styleId="85">
    <w:name w:val="样式 标题 3 + 宋体 Char"/>
    <w:link w:val="86"/>
    <w:qFormat/>
    <w:uiPriority w:val="0"/>
    <w:rPr>
      <w:rFonts w:ascii="宋体" w:hAnsi="宋体" w:eastAsia="宋体"/>
      <w:kern w:val="2"/>
      <w:sz w:val="21"/>
      <w:szCs w:val="21"/>
      <w:lang w:val="en-US" w:eastAsia="zh-CN" w:bidi="ar-SA"/>
    </w:rPr>
  </w:style>
  <w:style w:type="paragraph" w:customStyle="1" w:styleId="86">
    <w:name w:val="样式 标题 3 + 宋体"/>
    <w:basedOn w:val="6"/>
    <w:link w:val="85"/>
    <w:qFormat/>
    <w:uiPriority w:val="0"/>
    <w:rPr>
      <w:bCs w:val="0"/>
      <w:sz w:val="21"/>
      <w:szCs w:val="21"/>
    </w:rPr>
  </w:style>
  <w:style w:type="character" w:customStyle="1" w:styleId="87">
    <w:name w:val="信息标题 Char148"/>
    <w:semiHidden/>
    <w:qFormat/>
    <w:uiPriority w:val="99"/>
    <w:rPr>
      <w:rFonts w:ascii="Cambria" w:hAnsi="Cambria" w:eastAsia="宋体" w:cs="Times New Roman"/>
      <w:sz w:val="24"/>
      <w:szCs w:val="24"/>
      <w:shd w:val="pct20" w:color="auto" w:fill="auto"/>
    </w:rPr>
  </w:style>
  <w:style w:type="character" w:customStyle="1" w:styleId="88">
    <w:name w:val="信息标题 Char147"/>
    <w:semiHidden/>
    <w:qFormat/>
    <w:uiPriority w:val="99"/>
    <w:rPr>
      <w:rFonts w:ascii="Cambria" w:hAnsi="Cambria" w:eastAsia="宋体" w:cs="Times New Roman"/>
      <w:sz w:val="24"/>
      <w:szCs w:val="24"/>
      <w:shd w:val="pct20" w:color="auto" w:fill="auto"/>
    </w:rPr>
  </w:style>
  <w:style w:type="character" w:customStyle="1" w:styleId="89">
    <w:name w:val="信息标题 Char126"/>
    <w:semiHidden/>
    <w:qFormat/>
    <w:uiPriority w:val="99"/>
    <w:rPr>
      <w:rFonts w:ascii="Cambria" w:hAnsi="Cambria" w:eastAsia="宋体" w:cs="Times New Roman"/>
      <w:sz w:val="24"/>
      <w:szCs w:val="24"/>
      <w:shd w:val="pct20" w:color="auto" w:fill="auto"/>
    </w:rPr>
  </w:style>
  <w:style w:type="character" w:customStyle="1" w:styleId="90">
    <w:name w:val="首行缩进 Char"/>
    <w:link w:val="91"/>
    <w:qFormat/>
    <w:uiPriority w:val="0"/>
    <w:rPr>
      <w:rFonts w:eastAsia="方正书宋简体" w:cs="宋体"/>
      <w:kern w:val="2"/>
      <w:sz w:val="21"/>
      <w:lang w:val="en-US" w:eastAsia="zh-CN" w:bidi="ar-SA"/>
    </w:rPr>
  </w:style>
  <w:style w:type="paragraph" w:customStyle="1" w:styleId="91">
    <w:name w:val="首行缩进"/>
    <w:basedOn w:val="1"/>
    <w:link w:val="90"/>
    <w:qFormat/>
    <w:uiPriority w:val="0"/>
    <w:pPr>
      <w:spacing w:line="300" w:lineRule="auto"/>
      <w:ind w:firstLine="420" w:firstLineChars="200"/>
    </w:pPr>
    <w:rPr>
      <w:rFonts w:eastAsia="方正书宋简体" w:cs="宋体"/>
      <w:szCs w:val="20"/>
    </w:rPr>
  </w:style>
  <w:style w:type="character" w:customStyle="1" w:styleId="92">
    <w:name w:val="信息标题 Char144"/>
    <w:semiHidden/>
    <w:qFormat/>
    <w:uiPriority w:val="99"/>
    <w:rPr>
      <w:rFonts w:ascii="Cambria" w:hAnsi="Cambria" w:eastAsia="宋体" w:cs="Times New Roman"/>
      <w:sz w:val="24"/>
      <w:szCs w:val="24"/>
      <w:shd w:val="pct20" w:color="auto" w:fill="auto"/>
    </w:rPr>
  </w:style>
  <w:style w:type="character" w:customStyle="1" w:styleId="93">
    <w:name w:val="信息标题 Char121"/>
    <w:semiHidden/>
    <w:qFormat/>
    <w:uiPriority w:val="99"/>
    <w:rPr>
      <w:rFonts w:ascii="Cambria" w:hAnsi="Cambria" w:eastAsia="宋体" w:cs="Times New Roman"/>
      <w:sz w:val="24"/>
      <w:szCs w:val="24"/>
      <w:shd w:val="pct20" w:color="auto" w:fill="auto"/>
    </w:rPr>
  </w:style>
  <w:style w:type="character" w:customStyle="1" w:styleId="94">
    <w:name w:val="信息标题 Char133"/>
    <w:semiHidden/>
    <w:qFormat/>
    <w:uiPriority w:val="99"/>
    <w:rPr>
      <w:rFonts w:ascii="Cambria" w:hAnsi="Cambria" w:eastAsia="宋体" w:cs="Times New Roman"/>
      <w:sz w:val="24"/>
      <w:szCs w:val="24"/>
      <w:shd w:val="pct20" w:color="auto" w:fill="auto"/>
    </w:rPr>
  </w:style>
  <w:style w:type="character" w:customStyle="1" w:styleId="95">
    <w:name w:val="信息标题 Char11"/>
    <w:semiHidden/>
    <w:qFormat/>
    <w:uiPriority w:val="99"/>
    <w:rPr>
      <w:rFonts w:ascii="Cambria" w:hAnsi="Cambria" w:eastAsia="宋体" w:cs="Times New Roman"/>
      <w:sz w:val="24"/>
      <w:szCs w:val="24"/>
      <w:shd w:val="pct20" w:color="auto" w:fill="auto"/>
    </w:rPr>
  </w:style>
  <w:style w:type="character" w:customStyle="1" w:styleId="96">
    <w:name w:val="信息标题 Char132"/>
    <w:semiHidden/>
    <w:qFormat/>
    <w:uiPriority w:val="99"/>
    <w:rPr>
      <w:rFonts w:ascii="Cambria" w:hAnsi="Cambria" w:eastAsia="宋体" w:cs="Times New Roman"/>
      <w:sz w:val="24"/>
      <w:szCs w:val="24"/>
      <w:shd w:val="pct20" w:color="auto" w:fill="auto"/>
    </w:rPr>
  </w:style>
  <w:style w:type="character" w:customStyle="1" w:styleId="97">
    <w:name w:val="信息标题 Char135"/>
    <w:semiHidden/>
    <w:qFormat/>
    <w:uiPriority w:val="99"/>
    <w:rPr>
      <w:rFonts w:ascii="Cambria" w:hAnsi="Cambria" w:eastAsia="宋体" w:cs="Times New Roman"/>
      <w:sz w:val="24"/>
      <w:szCs w:val="24"/>
      <w:shd w:val="pct20" w:color="auto" w:fill="auto"/>
    </w:rPr>
  </w:style>
  <w:style w:type="character" w:customStyle="1" w:styleId="98">
    <w:name w:val="信息标题 Char15"/>
    <w:semiHidden/>
    <w:qFormat/>
    <w:uiPriority w:val="99"/>
    <w:rPr>
      <w:rFonts w:ascii="Cambria" w:hAnsi="Cambria" w:eastAsia="宋体" w:cs="Times New Roman"/>
      <w:sz w:val="24"/>
      <w:szCs w:val="24"/>
      <w:shd w:val="pct20" w:color="auto" w:fill="auto"/>
    </w:rPr>
  </w:style>
  <w:style w:type="character" w:customStyle="1" w:styleId="99">
    <w:name w:val="信息标题 Char17"/>
    <w:semiHidden/>
    <w:qFormat/>
    <w:uiPriority w:val="99"/>
    <w:rPr>
      <w:rFonts w:ascii="Cambria" w:hAnsi="Cambria" w:eastAsia="宋体" w:cs="Times New Roman"/>
      <w:sz w:val="24"/>
      <w:szCs w:val="24"/>
      <w:shd w:val="pct20" w:color="auto" w:fill="auto"/>
    </w:rPr>
  </w:style>
  <w:style w:type="character" w:customStyle="1" w:styleId="100">
    <w:name w:val="信息标题 Char124"/>
    <w:semiHidden/>
    <w:qFormat/>
    <w:uiPriority w:val="99"/>
    <w:rPr>
      <w:rFonts w:ascii="Cambria" w:hAnsi="Cambria" w:eastAsia="宋体" w:cs="Times New Roman"/>
      <w:sz w:val="24"/>
      <w:szCs w:val="24"/>
      <w:shd w:val="pct20" w:color="auto" w:fill="auto"/>
    </w:rPr>
  </w:style>
  <w:style w:type="character" w:customStyle="1" w:styleId="101">
    <w:name w:val="表内居两端对齐 Char"/>
    <w:basedOn w:val="54"/>
    <w:link w:val="102"/>
    <w:qFormat/>
    <w:uiPriority w:val="0"/>
    <w:rPr>
      <w:rFonts w:eastAsia="宋体" w:cs="宋体"/>
      <w:kern w:val="2"/>
      <w:sz w:val="18"/>
      <w:szCs w:val="18"/>
      <w:lang w:val="en-US" w:eastAsia="zh-CN" w:bidi="ar-SA"/>
    </w:rPr>
  </w:style>
  <w:style w:type="paragraph" w:customStyle="1" w:styleId="102">
    <w:name w:val="表内居两端对齐"/>
    <w:basedOn w:val="55"/>
    <w:link w:val="101"/>
    <w:qFormat/>
    <w:uiPriority w:val="0"/>
    <w:pPr>
      <w:jc w:val="both"/>
    </w:pPr>
  </w:style>
  <w:style w:type="character" w:customStyle="1" w:styleId="103">
    <w:name w:val="信息标题 Char145"/>
    <w:semiHidden/>
    <w:qFormat/>
    <w:uiPriority w:val="99"/>
    <w:rPr>
      <w:rFonts w:ascii="Cambria" w:hAnsi="Cambria" w:eastAsia="宋体" w:cs="Times New Roman"/>
      <w:sz w:val="24"/>
      <w:szCs w:val="24"/>
      <w:shd w:val="pct20" w:color="auto" w:fill="auto"/>
    </w:rPr>
  </w:style>
  <w:style w:type="character" w:customStyle="1" w:styleId="104">
    <w:name w:val="批注文字 字符"/>
    <w:link w:val="16"/>
    <w:qFormat/>
    <w:locked/>
    <w:uiPriority w:val="99"/>
    <w:rPr>
      <w:kern w:val="2"/>
      <w:sz w:val="21"/>
      <w:szCs w:val="24"/>
    </w:rPr>
  </w:style>
  <w:style w:type="character" w:customStyle="1" w:styleId="105">
    <w:name w:val="信息标题 Char138"/>
    <w:semiHidden/>
    <w:qFormat/>
    <w:uiPriority w:val="99"/>
    <w:rPr>
      <w:rFonts w:ascii="Cambria" w:hAnsi="Cambria" w:eastAsia="宋体" w:cs="Times New Roman"/>
      <w:sz w:val="24"/>
      <w:szCs w:val="24"/>
      <w:shd w:val="pct20" w:color="auto" w:fill="auto"/>
    </w:rPr>
  </w:style>
  <w:style w:type="character" w:customStyle="1" w:styleId="106">
    <w:name w:val="信息标题 Char130"/>
    <w:semiHidden/>
    <w:qFormat/>
    <w:uiPriority w:val="99"/>
    <w:rPr>
      <w:rFonts w:ascii="Cambria" w:hAnsi="Cambria" w:eastAsia="宋体" w:cs="Times New Roman"/>
      <w:sz w:val="24"/>
      <w:szCs w:val="24"/>
      <w:shd w:val="pct20" w:color="auto" w:fill="auto"/>
    </w:rPr>
  </w:style>
  <w:style w:type="character" w:customStyle="1" w:styleId="107">
    <w:name w:val="一级条标题 Char"/>
    <w:link w:val="108"/>
    <w:qFormat/>
    <w:uiPriority w:val="0"/>
    <w:rPr>
      <w:rFonts w:ascii="黑体" w:eastAsia="黑体"/>
      <w:sz w:val="21"/>
      <w:lang w:val="en-US" w:eastAsia="zh-CN" w:bidi="ar-SA"/>
    </w:rPr>
  </w:style>
  <w:style w:type="paragraph" w:customStyle="1" w:styleId="108">
    <w:name w:val="一级条标题"/>
    <w:basedOn w:val="109"/>
    <w:next w:val="84"/>
    <w:link w:val="107"/>
    <w:qFormat/>
    <w:uiPriority w:val="0"/>
    <w:pPr>
      <w:spacing w:before="0" w:beforeLines="0" w:after="0" w:afterLines="0"/>
      <w:outlineLvl w:val="2"/>
    </w:pPr>
  </w:style>
  <w:style w:type="paragraph" w:customStyle="1" w:styleId="109">
    <w:name w:val="章标题"/>
    <w:next w:val="84"/>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character" w:customStyle="1" w:styleId="110">
    <w:name w:val="信息标题 Char114"/>
    <w:semiHidden/>
    <w:qFormat/>
    <w:uiPriority w:val="99"/>
    <w:rPr>
      <w:rFonts w:ascii="Cambria" w:hAnsi="Cambria" w:eastAsia="宋体" w:cs="Times New Roman"/>
      <w:sz w:val="24"/>
      <w:szCs w:val="24"/>
      <w:shd w:val="pct20" w:color="auto" w:fill="auto"/>
    </w:rPr>
  </w:style>
  <w:style w:type="character" w:customStyle="1" w:styleId="111">
    <w:name w:val="批注框文本 字符"/>
    <w:link w:val="23"/>
    <w:semiHidden/>
    <w:qFormat/>
    <w:locked/>
    <w:uiPriority w:val="99"/>
    <w:rPr>
      <w:kern w:val="2"/>
      <w:sz w:val="18"/>
      <w:szCs w:val="18"/>
    </w:rPr>
  </w:style>
  <w:style w:type="character" w:customStyle="1" w:styleId="112">
    <w:name w:val="信息标题 Char123"/>
    <w:semiHidden/>
    <w:qFormat/>
    <w:uiPriority w:val="99"/>
    <w:rPr>
      <w:rFonts w:ascii="Cambria" w:hAnsi="Cambria" w:eastAsia="宋体" w:cs="Times New Roman"/>
      <w:sz w:val="24"/>
      <w:szCs w:val="24"/>
      <w:shd w:val="pct20" w:color="auto" w:fill="auto"/>
    </w:rPr>
  </w:style>
  <w:style w:type="character" w:customStyle="1" w:styleId="113">
    <w:name w:val="日期 字符"/>
    <w:link w:val="21"/>
    <w:qFormat/>
    <w:uiPriority w:val="0"/>
    <w:rPr>
      <w:kern w:val="2"/>
      <w:sz w:val="21"/>
      <w:szCs w:val="24"/>
    </w:rPr>
  </w:style>
  <w:style w:type="character" w:customStyle="1" w:styleId="114">
    <w:name w:val="信息标题 Char111"/>
    <w:semiHidden/>
    <w:qFormat/>
    <w:uiPriority w:val="99"/>
    <w:rPr>
      <w:rFonts w:ascii="Cambria" w:hAnsi="Cambria" w:eastAsia="宋体" w:cs="Times New Roman"/>
      <w:sz w:val="24"/>
      <w:szCs w:val="24"/>
      <w:shd w:val="pct20" w:color="auto" w:fill="auto"/>
    </w:rPr>
  </w:style>
  <w:style w:type="character" w:customStyle="1" w:styleId="115">
    <w:name w:val="批注主题 字符"/>
    <w:link w:val="34"/>
    <w:semiHidden/>
    <w:qFormat/>
    <w:locked/>
    <w:uiPriority w:val="99"/>
    <w:rPr>
      <w:b/>
      <w:bCs/>
      <w:kern w:val="2"/>
      <w:sz w:val="21"/>
      <w:szCs w:val="24"/>
    </w:rPr>
  </w:style>
  <w:style w:type="character" w:customStyle="1" w:styleId="116">
    <w:name w:val="二级条标题 Char"/>
    <w:link w:val="83"/>
    <w:qFormat/>
    <w:uiPriority w:val="0"/>
    <w:rPr>
      <w:rFonts w:ascii="黑体" w:eastAsia="黑体"/>
      <w:sz w:val="21"/>
      <w:lang w:val="en-US" w:eastAsia="zh-CN" w:bidi="ar-SA"/>
    </w:rPr>
  </w:style>
  <w:style w:type="character" w:customStyle="1" w:styleId="117">
    <w:name w:val="纯文本 字符"/>
    <w:link w:val="19"/>
    <w:qFormat/>
    <w:uiPriority w:val="99"/>
    <w:rPr>
      <w:rFonts w:ascii="宋体" w:hAnsi="Courier New" w:eastAsia="宋体"/>
      <w:kern w:val="2"/>
      <w:sz w:val="21"/>
      <w:szCs w:val="24"/>
      <w:lang w:val="en-US" w:eastAsia="zh-CN" w:bidi="ar-SA"/>
    </w:rPr>
  </w:style>
  <w:style w:type="character" w:customStyle="1" w:styleId="118">
    <w:name w:val="信息标题 Char149"/>
    <w:semiHidden/>
    <w:qFormat/>
    <w:uiPriority w:val="99"/>
    <w:rPr>
      <w:rFonts w:ascii="Cambria" w:hAnsi="Cambria" w:eastAsia="宋体" w:cs="Times New Roman"/>
      <w:sz w:val="24"/>
      <w:szCs w:val="24"/>
      <w:shd w:val="pct20" w:color="auto" w:fill="auto"/>
    </w:rPr>
  </w:style>
  <w:style w:type="character" w:customStyle="1" w:styleId="119">
    <w:name w:val="信息标题 字符"/>
    <w:link w:val="31"/>
    <w:qFormat/>
    <w:locked/>
    <w:uiPriority w:val="0"/>
    <w:rPr>
      <w:rFonts w:ascii="Arial" w:hAnsi="Arial"/>
      <w:spacing w:val="8"/>
      <w:sz w:val="24"/>
      <w:shd w:val="pct20" w:color="auto" w:fill="auto"/>
      <w:lang w:val="en-GB"/>
    </w:rPr>
  </w:style>
  <w:style w:type="character" w:customStyle="1" w:styleId="120">
    <w:name w:val="信息标题 Char128"/>
    <w:semiHidden/>
    <w:qFormat/>
    <w:uiPriority w:val="99"/>
    <w:rPr>
      <w:rFonts w:ascii="Cambria" w:hAnsi="Cambria" w:eastAsia="宋体" w:cs="Times New Roman"/>
      <w:sz w:val="24"/>
      <w:szCs w:val="24"/>
      <w:shd w:val="pct20" w:color="auto" w:fill="auto"/>
    </w:rPr>
  </w:style>
  <w:style w:type="character" w:customStyle="1" w:styleId="121">
    <w:name w:val="信息标题 Char136"/>
    <w:semiHidden/>
    <w:qFormat/>
    <w:uiPriority w:val="99"/>
    <w:rPr>
      <w:rFonts w:ascii="Cambria" w:hAnsi="Cambria" w:eastAsia="宋体" w:cs="Times New Roman"/>
      <w:sz w:val="24"/>
      <w:szCs w:val="24"/>
      <w:shd w:val="pct20" w:color="auto" w:fill="auto"/>
    </w:rPr>
  </w:style>
  <w:style w:type="character" w:customStyle="1" w:styleId="122">
    <w:name w:val="信息标题 Char115"/>
    <w:semiHidden/>
    <w:qFormat/>
    <w:uiPriority w:val="99"/>
    <w:rPr>
      <w:rFonts w:ascii="Cambria" w:hAnsi="Cambria" w:eastAsia="宋体" w:cs="Times New Roman"/>
      <w:sz w:val="24"/>
      <w:szCs w:val="24"/>
      <w:shd w:val="pct20" w:color="auto" w:fill="auto"/>
    </w:rPr>
  </w:style>
  <w:style w:type="character" w:customStyle="1" w:styleId="123">
    <w:name w:val="样式 标题 4 + (符号) 宋体 Char"/>
    <w:basedOn w:val="48"/>
    <w:link w:val="124"/>
    <w:qFormat/>
    <w:uiPriority w:val="0"/>
    <w:rPr>
      <w:rFonts w:ascii="宋体" w:eastAsia="宋体"/>
      <w:kern w:val="2"/>
      <w:sz w:val="21"/>
      <w:szCs w:val="21"/>
      <w:lang w:val="en-US" w:eastAsia="zh-CN" w:bidi="ar-SA"/>
    </w:rPr>
  </w:style>
  <w:style w:type="paragraph" w:customStyle="1" w:styleId="124">
    <w:name w:val="样式 标题 4 + (符号) 宋体"/>
    <w:basedOn w:val="7"/>
    <w:link w:val="123"/>
    <w:qFormat/>
    <w:uiPriority w:val="0"/>
    <w:pPr>
      <w:adjustRightInd w:val="0"/>
      <w:snapToGrid w:val="0"/>
    </w:pPr>
    <w:rPr>
      <w:bCs w:val="0"/>
    </w:rPr>
  </w:style>
  <w:style w:type="character" w:customStyle="1" w:styleId="125">
    <w:name w:val="信息标题 Char129"/>
    <w:semiHidden/>
    <w:qFormat/>
    <w:uiPriority w:val="99"/>
    <w:rPr>
      <w:rFonts w:ascii="Cambria" w:hAnsi="Cambria" w:eastAsia="宋体" w:cs="Times New Roman"/>
      <w:sz w:val="24"/>
      <w:szCs w:val="24"/>
      <w:shd w:val="pct20" w:color="auto" w:fill="auto"/>
    </w:rPr>
  </w:style>
  <w:style w:type="character" w:customStyle="1" w:styleId="126">
    <w:name w:val="标书正文 Char Char"/>
    <w:link w:val="127"/>
    <w:qFormat/>
    <w:uiPriority w:val="0"/>
    <w:rPr>
      <w:rFonts w:eastAsia="宋体"/>
      <w:spacing w:val="1"/>
      <w:sz w:val="24"/>
      <w:lang w:bidi="ar-SA"/>
    </w:rPr>
  </w:style>
  <w:style w:type="paragraph" w:customStyle="1" w:styleId="127">
    <w:name w:val="标书正文"/>
    <w:basedOn w:val="1"/>
    <w:link w:val="126"/>
    <w:qFormat/>
    <w:uiPriority w:val="0"/>
    <w:pPr>
      <w:spacing w:line="360" w:lineRule="auto"/>
      <w:ind w:firstLine="200" w:firstLineChars="200"/>
    </w:pPr>
    <w:rPr>
      <w:spacing w:val="1"/>
      <w:kern w:val="0"/>
      <w:sz w:val="24"/>
      <w:szCs w:val="20"/>
    </w:rPr>
  </w:style>
  <w:style w:type="character" w:customStyle="1" w:styleId="128">
    <w:name w:val="文档结构图 字符"/>
    <w:link w:val="15"/>
    <w:qFormat/>
    <w:uiPriority w:val="0"/>
    <w:rPr>
      <w:rFonts w:ascii="宋体"/>
      <w:kern w:val="2"/>
      <w:sz w:val="18"/>
      <w:szCs w:val="18"/>
    </w:rPr>
  </w:style>
  <w:style w:type="character" w:customStyle="1" w:styleId="129">
    <w:name w:val="信息标题 Char140"/>
    <w:semiHidden/>
    <w:qFormat/>
    <w:uiPriority w:val="99"/>
    <w:rPr>
      <w:rFonts w:ascii="Cambria" w:hAnsi="Cambria" w:eastAsia="宋体" w:cs="Times New Roman"/>
      <w:sz w:val="24"/>
      <w:szCs w:val="24"/>
      <w:shd w:val="pct20" w:color="auto" w:fill="auto"/>
    </w:rPr>
  </w:style>
  <w:style w:type="character" w:customStyle="1" w:styleId="130">
    <w:name w:val="信息标题 Char1"/>
    <w:qFormat/>
    <w:uiPriority w:val="99"/>
    <w:rPr>
      <w:rFonts w:ascii="Cambria" w:hAnsi="Cambria" w:eastAsia="宋体" w:cs="Times New Roman"/>
      <w:kern w:val="2"/>
      <w:sz w:val="24"/>
      <w:szCs w:val="24"/>
      <w:shd w:val="pct20" w:color="auto" w:fill="auto"/>
    </w:rPr>
  </w:style>
  <w:style w:type="character" w:customStyle="1" w:styleId="131">
    <w:name w:val="信息标题 Char113"/>
    <w:semiHidden/>
    <w:qFormat/>
    <w:uiPriority w:val="99"/>
    <w:rPr>
      <w:rFonts w:ascii="Cambria" w:hAnsi="Cambria" w:eastAsia="宋体" w:cs="Times New Roman"/>
      <w:sz w:val="24"/>
      <w:szCs w:val="24"/>
      <w:shd w:val="pct20" w:color="auto" w:fill="auto"/>
    </w:rPr>
  </w:style>
  <w:style w:type="character" w:customStyle="1" w:styleId="132">
    <w:name w:val="信息标题 Char117"/>
    <w:semiHidden/>
    <w:qFormat/>
    <w:uiPriority w:val="99"/>
    <w:rPr>
      <w:rFonts w:ascii="Cambria" w:hAnsi="Cambria" w:eastAsia="宋体" w:cs="Times New Roman"/>
      <w:sz w:val="24"/>
      <w:szCs w:val="24"/>
      <w:shd w:val="pct20" w:color="auto" w:fill="auto"/>
    </w:rPr>
  </w:style>
  <w:style w:type="character" w:customStyle="1" w:styleId="133">
    <w:name w:val="信息标题 Char143"/>
    <w:semiHidden/>
    <w:qFormat/>
    <w:uiPriority w:val="99"/>
    <w:rPr>
      <w:rFonts w:ascii="Cambria" w:hAnsi="Cambria" w:eastAsia="宋体" w:cs="Times New Roman"/>
      <w:sz w:val="24"/>
      <w:szCs w:val="24"/>
      <w:shd w:val="pct20" w:color="auto" w:fill="auto"/>
    </w:rPr>
  </w:style>
  <w:style w:type="character" w:customStyle="1" w:styleId="134">
    <w:name w:val="信息标题 Char112"/>
    <w:semiHidden/>
    <w:qFormat/>
    <w:uiPriority w:val="99"/>
    <w:rPr>
      <w:rFonts w:ascii="Cambria" w:hAnsi="Cambria" w:eastAsia="宋体" w:cs="Times New Roman"/>
      <w:sz w:val="24"/>
      <w:szCs w:val="24"/>
      <w:shd w:val="pct20" w:color="auto" w:fill="auto"/>
    </w:rPr>
  </w:style>
  <w:style w:type="character" w:customStyle="1" w:styleId="135">
    <w:name w:val="无间隔 字符"/>
    <w:link w:val="136"/>
    <w:qFormat/>
    <w:locked/>
    <w:uiPriority w:val="1"/>
    <w:rPr>
      <w:kern w:val="2"/>
      <w:sz w:val="21"/>
      <w:szCs w:val="24"/>
    </w:rPr>
  </w:style>
  <w:style w:type="paragraph" w:customStyle="1" w:styleId="136">
    <w:name w:val="无间隔1"/>
    <w:link w:val="135"/>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37">
    <w:name w:val="信息标题 Char120"/>
    <w:semiHidden/>
    <w:qFormat/>
    <w:uiPriority w:val="99"/>
    <w:rPr>
      <w:rFonts w:ascii="Cambria" w:hAnsi="Cambria" w:eastAsia="宋体" w:cs="Times New Roman"/>
      <w:sz w:val="24"/>
      <w:szCs w:val="24"/>
      <w:shd w:val="pct20" w:color="auto" w:fill="auto"/>
    </w:rPr>
  </w:style>
  <w:style w:type="character" w:customStyle="1" w:styleId="138">
    <w:name w:val="信息标题 Char116"/>
    <w:semiHidden/>
    <w:qFormat/>
    <w:uiPriority w:val="99"/>
    <w:rPr>
      <w:rFonts w:ascii="Cambria" w:hAnsi="Cambria" w:eastAsia="宋体" w:cs="Times New Roman"/>
      <w:sz w:val="24"/>
      <w:szCs w:val="24"/>
      <w:shd w:val="pct20" w:color="auto" w:fill="auto"/>
    </w:rPr>
  </w:style>
  <w:style w:type="character" w:customStyle="1" w:styleId="139">
    <w:name w:val="信息标题 Char134"/>
    <w:semiHidden/>
    <w:qFormat/>
    <w:uiPriority w:val="99"/>
    <w:rPr>
      <w:rFonts w:ascii="Cambria" w:hAnsi="Cambria" w:eastAsia="宋体" w:cs="Times New Roman"/>
      <w:sz w:val="24"/>
      <w:szCs w:val="24"/>
      <w:shd w:val="pct20" w:color="auto" w:fill="auto"/>
    </w:rPr>
  </w:style>
  <w:style w:type="character" w:customStyle="1" w:styleId="140">
    <w:name w:val="信息标题 Char2"/>
    <w:qFormat/>
    <w:uiPriority w:val="0"/>
    <w:rPr>
      <w:rFonts w:ascii="Cambria" w:hAnsi="Cambria" w:eastAsia="宋体"/>
      <w:kern w:val="2"/>
      <w:sz w:val="24"/>
      <w:shd w:val="pct20" w:color="auto" w:fill="auto"/>
    </w:rPr>
  </w:style>
  <w:style w:type="paragraph" w:customStyle="1" w:styleId="141">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4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3">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44">
    <w:name w:val="CM3"/>
    <w:basedOn w:val="142"/>
    <w:next w:val="142"/>
    <w:qFormat/>
    <w:uiPriority w:val="0"/>
    <w:pPr>
      <w:spacing w:line="468" w:lineRule="atLeast"/>
    </w:pPr>
    <w:rPr>
      <w:rFonts w:ascii="黑体" w:eastAsia="黑体" w:cs="Times New Roman"/>
      <w:color w:val="auto"/>
    </w:rPr>
  </w:style>
  <w:style w:type="paragraph" w:customStyle="1" w:styleId="145">
    <w:name w:val="CM5"/>
    <w:basedOn w:val="142"/>
    <w:next w:val="142"/>
    <w:qFormat/>
    <w:uiPriority w:val="0"/>
    <w:pPr>
      <w:spacing w:line="471" w:lineRule="atLeast"/>
    </w:pPr>
    <w:rPr>
      <w:rFonts w:ascii="黑体" w:eastAsia="黑体" w:cs="Times New Roman"/>
      <w:color w:val="auto"/>
    </w:rPr>
  </w:style>
  <w:style w:type="paragraph" w:customStyle="1" w:styleId="146">
    <w:name w:val="目次、标准名称标题"/>
    <w:basedOn w:val="141"/>
    <w:next w:val="84"/>
    <w:qFormat/>
    <w:uiPriority w:val="0"/>
    <w:pPr>
      <w:tabs>
        <w:tab w:val="left" w:pos="1140"/>
      </w:tabs>
      <w:spacing w:line="460" w:lineRule="exact"/>
      <w:ind w:left="0" w:firstLine="0"/>
    </w:pPr>
  </w:style>
  <w:style w:type="paragraph" w:customStyle="1" w:styleId="14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48">
    <w:name w:val="标准书眉一"/>
    <w:qFormat/>
    <w:uiPriority w:val="0"/>
    <w:pPr>
      <w:jc w:val="both"/>
    </w:pPr>
    <w:rPr>
      <w:rFonts w:ascii="Times New Roman" w:hAnsi="Times New Roman" w:eastAsia="宋体" w:cs="Times New Roman"/>
      <w:lang w:val="en-US" w:eastAsia="zh-CN" w:bidi="ar-SA"/>
    </w:rPr>
  </w:style>
  <w:style w:type="paragraph" w:customStyle="1" w:styleId="149">
    <w:name w:val="附录表标题"/>
    <w:basedOn w:val="1"/>
    <w:next w:val="84"/>
    <w:qFormat/>
    <w:uiPriority w:val="0"/>
    <w:pPr>
      <w:widowControl/>
      <w:numPr>
        <w:ilvl w:val="0"/>
        <w:numId w:val="2"/>
      </w:numPr>
      <w:tabs>
        <w:tab w:val="left" w:pos="210"/>
        <w:tab w:val="left" w:pos="420"/>
        <w:tab w:val="clear" w:pos="360"/>
      </w:tabs>
      <w:jc w:val="center"/>
      <w:textAlignment w:val="baseline"/>
    </w:pPr>
    <w:rPr>
      <w:rFonts w:ascii="宋体"/>
      <w:b/>
      <w:kern w:val="21"/>
      <w:szCs w:val="20"/>
    </w:rPr>
  </w:style>
  <w:style w:type="paragraph" w:customStyle="1" w:styleId="150">
    <w:name w:val="CM17"/>
    <w:basedOn w:val="142"/>
    <w:next w:val="142"/>
    <w:qFormat/>
    <w:uiPriority w:val="0"/>
    <w:pPr>
      <w:spacing w:line="468" w:lineRule="atLeast"/>
    </w:pPr>
    <w:rPr>
      <w:rFonts w:ascii="黑体" w:eastAsia="黑体" w:cs="Times New Roman"/>
      <w:color w:val="auto"/>
    </w:rPr>
  </w:style>
  <w:style w:type="paragraph" w:customStyle="1" w:styleId="151">
    <w:name w:val="CM33"/>
    <w:basedOn w:val="142"/>
    <w:next w:val="142"/>
    <w:qFormat/>
    <w:uiPriority w:val="0"/>
    <w:pPr>
      <w:spacing w:after="205"/>
    </w:pPr>
    <w:rPr>
      <w:rFonts w:ascii="黑体" w:eastAsia="黑体" w:cs="Times New Roman"/>
      <w:color w:val="auto"/>
    </w:rPr>
  </w:style>
  <w:style w:type="paragraph" w:customStyle="1" w:styleId="152">
    <w:name w:val="四级条标题"/>
    <w:basedOn w:val="82"/>
    <w:next w:val="84"/>
    <w:qFormat/>
    <w:uiPriority w:val="0"/>
    <w:pPr>
      <w:ind w:left="0"/>
      <w:outlineLvl w:val="5"/>
    </w:pPr>
  </w:style>
  <w:style w:type="paragraph" w:customStyle="1" w:styleId="153">
    <w:name w:val="列出段落1"/>
    <w:basedOn w:val="1"/>
    <w:qFormat/>
    <w:uiPriority w:val="34"/>
    <w:pPr>
      <w:ind w:firstLine="420" w:firstLineChars="200"/>
    </w:pPr>
    <w:rPr>
      <w:rFonts w:ascii="Calibri" w:hAnsi="Calibri"/>
      <w:szCs w:val="22"/>
    </w:rPr>
  </w:style>
  <w:style w:type="paragraph" w:customStyle="1" w:styleId="154">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155">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56">
    <w:name w:val="正文表标题"/>
    <w:next w:val="84"/>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157">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8">
    <w:name w:val="YK 首行缩进 2"/>
    <w:basedOn w:val="1"/>
    <w:next w:val="1"/>
    <w:unhideWhenUsed/>
    <w:qFormat/>
    <w:uiPriority w:val="0"/>
    <w:pPr>
      <w:ind w:firstLine="420" w:firstLineChars="200"/>
      <w:jc w:val="left"/>
    </w:pPr>
    <w:rPr>
      <w:rFonts w:ascii="Calibri" w:hAnsi="Calibri"/>
      <w:szCs w:val="22"/>
    </w:rPr>
  </w:style>
  <w:style w:type="paragraph" w:customStyle="1" w:styleId="159">
    <w:name w:val="五级条标题"/>
    <w:basedOn w:val="1"/>
    <w:next w:val="84"/>
    <w:qFormat/>
    <w:uiPriority w:val="0"/>
    <w:pPr>
      <w:widowControl/>
      <w:outlineLvl w:val="6"/>
    </w:pPr>
    <w:rPr>
      <w:rFonts w:ascii="黑体" w:eastAsia="黑体"/>
      <w:kern w:val="0"/>
      <w:szCs w:val="20"/>
    </w:rPr>
  </w:style>
  <w:style w:type="paragraph" w:customStyle="1" w:styleId="160">
    <w:name w:val="TOC 标题1"/>
    <w:basedOn w:val="3"/>
    <w:next w:val="1"/>
    <w:qFormat/>
    <w:uiPriority w:val="39"/>
    <w:pPr>
      <w:widowControl/>
      <w:snapToGrid/>
      <w:spacing w:before="480" w:beforeLines="0" w:line="276" w:lineRule="auto"/>
      <w:jc w:val="left"/>
      <w:outlineLvl w:val="9"/>
    </w:pPr>
    <w:rPr>
      <w:rFonts w:ascii="Cambria" w:hAnsi="Cambria"/>
      <w:color w:val="365F91"/>
      <w:kern w:val="0"/>
      <w:sz w:val="28"/>
      <w:szCs w:val="28"/>
    </w:rPr>
  </w:style>
  <w:style w:type="paragraph" w:customStyle="1" w:styleId="161">
    <w:name w:val="CM10"/>
    <w:basedOn w:val="142"/>
    <w:next w:val="142"/>
    <w:qFormat/>
    <w:uiPriority w:val="0"/>
    <w:pPr>
      <w:spacing w:line="468" w:lineRule="atLeast"/>
    </w:pPr>
    <w:rPr>
      <w:rFonts w:ascii="黑体" w:eastAsia="黑体" w:cs="Times New Roman"/>
      <w:color w:val="auto"/>
    </w:rPr>
  </w:style>
  <w:style w:type="paragraph" w:customStyle="1" w:styleId="162">
    <w:name w:val="Char"/>
    <w:basedOn w:val="1"/>
    <w:qFormat/>
    <w:uiPriority w:val="0"/>
    <w:pPr>
      <w:spacing w:line="360" w:lineRule="auto"/>
    </w:pPr>
    <w:rPr>
      <w:rFonts w:ascii="Tahoma" w:hAnsi="Tahoma"/>
      <w:sz w:val="24"/>
      <w:szCs w:val="20"/>
    </w:rPr>
  </w:style>
  <w:style w:type="paragraph" w:customStyle="1" w:styleId="163">
    <w:name w:val="无标题条"/>
    <w:next w:val="84"/>
    <w:qFormat/>
    <w:uiPriority w:val="0"/>
    <w:pPr>
      <w:jc w:val="both"/>
    </w:pPr>
    <w:rPr>
      <w:rFonts w:ascii="Times New Roman" w:hAnsi="Times New Roman" w:eastAsia="宋体" w:cs="Times New Roman"/>
      <w:sz w:val="21"/>
      <w:lang w:val="en-US" w:eastAsia="zh-CN" w:bidi="ar-SA"/>
    </w:rPr>
  </w:style>
  <w:style w:type="paragraph" w:customStyle="1" w:styleId="164">
    <w:name w:val="CM23"/>
    <w:basedOn w:val="142"/>
    <w:next w:val="142"/>
    <w:qFormat/>
    <w:uiPriority w:val="0"/>
    <w:pPr>
      <w:spacing w:line="468" w:lineRule="atLeast"/>
    </w:pPr>
    <w:rPr>
      <w:rFonts w:ascii="黑体" w:eastAsia="黑体" w:cs="Times New Roman"/>
      <w:color w:val="auto"/>
    </w:rPr>
  </w:style>
  <w:style w:type="paragraph" w:customStyle="1" w:styleId="165">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166">
    <w:name w:val="_标准条文"/>
    <w:basedOn w:val="1"/>
    <w:qFormat/>
    <w:uiPriority w:val="0"/>
    <w:pPr>
      <w:widowControl/>
      <w:overflowPunct w:val="0"/>
      <w:snapToGrid w:val="0"/>
      <w:spacing w:before="156" w:after="156" w:line="300" w:lineRule="auto"/>
      <w:ind w:firstLine="426"/>
    </w:pPr>
    <w:rPr>
      <w:rFonts w:ascii="宋体" w:hAnsi="宋体"/>
      <w:szCs w:val="20"/>
    </w:rPr>
  </w:style>
  <w:style w:type="paragraph" w:customStyle="1" w:styleId="167">
    <w:name w:val="前言首行"/>
    <w:basedOn w:val="1"/>
    <w:qFormat/>
    <w:uiPriority w:val="0"/>
    <w:pPr>
      <w:spacing w:after="120"/>
      <w:jc w:val="center"/>
    </w:pPr>
    <w:rPr>
      <w:rFonts w:eastAsia="黑体" w:cs="宋体"/>
      <w:b/>
      <w:bCs/>
      <w:sz w:val="32"/>
      <w:szCs w:val="20"/>
    </w:rPr>
  </w:style>
  <w:style w:type="paragraph" w:customStyle="1" w:styleId="168">
    <w:name w:val="CM22"/>
    <w:basedOn w:val="142"/>
    <w:next w:val="142"/>
    <w:qFormat/>
    <w:uiPriority w:val="0"/>
    <w:pPr>
      <w:spacing w:line="468" w:lineRule="atLeast"/>
    </w:pPr>
    <w:rPr>
      <w:rFonts w:ascii="黑体" w:eastAsia="黑体" w:cs="Times New Roman"/>
      <w:color w:val="auto"/>
    </w:rPr>
  </w:style>
  <w:style w:type="paragraph" w:customStyle="1" w:styleId="169">
    <w:name w:val="样式 标题 5 + 右侧:  1 字符"/>
    <w:basedOn w:val="8"/>
    <w:qFormat/>
    <w:uiPriority w:val="0"/>
    <w:pPr>
      <w:ind w:right="210"/>
    </w:pPr>
    <w:rPr>
      <w:bCs w:val="0"/>
      <w:szCs w:val="20"/>
    </w:rPr>
  </w:style>
  <w:style w:type="paragraph" w:customStyle="1" w:styleId="17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1">
    <w:name w:val="Char Char Char Char Char Char Char Char Char Char Char Char"/>
    <w:basedOn w:val="1"/>
    <w:qFormat/>
    <w:uiPriority w:val="0"/>
    <w:pPr>
      <w:spacing w:line="360" w:lineRule="auto"/>
    </w:pPr>
    <w:rPr>
      <w:rFonts w:ascii="Tahoma" w:hAnsi="Tahoma"/>
      <w:sz w:val="24"/>
      <w:szCs w:val="20"/>
    </w:rPr>
  </w:style>
  <w:style w:type="paragraph" w:customStyle="1" w:styleId="172">
    <w:name w:val="CM9"/>
    <w:basedOn w:val="142"/>
    <w:next w:val="142"/>
    <w:qFormat/>
    <w:uiPriority w:val="0"/>
    <w:pPr>
      <w:spacing w:line="468" w:lineRule="atLeast"/>
    </w:pPr>
    <w:rPr>
      <w:rFonts w:ascii="黑体" w:eastAsia="黑体" w:cs="Times New Roman"/>
      <w:color w:val="auto"/>
    </w:rPr>
  </w:style>
  <w:style w:type="paragraph" w:customStyle="1" w:styleId="173">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74">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75">
    <w:name w:val="数字编号列项（二级）"/>
    <w:qFormat/>
    <w:uiPriority w:val="0"/>
    <w:pPr>
      <w:jc w:val="both"/>
    </w:pPr>
    <w:rPr>
      <w:rFonts w:ascii="宋体" w:hAnsi="Times New Roman" w:eastAsia="宋体" w:cs="Times New Roman"/>
      <w:sz w:val="21"/>
      <w:lang w:val="en-US" w:eastAsia="zh-CN" w:bidi="ar-SA"/>
    </w:rPr>
  </w:style>
  <w:style w:type="paragraph" w:customStyle="1" w:styleId="176">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 w:type="paragraph" w:customStyle="1" w:styleId="177">
    <w:name w:val="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178">
    <w:name w:val="样式1"/>
    <w:basedOn w:val="7"/>
    <w:qFormat/>
    <w:uiPriority w:val="0"/>
    <w:pPr>
      <w:tabs>
        <w:tab w:val="left" w:pos="360"/>
      </w:tabs>
    </w:pPr>
    <w:rPr>
      <w:rFonts w:hAnsi="宋体"/>
      <w:bCs w:val="0"/>
    </w:rPr>
  </w:style>
  <w:style w:type="character" w:customStyle="1" w:styleId="179">
    <w:name w:val="樣式 (拉丁) 微軟正黑體 (中文) 微軟正黑體"/>
    <w:qFormat/>
    <w:uiPriority w:val="0"/>
    <w:rPr>
      <w:rFonts w:ascii="Microsoft JhengHei" w:hAnsi="Microsoft JhengHei" w:eastAsia="Microsoft JhengHei"/>
      <w:sz w:val="20"/>
    </w:rPr>
  </w:style>
  <w:style w:type="paragraph" w:customStyle="1" w:styleId="180">
    <w:name w:val="列出段落11"/>
    <w:basedOn w:val="1"/>
    <w:unhideWhenUsed/>
    <w:qFormat/>
    <w:uiPriority w:val="99"/>
    <w:pPr>
      <w:ind w:firstLine="420" w:firstLineChars="200"/>
    </w:pPr>
    <w:rPr>
      <w:rFonts w:ascii="Calibri" w:hAnsi="Calibri" w:cs="黑体"/>
      <w:szCs w:val="22"/>
    </w:rPr>
  </w:style>
  <w:style w:type="character" w:customStyle="1" w:styleId="181">
    <w:name w:val="标题 2 字符"/>
    <w:link w:val="4"/>
    <w:qFormat/>
    <w:uiPriority w:val="9"/>
    <w:rPr>
      <w:rFonts w:ascii="宋体" w:hAnsi="宋体"/>
      <w:bCs/>
      <w:kern w:val="2"/>
      <w:sz w:val="24"/>
      <w:szCs w:val="24"/>
    </w:rPr>
  </w:style>
  <w:style w:type="character" w:customStyle="1" w:styleId="182">
    <w:name w:val="正文编号） Char Char1"/>
    <w:qFormat/>
    <w:uiPriority w:val="0"/>
    <w:rPr>
      <w:rFonts w:eastAsia="宋体"/>
      <w:kern w:val="2"/>
      <w:sz w:val="21"/>
      <w:szCs w:val="24"/>
      <w:lang w:val="en-US" w:eastAsia="zh-CN" w:bidi="ar-SA"/>
    </w:rPr>
  </w:style>
  <w:style w:type="paragraph" w:customStyle="1" w:styleId="183">
    <w:name w:val="表格（编号）"/>
    <w:qFormat/>
    <w:uiPriority w:val="16"/>
    <w:pPr>
      <w:numPr>
        <w:ilvl w:val="0"/>
        <w:numId w:val="3"/>
      </w:numPr>
      <w:jc w:val="center"/>
    </w:pPr>
    <w:rPr>
      <w:rFonts w:ascii="Times New Roman" w:hAnsi="Times New Roman" w:eastAsia="宋体" w:cs="Times New Roman"/>
      <w:kern w:val="2"/>
      <w:sz w:val="21"/>
      <w:szCs w:val="22"/>
      <w:lang w:val="en-US" w:eastAsia="zh-CN" w:bidi="ar-SA"/>
    </w:rPr>
  </w:style>
  <w:style w:type="paragraph" w:customStyle="1" w:styleId="184">
    <w:name w:val="表格标题"/>
    <w:qFormat/>
    <w:uiPriority w:val="12"/>
    <w:pPr>
      <w:ind w:firstLine="420"/>
      <w:jc w:val="center"/>
    </w:pPr>
    <w:rPr>
      <w:rFonts w:ascii="黑体" w:hAnsi="宋体" w:eastAsia="黑体" w:cs="Times New Roman"/>
      <w:kern w:val="2"/>
      <w:sz w:val="28"/>
      <w:szCs w:val="21"/>
      <w:lang w:val="en-US" w:eastAsia="zh-CN" w:bidi="ar-SA"/>
    </w:rPr>
  </w:style>
  <w:style w:type="paragraph" w:customStyle="1" w:styleId="185">
    <w:name w:val="正文(表格)"/>
    <w:qFormat/>
    <w:uiPriority w:val="15"/>
    <w:pPr>
      <w:widowControl w:val="0"/>
      <w:snapToGrid w:val="0"/>
      <w:jc w:val="center"/>
    </w:pPr>
    <w:rPr>
      <w:rFonts w:ascii="Times New Roman" w:hAnsi="Times New Roman" w:eastAsia="宋体" w:cs="Arial"/>
      <w:spacing w:val="8"/>
      <w:sz w:val="21"/>
      <w:szCs w:val="18"/>
      <w:lang w:val="en-GB" w:eastAsia="zh-CN" w:bidi="ar-SA"/>
    </w:rPr>
  </w:style>
  <w:style w:type="paragraph" w:customStyle="1" w:styleId="186">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87">
    <w:name w:val="¨¨¡À¨º???¡À?"/>
    <w:basedOn w:val="1"/>
    <w:qFormat/>
    <w:uiPriority w:val="0"/>
    <w:pPr>
      <w:autoSpaceDE w:val="0"/>
      <w:autoSpaceDN w:val="0"/>
      <w:adjustRightInd w:val="0"/>
      <w:spacing w:line="360" w:lineRule="auto"/>
      <w:jc w:val="left"/>
    </w:pPr>
    <w:rPr>
      <w:kern w:val="0"/>
      <w:szCs w:val="21"/>
    </w:rPr>
  </w:style>
  <w:style w:type="character" w:customStyle="1" w:styleId="188">
    <w:name w:val="段 Char"/>
    <w:link w:val="84"/>
    <w:qFormat/>
    <w:uiPriority w:val="99"/>
    <w:rPr>
      <w:rFonts w:ascii="宋体"/>
      <w:sz w:val="21"/>
    </w:rPr>
  </w:style>
  <w:style w:type="paragraph" w:customStyle="1" w:styleId="189">
    <w:name w:val="字母编号列项（一级）"/>
    <w:qFormat/>
    <w:uiPriority w:val="0"/>
    <w:pPr>
      <w:jc w:val="both"/>
    </w:pPr>
    <w:rPr>
      <w:rFonts w:ascii="宋体" w:hAnsi="Times New Roman" w:eastAsia="宋体" w:cs="Times New Roman"/>
      <w:sz w:val="21"/>
      <w:lang w:val="en-US" w:eastAsia="zh-CN" w:bidi="ar-SA"/>
    </w:rPr>
  </w:style>
  <w:style w:type="character" w:customStyle="1" w:styleId="190">
    <w:name w:val="D2 Char Char"/>
    <w:link w:val="191"/>
    <w:qFormat/>
    <w:uiPriority w:val="0"/>
  </w:style>
  <w:style w:type="paragraph" w:customStyle="1" w:styleId="191">
    <w:name w:val="D2"/>
    <w:basedOn w:val="1"/>
    <w:link w:val="190"/>
    <w:qFormat/>
    <w:uiPriority w:val="0"/>
    <w:pPr>
      <w:topLinePunct/>
      <w:spacing w:line="312" w:lineRule="exact"/>
    </w:pPr>
    <w:rPr>
      <w:kern w:val="0"/>
      <w:sz w:val="20"/>
      <w:szCs w:val="20"/>
    </w:rPr>
  </w:style>
  <w:style w:type="paragraph" w:customStyle="1" w:styleId="192">
    <w:name w:val="图的脚注"/>
    <w:next w:val="84"/>
    <w:qFormat/>
    <w:uiPriority w:val="0"/>
    <w:pPr>
      <w:widowControl w:val="0"/>
      <w:numPr>
        <w:ilvl w:val="0"/>
        <w:numId w:val="4"/>
      </w:numPr>
      <w:ind w:left="840" w:leftChars="200" w:hanging="420" w:hangingChars="200"/>
      <w:jc w:val="both"/>
    </w:pPr>
    <w:rPr>
      <w:rFonts w:ascii="宋体" w:hAnsi="Times New Roman" w:eastAsia="宋体" w:cs="Times New Roman"/>
      <w:sz w:val="18"/>
      <w:lang w:val="en-US" w:eastAsia="zh-CN" w:bidi="ar-SA"/>
    </w:rPr>
  </w:style>
  <w:style w:type="paragraph" w:customStyle="1" w:styleId="193">
    <w:name w:val="术语标题"/>
    <w:basedOn w:val="1"/>
    <w:qFormat/>
    <w:uiPriority w:val="0"/>
    <w:pPr>
      <w:adjustRightInd w:val="0"/>
      <w:spacing w:line="320" w:lineRule="exact"/>
      <w:ind w:firstLine="422" w:firstLineChars="200"/>
      <w:jc w:val="left"/>
      <w:textAlignment w:val="baseline"/>
    </w:pPr>
    <w:rPr>
      <w:rFonts w:ascii="黑体" w:eastAsia="黑体"/>
      <w:kern w:val="0"/>
      <w:szCs w:val="20"/>
    </w:rPr>
  </w:style>
  <w:style w:type="paragraph" w:customStyle="1" w:styleId="194">
    <w:name w:val="OYT_GB_段_abc"/>
    <w:basedOn w:val="1"/>
    <w:link w:val="196"/>
    <w:qFormat/>
    <w:uiPriority w:val="0"/>
    <w:pPr>
      <w:numPr>
        <w:ilvl w:val="0"/>
        <w:numId w:val="5"/>
      </w:numPr>
      <w:jc w:val="left"/>
    </w:pPr>
    <w:rPr>
      <w:rFonts w:ascii="宋体" w:hAnsi="宋体"/>
      <w:szCs w:val="22"/>
    </w:rPr>
  </w:style>
  <w:style w:type="paragraph" w:customStyle="1" w:styleId="195">
    <w:name w:val="OYT_GB_段1）2）3）"/>
    <w:basedOn w:val="1"/>
    <w:link w:val="197"/>
    <w:qFormat/>
    <w:uiPriority w:val="0"/>
    <w:pPr>
      <w:numPr>
        <w:ilvl w:val="0"/>
        <w:numId w:val="6"/>
      </w:numPr>
      <w:jc w:val="left"/>
    </w:pPr>
    <w:rPr>
      <w:rFonts w:ascii="宋体" w:hAnsi="宋体"/>
      <w:szCs w:val="21"/>
    </w:rPr>
  </w:style>
  <w:style w:type="character" w:customStyle="1" w:styleId="196">
    <w:name w:val="OYT_GB_段_abc 字符"/>
    <w:link w:val="194"/>
    <w:qFormat/>
    <w:uiPriority w:val="0"/>
    <w:rPr>
      <w:rFonts w:ascii="宋体" w:hAnsi="宋体"/>
      <w:kern w:val="2"/>
      <w:sz w:val="21"/>
      <w:szCs w:val="22"/>
    </w:rPr>
  </w:style>
  <w:style w:type="character" w:customStyle="1" w:styleId="197">
    <w:name w:val="OYT_GB_段1）2）3） 字符"/>
    <w:link w:val="195"/>
    <w:qFormat/>
    <w:uiPriority w:val="0"/>
    <w:rPr>
      <w:rFonts w:ascii="宋体" w:hAnsi="宋体"/>
      <w:kern w:val="2"/>
      <w:sz w:val="21"/>
      <w:szCs w:val="21"/>
    </w:rPr>
  </w:style>
  <w:style w:type="paragraph" w:customStyle="1" w:styleId="198">
    <w:name w:val="OYT_GB_段"/>
    <w:basedOn w:val="1"/>
    <w:link w:val="199"/>
    <w:qFormat/>
    <w:uiPriority w:val="0"/>
    <w:pPr>
      <w:ind w:firstLine="420" w:firstLineChars="200"/>
      <w:jc w:val="left"/>
    </w:pPr>
    <w:rPr>
      <w:rFonts w:ascii="宋体" w:hAnsi="宋体"/>
      <w:color w:val="000000"/>
      <w:szCs w:val="22"/>
      <w:shd w:val="clear" w:color="auto" w:fill="FFFFFF"/>
      <w:lang w:eastAsia="zh-Hans"/>
    </w:rPr>
  </w:style>
  <w:style w:type="character" w:customStyle="1" w:styleId="199">
    <w:name w:val="OYT_GB_段 字符"/>
    <w:link w:val="198"/>
    <w:qFormat/>
    <w:uiPriority w:val="0"/>
    <w:rPr>
      <w:rFonts w:ascii="宋体" w:hAnsi="宋体"/>
      <w:color w:val="000000"/>
      <w:kern w:val="2"/>
      <w:sz w:val="21"/>
      <w:szCs w:val="22"/>
      <w:lang w:eastAsia="zh-Hans"/>
    </w:rPr>
  </w:style>
  <w:style w:type="paragraph" w:customStyle="1" w:styleId="200">
    <w:name w:val="注×：（正文）"/>
    <w:qFormat/>
    <w:uiPriority w:val="0"/>
    <w:pPr>
      <w:tabs>
        <w:tab w:val="left" w:pos="360"/>
      </w:tabs>
      <w:jc w:val="both"/>
    </w:pPr>
    <w:rPr>
      <w:rFonts w:ascii="黑体" w:hAnsi="仿宋" w:eastAsia="黑体" w:cs="Cambria Math"/>
      <w:sz w:val="18"/>
      <w:szCs w:val="18"/>
      <w:lang w:val="en-US" w:eastAsia="zh-CN" w:bidi="ar-SA"/>
    </w:rPr>
  </w:style>
  <w:style w:type="paragraph" w:styleId="201">
    <w:name w:val="List Paragraph"/>
    <w:basedOn w:val="1"/>
    <w:qFormat/>
    <w:uiPriority w:val="99"/>
    <w:pPr>
      <w:ind w:firstLine="420" w:firstLineChars="200"/>
    </w:pPr>
  </w:style>
  <w:style w:type="paragraph" w:customStyle="1" w:styleId="202">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03">
    <w:name w:val="TOC 标题2"/>
    <w:basedOn w:val="3"/>
    <w:next w:val="1"/>
    <w:unhideWhenUsed/>
    <w:qFormat/>
    <w:uiPriority w:val="39"/>
    <w:pPr>
      <w:widowControl/>
      <w:snapToGrid/>
      <w:spacing w:before="240" w:beforeLines="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04">
    <w:name w:val="表格"/>
    <w:basedOn w:val="1"/>
    <w:qFormat/>
    <w:uiPriority w:val="0"/>
    <w:pPr>
      <w:jc w:val="left"/>
    </w:pPr>
    <w:rPr>
      <w:szCs w:val="22"/>
    </w:rPr>
  </w:style>
  <w:style w:type="paragraph" w:customStyle="1" w:styleId="205">
    <w:name w:val="样式2"/>
    <w:basedOn w:val="4"/>
    <w:next w:val="2"/>
    <w:link w:val="206"/>
    <w:qFormat/>
    <w:uiPriority w:val="0"/>
    <w:pPr>
      <w:ind w:left="567" w:hanging="567"/>
    </w:pPr>
    <w:rPr>
      <w:rFonts w:eastAsiaTheme="majorEastAsia" w:cstheme="majorBidi"/>
      <w:b/>
      <w:sz w:val="21"/>
      <w:szCs w:val="21"/>
    </w:rPr>
  </w:style>
  <w:style w:type="character" w:customStyle="1" w:styleId="206">
    <w:name w:val="样式2 字符"/>
    <w:basedOn w:val="181"/>
    <w:link w:val="205"/>
    <w:qFormat/>
    <w:uiPriority w:val="0"/>
    <w:rPr>
      <w:rFonts w:ascii="宋体" w:hAnsi="宋体" w:eastAsiaTheme="majorEastAsia" w:cstheme="majorBidi"/>
      <w:b/>
      <w:kern w:val="2"/>
      <w:sz w:val="21"/>
      <w:szCs w:val="21"/>
    </w:rPr>
  </w:style>
  <w:style w:type="character" w:customStyle="1" w:styleId="207">
    <w:name w:val="font01"/>
    <w:basedOn w:val="38"/>
    <w:qFormat/>
    <w:uiPriority w:val="0"/>
    <w:rPr>
      <w:rFonts w:hint="eastAsia" w:ascii="宋体" w:hAnsi="宋体" w:eastAsia="宋体" w:cs="宋体"/>
      <w:color w:val="000000"/>
      <w:sz w:val="22"/>
      <w:szCs w:val="22"/>
      <w:u w:val="none"/>
    </w:rPr>
  </w:style>
  <w:style w:type="character" w:customStyle="1" w:styleId="208">
    <w:name w:val="font31"/>
    <w:basedOn w:val="38"/>
    <w:qFormat/>
    <w:uiPriority w:val="0"/>
    <w:rPr>
      <w:rFonts w:hint="default" w:ascii="Times New Roman" w:hAnsi="Times New Roman" w:cs="Times New Roman"/>
      <w:color w:val="000000"/>
      <w:sz w:val="21"/>
      <w:szCs w:val="21"/>
      <w:u w:val="none"/>
    </w:rPr>
  </w:style>
  <w:style w:type="paragraph" w:customStyle="1" w:styleId="209">
    <w:name w:val="ZS_D表 正文"/>
    <w:basedOn w:val="1"/>
    <w:qFormat/>
    <w:uiPriority w:val="0"/>
    <w:pPr>
      <w:snapToGrid w:val="0"/>
      <w:spacing w:before="50" w:beforeLines="50" w:line="360" w:lineRule="auto"/>
    </w:pPr>
    <w:rPr>
      <w:rFonts w:hAnsi="宋体"/>
      <w:sz w:val="18"/>
      <w:szCs w:val="21"/>
    </w:rPr>
  </w:style>
  <w:style w:type="character" w:customStyle="1" w:styleId="210">
    <w:name w:val="font11"/>
    <w:basedOn w:val="38"/>
    <w:qFormat/>
    <w:uiPriority w:val="0"/>
    <w:rPr>
      <w:rFonts w:hint="eastAsia" w:ascii="微软雅黑" w:hAnsi="微软雅黑" w:eastAsia="微软雅黑" w:cs="微软雅黑"/>
      <w:color w:val="000000"/>
      <w:sz w:val="20"/>
      <w:szCs w:val="20"/>
      <w:u w:val="none"/>
    </w:rPr>
  </w:style>
  <w:style w:type="character" w:customStyle="1" w:styleId="211">
    <w:name w:val="font21"/>
    <w:basedOn w:val="38"/>
    <w:qFormat/>
    <w:uiPriority w:val="0"/>
    <w:rPr>
      <w:rFonts w:hint="eastAsia" w:ascii="微软雅黑" w:hAnsi="微软雅黑" w:eastAsia="微软雅黑" w:cs="微软雅黑"/>
      <w:color w:val="000000"/>
      <w:sz w:val="20"/>
      <w:szCs w:val="20"/>
      <w:u w:val="none"/>
    </w:rPr>
  </w:style>
  <w:style w:type="character" w:customStyle="1" w:styleId="212">
    <w:name w:val="font41"/>
    <w:basedOn w:val="38"/>
    <w:qFormat/>
    <w:uiPriority w:val="0"/>
    <w:rPr>
      <w:rFonts w:hint="eastAsia" w:ascii="微软雅黑" w:hAnsi="微软雅黑" w:eastAsia="微软雅黑" w:cs="微软雅黑"/>
      <w:color w:val="FF0000"/>
      <w:sz w:val="20"/>
      <w:szCs w:val="20"/>
      <w:u w:val="none"/>
    </w:rPr>
  </w:style>
  <w:style w:type="character" w:customStyle="1" w:styleId="213">
    <w:name w:val="font51"/>
    <w:basedOn w:val="38"/>
    <w:qFormat/>
    <w:uiPriority w:val="0"/>
    <w:rPr>
      <w:rFonts w:hint="eastAsia" w:ascii="宋体" w:hAnsi="宋体" w:eastAsia="宋体" w:cs="宋体"/>
      <w:color w:val="000000"/>
      <w:sz w:val="24"/>
      <w:szCs w:val="24"/>
      <w:u w:val="none"/>
    </w:rPr>
  </w:style>
  <w:style w:type="character" w:customStyle="1" w:styleId="214">
    <w:name w:val="font61"/>
    <w:basedOn w:val="38"/>
    <w:qFormat/>
    <w:uiPriority w:val="0"/>
    <w:rPr>
      <w:rFonts w:hint="default" w:ascii="Times New Roman" w:hAnsi="Times New Roman" w:cs="Times New Roman"/>
      <w:color w:val="000000"/>
      <w:sz w:val="24"/>
      <w:szCs w:val="24"/>
      <w:u w:val="none"/>
    </w:rPr>
  </w:style>
  <w:style w:type="character" w:customStyle="1" w:styleId="215">
    <w:name w:val="font141"/>
    <w:basedOn w:val="38"/>
    <w:qFormat/>
    <w:uiPriority w:val="0"/>
    <w:rPr>
      <w:rFonts w:hint="eastAsia" w:ascii="宋体" w:hAnsi="宋体" w:eastAsia="宋体" w:cs="宋体"/>
      <w:color w:val="FF0000"/>
      <w:sz w:val="24"/>
      <w:szCs w:val="24"/>
      <w:u w:val="none"/>
    </w:rPr>
  </w:style>
  <w:style w:type="character" w:customStyle="1" w:styleId="216">
    <w:name w:val="font112"/>
    <w:basedOn w:val="38"/>
    <w:qFormat/>
    <w:uiPriority w:val="0"/>
    <w:rPr>
      <w:rFonts w:hint="default" w:ascii="Times New Roman" w:hAnsi="Times New Roman" w:cs="Times New Roman"/>
      <w:color w:val="FF0000"/>
      <w:sz w:val="24"/>
      <w:szCs w:val="24"/>
      <w:u w:val="none"/>
    </w:rPr>
  </w:style>
  <w:style w:type="character" w:customStyle="1" w:styleId="217">
    <w:name w:val="font121"/>
    <w:basedOn w:val="38"/>
    <w:qFormat/>
    <w:uiPriority w:val="0"/>
    <w:rPr>
      <w:rFonts w:hint="default" w:ascii="Times New Roman" w:hAnsi="Times New Roman" w:cs="Times New Roman"/>
      <w:color w:val="000000"/>
      <w:sz w:val="21"/>
      <w:szCs w:val="21"/>
      <w:u w:val="none"/>
    </w:rPr>
  </w:style>
  <w:style w:type="paragraph" w:customStyle="1" w:styleId="218">
    <w:name w:val="国标3级"/>
    <w:basedOn w:val="1"/>
    <w:semiHidden/>
    <w:qFormat/>
    <w:uiPriority w:val="0"/>
    <w:pPr>
      <w:snapToGrid w:val="0"/>
      <w:spacing w:line="312" w:lineRule="exact"/>
    </w:pPr>
    <w:rPr>
      <w:rFonts w:ascii="宋体" w:hAnsi="宋体" w:eastAsia="宋体" w:cs="Times New Roman"/>
      <w:color w:val="000000"/>
      <w:szCs w:val="20"/>
    </w:rPr>
  </w:style>
  <w:style w:type="paragraph" w:customStyle="1" w:styleId="219">
    <w:name w:val="正文段落"/>
    <w:basedOn w:val="35"/>
    <w:qFormat/>
    <w:uiPriority w:val="0"/>
    <w:pPr>
      <w:spacing w:beforeLines="50" w:after="0"/>
      <w:jc w:val="center"/>
    </w:pPr>
    <w:rPr>
      <w:rFonts w:ascii="Times New Roman" w:hAnsi="Times New Roman" w:eastAsia="宋体" w:cs="Times New Roman"/>
      <w:color w:val="00000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C86A27-6277-4D40-BB35-647384C23819}">
  <ds:schemaRefs/>
</ds:datastoreItem>
</file>

<file path=docProps/app.xml><?xml version="1.0" encoding="utf-8"?>
<Properties xmlns="http://schemas.openxmlformats.org/officeDocument/2006/extended-properties" xmlns:vt="http://schemas.openxmlformats.org/officeDocument/2006/docPropsVTypes">
  <Template>Normal</Template>
  <Pages>25</Pages>
  <Words>4863</Words>
  <Characters>5722</Characters>
  <Lines>278</Lines>
  <Paragraphs>229</Paragraphs>
  <TotalTime>10</TotalTime>
  <ScaleCrop>false</ScaleCrop>
  <LinksUpToDate>false</LinksUpToDate>
  <CharactersWithSpaces>5845</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2025-05-30T09:21:00Z</dcterms:created>
  <dc:creator>tongng</dc:creator>
  <cp:lastModifiedBy>wx-liuxiaojiang</cp:lastModifiedBy>
  <cp:lastPrinted>2015-04-18T01:00:00Z</cp:lastPrinted>
  <dcterms:modified xsi:type="dcterms:W3CDTF">2026-09-11T11:13:42Z</dcterms:modified>
  <dc:title> </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2052-11.8.2.12313</vt:lpwstr>
  </property>
  <property fmtid="{D5CDD505-2E9C-101B-9397-08002B2CF9AE}" pid="4" name="_2015_ms_pID_725343">
    <vt:lpwstr>(3)/b7EMOX1OKtTosvw+BwndAxEoAUfC8GlV4z31oDdN9xIHqwnuAW8OUuNB2Qo4nO+UD7ZiQMn_x000d_
d5DgTChcIZqpRJTdPOOn1gNAWtMSH/kjehI7YF7ep0u/cJGAglBUPDxj684VB+JclSYA3SV2_x000d_
obOZhV4lZ/Uco5JWYk/a8TKkkHHKdS2o3WYcioe2XrtTDzZhQfKjcetT4NdYujepllOay/Jv_x000d_
sI3QbmMNAjOeHlld7j</vt:lpwstr>
  </property>
  <property fmtid="{D5CDD505-2E9C-101B-9397-08002B2CF9AE}" pid="5" name="_2015_ms_pID_7253431">
    <vt:lpwstr>2C17k5OT3C5eIsngxobdkYMijG1Dh8Dfi8wdi0xrS2DlwcH9HSFefp_x000d_
uHohrKwR1oRHBZnRfA33L7mQDRlLMqWXxkEcciKXkelhsTSqVUJpCHX1/+j2F1YN08cwjDo8_x000d_
K4NSg7veZtSXthv55wKyq47DShN4v/VIOgwJxgk1FOQM+ACsgITM0w16ZomevBXpEIPB8j03_x000d_
C9+G0Kq+dETfAtY4RJxODJS71uVs95AZBDp6</vt:lpwstr>
  </property>
  <property fmtid="{D5CDD505-2E9C-101B-9397-08002B2CF9AE}" pid="6" name="_2015_ms_pID_7253432">
    <vt:lpwstr>GQ==</vt:lpwstr>
  </property>
  <property fmtid="{D5CDD505-2E9C-101B-9397-08002B2CF9AE}" pid="7" name="_readonly">
    <vt:lpwstr/>
  </property>
  <property fmtid="{D5CDD505-2E9C-101B-9397-08002B2CF9AE}" pid="8" name="_change">
    <vt:lpwstr/>
  </property>
  <property fmtid="{D5CDD505-2E9C-101B-9397-08002B2CF9AE}" pid="9" name="_full-control">
    <vt:lpwstr/>
  </property>
  <property fmtid="{D5CDD505-2E9C-101B-9397-08002B2CF9AE}" pid="10" name="sflag">
    <vt:lpwstr>1555483108</vt:lpwstr>
  </property>
  <property fmtid="{D5CDD505-2E9C-101B-9397-08002B2CF9AE}" pid="11" name="ICV">
    <vt:lpwstr>36B74499F1344CCBB4D125C33F0A0A31_13</vt:lpwstr>
  </property>
  <property fmtid="{D5CDD505-2E9C-101B-9397-08002B2CF9AE}" pid="12" name="KSOTemplateDocerSaveRecord">
    <vt:lpwstr>eyJoZGlkIjoiNjVkOWNhMmQ5MzU4NDBiMzdhYjEwOTU1MDBlNzYyZjUiLCJ1c2VySWQiOiIxNjYxODU1NTkzIn0=</vt:lpwstr>
  </property>
</Properties>
</file>