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r>
        <w:rPr>
          <w:rFonts w:hint="eastAsia"/>
          <w:b/>
          <w:sz w:val="32"/>
          <w:szCs w:val="32"/>
        </w:rPr>
        <w:t>南方电网科学研究院有限责任公司</w:t>
      </w:r>
    </w:p>
    <w:p>
      <w:pPr>
        <w:jc w:val="center"/>
        <w:rPr>
          <w:b/>
          <w:sz w:val="32"/>
          <w:szCs w:val="32"/>
        </w:rPr>
      </w:pPr>
      <w:r>
        <w:rPr>
          <w:rFonts w:hint="eastAsia"/>
          <w:b/>
          <w:sz w:val="32"/>
          <w:szCs w:val="32"/>
          <w:lang w:val="en-US" w:eastAsia="zh-CN"/>
        </w:rPr>
        <w:t>基于国产软硬件的多物理场求解算法大规模并行计算测试</w:t>
      </w:r>
      <w:r>
        <w:rPr>
          <w:rFonts w:hint="eastAsia"/>
          <w:b/>
          <w:sz w:val="32"/>
          <w:szCs w:val="32"/>
        </w:rPr>
        <w:t>零星采购技术附件</w:t>
      </w:r>
    </w:p>
    <w:p>
      <w:pPr>
        <w:pStyle w:val="12"/>
        <w:numPr>
          <w:ilvl w:val="0"/>
          <w:numId w:val="1"/>
        </w:numPr>
        <w:ind w:firstLineChars="0"/>
        <w:outlineLvl w:val="0"/>
        <w:rPr>
          <w:rFonts w:hint="eastAsia" w:ascii="仿宋_GB2312" w:hAnsi="宋体" w:eastAsia="仿宋_GB2312"/>
          <w:b/>
          <w:sz w:val="28"/>
          <w:szCs w:val="28"/>
        </w:rPr>
      </w:pPr>
      <w:r>
        <w:rPr>
          <w:rFonts w:hint="eastAsia" w:ascii="仿宋_GB2312" w:hAnsi="宋体" w:eastAsia="仿宋_GB2312"/>
          <w:b/>
          <w:sz w:val="28"/>
          <w:szCs w:val="28"/>
        </w:rPr>
        <w:t>采购范围及要求</w:t>
      </w:r>
    </w:p>
    <w:p>
      <w:pPr>
        <w:spacing w:line="360" w:lineRule="auto"/>
        <w:ind w:firstLine="560" w:firstLineChars="200"/>
        <w:rPr>
          <w:rFonts w:hint="default" w:ascii="仿宋" w:hAnsi="仿宋" w:eastAsia="仿宋"/>
          <w:sz w:val="28"/>
          <w:szCs w:val="28"/>
          <w:lang w:val="en-US" w:eastAsia="zh-CN"/>
        </w:rPr>
      </w:pPr>
      <w:r>
        <w:rPr>
          <w:rFonts w:hint="eastAsia" w:ascii="仿宋" w:hAnsi="仿宋" w:eastAsia="仿宋"/>
          <w:sz w:val="28"/>
          <w:szCs w:val="28"/>
        </w:rPr>
        <w:t>按照T</w:t>
      </w:r>
      <w:r>
        <w:rPr>
          <w:rFonts w:ascii="仿宋" w:hAnsi="仿宋" w:eastAsia="仿宋"/>
          <w:sz w:val="28"/>
          <w:szCs w:val="28"/>
        </w:rPr>
        <w:t>RS</w:t>
      </w:r>
      <w:r>
        <w:rPr>
          <w:rFonts w:hint="eastAsia" w:ascii="仿宋" w:hAnsi="仿宋" w:eastAsia="仿宋"/>
          <w:sz w:val="28"/>
          <w:szCs w:val="28"/>
        </w:rPr>
        <w:t>im</w:t>
      </w:r>
      <w:r>
        <w:rPr>
          <w:rFonts w:hint="eastAsia" w:ascii="仿宋" w:hAnsi="仿宋" w:eastAsia="仿宋"/>
          <w:sz w:val="28"/>
          <w:szCs w:val="28"/>
          <w:lang w:eastAsia="zh-CN"/>
        </w:rPr>
        <w:t>多物理场计算基础软件</w:t>
      </w:r>
      <w:r>
        <w:rPr>
          <w:rFonts w:hint="eastAsia" w:ascii="仿宋" w:hAnsi="仿宋" w:eastAsia="仿宋"/>
          <w:sz w:val="28"/>
          <w:szCs w:val="28"/>
          <w:lang w:val="en-US" w:eastAsia="zh-CN"/>
        </w:rPr>
        <w:t>研发规划</w:t>
      </w:r>
      <w:r>
        <w:rPr>
          <w:rFonts w:hint="eastAsia" w:ascii="仿宋" w:hAnsi="仿宋" w:eastAsia="仿宋"/>
          <w:sz w:val="28"/>
          <w:szCs w:val="28"/>
        </w:rPr>
        <w:t>的要求，开展</w:t>
      </w:r>
      <w:r>
        <w:rPr>
          <w:rFonts w:hint="eastAsia" w:ascii="仿宋" w:hAnsi="仿宋" w:eastAsia="仿宋"/>
          <w:sz w:val="28"/>
          <w:szCs w:val="28"/>
          <w:lang w:val="en-US" w:eastAsia="zh-CN"/>
        </w:rPr>
        <w:t>适配国产软硬件平台的</w:t>
      </w:r>
      <w:r>
        <w:rPr>
          <w:rFonts w:hint="eastAsia" w:ascii="仿宋" w:hAnsi="仿宋" w:eastAsia="仿宋"/>
          <w:sz w:val="28"/>
          <w:szCs w:val="28"/>
          <w:lang w:eastAsia="zh-CN"/>
        </w:rPr>
        <w:t>多物理场求解算法</w:t>
      </w:r>
      <w:r>
        <w:rPr>
          <w:rFonts w:hint="eastAsia" w:ascii="仿宋" w:hAnsi="仿宋" w:eastAsia="仿宋"/>
          <w:sz w:val="28"/>
          <w:szCs w:val="28"/>
          <w:lang w:val="en-US" w:eastAsia="zh-CN"/>
        </w:rPr>
        <w:t>大规模并行计算能力测试。</w:t>
      </w:r>
      <w:bookmarkStart w:id="0" w:name="_GoBack"/>
      <w:bookmarkEnd w:id="0"/>
    </w:p>
    <w:p>
      <w:pPr>
        <w:numPr>
          <w:ilvl w:val="0"/>
          <w:numId w:val="0"/>
        </w:numPr>
        <w:spacing w:line="360" w:lineRule="auto"/>
        <w:ind w:left="0" w:leftChars="0" w:firstLine="560" w:firstLineChars="200"/>
        <w:rPr>
          <w:rFonts w:hint="eastAsia" w:ascii="仿宋" w:hAnsi="仿宋" w:eastAsia="仿宋"/>
          <w:sz w:val="28"/>
          <w:szCs w:val="28"/>
        </w:rPr>
      </w:pPr>
      <w:r>
        <w:rPr>
          <w:rFonts w:hint="eastAsia" w:ascii="仿宋" w:hAnsi="仿宋" w:eastAsia="仿宋"/>
          <w:sz w:val="28"/>
          <w:szCs w:val="28"/>
          <w:lang w:val="en-US" w:eastAsia="zh-CN"/>
        </w:rPr>
        <w:t>1、</w:t>
      </w:r>
      <w:r>
        <w:rPr>
          <w:rFonts w:hint="eastAsia" w:ascii="仿宋" w:hAnsi="仿宋" w:eastAsia="仿宋"/>
          <w:sz w:val="28"/>
          <w:szCs w:val="28"/>
        </w:rPr>
        <w:t>具体</w:t>
      </w:r>
      <w:r>
        <w:rPr>
          <w:rFonts w:hint="eastAsia" w:ascii="仿宋" w:hAnsi="仿宋" w:eastAsia="仿宋"/>
          <w:sz w:val="28"/>
          <w:szCs w:val="28"/>
          <w:lang w:val="en-US" w:eastAsia="zh-CN"/>
        </w:rPr>
        <w:t>采购范围及要求</w:t>
      </w:r>
      <w:r>
        <w:rPr>
          <w:rFonts w:hint="eastAsia" w:ascii="仿宋" w:hAnsi="仿宋" w:eastAsia="仿宋"/>
          <w:sz w:val="28"/>
          <w:szCs w:val="28"/>
        </w:rPr>
        <w:t>：</w:t>
      </w:r>
    </w:p>
    <w:p>
      <w:pPr>
        <w:spacing w:line="560" w:lineRule="exact"/>
        <w:ind w:firstLine="560" w:firstLineChars="200"/>
        <w:rPr>
          <w:rFonts w:hint="eastAsia" w:ascii="仿宋" w:hAnsi="仿宋" w:eastAsia="仿宋" w:cs="Times New Roman"/>
          <w:color w:val="auto"/>
          <w:kern w:val="2"/>
          <w:sz w:val="28"/>
          <w:szCs w:val="28"/>
          <w:lang w:val="en-US" w:eastAsia="zh-CN" w:bidi="ar-SA"/>
        </w:rPr>
      </w:pPr>
      <w:r>
        <w:rPr>
          <w:rFonts w:hint="eastAsia" w:ascii="仿宋_GB2312" w:hAnsi="仿宋_GB2312" w:eastAsia="仿宋_GB2312" w:cs="仿宋_GB2312"/>
          <w:b w:val="0"/>
          <w:bCs/>
          <w:i w:val="0"/>
          <w:iCs/>
          <w:color w:val="auto"/>
          <w:kern w:val="2"/>
          <w:sz w:val="28"/>
          <w:szCs w:val="28"/>
          <w:highlight w:val="none"/>
          <w:u w:val="none"/>
          <w:lang w:val="en-US" w:eastAsia="zh-CN" w:bidi="ar-SA"/>
        </w:rPr>
        <w:t>本项目采购范围为基于国产软硬件高性能计算平台的多物理场求解算法测试服务，多物理场求解算法的</w:t>
      </w:r>
      <w:r>
        <w:rPr>
          <w:rFonts w:hint="eastAsia" w:ascii="仿宋" w:hAnsi="仿宋" w:eastAsia="仿宋" w:cs="Times New Roman"/>
          <w:color w:val="auto"/>
          <w:kern w:val="2"/>
          <w:sz w:val="28"/>
          <w:szCs w:val="28"/>
          <w:lang w:val="en-US" w:eastAsia="zh-CN" w:bidi="ar-SA"/>
        </w:rPr>
        <w:t>主要测试内容如下：</w:t>
      </w:r>
    </w:p>
    <w:tbl>
      <w:tblPr>
        <w:tblStyle w:val="8"/>
        <w:tblW w:w="345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696"/>
        <w:gridCol w:w="571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序号</w:t>
            </w:r>
          </w:p>
        </w:tc>
        <w:tc>
          <w:tcPr>
            <w:tcW w:w="4457"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主要测试内容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1</w:t>
            </w:r>
          </w:p>
        </w:tc>
        <w:tc>
          <w:tcPr>
            <w:tcW w:w="4457" w:type="pct"/>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电磁频域复对称矩阵求解算法的性能测试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2</w:t>
            </w:r>
          </w:p>
        </w:tc>
        <w:tc>
          <w:tcPr>
            <w:tcW w:w="4457" w:type="pct"/>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电磁矢量有限元稀疏阵求解算法的性能测试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3</w:t>
            </w:r>
          </w:p>
        </w:tc>
        <w:tc>
          <w:tcPr>
            <w:tcW w:w="4457" w:type="pct"/>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电磁边界元稠密非对称阵求解算法的性能测试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4</w:t>
            </w:r>
          </w:p>
        </w:tc>
        <w:tc>
          <w:tcPr>
            <w:tcW w:w="4457" w:type="pct"/>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结构刚度、质量对称正定阵求解算法的性能测试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5</w:t>
            </w:r>
          </w:p>
        </w:tc>
        <w:tc>
          <w:tcPr>
            <w:tcW w:w="4457" w:type="pct"/>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结构阻尼对称半正定阵求解算法的性能测试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6</w:t>
            </w:r>
          </w:p>
        </w:tc>
        <w:tc>
          <w:tcPr>
            <w:tcW w:w="4457" w:type="pct"/>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流体对流占优非对称阵求解算法的性能测试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rPr>
          <w:trHeight w:val="312" w:hRule="atLeast"/>
          <w:jc w:val="center"/>
        </w:trPr>
        <w:tc>
          <w:tcPr>
            <w:tcW w:w="542" w:type="pct"/>
            <w:shd w:val="clear" w:color="auto" w:fill="auto"/>
            <w:noWrap/>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color w:val="000000"/>
                <w:kern w:val="0"/>
                <w:sz w:val="24"/>
                <w:szCs w:val="24"/>
                <w:u w:val="none"/>
                <w:lang w:val="en-US" w:eastAsia="zh-CN" w:bidi="ar"/>
              </w:rPr>
              <w:t>7</w:t>
            </w:r>
          </w:p>
        </w:tc>
        <w:tc>
          <w:tcPr>
            <w:tcW w:w="4457" w:type="pct"/>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sz w:val="24"/>
                <w:szCs w:val="24"/>
                <w:u w:val="none"/>
                <w:lang w:val="en-US" w:eastAsia="zh-CN"/>
              </w:rPr>
            </w:pPr>
            <w:r>
              <w:rPr>
                <w:rFonts w:hint="eastAsia" w:ascii="仿宋" w:hAnsi="仿宋" w:eastAsia="仿宋" w:cs="仿宋"/>
                <w:i w:val="0"/>
                <w:iCs w:val="0"/>
                <w:color w:val="000000"/>
                <w:sz w:val="24"/>
                <w:szCs w:val="24"/>
                <w:u w:val="none"/>
                <w:lang w:val="en-US" w:eastAsia="zh-CN"/>
              </w:rPr>
              <w:t>ILU，bJacobi,AMG三类预处理子的性能测试</w:t>
            </w:r>
          </w:p>
        </w:tc>
      </w:tr>
    </w:tbl>
    <w:p>
      <w:pPr>
        <w:numPr>
          <w:ilvl w:val="0"/>
          <w:numId w:val="0"/>
        </w:numPr>
        <w:spacing w:line="360" w:lineRule="auto"/>
        <w:ind w:left="0" w:firstLine="560" w:firstLineChars="200"/>
        <w:rPr>
          <w:rFonts w:hint="eastAsia" w:ascii="仿宋" w:hAnsi="仿宋" w:eastAsia="仿宋" w:cs="Times New Roman"/>
          <w:b w:val="0"/>
          <w:bCs w:val="0"/>
          <w:i w:val="0"/>
          <w:iCs w:val="0"/>
          <w:color w:val="auto"/>
          <w:kern w:val="2"/>
          <w:sz w:val="28"/>
          <w:szCs w:val="28"/>
          <w:highlight w:val="none"/>
          <w:u w:val="none"/>
          <w:lang w:val="en-US" w:eastAsia="zh-CN" w:bidi="ar-SA"/>
        </w:rPr>
      </w:pPr>
      <w:r>
        <w:rPr>
          <w:rFonts w:hint="eastAsia" w:ascii="仿宋" w:hAnsi="仿宋" w:eastAsia="仿宋" w:cs="Times New Roman"/>
          <w:b w:val="0"/>
          <w:bCs w:val="0"/>
          <w:i w:val="0"/>
          <w:iCs w:val="0"/>
          <w:color w:val="auto"/>
          <w:kern w:val="2"/>
          <w:sz w:val="28"/>
          <w:szCs w:val="28"/>
          <w:highlight w:val="none"/>
          <w:u w:val="none"/>
          <w:lang w:val="en-US" w:eastAsia="zh-CN" w:bidi="ar-SA"/>
        </w:rPr>
        <w:t>技术要求包括：</w:t>
      </w:r>
    </w:p>
    <w:p>
      <w:pPr>
        <w:pStyle w:val="2"/>
        <w:ind w:firstLine="560" w:firstLineChars="200"/>
        <w:rPr>
          <w:rFonts w:hint="eastAsia" w:ascii="仿宋_GB2312" w:hAnsi="仿宋_GB2312" w:eastAsia="仿宋_GB2312" w:cs="仿宋_GB2312"/>
          <w:b w:val="0"/>
          <w:bCs/>
          <w:i w:val="0"/>
          <w:iCs/>
          <w:color w:val="auto"/>
          <w:kern w:val="2"/>
          <w:sz w:val="28"/>
          <w:szCs w:val="28"/>
          <w:highlight w:val="none"/>
          <w:u w:val="none"/>
          <w:lang w:val="en-US" w:eastAsia="zh-CN" w:bidi="ar-SA"/>
        </w:rPr>
      </w:pPr>
      <w:r>
        <w:rPr>
          <w:rFonts w:hint="eastAsia" w:ascii="仿宋_GB2312" w:hAnsi="仿宋_GB2312" w:eastAsia="仿宋_GB2312" w:cs="仿宋_GB2312"/>
          <w:b w:val="0"/>
          <w:bCs/>
          <w:i w:val="0"/>
          <w:iCs/>
          <w:color w:val="auto"/>
          <w:kern w:val="2"/>
          <w:sz w:val="28"/>
          <w:szCs w:val="28"/>
          <w:highlight w:val="none"/>
          <w:u w:val="none"/>
          <w:lang w:val="en-US" w:eastAsia="zh-CN" w:bidi="ar-SA"/>
        </w:rPr>
        <w:t>（1）多物理场求解算法运行环境配置：支持VPN连接方式及服务器远程登录；包括但不限于SLURM、多瑙等作业调度系统；包括但不限于OpenMPI、HyperMPI等MPI实现工具; 包括但不限于GCC、毕昇等代码编译器；包括但不限于CMake构建工具生成器；具备PETSc矩阵求解程序包及相应支撑软件；支持VS Code 远程连接。</w:t>
      </w:r>
    </w:p>
    <w:p>
      <w:pPr>
        <w:pStyle w:val="2"/>
        <w:ind w:firstLine="560" w:firstLineChars="200"/>
        <w:rPr>
          <w:rFonts w:hint="default" w:ascii="仿宋_GB2312" w:hAnsi="仿宋_GB2312" w:eastAsia="仿宋_GB2312" w:cs="仿宋_GB2312"/>
          <w:b w:val="0"/>
          <w:bCs/>
          <w:i w:val="0"/>
          <w:iCs/>
          <w:color w:val="auto"/>
          <w:kern w:val="2"/>
          <w:sz w:val="28"/>
          <w:szCs w:val="28"/>
          <w:highlight w:val="none"/>
          <w:u w:val="none"/>
          <w:lang w:val="en-US" w:eastAsia="zh-CN" w:bidi="ar-SA"/>
        </w:rPr>
      </w:pPr>
      <w:r>
        <w:rPr>
          <w:rFonts w:hint="eastAsia" w:ascii="仿宋_GB2312" w:hAnsi="仿宋_GB2312" w:eastAsia="仿宋_GB2312" w:cs="仿宋_GB2312"/>
          <w:b w:val="0"/>
          <w:bCs/>
          <w:i w:val="0"/>
          <w:iCs/>
          <w:color w:val="auto"/>
          <w:kern w:val="2"/>
          <w:sz w:val="28"/>
          <w:szCs w:val="28"/>
          <w:highlight w:val="none"/>
          <w:u w:val="none"/>
          <w:lang w:val="en-US" w:eastAsia="zh-CN" w:bidi="ar-SA"/>
        </w:rPr>
        <w:t>（2）测试硬件环境：国产软硬件测试环境，提供不低于5,000,000（5百万）核时的多物理场求解算法测试条件，单计算节点双精度浮点数向量算力不小于16T FLOPS，计算节点CPU应包含高带宽内存（HBM），最大并行规模不小于10000计算节点。</w:t>
      </w:r>
    </w:p>
    <w:p>
      <w:pPr>
        <w:pStyle w:val="2"/>
        <w:ind w:firstLine="560" w:firstLineChars="200"/>
        <w:rPr>
          <w:rFonts w:hint="eastAsia" w:ascii="仿宋_GB2312" w:hAnsi="仿宋_GB2312" w:eastAsia="仿宋_GB2312" w:cs="仿宋_GB2312"/>
          <w:b w:val="0"/>
          <w:bCs/>
          <w:i w:val="0"/>
          <w:iCs/>
          <w:color w:val="auto"/>
          <w:kern w:val="2"/>
          <w:sz w:val="28"/>
          <w:szCs w:val="28"/>
          <w:highlight w:val="none"/>
          <w:u w:val="none"/>
          <w:lang w:val="en-US" w:eastAsia="zh-CN" w:bidi="ar-SA"/>
        </w:rPr>
      </w:pPr>
      <w:r>
        <w:rPr>
          <w:rFonts w:hint="eastAsia" w:ascii="仿宋_GB2312" w:hAnsi="仿宋_GB2312" w:eastAsia="仿宋_GB2312" w:cs="仿宋_GB2312"/>
          <w:b w:val="0"/>
          <w:bCs/>
          <w:i w:val="0"/>
          <w:iCs/>
          <w:color w:val="auto"/>
          <w:kern w:val="2"/>
          <w:sz w:val="28"/>
          <w:szCs w:val="28"/>
          <w:highlight w:val="none"/>
          <w:u w:val="none"/>
          <w:lang w:val="en-US" w:eastAsia="zh-CN" w:bidi="ar-SA"/>
        </w:rPr>
        <w:t>（3）测试过程要求：针对上表中的主要测试内容，分别开展求解算法的求解速度、内存使用等性能测试，以及预处理子的加速迭代收敛性能测试，逐项记录测试过程数据并形成过程文档。</w:t>
      </w:r>
    </w:p>
    <w:p>
      <w:pPr>
        <w:pStyle w:val="2"/>
        <w:ind w:firstLine="560" w:firstLineChars="200"/>
        <w:rPr>
          <w:rFonts w:hint="eastAsia" w:ascii="仿宋_GB2312" w:hAnsi="仿宋_GB2312" w:eastAsia="仿宋_GB2312" w:cs="仿宋_GB2312"/>
          <w:bCs/>
          <w:iCs/>
          <w:color w:val="auto"/>
          <w:kern w:val="2"/>
          <w:sz w:val="28"/>
          <w:szCs w:val="28"/>
          <w:highlight w:val="none"/>
          <w:u w:val="none"/>
          <w:lang w:val="en-US" w:eastAsia="zh-CN"/>
        </w:rPr>
      </w:pPr>
      <w:r>
        <w:rPr>
          <w:rFonts w:hint="eastAsia" w:ascii="仿宋_GB2312" w:hAnsi="仿宋_GB2312" w:eastAsia="仿宋_GB2312" w:cs="仿宋_GB2312"/>
          <w:b w:val="0"/>
          <w:bCs/>
          <w:i w:val="0"/>
          <w:iCs/>
          <w:color w:val="auto"/>
          <w:kern w:val="2"/>
          <w:sz w:val="28"/>
          <w:szCs w:val="28"/>
          <w:highlight w:val="none"/>
          <w:u w:val="none"/>
          <w:lang w:val="en-US" w:eastAsia="zh-CN" w:bidi="ar-SA"/>
        </w:rPr>
        <w:t>（4）测试成果交付要求：提交经审核盖章的《适配国产软硬件的多物理场求解算法大规模并行计算能力测试报告》1份，报告内容应至少包括上述7项测试内容的测试结果，并提交测试过程全套文档和数据记录。</w:t>
      </w:r>
    </w:p>
    <w:p>
      <w:pPr>
        <w:pStyle w:val="2"/>
        <w:ind w:firstLine="560" w:firstLineChars="200"/>
        <w:rPr>
          <w:rFonts w:hint="default" w:ascii="仿宋_GB2312" w:hAnsi="仿宋_GB2312" w:eastAsia="仿宋_GB2312" w:cs="仿宋_GB2312"/>
          <w:b w:val="0"/>
          <w:bCs/>
          <w:i w:val="0"/>
          <w:iCs/>
          <w:color w:val="auto"/>
          <w:kern w:val="2"/>
          <w:sz w:val="28"/>
          <w:szCs w:val="28"/>
          <w:highlight w:val="none"/>
          <w:u w:val="none"/>
          <w:lang w:val="en-US" w:eastAsia="zh-CN" w:bidi="ar-SA"/>
        </w:rPr>
      </w:pPr>
      <w:r>
        <w:rPr>
          <w:rFonts w:hint="eastAsia" w:ascii="仿宋_GB2312" w:hAnsi="仿宋_GB2312" w:eastAsia="仿宋_GB2312" w:cs="仿宋_GB2312"/>
          <w:b w:val="0"/>
          <w:bCs/>
          <w:i w:val="0"/>
          <w:iCs/>
          <w:color w:val="auto"/>
          <w:kern w:val="2"/>
          <w:sz w:val="28"/>
          <w:szCs w:val="28"/>
          <w:highlight w:val="none"/>
          <w:u w:val="none"/>
          <w:lang w:val="en-US" w:eastAsia="zh-CN" w:bidi="ar-SA"/>
        </w:rPr>
        <w:t>（5）技术支持要求</w:t>
      </w:r>
      <w:r>
        <w:rPr>
          <w:rFonts w:hint="default" w:ascii="仿宋_GB2312" w:hAnsi="仿宋_GB2312" w:eastAsia="仿宋_GB2312" w:cs="仿宋_GB2312"/>
          <w:b w:val="0"/>
          <w:bCs/>
          <w:i w:val="0"/>
          <w:iCs/>
          <w:color w:val="auto"/>
          <w:kern w:val="2"/>
          <w:sz w:val="28"/>
          <w:szCs w:val="28"/>
          <w:highlight w:val="none"/>
          <w:u w:val="none"/>
          <w:lang w:val="en-US" w:eastAsia="zh-CN" w:bidi="ar-SA"/>
        </w:rPr>
        <w:t>：</w:t>
      </w:r>
      <w:r>
        <w:rPr>
          <w:rFonts w:hint="eastAsia" w:ascii="仿宋_GB2312" w:hAnsi="仿宋_GB2312" w:eastAsia="仿宋_GB2312" w:cs="仿宋_GB2312"/>
          <w:b w:val="0"/>
          <w:bCs/>
          <w:i w:val="0"/>
          <w:iCs/>
          <w:color w:val="auto"/>
          <w:kern w:val="2"/>
          <w:sz w:val="28"/>
          <w:szCs w:val="28"/>
          <w:highlight w:val="none"/>
          <w:u w:val="none"/>
          <w:lang w:val="en-US" w:eastAsia="zh-CN" w:bidi="ar-SA"/>
        </w:rPr>
        <w:t>24小时内响应采购人的技术、商务问题；主动排查、定位、解决测试过程中出现的问题</w:t>
      </w:r>
      <w:r>
        <w:rPr>
          <w:rFonts w:hint="default" w:ascii="仿宋_GB2312" w:hAnsi="仿宋_GB2312" w:eastAsia="仿宋_GB2312" w:cs="仿宋_GB2312"/>
          <w:b w:val="0"/>
          <w:bCs/>
          <w:i w:val="0"/>
          <w:iCs/>
          <w:color w:val="auto"/>
          <w:kern w:val="2"/>
          <w:sz w:val="28"/>
          <w:szCs w:val="28"/>
          <w:highlight w:val="none"/>
          <w:u w:val="none"/>
          <w:lang w:val="en-US" w:eastAsia="zh-CN" w:bidi="ar-SA"/>
        </w:rPr>
        <w:t>。</w:t>
      </w:r>
    </w:p>
    <w:p>
      <w:pPr>
        <w:spacing w:line="360" w:lineRule="auto"/>
        <w:ind w:firstLine="560" w:firstLineChars="200"/>
        <w:rPr>
          <w:rFonts w:hint="eastAsia" w:ascii="仿宋" w:hAnsi="仿宋" w:eastAsia="仿宋"/>
          <w:sz w:val="28"/>
          <w:szCs w:val="28"/>
        </w:rPr>
      </w:pPr>
      <w:r>
        <w:rPr>
          <w:rFonts w:hint="eastAsia" w:ascii="仿宋" w:hAnsi="仿宋" w:eastAsia="仿宋"/>
          <w:sz w:val="28"/>
          <w:szCs w:val="28"/>
          <w:lang w:val="en-US" w:eastAsia="zh-CN"/>
        </w:rPr>
        <w:t>2、</w:t>
      </w:r>
      <w:r>
        <w:rPr>
          <w:rFonts w:hint="eastAsia" w:ascii="仿宋" w:hAnsi="仿宋" w:eastAsia="仿宋"/>
          <w:sz w:val="28"/>
          <w:szCs w:val="28"/>
        </w:rPr>
        <w:t>完成时间及交付物</w:t>
      </w:r>
    </w:p>
    <w:p>
      <w:pPr>
        <w:pStyle w:val="2"/>
        <w:ind w:firstLine="560" w:firstLineChars="200"/>
        <w:rPr>
          <w:rFonts w:hint="default"/>
          <w:color w:val="auto"/>
          <w:lang w:val="en-US" w:eastAsia="zh-CN"/>
        </w:rPr>
      </w:pPr>
      <w:r>
        <w:rPr>
          <w:rFonts w:hint="eastAsia" w:ascii="仿宋_GB2312" w:hAnsi="仿宋_GB2312" w:eastAsia="仿宋_GB2312" w:cs="仿宋_GB2312"/>
          <w:b w:val="0"/>
          <w:bCs/>
          <w:i w:val="0"/>
          <w:iCs/>
          <w:color w:val="auto"/>
          <w:kern w:val="2"/>
          <w:sz w:val="28"/>
          <w:szCs w:val="28"/>
          <w:highlight w:val="none"/>
          <w:u w:val="none"/>
          <w:lang w:val="en-US" w:eastAsia="zh-CN" w:bidi="ar-SA"/>
        </w:rPr>
        <w:t>2026年12月10日前，完成全部测试内容，提交《适配国产软硬件的多物理场求解算法大规模并行计算能力测试报告》1份，以及提交测试过程全套文档和数据记录。</w:t>
      </w:r>
    </w:p>
    <w:p>
      <w:pPr>
        <w:pStyle w:val="12"/>
        <w:numPr>
          <w:ilvl w:val="0"/>
          <w:numId w:val="1"/>
        </w:numPr>
        <w:ind w:firstLineChars="0"/>
        <w:outlineLvl w:val="0"/>
        <w:rPr>
          <w:rFonts w:hint="eastAsia" w:ascii="仿宋_GB2312" w:hAnsi="宋体" w:eastAsia="仿宋_GB2312"/>
          <w:b/>
          <w:sz w:val="28"/>
          <w:szCs w:val="28"/>
        </w:rPr>
      </w:pPr>
      <w:r>
        <w:rPr>
          <w:rFonts w:hint="eastAsia" w:ascii="仿宋_GB2312" w:hAnsi="宋体" w:eastAsia="仿宋_GB2312"/>
          <w:b/>
          <w:sz w:val="28"/>
          <w:szCs w:val="28"/>
        </w:rPr>
        <w:t>资格条件</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3"/>
        <w:gridCol w:w="76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b/>
                <w:sz w:val="24"/>
              </w:rPr>
              <w:t>序号</w:t>
            </w:r>
          </w:p>
        </w:tc>
        <w:tc>
          <w:tcPr>
            <w:tcW w:w="7699" w:type="dxa"/>
            <w:shd w:val="clear" w:color="auto" w:fill="FFFFFF"/>
            <w:vAlign w:val="center"/>
          </w:tcPr>
          <w:p>
            <w:pPr>
              <w:jc w:val="center"/>
              <w:rPr>
                <w:rFonts w:hint="eastAsia" w:ascii="仿宋" w:hAnsi="仿宋" w:eastAsia="仿宋" w:cs="仿宋"/>
                <w:sz w:val="24"/>
              </w:rPr>
            </w:pPr>
            <w:r>
              <w:rPr>
                <w:rFonts w:hint="eastAsia" w:ascii="仿宋" w:hAnsi="仿宋" w:eastAsia="仿宋" w:cs="仿宋"/>
                <w:b/>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1</w:t>
            </w:r>
          </w:p>
        </w:tc>
        <w:tc>
          <w:tcPr>
            <w:tcW w:w="7699"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报价单位为企业的，应提供有效的营业执照（海外及港澳台企业如无营业执照应提供有效登记注册证明文件；企业分支机构应同时提供总公司出具的项目授权）；报价单位为事业单位或社团的，应提供有效的事业单位法人证书或社团法人证书；报价单位为非法人组织的，应当提供有关监管机构颁发的执业许可证明文件；报价单位为自然人的，应提供有效的身份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2</w:t>
            </w:r>
          </w:p>
        </w:tc>
        <w:tc>
          <w:tcPr>
            <w:tcW w:w="7699"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单位负责人为同一人或者存在控股、管理关系的不同单位，不得同时参加报价；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pPr>
              <w:jc w:val="center"/>
              <w:rPr>
                <w:rFonts w:hint="eastAsia" w:ascii="仿宋" w:hAnsi="仿宋" w:eastAsia="仿宋" w:cs="仿宋"/>
                <w:sz w:val="24"/>
              </w:rPr>
            </w:pPr>
            <w:r>
              <w:rPr>
                <w:rFonts w:hint="eastAsia" w:ascii="仿宋" w:hAnsi="仿宋" w:eastAsia="仿宋" w:cs="仿宋"/>
                <w:sz w:val="24"/>
              </w:rPr>
              <w:t>3</w:t>
            </w:r>
          </w:p>
        </w:tc>
        <w:tc>
          <w:tcPr>
            <w:tcW w:w="7699" w:type="dxa"/>
            <w:shd w:val="clear" w:color="auto" w:fill="FFFFFF"/>
            <w:vAlign w:val="center"/>
          </w:tcPr>
          <w:p>
            <w:pPr>
              <w:jc w:val="left"/>
              <w:rPr>
                <w:rFonts w:hint="eastAsia" w:ascii="仿宋" w:hAnsi="仿宋" w:eastAsia="仿宋" w:cs="仿宋"/>
                <w:sz w:val="24"/>
              </w:rPr>
            </w:pPr>
            <w:r>
              <w:rPr>
                <w:rFonts w:hint="eastAsia" w:ascii="仿宋" w:hAnsi="仿宋" w:eastAsia="仿宋" w:cs="仿宋"/>
                <w:sz w:val="24"/>
              </w:rPr>
              <w:t>报价单位没有被中国南方电网有限责任公司暂停或取消其投标资格的。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3" w:type="dxa"/>
            <w:shd w:val="clear" w:color="auto" w:fill="FFFFFF"/>
            <w:vAlign w:val="center"/>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4</w:t>
            </w:r>
          </w:p>
        </w:tc>
        <w:tc>
          <w:tcPr>
            <w:tcW w:w="7699" w:type="dxa"/>
            <w:shd w:val="clear" w:color="auto" w:fill="FFFFFF"/>
            <w:vAlign w:val="center"/>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报价单位应提供国产软硬件测试环境的证明材料，如设备采购合同、平台软、硬件配置清单；提供同类并行计算测试服务合同（不低于2项，格式见附件1）；提供本项目相关技术服务人员清单（不低于2人，格式见附件2）等。</w:t>
            </w:r>
          </w:p>
        </w:tc>
      </w:tr>
    </w:tbl>
    <w:p>
      <w:pPr>
        <w:pStyle w:val="12"/>
        <w:numPr>
          <w:ilvl w:val="0"/>
          <w:numId w:val="1"/>
        </w:numPr>
        <w:ind w:left="1288" w:firstLineChars="0"/>
        <w:outlineLvl w:val="0"/>
        <w:rPr>
          <w:rFonts w:hint="eastAsia" w:ascii="仿宋_GB2312" w:hAnsi="宋体" w:eastAsia="仿宋_GB2312"/>
          <w:b/>
          <w:sz w:val="28"/>
          <w:szCs w:val="28"/>
        </w:rPr>
      </w:pPr>
      <w:r>
        <w:rPr>
          <w:rFonts w:hint="eastAsia" w:ascii="仿宋_GB2312" w:hAnsi="宋体" w:eastAsia="仿宋_GB2312"/>
          <w:b/>
          <w:sz w:val="28"/>
          <w:szCs w:val="28"/>
        </w:rPr>
        <w:t>成交办法</w:t>
      </w:r>
    </w:p>
    <w:p>
      <w:pPr>
        <w:ind w:firstLine="560" w:firstLineChars="200"/>
        <w:rPr>
          <w:rFonts w:hint="eastAsia" w:ascii="仿宋_GB2312" w:hAnsi="宋体" w:eastAsia="仿宋_GB2312"/>
          <w:sz w:val="28"/>
          <w:szCs w:val="28"/>
        </w:rPr>
      </w:pPr>
      <w:r>
        <w:rPr>
          <w:rFonts w:hint="eastAsia" w:ascii="仿宋_GB2312" w:hAnsi="宋体" w:eastAsia="仿宋_GB2312"/>
          <w:sz w:val="28"/>
          <w:szCs w:val="28"/>
        </w:rPr>
        <w:t>根据各家响应文件</w:t>
      </w:r>
      <w:r>
        <w:rPr>
          <w:rFonts w:hint="eastAsia" w:ascii="仿宋_GB2312" w:hAnsi="宋体" w:eastAsia="仿宋_GB2312"/>
          <w:sz w:val="28"/>
          <w:szCs w:val="28"/>
          <w:lang w:val="en-US" w:eastAsia="zh-CN"/>
        </w:rPr>
        <w:t>,</w:t>
      </w:r>
      <w:r>
        <w:rPr>
          <w:rFonts w:hint="eastAsia" w:ascii="仿宋_GB2312" w:hAnsi="宋体" w:eastAsia="仿宋_GB2312"/>
          <w:sz w:val="28"/>
          <w:szCs w:val="28"/>
        </w:rPr>
        <w:t>推荐报价在限价以内的最低价供应商成交。</w:t>
      </w:r>
    </w:p>
    <w:p>
      <w:pPr>
        <w:ind w:firstLine="0" w:firstLineChars="0"/>
        <w:sectPr>
          <w:pgSz w:w="11906" w:h="16838"/>
          <w:pgMar w:top="1418" w:right="1418" w:bottom="1134" w:left="1418" w:header="851" w:footer="992" w:gutter="0"/>
          <w:cols w:space="720" w:num="1"/>
          <w:docGrid w:type="lines" w:linePitch="312" w:charSpace="0"/>
        </w:sectPr>
      </w:pPr>
    </w:p>
    <w:p>
      <w:pPr>
        <w:pStyle w:val="4"/>
        <w:numPr>
          <w:ilvl w:val="255"/>
          <w:numId w:val="0"/>
        </w:numPr>
        <w:rPr>
          <w:rFonts w:hint="eastAsia" w:ascii="仿宋_GB2312" w:hAnsi="宋体" w:eastAsia="仿宋_GB2312"/>
          <w:b/>
          <w:sz w:val="28"/>
          <w:szCs w:val="28"/>
        </w:rPr>
      </w:pPr>
      <w:r>
        <w:rPr>
          <w:rFonts w:hint="eastAsia" w:ascii="仿宋_GB2312" w:hAnsi="宋体" w:eastAsia="仿宋_GB2312"/>
          <w:b/>
          <w:sz w:val="28"/>
          <w:szCs w:val="28"/>
        </w:rPr>
        <w:t>附件1：相关项目业绩清单（格式）</w:t>
      </w:r>
    </w:p>
    <w:tbl>
      <w:tblPr>
        <w:tblStyle w:val="8"/>
        <w:tblpPr w:leftFromText="180" w:rightFromText="180" w:vertAnchor="page" w:horzAnchor="margin" w:tblpY="2236"/>
        <w:tblW w:w="5019"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4"/>
        <w:gridCol w:w="1229"/>
        <w:gridCol w:w="1577"/>
        <w:gridCol w:w="1967"/>
        <w:gridCol w:w="1842"/>
        <w:gridCol w:w="1842"/>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464"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序号</w:t>
            </w:r>
          </w:p>
        </w:tc>
        <w:tc>
          <w:tcPr>
            <w:tcW w:w="659" w:type="pct"/>
            <w:vAlign w:val="center"/>
          </w:tcPr>
          <w:p>
            <w:pPr>
              <w:widowControl/>
              <w:rPr>
                <w:rFonts w:ascii="仿宋_GB2312" w:hAnsi="Arial" w:eastAsia="仿宋_GB2312" w:cs="Arial"/>
                <w:sz w:val="24"/>
              </w:rPr>
            </w:pPr>
            <w:r>
              <w:rPr>
                <w:rFonts w:hint="eastAsia" w:ascii="仿宋_GB2312" w:hAnsi="Arial" w:eastAsia="仿宋_GB2312" w:cs="Arial"/>
                <w:sz w:val="24"/>
              </w:rPr>
              <w:t>项目名称</w:t>
            </w:r>
          </w:p>
        </w:tc>
        <w:tc>
          <w:tcPr>
            <w:tcW w:w="846"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主要内容</w:t>
            </w:r>
          </w:p>
        </w:tc>
        <w:tc>
          <w:tcPr>
            <w:tcW w:w="1055"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委托方及证明人</w:t>
            </w:r>
          </w:p>
        </w:tc>
        <w:tc>
          <w:tcPr>
            <w:tcW w:w="988"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项目签订时间</w:t>
            </w:r>
          </w:p>
        </w:tc>
        <w:tc>
          <w:tcPr>
            <w:tcW w:w="988"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项目完成时间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464" w:type="pct"/>
            <w:vAlign w:val="center"/>
          </w:tcPr>
          <w:p>
            <w:pPr>
              <w:jc w:val="center"/>
              <w:rPr>
                <w:sz w:val="24"/>
              </w:rPr>
            </w:pPr>
            <w:r>
              <w:rPr>
                <w:rFonts w:hint="eastAsia"/>
                <w:sz w:val="24"/>
              </w:rPr>
              <w:t>1</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rPr>
                <w:b/>
                <w:bCs/>
                <w:sz w:val="24"/>
              </w:rPr>
            </w:pPr>
          </w:p>
        </w:tc>
        <w:tc>
          <w:tcPr>
            <w:tcW w:w="988" w:type="pct"/>
            <w:vAlign w:val="center"/>
          </w:tcPr>
          <w:p>
            <w:pPr>
              <w:rPr>
                <w:b/>
                <w:bCs/>
                <w:sz w:val="24"/>
              </w:rPr>
            </w:pPr>
          </w:p>
        </w:tc>
        <w:tc>
          <w:tcPr>
            <w:tcW w:w="988" w:type="pct"/>
            <w:vAlign w:val="center"/>
          </w:tcPr>
          <w:p>
            <w:pPr>
              <w:rPr>
                <w:b/>
                <w:b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464" w:type="pct"/>
            <w:vAlign w:val="center"/>
          </w:tcPr>
          <w:p>
            <w:pPr>
              <w:jc w:val="center"/>
              <w:rPr>
                <w:sz w:val="24"/>
              </w:rPr>
            </w:pPr>
            <w:r>
              <w:rPr>
                <w:rFonts w:hint="eastAsia"/>
                <w:sz w:val="24"/>
              </w:rPr>
              <w:t>2</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jc w:val="center"/>
              <w:rPr>
                <w:b/>
                <w:bCs/>
                <w:i/>
                <w:iCs/>
                <w:sz w:val="24"/>
              </w:rPr>
            </w:pPr>
          </w:p>
        </w:tc>
        <w:tc>
          <w:tcPr>
            <w:tcW w:w="988" w:type="pct"/>
            <w:vAlign w:val="center"/>
          </w:tcPr>
          <w:p>
            <w:pPr>
              <w:jc w:val="center"/>
              <w:rPr>
                <w:b/>
                <w:bCs/>
                <w:i/>
                <w:iCs/>
                <w:sz w:val="24"/>
              </w:rPr>
            </w:pPr>
          </w:p>
        </w:tc>
        <w:tc>
          <w:tcPr>
            <w:tcW w:w="988" w:type="pct"/>
            <w:vAlign w:val="center"/>
          </w:tcPr>
          <w:p>
            <w:pPr>
              <w:jc w:val="cente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4" w:type="pct"/>
            <w:vAlign w:val="center"/>
          </w:tcPr>
          <w:p>
            <w:pPr>
              <w:jc w:val="center"/>
              <w:rPr>
                <w:sz w:val="24"/>
              </w:rPr>
            </w:pPr>
            <w:r>
              <w:rPr>
                <w:rFonts w:hint="eastAsia"/>
                <w:sz w:val="24"/>
              </w:rPr>
              <w:t>3</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rPr>
                <w:b/>
                <w:bCs/>
                <w:i/>
                <w:iCs/>
                <w:sz w:val="24"/>
              </w:rPr>
            </w:pPr>
          </w:p>
        </w:tc>
        <w:tc>
          <w:tcPr>
            <w:tcW w:w="988" w:type="pct"/>
            <w:vAlign w:val="center"/>
          </w:tcPr>
          <w:p>
            <w:pPr>
              <w:rPr>
                <w:b/>
                <w:bCs/>
                <w:i/>
                <w:iCs/>
                <w:sz w:val="24"/>
              </w:rPr>
            </w:pPr>
          </w:p>
        </w:tc>
        <w:tc>
          <w:tcPr>
            <w:tcW w:w="988" w:type="pct"/>
            <w:vAlign w:val="center"/>
          </w:tcPr>
          <w:p>
            <w:pP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464" w:type="pct"/>
            <w:vAlign w:val="center"/>
          </w:tcPr>
          <w:p>
            <w:pPr>
              <w:jc w:val="center"/>
              <w:rPr>
                <w:sz w:val="24"/>
              </w:rPr>
            </w:pPr>
            <w:r>
              <w:rPr>
                <w:rFonts w:hint="eastAsia"/>
                <w:sz w:val="24"/>
              </w:rPr>
              <w:t>.</w:t>
            </w:r>
            <w:r>
              <w:rPr>
                <w:sz w:val="24"/>
              </w:rPr>
              <w:t>..</w:t>
            </w:r>
          </w:p>
        </w:tc>
        <w:tc>
          <w:tcPr>
            <w:tcW w:w="659" w:type="pct"/>
            <w:vAlign w:val="center"/>
          </w:tcPr>
          <w:p>
            <w:pPr>
              <w:jc w:val="center"/>
              <w:rPr>
                <w:b/>
                <w:bCs/>
                <w:sz w:val="24"/>
              </w:rPr>
            </w:pPr>
          </w:p>
        </w:tc>
        <w:tc>
          <w:tcPr>
            <w:tcW w:w="846" w:type="pct"/>
            <w:vAlign w:val="center"/>
          </w:tcPr>
          <w:p>
            <w:pPr>
              <w:jc w:val="center"/>
              <w:rPr>
                <w:sz w:val="24"/>
              </w:rPr>
            </w:pPr>
          </w:p>
        </w:tc>
        <w:tc>
          <w:tcPr>
            <w:tcW w:w="1055" w:type="pct"/>
            <w:vAlign w:val="center"/>
          </w:tcPr>
          <w:p>
            <w:pPr>
              <w:rPr>
                <w:b/>
                <w:bCs/>
                <w:i/>
                <w:iCs/>
                <w:sz w:val="24"/>
              </w:rPr>
            </w:pPr>
          </w:p>
        </w:tc>
        <w:tc>
          <w:tcPr>
            <w:tcW w:w="988" w:type="pct"/>
            <w:vAlign w:val="center"/>
          </w:tcPr>
          <w:p>
            <w:pPr>
              <w:rPr>
                <w:b/>
                <w:bCs/>
                <w:i/>
                <w:iCs/>
                <w:sz w:val="24"/>
              </w:rPr>
            </w:pPr>
          </w:p>
        </w:tc>
        <w:tc>
          <w:tcPr>
            <w:tcW w:w="988" w:type="pct"/>
            <w:vAlign w:val="center"/>
          </w:tcPr>
          <w:p>
            <w:pPr>
              <w:rPr>
                <w:b/>
                <w:bCs/>
                <w:i/>
                <w:iCs/>
                <w:sz w:val="24"/>
              </w:rPr>
            </w:pPr>
          </w:p>
        </w:tc>
      </w:tr>
    </w:tbl>
    <w:p>
      <w:pPr>
        <w:sectPr>
          <w:pgSz w:w="11906" w:h="16838"/>
          <w:pgMar w:top="1418" w:right="1418" w:bottom="1134" w:left="1418" w:header="851" w:footer="992" w:gutter="0"/>
          <w:cols w:space="720" w:num="1"/>
          <w:docGrid w:type="lines" w:linePitch="312" w:charSpace="0"/>
        </w:sectPr>
      </w:pPr>
      <w:r>
        <w:rPr>
          <w:rFonts w:hint="eastAsia" w:ascii="仿宋_GB2312" w:eastAsia="仿宋_GB2312"/>
          <w:w w:val="90"/>
          <w:sz w:val="28"/>
          <w:szCs w:val="28"/>
        </w:rPr>
        <w:t>附录证明材料。</w:t>
      </w:r>
    </w:p>
    <w:p>
      <w:pPr>
        <w:pStyle w:val="4"/>
        <w:numPr>
          <w:ilvl w:val="255"/>
          <w:numId w:val="0"/>
        </w:numPr>
        <w:rPr>
          <w:rFonts w:hint="eastAsia" w:ascii="仿宋_GB2312" w:hAnsi="宋体" w:eastAsia="仿宋_GB2312"/>
          <w:b/>
          <w:sz w:val="28"/>
          <w:szCs w:val="28"/>
        </w:rPr>
      </w:pPr>
      <w:r>
        <w:rPr>
          <w:rFonts w:hint="eastAsia" w:ascii="仿宋_GB2312" w:hAnsi="宋体" w:eastAsia="仿宋_GB2312"/>
          <w:b/>
          <w:sz w:val="28"/>
          <w:szCs w:val="28"/>
        </w:rPr>
        <w:t>附件</w:t>
      </w:r>
      <w:r>
        <w:rPr>
          <w:rFonts w:hint="eastAsia" w:ascii="仿宋_GB2312" w:hAnsi="宋体" w:eastAsia="仿宋_GB2312"/>
          <w:b/>
          <w:sz w:val="28"/>
          <w:szCs w:val="28"/>
          <w:lang w:val="en-US" w:eastAsia="zh-CN"/>
        </w:rPr>
        <w:t>2</w:t>
      </w:r>
      <w:r>
        <w:rPr>
          <w:rFonts w:hint="eastAsia" w:ascii="仿宋_GB2312" w:hAnsi="宋体" w:eastAsia="仿宋_GB2312"/>
          <w:b/>
          <w:sz w:val="28"/>
          <w:szCs w:val="28"/>
        </w:rPr>
        <w:t>：相关人员清单（格式）</w:t>
      </w:r>
    </w:p>
    <w:tbl>
      <w:tblPr>
        <w:tblStyle w:val="8"/>
        <w:tblpPr w:leftFromText="180" w:rightFromText="180" w:vertAnchor="page" w:horzAnchor="margin" w:tblpXSpec="center" w:tblpY="2236"/>
        <w:tblW w:w="4331"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65"/>
        <w:gridCol w:w="1228"/>
        <w:gridCol w:w="1577"/>
        <w:gridCol w:w="2534"/>
        <w:gridCol w:w="1841"/>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20" w:hRule="atLeast"/>
        </w:trPr>
        <w:tc>
          <w:tcPr>
            <w:tcW w:w="537"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序号</w:t>
            </w:r>
          </w:p>
        </w:tc>
        <w:tc>
          <w:tcPr>
            <w:tcW w:w="763"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姓名</w:t>
            </w:r>
          </w:p>
        </w:tc>
        <w:tc>
          <w:tcPr>
            <w:tcW w:w="980"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学位</w:t>
            </w:r>
          </w:p>
        </w:tc>
        <w:tc>
          <w:tcPr>
            <w:tcW w:w="1574" w:type="pct"/>
            <w:vAlign w:val="center"/>
          </w:tcPr>
          <w:p>
            <w:pPr>
              <w:widowControl/>
              <w:jc w:val="center"/>
              <w:rPr>
                <w:rFonts w:ascii="仿宋_GB2312" w:hAnsi="Arial" w:eastAsia="仿宋_GB2312" w:cs="Arial"/>
                <w:sz w:val="24"/>
              </w:rPr>
            </w:pPr>
            <w:r>
              <w:rPr>
                <w:rFonts w:hint="eastAsia" w:ascii="仿宋_GB2312" w:hAnsi="Arial" w:eastAsia="仿宋_GB2312" w:cs="Arial"/>
                <w:sz w:val="24"/>
              </w:rPr>
              <w:t>职称</w:t>
            </w:r>
          </w:p>
        </w:tc>
        <w:tc>
          <w:tcPr>
            <w:tcW w:w="1144" w:type="pct"/>
            <w:vAlign w:val="center"/>
          </w:tcPr>
          <w:p>
            <w:pPr>
              <w:widowControl/>
              <w:jc w:val="center"/>
              <w:rPr>
                <w:rFonts w:hint="eastAsia" w:ascii="仿宋_GB2312" w:hAnsi="Arial" w:eastAsia="仿宋_GB2312" w:cs="Arial"/>
                <w:sz w:val="24"/>
                <w:lang w:val="en-US" w:eastAsia="zh-CN"/>
              </w:rPr>
            </w:pPr>
            <w:r>
              <w:rPr>
                <w:rFonts w:hint="eastAsia" w:ascii="仿宋_GB2312" w:hAnsi="Arial" w:eastAsia="仿宋_GB2312" w:cs="Arial"/>
                <w:sz w:val="24"/>
                <w:lang w:val="en-US" w:eastAsia="zh-CN"/>
              </w:rPr>
              <w:t>近6个月</w:t>
            </w:r>
          </w:p>
          <w:p>
            <w:pPr>
              <w:widowControl/>
              <w:jc w:val="center"/>
              <w:rPr>
                <w:rFonts w:hint="default" w:ascii="仿宋_GB2312" w:hAnsi="Arial" w:eastAsia="仿宋_GB2312" w:cs="Arial"/>
                <w:sz w:val="24"/>
                <w:lang w:val="en-US" w:eastAsia="zh-CN"/>
              </w:rPr>
            </w:pPr>
            <w:r>
              <w:rPr>
                <w:rFonts w:hint="eastAsia" w:ascii="仿宋_GB2312" w:hAnsi="Arial" w:eastAsia="仿宋_GB2312" w:cs="Arial"/>
                <w:sz w:val="24"/>
                <w:lang w:val="en-US" w:eastAsia="zh-CN"/>
              </w:rPr>
              <w:t>社保证明</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615" w:hRule="atLeast"/>
        </w:trPr>
        <w:tc>
          <w:tcPr>
            <w:tcW w:w="537" w:type="pct"/>
            <w:vAlign w:val="center"/>
          </w:tcPr>
          <w:p>
            <w:pPr>
              <w:jc w:val="center"/>
              <w:rPr>
                <w:sz w:val="24"/>
              </w:rPr>
            </w:pPr>
            <w:r>
              <w:rPr>
                <w:rFonts w:hint="eastAsia"/>
                <w:sz w:val="24"/>
              </w:rPr>
              <w:t>1</w:t>
            </w:r>
          </w:p>
        </w:tc>
        <w:tc>
          <w:tcPr>
            <w:tcW w:w="763" w:type="pct"/>
            <w:vAlign w:val="center"/>
          </w:tcPr>
          <w:p>
            <w:pPr>
              <w:jc w:val="center"/>
              <w:rPr>
                <w:b/>
                <w:bCs/>
                <w:sz w:val="24"/>
              </w:rPr>
            </w:pPr>
          </w:p>
        </w:tc>
        <w:tc>
          <w:tcPr>
            <w:tcW w:w="980" w:type="pct"/>
            <w:vAlign w:val="center"/>
          </w:tcPr>
          <w:p>
            <w:pPr>
              <w:jc w:val="center"/>
              <w:rPr>
                <w:sz w:val="24"/>
              </w:rPr>
            </w:pPr>
          </w:p>
        </w:tc>
        <w:tc>
          <w:tcPr>
            <w:tcW w:w="1574" w:type="pct"/>
            <w:vAlign w:val="center"/>
          </w:tcPr>
          <w:p>
            <w:pPr>
              <w:jc w:val="center"/>
              <w:rPr>
                <w:b/>
                <w:bCs/>
                <w:sz w:val="24"/>
              </w:rPr>
            </w:pPr>
          </w:p>
        </w:tc>
        <w:tc>
          <w:tcPr>
            <w:tcW w:w="1144" w:type="pct"/>
            <w:vAlign w:val="center"/>
          </w:tcPr>
          <w:p>
            <w:pPr>
              <w:jc w:val="center"/>
              <w:rPr>
                <w:b/>
                <w:b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54" w:hRule="atLeast"/>
        </w:trPr>
        <w:tc>
          <w:tcPr>
            <w:tcW w:w="537" w:type="pct"/>
            <w:vAlign w:val="center"/>
          </w:tcPr>
          <w:p>
            <w:pPr>
              <w:jc w:val="center"/>
              <w:rPr>
                <w:sz w:val="24"/>
              </w:rPr>
            </w:pPr>
            <w:r>
              <w:rPr>
                <w:rFonts w:hint="eastAsia"/>
                <w:sz w:val="24"/>
              </w:rPr>
              <w:t>2</w:t>
            </w:r>
          </w:p>
        </w:tc>
        <w:tc>
          <w:tcPr>
            <w:tcW w:w="763" w:type="pct"/>
            <w:vAlign w:val="center"/>
          </w:tcPr>
          <w:p>
            <w:pPr>
              <w:jc w:val="center"/>
              <w:rPr>
                <w:b/>
                <w:bCs/>
                <w:sz w:val="24"/>
              </w:rPr>
            </w:pPr>
          </w:p>
        </w:tc>
        <w:tc>
          <w:tcPr>
            <w:tcW w:w="980" w:type="pct"/>
            <w:vAlign w:val="center"/>
          </w:tcPr>
          <w:p>
            <w:pPr>
              <w:jc w:val="center"/>
              <w:rPr>
                <w:sz w:val="24"/>
              </w:rPr>
            </w:pPr>
          </w:p>
        </w:tc>
        <w:tc>
          <w:tcPr>
            <w:tcW w:w="1574" w:type="pct"/>
            <w:vAlign w:val="center"/>
          </w:tcPr>
          <w:p>
            <w:pPr>
              <w:jc w:val="center"/>
              <w:rPr>
                <w:b/>
                <w:bCs/>
                <w:i/>
                <w:iCs/>
                <w:sz w:val="24"/>
              </w:rPr>
            </w:pPr>
          </w:p>
        </w:tc>
        <w:tc>
          <w:tcPr>
            <w:tcW w:w="1144" w:type="pct"/>
            <w:vAlign w:val="center"/>
          </w:tcPr>
          <w:p>
            <w:pPr>
              <w:jc w:val="cente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537" w:type="pct"/>
            <w:vAlign w:val="center"/>
          </w:tcPr>
          <w:p>
            <w:pPr>
              <w:jc w:val="center"/>
              <w:rPr>
                <w:sz w:val="24"/>
              </w:rPr>
            </w:pPr>
            <w:r>
              <w:rPr>
                <w:rFonts w:hint="eastAsia"/>
                <w:sz w:val="24"/>
              </w:rPr>
              <w:t>3</w:t>
            </w:r>
          </w:p>
        </w:tc>
        <w:tc>
          <w:tcPr>
            <w:tcW w:w="763" w:type="pct"/>
            <w:vAlign w:val="center"/>
          </w:tcPr>
          <w:p>
            <w:pPr>
              <w:jc w:val="center"/>
              <w:rPr>
                <w:b/>
                <w:bCs/>
                <w:sz w:val="24"/>
              </w:rPr>
            </w:pPr>
          </w:p>
        </w:tc>
        <w:tc>
          <w:tcPr>
            <w:tcW w:w="980" w:type="pct"/>
            <w:vAlign w:val="center"/>
          </w:tcPr>
          <w:p>
            <w:pPr>
              <w:jc w:val="center"/>
              <w:rPr>
                <w:sz w:val="24"/>
              </w:rPr>
            </w:pPr>
          </w:p>
        </w:tc>
        <w:tc>
          <w:tcPr>
            <w:tcW w:w="1574" w:type="pct"/>
            <w:vAlign w:val="center"/>
          </w:tcPr>
          <w:p>
            <w:pPr>
              <w:jc w:val="center"/>
              <w:rPr>
                <w:b/>
                <w:bCs/>
                <w:i/>
                <w:iCs/>
                <w:sz w:val="24"/>
              </w:rPr>
            </w:pPr>
          </w:p>
        </w:tc>
        <w:tc>
          <w:tcPr>
            <w:tcW w:w="1144" w:type="pct"/>
            <w:vAlign w:val="center"/>
          </w:tcPr>
          <w:p>
            <w:pPr>
              <w:jc w:val="center"/>
              <w:rPr>
                <w:b/>
                <w:bCs/>
                <w:i/>
                <w:iCs/>
                <w:sz w:val="24"/>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19" w:hRule="atLeast"/>
        </w:trPr>
        <w:tc>
          <w:tcPr>
            <w:tcW w:w="537" w:type="pct"/>
            <w:vAlign w:val="center"/>
          </w:tcPr>
          <w:p>
            <w:pPr>
              <w:jc w:val="center"/>
              <w:rPr>
                <w:sz w:val="24"/>
              </w:rPr>
            </w:pPr>
            <w:r>
              <w:rPr>
                <w:rFonts w:hint="eastAsia"/>
                <w:sz w:val="24"/>
              </w:rPr>
              <w:t>.</w:t>
            </w:r>
            <w:r>
              <w:rPr>
                <w:sz w:val="24"/>
              </w:rPr>
              <w:t>..</w:t>
            </w:r>
          </w:p>
        </w:tc>
        <w:tc>
          <w:tcPr>
            <w:tcW w:w="763" w:type="pct"/>
            <w:vAlign w:val="center"/>
          </w:tcPr>
          <w:p>
            <w:pPr>
              <w:jc w:val="center"/>
              <w:rPr>
                <w:b/>
                <w:bCs/>
                <w:sz w:val="24"/>
              </w:rPr>
            </w:pPr>
          </w:p>
        </w:tc>
        <w:tc>
          <w:tcPr>
            <w:tcW w:w="980" w:type="pct"/>
            <w:vAlign w:val="center"/>
          </w:tcPr>
          <w:p>
            <w:pPr>
              <w:jc w:val="center"/>
              <w:rPr>
                <w:sz w:val="24"/>
              </w:rPr>
            </w:pPr>
          </w:p>
        </w:tc>
        <w:tc>
          <w:tcPr>
            <w:tcW w:w="1574" w:type="pct"/>
            <w:vAlign w:val="center"/>
          </w:tcPr>
          <w:p>
            <w:pPr>
              <w:jc w:val="center"/>
              <w:rPr>
                <w:b/>
                <w:bCs/>
                <w:i/>
                <w:iCs/>
                <w:sz w:val="24"/>
              </w:rPr>
            </w:pPr>
          </w:p>
        </w:tc>
        <w:tc>
          <w:tcPr>
            <w:tcW w:w="1144" w:type="pct"/>
            <w:vAlign w:val="center"/>
          </w:tcPr>
          <w:p>
            <w:pPr>
              <w:jc w:val="center"/>
              <w:rPr>
                <w:b/>
                <w:bCs/>
                <w:i/>
                <w:iCs/>
                <w:sz w:val="24"/>
              </w:rPr>
            </w:pPr>
          </w:p>
        </w:tc>
      </w:tr>
    </w:tbl>
    <w:p>
      <w:r>
        <w:rPr>
          <w:rFonts w:hint="eastAsia" w:ascii="仿宋_GB2312" w:eastAsia="仿宋_GB2312"/>
          <w:w w:val="90"/>
          <w:sz w:val="28"/>
          <w:szCs w:val="28"/>
        </w:rPr>
        <w:t>附录证明材料。</w:t>
      </w:r>
    </w:p>
    <w:p>
      <w:pPr>
        <w:pStyle w:val="11"/>
      </w:pPr>
    </w:p>
    <w:p/>
    <w:sectPr>
      <w:pgSz w:w="11906" w:h="16838"/>
      <w:pgMar w:top="1418" w:right="1418" w:bottom="1134" w:left="1418"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E59715E"/>
    <w:multiLevelType w:val="multilevel"/>
    <w:tmpl w:val="4E59715E"/>
    <w:lvl w:ilvl="0" w:tentative="0">
      <w:start w:val="1"/>
      <w:numFmt w:val="japaneseCounting"/>
      <w:lvlText w:val="%1、"/>
      <w:lvlJc w:val="left"/>
      <w:pPr>
        <w:ind w:left="1350" w:hanging="720"/>
      </w:pPr>
      <w:rPr>
        <w:rFonts w:hint="default"/>
      </w:rPr>
    </w:lvl>
    <w:lvl w:ilvl="1" w:tentative="0">
      <w:start w:val="1"/>
      <w:numFmt w:val="lowerLetter"/>
      <w:lvlText w:val="%2)"/>
      <w:lvlJc w:val="left"/>
      <w:pPr>
        <w:ind w:left="1470" w:hanging="420"/>
      </w:pPr>
    </w:lvl>
    <w:lvl w:ilvl="2" w:tentative="0">
      <w:start w:val="1"/>
      <w:numFmt w:val="lowerRoman"/>
      <w:lvlText w:val="%3."/>
      <w:lvlJc w:val="right"/>
      <w:pPr>
        <w:ind w:left="1890" w:hanging="420"/>
      </w:pPr>
    </w:lvl>
    <w:lvl w:ilvl="3" w:tentative="0">
      <w:start w:val="1"/>
      <w:numFmt w:val="decimal"/>
      <w:lvlText w:val="%4."/>
      <w:lvlJc w:val="left"/>
      <w:pPr>
        <w:ind w:left="2310" w:hanging="420"/>
      </w:pPr>
    </w:lvl>
    <w:lvl w:ilvl="4" w:tentative="0">
      <w:start w:val="1"/>
      <w:numFmt w:val="lowerLetter"/>
      <w:lvlText w:val="%5)"/>
      <w:lvlJc w:val="left"/>
      <w:pPr>
        <w:ind w:left="2730" w:hanging="420"/>
      </w:pPr>
    </w:lvl>
    <w:lvl w:ilvl="5" w:tentative="0">
      <w:start w:val="1"/>
      <w:numFmt w:val="lowerRoman"/>
      <w:lvlText w:val="%6."/>
      <w:lvlJc w:val="right"/>
      <w:pPr>
        <w:ind w:left="3150" w:hanging="420"/>
      </w:pPr>
    </w:lvl>
    <w:lvl w:ilvl="6" w:tentative="0">
      <w:start w:val="1"/>
      <w:numFmt w:val="decimal"/>
      <w:lvlText w:val="%7."/>
      <w:lvlJc w:val="left"/>
      <w:pPr>
        <w:ind w:left="3570" w:hanging="420"/>
      </w:pPr>
    </w:lvl>
    <w:lvl w:ilvl="7" w:tentative="0">
      <w:start w:val="1"/>
      <w:numFmt w:val="lowerLetter"/>
      <w:lvlText w:val="%8)"/>
      <w:lvlJc w:val="left"/>
      <w:pPr>
        <w:ind w:left="3990" w:hanging="420"/>
      </w:pPr>
    </w:lvl>
    <w:lvl w:ilvl="8" w:tentative="0">
      <w:start w:val="1"/>
      <w:numFmt w:val="lowerRoman"/>
      <w:lvlText w:val="%9."/>
      <w:lvlJc w:val="right"/>
      <w:pPr>
        <w:ind w:left="441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gyMzNhNzI2MDBhNDE5N2I0ZjdhMmU3ZDljNmFjOTgifQ=="/>
  </w:docVars>
  <w:rsids>
    <w:rsidRoot w:val="00852516"/>
    <w:rsid w:val="00094EC9"/>
    <w:rsid w:val="00117E7E"/>
    <w:rsid w:val="001205F9"/>
    <w:rsid w:val="00142949"/>
    <w:rsid w:val="001451BF"/>
    <w:rsid w:val="00157439"/>
    <w:rsid w:val="0017759E"/>
    <w:rsid w:val="001C31AB"/>
    <w:rsid w:val="0029327F"/>
    <w:rsid w:val="002D4AE9"/>
    <w:rsid w:val="002E463A"/>
    <w:rsid w:val="002E6D64"/>
    <w:rsid w:val="002F1F1C"/>
    <w:rsid w:val="00336D07"/>
    <w:rsid w:val="0042430D"/>
    <w:rsid w:val="00483854"/>
    <w:rsid w:val="004C1FE3"/>
    <w:rsid w:val="00604EF6"/>
    <w:rsid w:val="00672BC5"/>
    <w:rsid w:val="00682DA3"/>
    <w:rsid w:val="00714F7A"/>
    <w:rsid w:val="007731B9"/>
    <w:rsid w:val="007E7343"/>
    <w:rsid w:val="00852516"/>
    <w:rsid w:val="00872680"/>
    <w:rsid w:val="00885997"/>
    <w:rsid w:val="008B1BEE"/>
    <w:rsid w:val="008B5393"/>
    <w:rsid w:val="009A532A"/>
    <w:rsid w:val="009A6088"/>
    <w:rsid w:val="00A2087D"/>
    <w:rsid w:val="00A66C7D"/>
    <w:rsid w:val="00AD193F"/>
    <w:rsid w:val="00B36780"/>
    <w:rsid w:val="00C26908"/>
    <w:rsid w:val="00C47FF0"/>
    <w:rsid w:val="00C85687"/>
    <w:rsid w:val="00C96167"/>
    <w:rsid w:val="00CB642E"/>
    <w:rsid w:val="00CE2ED3"/>
    <w:rsid w:val="00CF0FE4"/>
    <w:rsid w:val="00D97CA5"/>
    <w:rsid w:val="00DA21F4"/>
    <w:rsid w:val="00E215C0"/>
    <w:rsid w:val="00EE2C79"/>
    <w:rsid w:val="00EF6146"/>
    <w:rsid w:val="00F3746E"/>
    <w:rsid w:val="00F46A77"/>
    <w:rsid w:val="00F940C4"/>
    <w:rsid w:val="00FA4E3A"/>
    <w:rsid w:val="00FE6274"/>
    <w:rsid w:val="013565B9"/>
    <w:rsid w:val="01C744FB"/>
    <w:rsid w:val="024D21D6"/>
    <w:rsid w:val="026E270A"/>
    <w:rsid w:val="03122703"/>
    <w:rsid w:val="042A3CE5"/>
    <w:rsid w:val="0469124B"/>
    <w:rsid w:val="052F7300"/>
    <w:rsid w:val="088A0E6D"/>
    <w:rsid w:val="09824519"/>
    <w:rsid w:val="0BB25D40"/>
    <w:rsid w:val="0C506B43"/>
    <w:rsid w:val="0C7A3245"/>
    <w:rsid w:val="0D9A7DDF"/>
    <w:rsid w:val="0F133EB9"/>
    <w:rsid w:val="106711F7"/>
    <w:rsid w:val="10DB0FC1"/>
    <w:rsid w:val="112262FE"/>
    <w:rsid w:val="125D5E2E"/>
    <w:rsid w:val="13697F8B"/>
    <w:rsid w:val="148C356D"/>
    <w:rsid w:val="16CC508A"/>
    <w:rsid w:val="19193E8E"/>
    <w:rsid w:val="1B6B6A0B"/>
    <w:rsid w:val="1CDC7B67"/>
    <w:rsid w:val="1D120041"/>
    <w:rsid w:val="1E7761C3"/>
    <w:rsid w:val="1F071BBB"/>
    <w:rsid w:val="1F772935"/>
    <w:rsid w:val="21E45969"/>
    <w:rsid w:val="22155F0A"/>
    <w:rsid w:val="23356F51"/>
    <w:rsid w:val="235E0116"/>
    <w:rsid w:val="26E37F9A"/>
    <w:rsid w:val="271C492B"/>
    <w:rsid w:val="29070E05"/>
    <w:rsid w:val="2A54310C"/>
    <w:rsid w:val="2ADE135B"/>
    <w:rsid w:val="2C4D4CF1"/>
    <w:rsid w:val="2EF41047"/>
    <w:rsid w:val="2EF47418"/>
    <w:rsid w:val="30093E4A"/>
    <w:rsid w:val="301D237D"/>
    <w:rsid w:val="304170BA"/>
    <w:rsid w:val="326170B4"/>
    <w:rsid w:val="32C87D5D"/>
    <w:rsid w:val="32FC5780"/>
    <w:rsid w:val="33EE0099"/>
    <w:rsid w:val="34C04B85"/>
    <w:rsid w:val="34E46DD3"/>
    <w:rsid w:val="399724DB"/>
    <w:rsid w:val="3B544D6B"/>
    <w:rsid w:val="3BF0561F"/>
    <w:rsid w:val="3FF27035"/>
    <w:rsid w:val="40320FC4"/>
    <w:rsid w:val="411732B0"/>
    <w:rsid w:val="41186E87"/>
    <w:rsid w:val="41D03464"/>
    <w:rsid w:val="42A247E0"/>
    <w:rsid w:val="44FA43C3"/>
    <w:rsid w:val="47213040"/>
    <w:rsid w:val="474C60F4"/>
    <w:rsid w:val="47584BB2"/>
    <w:rsid w:val="49462D46"/>
    <w:rsid w:val="49A14359"/>
    <w:rsid w:val="4C38728A"/>
    <w:rsid w:val="4CB229E2"/>
    <w:rsid w:val="4D602609"/>
    <w:rsid w:val="52076B27"/>
    <w:rsid w:val="5258041F"/>
    <w:rsid w:val="527E6CE5"/>
    <w:rsid w:val="52D73B2D"/>
    <w:rsid w:val="5316015D"/>
    <w:rsid w:val="53A31046"/>
    <w:rsid w:val="58A423FE"/>
    <w:rsid w:val="58D376CA"/>
    <w:rsid w:val="592D2DFF"/>
    <w:rsid w:val="5999038C"/>
    <w:rsid w:val="59B36D38"/>
    <w:rsid w:val="59DA7843"/>
    <w:rsid w:val="5BC47C76"/>
    <w:rsid w:val="5C2B06C5"/>
    <w:rsid w:val="5CCD6007"/>
    <w:rsid w:val="5CD7783D"/>
    <w:rsid w:val="5D2F7924"/>
    <w:rsid w:val="5EED5CCB"/>
    <w:rsid w:val="62631AFA"/>
    <w:rsid w:val="62EE2198"/>
    <w:rsid w:val="62F61EB2"/>
    <w:rsid w:val="63531402"/>
    <w:rsid w:val="636C3720"/>
    <w:rsid w:val="63C06D53"/>
    <w:rsid w:val="648C2404"/>
    <w:rsid w:val="65B81B71"/>
    <w:rsid w:val="65F417B6"/>
    <w:rsid w:val="66E747E1"/>
    <w:rsid w:val="67540F04"/>
    <w:rsid w:val="679A745C"/>
    <w:rsid w:val="67F72420"/>
    <w:rsid w:val="68D40024"/>
    <w:rsid w:val="696B0E94"/>
    <w:rsid w:val="69EA02D1"/>
    <w:rsid w:val="6A984F72"/>
    <w:rsid w:val="6B02331D"/>
    <w:rsid w:val="705F3769"/>
    <w:rsid w:val="720B46F8"/>
    <w:rsid w:val="74181306"/>
    <w:rsid w:val="775D10E3"/>
    <w:rsid w:val="78E34762"/>
    <w:rsid w:val="7A712C6F"/>
    <w:rsid w:val="7B5C3B71"/>
    <w:rsid w:val="7CAB1295"/>
    <w:rsid w:val="7EAE1DC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iPriority="1" w:semiHidden="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9">
    <w:name w:val="Default Paragraph Font"/>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link w:val="15"/>
    <w:qFormat/>
    <w:uiPriority w:val="99"/>
    <w:rPr>
      <w:rFonts w:ascii="Calibri" w:hAnsi="Calibri"/>
      <w:kern w:val="1"/>
    </w:r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Normal Indent"/>
    <w:basedOn w:val="1"/>
    <w:qFormat/>
    <w:uiPriority w:val="0"/>
    <w:pPr>
      <w:widowControl/>
      <w:ind w:firstLine="420"/>
      <w:jc w:val="left"/>
    </w:pPr>
    <w:rPr>
      <w:rFonts w:ascii="Calibri" w:hAnsi="Calibri"/>
      <w:kern w:val="0"/>
      <w:szCs w:val="20"/>
    </w:rPr>
  </w:style>
  <w:style w:type="paragraph" w:styleId="5">
    <w:name w:val="Balloon Text"/>
    <w:basedOn w:val="1"/>
    <w:link w:val="17"/>
    <w:qFormat/>
    <w:uiPriority w:val="0"/>
    <w:rPr>
      <w:sz w:val="18"/>
      <w:szCs w:val="18"/>
    </w:rPr>
  </w:style>
  <w:style w:type="paragraph" w:styleId="6">
    <w:name w:val="footer"/>
    <w:basedOn w:val="1"/>
    <w:link w:val="14"/>
    <w:qFormat/>
    <w:uiPriority w:val="0"/>
    <w:pPr>
      <w:tabs>
        <w:tab w:val="center" w:pos="4153"/>
        <w:tab w:val="right" w:pos="8306"/>
      </w:tabs>
      <w:snapToGrid w:val="0"/>
      <w:jc w:val="left"/>
    </w:pPr>
    <w:rPr>
      <w:sz w:val="18"/>
      <w:szCs w:val="18"/>
    </w:rPr>
  </w:style>
  <w:style w:type="paragraph" w:styleId="7">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character" w:styleId="10">
    <w:name w:val="Hyperlink"/>
    <w:qFormat/>
    <w:uiPriority w:val="0"/>
    <w:rPr>
      <w:color w:val="0563C1"/>
      <w:u w:val="single"/>
    </w:rPr>
  </w:style>
  <w:style w:type="paragraph" w:customStyle="1" w:styleId="11">
    <w:name w:val="目录 21"/>
    <w:basedOn w:val="1"/>
    <w:next w:val="1"/>
    <w:qFormat/>
    <w:uiPriority w:val="0"/>
    <w:pPr>
      <w:spacing w:before="100" w:beforeAutospacing="1" w:after="100" w:afterAutospacing="1"/>
      <w:ind w:left="420" w:leftChars="200"/>
    </w:pPr>
  </w:style>
  <w:style w:type="paragraph" w:styleId="12">
    <w:name w:val="List Paragraph"/>
    <w:basedOn w:val="1"/>
    <w:qFormat/>
    <w:uiPriority w:val="34"/>
    <w:pPr>
      <w:ind w:firstLine="420" w:firstLineChars="200"/>
    </w:pPr>
    <w:rPr>
      <w:rFonts w:ascii="Calibri" w:hAnsi="Calibri"/>
      <w:szCs w:val="22"/>
    </w:rPr>
  </w:style>
  <w:style w:type="character" w:customStyle="1" w:styleId="13">
    <w:name w:val="页眉 字符"/>
    <w:link w:val="7"/>
    <w:qFormat/>
    <w:uiPriority w:val="0"/>
    <w:rPr>
      <w:kern w:val="2"/>
      <w:sz w:val="18"/>
      <w:szCs w:val="18"/>
    </w:rPr>
  </w:style>
  <w:style w:type="character" w:customStyle="1" w:styleId="14">
    <w:name w:val="页脚 字符"/>
    <w:link w:val="6"/>
    <w:qFormat/>
    <w:uiPriority w:val="0"/>
    <w:rPr>
      <w:kern w:val="2"/>
      <w:sz w:val="18"/>
      <w:szCs w:val="18"/>
    </w:rPr>
  </w:style>
  <w:style w:type="character" w:customStyle="1" w:styleId="15">
    <w:name w:val="正文文本 字符"/>
    <w:link w:val="2"/>
    <w:qFormat/>
    <w:uiPriority w:val="99"/>
    <w:rPr>
      <w:rFonts w:ascii="Calibri" w:hAnsi="Calibri"/>
      <w:b/>
      <w:bCs/>
      <w:kern w:val="1"/>
      <w:sz w:val="32"/>
      <w:szCs w:val="32"/>
    </w:rPr>
  </w:style>
  <w:style w:type="character" w:customStyle="1" w:styleId="16">
    <w:name w:val="_Style 14"/>
    <w:semiHidden/>
    <w:unhideWhenUsed/>
    <w:qFormat/>
    <w:uiPriority w:val="99"/>
    <w:rPr>
      <w:color w:val="605E5C"/>
      <w:shd w:val="clear" w:color="auto" w:fill="E1DFDD"/>
    </w:rPr>
  </w:style>
  <w:style w:type="character" w:customStyle="1" w:styleId="17">
    <w:name w:val="批注框文本 字符"/>
    <w:basedOn w:val="9"/>
    <w:link w:val="5"/>
    <w:qFormat/>
    <w:uiPriority w:val="0"/>
    <w:rPr>
      <w:kern w:val="2"/>
      <w:sz w:val="18"/>
      <w:szCs w:val="18"/>
    </w:rPr>
  </w:style>
  <w:style w:type="paragraph" w:customStyle="1" w:styleId="18">
    <w:name w:val="Revision"/>
    <w:hidden/>
    <w:semiHidden/>
    <w:qFormat/>
    <w:uiPriority w:val="99"/>
    <w:rPr>
      <w:rFonts w:ascii="Times New Roman" w:hAnsi="Times New Roman" w:eastAsia="宋体" w:cs="Times New Roman"/>
      <w:kern w:val="2"/>
      <w:sz w:val="21"/>
      <w:szCs w:val="24"/>
      <w:lang w:val="en-US" w:eastAsia="zh-CN" w:bidi="ar-SA"/>
    </w:rPr>
  </w:style>
  <w:style w:type="paragraph" w:customStyle="1" w:styleId="19">
    <w:name w:val="*Z表内容"/>
    <w:basedOn w:val="1"/>
    <w:qFormat/>
    <w:uiPriority w:val="0"/>
    <w:pPr>
      <w:widowControl/>
      <w:jc w:val="left"/>
    </w:pPr>
    <w:rPr>
      <w:rFonts w:ascii="Times New Roman" w:hAnsi="Times New Roman" w:eastAsia="宋体" w:cs="Times New Roman"/>
      <w:color w:val="000000"/>
      <w:kern w:val="0"/>
      <w:szCs w:val="21"/>
    </w:rPr>
  </w:style>
  <w:style w:type="character" w:customStyle="1" w:styleId="20">
    <w:name w:val="font31"/>
    <w:basedOn w:val="9"/>
    <w:qFormat/>
    <w:uiPriority w:val="0"/>
    <w:rPr>
      <w:rFonts w:ascii="Calibri" w:hAnsi="Calibri" w:cs="Calibri"/>
      <w:color w:val="000000"/>
      <w:sz w:val="22"/>
      <w:szCs w:val="22"/>
      <w:u w:val="none"/>
    </w:rPr>
  </w:style>
  <w:style w:type="character" w:customStyle="1" w:styleId="21">
    <w:name w:val="font11"/>
    <w:basedOn w:val="9"/>
    <w:qFormat/>
    <w:uiPriority w:val="0"/>
    <w:rPr>
      <w:rFonts w:hint="default" w:ascii="仿宋_GB2312" w:eastAsia="仿宋_GB2312" w:cs="仿宋_GB2312"/>
      <w:color w:val="000000"/>
      <w:sz w:val="22"/>
      <w:szCs w:val="22"/>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1881</Words>
  <Characters>1996</Characters>
  <Lines>131</Lines>
  <Paragraphs>98</Paragraphs>
  <TotalTime>222</TotalTime>
  <ScaleCrop>false</ScaleCrop>
  <LinksUpToDate>false</LinksUpToDate>
  <CharactersWithSpaces>2005</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2023-10-26T01:58:00Z</dcterms:created>
  <dc:creator>caocan</dc:creator>
  <cp:lastModifiedBy>8DBF1A02D4E745D7807AEDEA0B5FF0EA</cp:lastModifiedBy>
  <dcterms:modified xsi:type="dcterms:W3CDTF">2026-09-14T08:39:41Z</dcterms:modified>
  <cp:revision>25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C528F2CB0AD04AF4867D9F4C3E48249A</vt:lpwstr>
  </property>
  <property fmtid="{D5CDD505-2E9C-101B-9397-08002B2CF9AE}" pid="4" name="KSOTemplateDocerSaveRecord">
    <vt:lpwstr>eyJoZGlkIjoiZDEwYjdkODZkZjJkNmFiNmEwMWMxZGEwNTBmZTczOTMiLCJ1c2VySWQiOiI2MzIxMTM5MzgifQ==</vt:lpwstr>
  </property>
</Properties>
</file>