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E42A02">
      <w:pPr>
        <w:pStyle w:val="4"/>
        <w:keepNext/>
        <w:keepLines/>
        <w:pageBreakBefore w:val="0"/>
        <w:widowControl w:val="0"/>
        <w:kinsoku/>
        <w:wordWrap/>
        <w:overflowPunct/>
        <w:topLinePunct w:val="0"/>
        <w:autoSpaceDE/>
        <w:autoSpaceDN/>
        <w:bidi w:val="0"/>
        <w:adjustRightInd/>
        <w:snapToGrid/>
        <w:spacing w:before="0" w:after="0"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附件1：</w:t>
      </w:r>
    </w:p>
    <w:p w14:paraId="7E652951">
      <w:pPr>
        <w:pStyle w:val="5"/>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color w:val="auto"/>
          <w:sz w:val="44"/>
          <w:szCs w:val="44"/>
          <w:highlight w:val="none"/>
          <w:lang w:val="en-US" w:eastAsia="zh-CN"/>
        </w:rPr>
      </w:pPr>
      <w:r>
        <w:rPr>
          <w:rFonts w:hint="eastAsia" w:ascii="方正小标宋_GBK" w:hAnsi="方正小标宋_GBK" w:eastAsia="方正小标宋_GBK" w:cs="方正小标宋_GBK"/>
          <w:b w:val="0"/>
          <w:bCs/>
          <w:color w:val="auto"/>
          <w:sz w:val="44"/>
          <w:szCs w:val="44"/>
          <w:highlight w:val="none"/>
          <w:lang w:val="en-US" w:eastAsia="zh-CN"/>
        </w:rPr>
        <w:t>南方电网公司供应商商事信息库入库审查规则</w:t>
      </w:r>
    </w:p>
    <w:p w14:paraId="14AF7C51">
      <w:pPr>
        <w:pStyle w:val="5"/>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color w:val="auto"/>
          <w:sz w:val="44"/>
          <w:szCs w:val="44"/>
          <w:highlight w:val="none"/>
          <w:lang w:val="en-US" w:eastAsia="zh-CN"/>
        </w:rPr>
      </w:pPr>
      <w:r>
        <w:rPr>
          <w:rFonts w:hint="eastAsia" w:ascii="方正小标宋_GBK" w:hAnsi="方正小标宋_GBK" w:eastAsia="方正小标宋_GBK" w:cs="方正小标宋_GBK"/>
          <w:b w:val="0"/>
          <w:bCs/>
          <w:color w:val="auto"/>
          <w:sz w:val="44"/>
          <w:szCs w:val="44"/>
          <w:highlight w:val="none"/>
          <w:lang w:val="en-US" w:eastAsia="zh-CN"/>
        </w:rPr>
        <w:t>（2026版-征集意见稿）</w:t>
      </w:r>
    </w:p>
    <w:p w14:paraId="5319A1CB">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left"/>
        <w:textAlignment w:val="auto"/>
        <w:rPr>
          <w:rFonts w:hint="eastAsia" w:ascii="黑体" w:hAnsi="宋体" w:eastAsia="黑体" w:cs="黑体"/>
          <w:color w:val="auto"/>
          <w:kern w:val="0"/>
          <w:sz w:val="32"/>
          <w:szCs w:val="32"/>
          <w:lang w:val="en-US" w:eastAsia="zh-CN" w:bidi="ar"/>
        </w:rPr>
      </w:pPr>
      <w:r>
        <w:rPr>
          <w:rFonts w:hint="eastAsia" w:ascii="黑体" w:hAnsi="宋体" w:eastAsia="黑体" w:cs="黑体"/>
          <w:color w:val="auto"/>
          <w:kern w:val="0"/>
          <w:sz w:val="32"/>
          <w:szCs w:val="32"/>
          <w:lang w:val="en-US" w:eastAsia="zh-CN" w:bidi="ar"/>
        </w:rPr>
        <w:t>一、入库对象</w:t>
      </w:r>
    </w:p>
    <w:p w14:paraId="192D0A88">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凡有意参与南方电网公司资格预审及招标采购活动，并已在南方电网供应链统一服务平台完成登记注册的供应商，均可自愿参加商事信息库入库申报。</w:t>
      </w:r>
    </w:p>
    <w:p w14:paraId="02C5A513">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宋体" w:eastAsia="宋体" w:cs="黑体"/>
          <w:color w:val="auto"/>
          <w:kern w:val="0"/>
          <w:sz w:val="32"/>
          <w:szCs w:val="32"/>
          <w:lang w:val="en-US" w:eastAsia="zh-CN" w:bidi="ar"/>
        </w:rPr>
      </w:pPr>
      <w:r>
        <w:rPr>
          <w:rFonts w:hint="eastAsia" w:ascii="黑体" w:hAnsi="宋体" w:eastAsia="黑体" w:cs="黑体"/>
          <w:color w:val="auto"/>
          <w:kern w:val="0"/>
          <w:sz w:val="32"/>
          <w:szCs w:val="32"/>
          <w:lang w:val="en-US" w:eastAsia="zh-CN" w:bidi="ar"/>
        </w:rPr>
        <w:t>二、入库</w:t>
      </w:r>
      <w:r>
        <w:rPr>
          <w:rFonts w:hint="eastAsia" w:ascii="黑体" w:hAnsi="宋体" w:eastAsia="黑体" w:cs="黑体"/>
          <w:color w:val="auto"/>
          <w:kern w:val="0"/>
          <w:sz w:val="32"/>
          <w:szCs w:val="32"/>
          <w:lang w:eastAsia="zh-CN" w:bidi="ar"/>
        </w:rPr>
        <w:t>审查</w:t>
      </w:r>
      <w:r>
        <w:rPr>
          <w:rFonts w:hint="eastAsia" w:ascii="黑体" w:hAnsi="宋体" w:eastAsia="黑体" w:cs="黑体"/>
          <w:color w:val="auto"/>
          <w:kern w:val="0"/>
          <w:sz w:val="32"/>
          <w:szCs w:val="32"/>
          <w:lang w:val="en-US" w:eastAsia="zh-CN" w:bidi="ar"/>
        </w:rPr>
        <w:t>方式</w:t>
      </w:r>
    </w:p>
    <w:p w14:paraId="5F75A56B">
      <w:pPr>
        <w:pStyle w:val="5"/>
        <w:keepNext w:val="0"/>
        <w:keepLines w:val="0"/>
        <w:pageBreakBefore w:val="0"/>
        <w:kinsoku/>
        <w:wordWrap w:val="0"/>
        <w:overflowPunct w:val="0"/>
        <w:topLinePunct w:val="0"/>
        <w:autoSpaceDE/>
        <w:autoSpaceDN/>
        <w:bidi w:val="0"/>
        <w:adjustRightInd/>
        <w:snapToGrid/>
        <w:spacing w:before="0" w:beforeLines="0" w:after="0" w:afterLines="0" w:line="560" w:lineRule="exact"/>
        <w:ind w:firstLine="640" w:firstLineChars="200"/>
        <w:textAlignment w:val="auto"/>
        <w:rPr>
          <w:rFonts w:eastAsia="楷体_GB2312" w:cs="仿宋_GB2312"/>
          <w:b w:val="0"/>
          <w:color w:val="auto"/>
          <w:szCs w:val="32"/>
          <w:highlight w:val="none"/>
        </w:rPr>
      </w:pPr>
      <w:r>
        <w:rPr>
          <w:rFonts w:eastAsia="楷体_GB2312" w:cs="仿宋_GB2312"/>
          <w:b w:val="0"/>
          <w:color w:val="auto"/>
          <w:szCs w:val="32"/>
          <w:highlight w:val="none"/>
        </w:rPr>
        <w:t>（一）</w:t>
      </w:r>
      <w:r>
        <w:rPr>
          <w:rFonts w:hint="eastAsia" w:eastAsia="楷体_GB2312" w:cs="仿宋_GB2312"/>
          <w:b w:val="0"/>
          <w:color w:val="auto"/>
          <w:szCs w:val="32"/>
          <w:highlight w:val="none"/>
          <w:lang w:val="en-US" w:eastAsia="zh-CN"/>
        </w:rPr>
        <w:t>营业执照信息直接引用供应商登记数据</w:t>
      </w:r>
    </w:p>
    <w:p w14:paraId="7E4581C1">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营业执照信息自动</w:t>
      </w:r>
      <w:r>
        <w:rPr>
          <w:rFonts w:hint="eastAsia" w:ascii="仿宋_GB2312" w:hAnsi="仿宋_GB2312" w:eastAsia="仿宋_GB2312" w:cs="仿宋_GB2312"/>
          <w:color w:val="auto"/>
          <w:sz w:val="32"/>
          <w:szCs w:val="32"/>
          <w:highlight w:val="none"/>
          <w:lang w:eastAsia="zh-CN"/>
        </w:rPr>
        <w:t>从供应商登记注册</w:t>
      </w:r>
      <w:bookmarkStart w:id="0" w:name="_GoBack"/>
      <w:bookmarkEnd w:id="0"/>
      <w:r>
        <w:rPr>
          <w:rFonts w:hint="eastAsia" w:ascii="仿宋_GB2312" w:hAnsi="仿宋_GB2312" w:eastAsia="仿宋_GB2312" w:cs="仿宋_GB2312"/>
          <w:color w:val="auto"/>
          <w:sz w:val="32"/>
          <w:szCs w:val="32"/>
          <w:highlight w:val="none"/>
          <w:lang w:eastAsia="zh-CN"/>
        </w:rPr>
        <w:t>信息</w:t>
      </w:r>
      <w:r>
        <w:rPr>
          <w:rFonts w:hint="eastAsia" w:ascii="仿宋_GB2312" w:hAnsi="仿宋_GB2312" w:eastAsia="仿宋_GB2312" w:cs="仿宋_GB2312"/>
          <w:color w:val="auto"/>
          <w:sz w:val="32"/>
          <w:szCs w:val="32"/>
          <w:highlight w:val="none"/>
          <w:lang w:val="en-US" w:eastAsia="zh-CN"/>
        </w:rPr>
        <w:t>获取</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供应商无需</w:t>
      </w:r>
      <w:r>
        <w:rPr>
          <w:rFonts w:hint="eastAsia" w:ascii="仿宋_GB2312" w:hAnsi="仿宋_GB2312" w:eastAsia="仿宋_GB2312" w:cs="仿宋_GB2312"/>
          <w:color w:val="auto"/>
          <w:sz w:val="32"/>
          <w:szCs w:val="32"/>
          <w:highlight w:val="none"/>
          <w:lang w:eastAsia="zh-CN"/>
        </w:rPr>
        <w:t>重复填报，</w:t>
      </w:r>
      <w:r>
        <w:rPr>
          <w:rFonts w:hint="eastAsia" w:ascii="仿宋_GB2312" w:hAnsi="仿宋_GB2312" w:eastAsia="仿宋_GB2312" w:cs="仿宋_GB2312"/>
          <w:color w:val="auto"/>
          <w:sz w:val="32"/>
          <w:szCs w:val="32"/>
          <w:highlight w:val="none"/>
          <w:lang w:val="en-US" w:eastAsia="zh-CN"/>
        </w:rPr>
        <w:t>若需修改，须在供应链统一服务平台供应商登记管理模块进行信息变更</w:t>
      </w:r>
      <w:r>
        <w:rPr>
          <w:rFonts w:hint="eastAsia" w:ascii="仿宋_GB2312" w:hAnsi="仿宋_GB2312" w:eastAsia="仿宋_GB2312" w:cs="仿宋_GB2312"/>
          <w:color w:val="auto"/>
          <w:sz w:val="32"/>
          <w:szCs w:val="32"/>
          <w:highlight w:val="none"/>
          <w:lang w:eastAsia="zh-CN"/>
        </w:rPr>
        <w:t>。</w:t>
      </w:r>
    </w:p>
    <w:p w14:paraId="40B43591">
      <w:pPr>
        <w:pStyle w:val="5"/>
        <w:keepNext w:val="0"/>
        <w:keepLines w:val="0"/>
        <w:pageBreakBefore w:val="0"/>
        <w:kinsoku/>
        <w:wordWrap w:val="0"/>
        <w:overflowPunct w:val="0"/>
        <w:topLinePunct w:val="0"/>
        <w:autoSpaceDE/>
        <w:autoSpaceDN/>
        <w:bidi w:val="0"/>
        <w:adjustRightInd/>
        <w:snapToGrid/>
        <w:spacing w:before="0" w:beforeLines="0" w:after="0" w:afterLines="0" w:line="560" w:lineRule="exact"/>
        <w:ind w:firstLine="640" w:firstLineChars="200"/>
        <w:textAlignment w:val="auto"/>
        <w:rPr>
          <w:rFonts w:hint="default" w:eastAsia="楷体_GB2312" w:cs="仿宋_GB2312"/>
          <w:b w:val="0"/>
          <w:color w:val="auto"/>
          <w:szCs w:val="32"/>
          <w:highlight w:val="none"/>
          <w:lang w:val="en-US" w:eastAsia="zh-CN"/>
        </w:rPr>
      </w:pPr>
      <w:r>
        <w:rPr>
          <w:rFonts w:eastAsia="楷体_GB2312" w:cs="仿宋_GB2312"/>
          <w:b w:val="0"/>
          <w:color w:val="auto"/>
          <w:szCs w:val="32"/>
          <w:highlight w:val="none"/>
        </w:rPr>
        <w:t>（</w:t>
      </w:r>
      <w:r>
        <w:rPr>
          <w:rFonts w:hint="eastAsia" w:eastAsia="楷体_GB2312" w:cs="仿宋_GB2312"/>
          <w:b w:val="0"/>
          <w:color w:val="auto"/>
          <w:szCs w:val="32"/>
          <w:highlight w:val="none"/>
          <w:lang w:val="en-US" w:eastAsia="zh-CN"/>
        </w:rPr>
        <w:t>二</w:t>
      </w:r>
      <w:r>
        <w:rPr>
          <w:rFonts w:eastAsia="楷体_GB2312" w:cs="仿宋_GB2312"/>
          <w:b w:val="0"/>
          <w:color w:val="auto"/>
          <w:szCs w:val="32"/>
          <w:highlight w:val="none"/>
        </w:rPr>
        <w:t>）</w:t>
      </w:r>
      <w:r>
        <w:rPr>
          <w:rFonts w:hint="eastAsia" w:eastAsia="楷体_GB2312" w:cs="仿宋_GB2312"/>
          <w:b w:val="0"/>
          <w:color w:val="auto"/>
          <w:szCs w:val="32"/>
          <w:highlight w:val="none"/>
          <w:lang w:val="en-US" w:eastAsia="zh-CN"/>
        </w:rPr>
        <w:t>股权、诉讼和信用等信息</w:t>
      </w:r>
      <w:r>
        <w:rPr>
          <w:rFonts w:eastAsia="楷体_GB2312" w:cs="仿宋_GB2312"/>
          <w:b w:val="0"/>
          <w:color w:val="auto"/>
          <w:szCs w:val="32"/>
          <w:highlight w:val="none"/>
        </w:rPr>
        <w:t>直接</w:t>
      </w:r>
      <w:r>
        <w:rPr>
          <w:rFonts w:hint="eastAsia" w:eastAsia="楷体_GB2312" w:cs="仿宋_GB2312"/>
          <w:b w:val="0"/>
          <w:color w:val="auto"/>
          <w:szCs w:val="32"/>
          <w:highlight w:val="none"/>
          <w:lang w:eastAsia="zh-CN"/>
        </w:rPr>
        <w:t>对接外部</w:t>
      </w:r>
      <w:r>
        <w:rPr>
          <w:rFonts w:hint="eastAsia" w:eastAsia="楷体_GB2312" w:cs="仿宋_GB2312"/>
          <w:b w:val="0"/>
          <w:color w:val="auto"/>
          <w:szCs w:val="32"/>
          <w:highlight w:val="none"/>
          <w:lang w:val="en-US" w:eastAsia="zh-CN"/>
        </w:rPr>
        <w:t>官方数据</w:t>
      </w:r>
    </w:p>
    <w:p w14:paraId="1B85FBD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供应商股东及持股、诉讼仲裁、信用状况等信息，直接对接国家企业信用信息公示系统等官方权威平台系统获取并动态更新，供应商无需填报，可在供应链统一服务平台资信库模块查阅。</w:t>
      </w:r>
    </w:p>
    <w:p w14:paraId="4D4FC852">
      <w:pPr>
        <w:pStyle w:val="5"/>
        <w:keepNext w:val="0"/>
        <w:keepLines w:val="0"/>
        <w:pageBreakBefore w:val="0"/>
        <w:kinsoku/>
        <w:wordWrap w:val="0"/>
        <w:overflowPunct w:val="0"/>
        <w:topLinePunct w:val="0"/>
        <w:autoSpaceDE/>
        <w:autoSpaceDN/>
        <w:bidi w:val="0"/>
        <w:adjustRightInd/>
        <w:snapToGrid/>
        <w:spacing w:before="0" w:beforeLines="0" w:after="0" w:afterLines="0" w:line="560" w:lineRule="exact"/>
        <w:ind w:firstLine="640" w:firstLineChars="200"/>
        <w:textAlignment w:val="auto"/>
        <w:rPr>
          <w:rFonts w:eastAsia="楷体_GB2312" w:cs="仿宋_GB2312"/>
          <w:b w:val="0"/>
          <w:color w:val="auto"/>
          <w:szCs w:val="32"/>
          <w:highlight w:val="none"/>
        </w:rPr>
      </w:pPr>
      <w:r>
        <w:rPr>
          <w:rFonts w:eastAsia="楷体_GB2312" w:cs="仿宋_GB2312"/>
          <w:b w:val="0"/>
          <w:color w:val="auto"/>
          <w:szCs w:val="32"/>
          <w:highlight w:val="none"/>
        </w:rPr>
        <w:t>（三）其他信息</w:t>
      </w:r>
      <w:r>
        <w:rPr>
          <w:rFonts w:hint="eastAsia" w:eastAsia="楷体_GB2312" w:cs="仿宋_GB2312"/>
          <w:b w:val="0"/>
          <w:color w:val="auto"/>
          <w:szCs w:val="32"/>
          <w:highlight w:val="none"/>
          <w:lang w:val="en-US" w:eastAsia="zh-CN"/>
        </w:rPr>
        <w:t>由</w:t>
      </w:r>
      <w:r>
        <w:rPr>
          <w:rFonts w:eastAsia="楷体_GB2312" w:cs="仿宋_GB2312"/>
          <w:b w:val="0"/>
          <w:color w:val="auto"/>
          <w:szCs w:val="32"/>
          <w:highlight w:val="none"/>
        </w:rPr>
        <w:t>供应商自主填报</w:t>
      </w:r>
    </w:p>
    <w:p w14:paraId="6480D02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atLeas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除上述两类信息外，人力资源、财务、资质证书、获奖、绿色低碳等信息，供应商可自主填报，规定时间</w:t>
      </w:r>
      <w:r>
        <w:rPr>
          <w:rFonts w:hint="eastAsia" w:ascii="仿宋_GB2312" w:hAnsi="仿宋_GB2312" w:eastAsia="仿宋_GB2312" w:cs="仿宋_GB2312"/>
          <w:color w:val="auto"/>
          <w:sz w:val="32"/>
          <w:szCs w:val="32"/>
          <w:highlight w:val="none"/>
          <w:lang w:eastAsia="zh-CN"/>
        </w:rPr>
        <w:t>内完成</w:t>
      </w:r>
      <w:r>
        <w:rPr>
          <w:rFonts w:hint="eastAsia" w:ascii="仿宋_GB2312" w:hAnsi="仿宋_GB2312" w:eastAsia="仿宋_GB2312" w:cs="仿宋_GB2312"/>
          <w:color w:val="auto"/>
          <w:sz w:val="32"/>
          <w:szCs w:val="32"/>
          <w:highlight w:val="none"/>
          <w:lang w:val="en-US" w:eastAsia="zh-CN"/>
        </w:rPr>
        <w:t>审查并反馈结果。</w:t>
      </w:r>
    </w:p>
    <w:p w14:paraId="4EDBDB3B">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宋体" w:eastAsia="黑体" w:cs="黑体"/>
          <w:color w:val="auto"/>
          <w:kern w:val="0"/>
          <w:sz w:val="32"/>
          <w:szCs w:val="32"/>
          <w:lang w:val="en-US" w:eastAsia="zh-CN" w:bidi="ar"/>
        </w:rPr>
      </w:pPr>
      <w:r>
        <w:rPr>
          <w:rFonts w:hint="eastAsia" w:ascii="黑体" w:hAnsi="宋体" w:eastAsia="黑体" w:cs="黑体"/>
          <w:color w:val="auto"/>
          <w:kern w:val="0"/>
          <w:sz w:val="32"/>
          <w:szCs w:val="32"/>
          <w:lang w:val="en-US" w:eastAsia="zh-CN" w:bidi="ar"/>
        </w:rPr>
        <w:t>三、审查标准</w:t>
      </w:r>
    </w:p>
    <w:p w14:paraId="05676F3B">
      <w:pPr>
        <w:pStyle w:val="5"/>
        <w:keepNext w:val="0"/>
        <w:keepLines w:val="0"/>
        <w:pageBreakBefore w:val="0"/>
        <w:kinsoku/>
        <w:wordWrap w:val="0"/>
        <w:overflowPunct w:val="0"/>
        <w:topLinePunct w:val="0"/>
        <w:autoSpaceDE/>
        <w:autoSpaceDN/>
        <w:bidi w:val="0"/>
        <w:adjustRightInd/>
        <w:snapToGrid/>
        <w:spacing w:before="0" w:beforeLines="0" w:after="0" w:afterLines="0" w:line="560" w:lineRule="exact"/>
        <w:ind w:firstLine="640" w:firstLineChars="200"/>
        <w:textAlignment w:val="auto"/>
        <w:rPr>
          <w:rFonts w:hint="eastAsia" w:eastAsia="楷体_GB2312" w:cs="仿宋_GB2312"/>
          <w:b w:val="0"/>
          <w:color w:val="auto"/>
          <w:szCs w:val="32"/>
          <w:highlight w:val="none"/>
          <w:lang w:val="en-US" w:eastAsia="zh-CN"/>
        </w:rPr>
      </w:pPr>
      <w:r>
        <w:rPr>
          <w:rFonts w:eastAsia="楷体_GB2312" w:cs="仿宋_GB2312"/>
          <w:b w:val="0"/>
          <w:color w:val="auto"/>
          <w:szCs w:val="32"/>
          <w:highlight w:val="none"/>
        </w:rPr>
        <w:t>（一）</w:t>
      </w:r>
      <w:r>
        <w:rPr>
          <w:rFonts w:hint="eastAsia" w:eastAsia="楷体_GB2312" w:cs="仿宋_GB2312"/>
          <w:b w:val="0"/>
          <w:color w:val="auto"/>
          <w:szCs w:val="32"/>
          <w:highlight w:val="none"/>
          <w:lang w:val="en-US" w:eastAsia="zh-CN"/>
        </w:rPr>
        <w:t>营业执照信息审查标准</w:t>
      </w:r>
    </w:p>
    <w:p w14:paraId="1A631C7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1.必填字段</w:t>
      </w:r>
      <w:r>
        <w:rPr>
          <w:rFonts w:hint="eastAsia" w:ascii="仿宋_GB2312" w:hAnsi="仿宋_GB2312" w:eastAsia="仿宋_GB2312" w:cs="仿宋_GB2312"/>
          <w:color w:val="auto"/>
          <w:sz w:val="32"/>
          <w:szCs w:val="32"/>
          <w:highlight w:val="none"/>
          <w:lang w:val="en-US" w:eastAsia="zh-CN"/>
        </w:rPr>
        <w:t>信息</w:t>
      </w:r>
      <w:r>
        <w:rPr>
          <w:rFonts w:hint="default" w:ascii="仿宋_GB2312" w:hAnsi="仿宋_GB2312" w:eastAsia="仿宋_GB2312" w:cs="仿宋_GB2312"/>
          <w:color w:val="auto"/>
          <w:sz w:val="32"/>
          <w:szCs w:val="32"/>
          <w:highlight w:val="none"/>
          <w:lang w:val="en-US" w:eastAsia="zh-CN"/>
        </w:rPr>
        <w:t>与上传</w:t>
      </w:r>
      <w:r>
        <w:rPr>
          <w:rFonts w:hint="eastAsia" w:ascii="仿宋_GB2312" w:hAnsi="仿宋_GB2312" w:eastAsia="仿宋_GB2312" w:cs="仿宋_GB2312"/>
          <w:color w:val="auto"/>
          <w:sz w:val="32"/>
          <w:szCs w:val="32"/>
          <w:highlight w:val="none"/>
          <w:lang w:val="en-US" w:eastAsia="zh-CN"/>
        </w:rPr>
        <w:t>的佐证材料</w:t>
      </w:r>
      <w:r>
        <w:rPr>
          <w:rFonts w:hint="default" w:ascii="仿宋_GB2312" w:hAnsi="仿宋_GB2312" w:eastAsia="仿宋_GB2312" w:cs="仿宋_GB2312"/>
          <w:color w:val="auto"/>
          <w:sz w:val="32"/>
          <w:szCs w:val="32"/>
          <w:highlight w:val="none"/>
          <w:lang w:val="en-US" w:eastAsia="zh-CN"/>
        </w:rPr>
        <w:t>一致。</w:t>
      </w:r>
    </w:p>
    <w:p w14:paraId="1A4C361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2.必审字段</w:t>
      </w:r>
      <w:r>
        <w:rPr>
          <w:rFonts w:hint="eastAsia" w:ascii="仿宋_GB2312" w:hAnsi="仿宋_GB2312" w:eastAsia="仿宋_GB2312" w:cs="仿宋_GB2312"/>
          <w:color w:val="auto"/>
          <w:sz w:val="32"/>
          <w:szCs w:val="32"/>
          <w:highlight w:val="none"/>
          <w:lang w:val="en-US" w:eastAsia="zh-CN"/>
        </w:rPr>
        <w:t>信息</w:t>
      </w:r>
      <w:r>
        <w:rPr>
          <w:rFonts w:hint="default" w:ascii="仿宋_GB2312" w:hAnsi="仿宋_GB2312" w:eastAsia="仿宋_GB2312" w:cs="仿宋_GB2312"/>
          <w:color w:val="auto"/>
          <w:sz w:val="32"/>
          <w:szCs w:val="32"/>
          <w:highlight w:val="none"/>
          <w:lang w:val="en-US" w:eastAsia="zh-CN"/>
        </w:rPr>
        <w:t>与官方</w:t>
      </w:r>
      <w:r>
        <w:rPr>
          <w:rFonts w:hint="eastAsia" w:ascii="仿宋_GB2312" w:hAnsi="仿宋_GB2312" w:eastAsia="仿宋_GB2312" w:cs="仿宋_GB2312"/>
          <w:color w:val="auto"/>
          <w:sz w:val="32"/>
          <w:szCs w:val="32"/>
          <w:highlight w:val="none"/>
          <w:lang w:val="en-US" w:eastAsia="zh-CN"/>
        </w:rPr>
        <w:t>权威</w:t>
      </w:r>
      <w:r>
        <w:rPr>
          <w:rFonts w:hint="default" w:ascii="仿宋_GB2312" w:hAnsi="仿宋_GB2312" w:eastAsia="仿宋_GB2312" w:cs="仿宋_GB2312"/>
          <w:color w:val="auto"/>
          <w:sz w:val="32"/>
          <w:szCs w:val="32"/>
          <w:highlight w:val="none"/>
          <w:lang w:val="en-US" w:eastAsia="zh-CN"/>
        </w:rPr>
        <w:t>平台系统查询一致。</w:t>
      </w:r>
    </w:p>
    <w:p w14:paraId="5FE44B3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val="en-US" w:eastAsia="zh-CN"/>
        </w:rPr>
        <w:t>工商登记</w:t>
      </w:r>
      <w:r>
        <w:rPr>
          <w:rFonts w:hint="default" w:ascii="仿宋_GB2312" w:hAnsi="仿宋_GB2312" w:eastAsia="仿宋_GB2312" w:cs="仿宋_GB2312"/>
          <w:color w:val="auto"/>
          <w:sz w:val="32"/>
          <w:szCs w:val="32"/>
          <w:highlight w:val="none"/>
          <w:lang w:val="en-US" w:eastAsia="zh-CN"/>
        </w:rPr>
        <w:t>状态为“存续（在营、开业）”等正常状态。</w:t>
      </w:r>
    </w:p>
    <w:p w14:paraId="2762A63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w:t>
      </w:r>
      <w:r>
        <w:rPr>
          <w:rFonts w:hint="default" w:ascii="仿宋_GB2312" w:hAnsi="仿宋_GB2312" w:eastAsia="仿宋_GB2312" w:cs="仿宋_GB2312"/>
          <w:color w:val="auto"/>
          <w:sz w:val="32"/>
          <w:szCs w:val="32"/>
          <w:highlight w:val="none"/>
          <w:lang w:val="en-US" w:eastAsia="zh-CN"/>
        </w:rPr>
        <w:t>证件</w:t>
      </w:r>
      <w:r>
        <w:rPr>
          <w:rFonts w:hint="eastAsia" w:ascii="仿宋_GB2312" w:hAnsi="仿宋_GB2312" w:eastAsia="仿宋_GB2312" w:cs="仿宋_GB2312"/>
          <w:color w:val="auto"/>
          <w:sz w:val="32"/>
          <w:szCs w:val="32"/>
          <w:highlight w:val="none"/>
          <w:lang w:val="en-US" w:eastAsia="zh-CN"/>
        </w:rPr>
        <w:t>在</w:t>
      </w:r>
      <w:r>
        <w:rPr>
          <w:rFonts w:hint="default" w:ascii="仿宋_GB2312" w:hAnsi="仿宋_GB2312" w:eastAsia="仿宋_GB2312" w:cs="仿宋_GB2312"/>
          <w:color w:val="auto"/>
          <w:sz w:val="32"/>
          <w:szCs w:val="32"/>
          <w:highlight w:val="none"/>
          <w:lang w:val="en-US" w:eastAsia="zh-CN"/>
        </w:rPr>
        <w:t>有效</w:t>
      </w:r>
      <w:r>
        <w:rPr>
          <w:rFonts w:hint="eastAsia" w:ascii="仿宋_GB2312" w:hAnsi="仿宋_GB2312" w:eastAsia="仿宋_GB2312" w:cs="仿宋_GB2312"/>
          <w:color w:val="auto"/>
          <w:sz w:val="32"/>
          <w:szCs w:val="32"/>
          <w:highlight w:val="none"/>
          <w:lang w:val="en-US" w:eastAsia="zh-CN"/>
        </w:rPr>
        <w:t>期限内</w:t>
      </w:r>
      <w:r>
        <w:rPr>
          <w:rFonts w:hint="default" w:ascii="仿宋_GB2312" w:hAnsi="仿宋_GB2312" w:eastAsia="仿宋_GB2312" w:cs="仿宋_GB2312"/>
          <w:color w:val="auto"/>
          <w:sz w:val="32"/>
          <w:szCs w:val="32"/>
          <w:highlight w:val="none"/>
          <w:lang w:val="en-US" w:eastAsia="zh-CN"/>
        </w:rPr>
        <w:t>。</w:t>
      </w:r>
    </w:p>
    <w:p w14:paraId="608F7BDE">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w:t>
      </w:r>
      <w:r>
        <w:rPr>
          <w:rFonts w:hint="default" w:ascii="仿宋_GB2312" w:hAnsi="仿宋_GB2312" w:eastAsia="仿宋_GB2312" w:cs="仿宋_GB2312"/>
          <w:color w:val="auto"/>
          <w:sz w:val="32"/>
          <w:szCs w:val="32"/>
          <w:highlight w:val="none"/>
          <w:lang w:val="en-US" w:eastAsia="zh-CN"/>
        </w:rPr>
        <w:t>不予入库情形</w:t>
      </w:r>
      <w:r>
        <w:rPr>
          <w:rFonts w:hint="eastAsia" w:ascii="仿宋_GB2312" w:hAnsi="仿宋_GB2312" w:eastAsia="仿宋_GB2312" w:cs="仿宋_GB2312"/>
          <w:color w:val="auto"/>
          <w:sz w:val="32"/>
          <w:szCs w:val="32"/>
          <w:highlight w:val="none"/>
          <w:lang w:val="en-US" w:eastAsia="zh-CN"/>
        </w:rPr>
        <w:t>的认定标准</w:t>
      </w:r>
      <w:r>
        <w:rPr>
          <w:rFonts w:hint="default" w:ascii="仿宋_GB2312" w:hAnsi="仿宋_GB2312" w:eastAsia="仿宋_GB2312" w:cs="仿宋_GB2312"/>
          <w:color w:val="auto"/>
          <w:sz w:val="32"/>
          <w:szCs w:val="32"/>
          <w:highlight w:val="none"/>
          <w:lang w:val="en-US" w:eastAsia="zh-CN"/>
        </w:rPr>
        <w:t>：</w:t>
      </w:r>
    </w:p>
    <w:p w14:paraId="346EC00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w:t>
      </w:r>
      <w:r>
        <w:rPr>
          <w:rFonts w:hint="default"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val="en-US" w:eastAsia="zh-CN"/>
        </w:rPr>
        <w:t>）填报</w:t>
      </w:r>
      <w:r>
        <w:rPr>
          <w:rFonts w:hint="default" w:ascii="仿宋_GB2312" w:hAnsi="仿宋_GB2312" w:eastAsia="仿宋_GB2312" w:cs="仿宋_GB2312"/>
          <w:color w:val="auto"/>
          <w:sz w:val="32"/>
          <w:szCs w:val="32"/>
          <w:highlight w:val="none"/>
          <w:lang w:val="en-US" w:eastAsia="zh-CN"/>
        </w:rPr>
        <w:t>信息与</w:t>
      </w:r>
      <w:r>
        <w:rPr>
          <w:rFonts w:hint="eastAsia" w:ascii="仿宋_GB2312" w:hAnsi="仿宋_GB2312" w:eastAsia="仿宋_GB2312" w:cs="仿宋_GB2312"/>
          <w:color w:val="auto"/>
          <w:sz w:val="32"/>
          <w:szCs w:val="32"/>
          <w:highlight w:val="none"/>
          <w:lang w:val="en-US" w:eastAsia="zh-CN"/>
        </w:rPr>
        <w:t>官方权威平台系统一致性、真实性</w:t>
      </w:r>
      <w:r>
        <w:rPr>
          <w:rFonts w:hint="default" w:ascii="仿宋_GB2312" w:hAnsi="仿宋_GB2312" w:eastAsia="仿宋_GB2312" w:cs="仿宋_GB2312"/>
          <w:color w:val="auto"/>
          <w:sz w:val="32"/>
          <w:szCs w:val="32"/>
          <w:highlight w:val="none"/>
          <w:lang w:val="en-US" w:eastAsia="zh-CN"/>
        </w:rPr>
        <w:t>核验</w:t>
      </w:r>
      <w:r>
        <w:rPr>
          <w:rFonts w:hint="eastAsia" w:ascii="仿宋_GB2312" w:hAnsi="仿宋_GB2312" w:eastAsia="仿宋_GB2312" w:cs="仿宋_GB2312"/>
          <w:color w:val="auto"/>
          <w:sz w:val="32"/>
          <w:szCs w:val="32"/>
          <w:highlight w:val="none"/>
          <w:lang w:val="en-US" w:eastAsia="zh-CN"/>
        </w:rPr>
        <w:t>不通过</w:t>
      </w:r>
      <w:r>
        <w:rPr>
          <w:rFonts w:hint="default" w:ascii="仿宋_GB2312" w:hAnsi="仿宋_GB2312" w:eastAsia="仿宋_GB2312" w:cs="仿宋_GB2312"/>
          <w:color w:val="auto"/>
          <w:sz w:val="32"/>
          <w:szCs w:val="32"/>
          <w:highlight w:val="none"/>
          <w:lang w:val="en-US" w:eastAsia="zh-CN"/>
        </w:rPr>
        <w:t>。</w:t>
      </w:r>
    </w:p>
    <w:p w14:paraId="64962C0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w:t>
      </w:r>
      <w:r>
        <w:rPr>
          <w:rFonts w:hint="default" w:ascii="仿宋_GB2312" w:hAnsi="仿宋_GB2312" w:eastAsia="仿宋_GB2312" w:cs="仿宋_GB2312"/>
          <w:color w:val="auto"/>
          <w:sz w:val="32"/>
          <w:szCs w:val="32"/>
          <w:highlight w:val="none"/>
          <w:lang w:val="en-US" w:eastAsia="zh-CN"/>
        </w:rPr>
        <w:t>证件有效期过期。</w:t>
      </w:r>
    </w:p>
    <w:p w14:paraId="451F371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（3）工商登记</w:t>
      </w:r>
      <w:r>
        <w:rPr>
          <w:rFonts w:hint="default" w:ascii="仿宋_GB2312" w:hAnsi="仿宋_GB2312" w:eastAsia="仿宋_GB2312" w:cs="仿宋_GB2312"/>
          <w:color w:val="auto"/>
          <w:sz w:val="32"/>
          <w:szCs w:val="32"/>
          <w:highlight w:val="none"/>
          <w:lang w:val="en-US" w:eastAsia="zh-CN"/>
        </w:rPr>
        <w:t>状态</w:t>
      </w:r>
      <w:r>
        <w:rPr>
          <w:rFonts w:hint="eastAsia" w:ascii="仿宋_GB2312" w:hAnsi="仿宋_GB2312" w:eastAsia="仿宋_GB2312" w:cs="仿宋_GB2312"/>
          <w:color w:val="auto"/>
          <w:sz w:val="32"/>
          <w:szCs w:val="32"/>
          <w:highlight w:val="none"/>
          <w:lang w:val="en-US" w:eastAsia="zh-CN"/>
        </w:rPr>
        <w:t>为</w:t>
      </w:r>
      <w:r>
        <w:rPr>
          <w:rFonts w:hint="default" w:ascii="仿宋_GB2312" w:hAnsi="仿宋_GB2312" w:eastAsia="仿宋_GB2312" w:cs="仿宋_GB2312"/>
          <w:color w:val="auto"/>
          <w:sz w:val="32"/>
          <w:szCs w:val="32"/>
          <w:highlight w:val="none"/>
          <w:lang w:val="en-US" w:eastAsia="zh-CN"/>
        </w:rPr>
        <w:t>注销/吊销/清算/责令关闭等异常情形。</w:t>
      </w:r>
    </w:p>
    <w:p w14:paraId="604B33A9">
      <w:pPr>
        <w:pStyle w:val="5"/>
        <w:keepNext w:val="0"/>
        <w:keepLines w:val="0"/>
        <w:pageBreakBefore w:val="0"/>
        <w:kinsoku/>
        <w:wordWrap w:val="0"/>
        <w:overflowPunct w:val="0"/>
        <w:topLinePunct w:val="0"/>
        <w:autoSpaceDE/>
        <w:autoSpaceDN/>
        <w:bidi w:val="0"/>
        <w:adjustRightInd/>
        <w:snapToGrid/>
        <w:spacing w:before="0" w:beforeLines="0" w:after="0" w:afterLines="0" w:line="560" w:lineRule="exact"/>
        <w:ind w:firstLine="640" w:firstLineChars="200"/>
        <w:textAlignment w:val="auto"/>
        <w:rPr>
          <w:rFonts w:hint="eastAsia" w:eastAsia="楷体_GB2312" w:cs="仿宋_GB2312"/>
          <w:b w:val="0"/>
          <w:color w:val="auto"/>
          <w:szCs w:val="32"/>
          <w:highlight w:val="none"/>
          <w:lang w:val="en-US" w:eastAsia="zh-CN"/>
        </w:rPr>
      </w:pPr>
      <w:r>
        <w:rPr>
          <w:rFonts w:eastAsia="楷体_GB2312" w:cs="仿宋_GB2312"/>
          <w:b w:val="0"/>
          <w:color w:val="auto"/>
          <w:szCs w:val="32"/>
          <w:highlight w:val="none"/>
        </w:rPr>
        <w:t>（</w:t>
      </w:r>
      <w:r>
        <w:rPr>
          <w:rFonts w:hint="eastAsia" w:eastAsia="楷体_GB2312" w:cs="仿宋_GB2312"/>
          <w:b w:val="0"/>
          <w:color w:val="auto"/>
          <w:szCs w:val="32"/>
          <w:highlight w:val="none"/>
          <w:lang w:val="en-US" w:eastAsia="zh-CN"/>
        </w:rPr>
        <w:t>二</w:t>
      </w:r>
      <w:r>
        <w:rPr>
          <w:rFonts w:eastAsia="楷体_GB2312" w:cs="仿宋_GB2312"/>
          <w:b w:val="0"/>
          <w:color w:val="auto"/>
          <w:szCs w:val="32"/>
          <w:highlight w:val="none"/>
        </w:rPr>
        <w:t>）</w:t>
      </w:r>
      <w:r>
        <w:rPr>
          <w:rFonts w:hint="eastAsia" w:eastAsia="楷体_GB2312" w:cs="仿宋_GB2312"/>
          <w:b w:val="0"/>
          <w:color w:val="auto"/>
          <w:szCs w:val="32"/>
          <w:highlight w:val="none"/>
          <w:lang w:val="en-US" w:eastAsia="zh-CN"/>
        </w:rPr>
        <w:t>股权、诉讼和信用等信息审查标准</w:t>
      </w:r>
    </w:p>
    <w:p w14:paraId="5D0BFCA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直接引用官方权威平台系统数据，不再开展审查。</w:t>
      </w:r>
    </w:p>
    <w:p w14:paraId="25B021E5">
      <w:pPr>
        <w:pStyle w:val="5"/>
        <w:keepNext w:val="0"/>
        <w:keepLines w:val="0"/>
        <w:pageBreakBefore w:val="0"/>
        <w:kinsoku/>
        <w:wordWrap w:val="0"/>
        <w:overflowPunct w:val="0"/>
        <w:topLinePunct w:val="0"/>
        <w:autoSpaceDE/>
        <w:autoSpaceDN/>
        <w:bidi w:val="0"/>
        <w:adjustRightInd/>
        <w:snapToGrid/>
        <w:spacing w:before="0" w:beforeLines="0" w:after="0" w:afterLines="0" w:line="560" w:lineRule="exact"/>
        <w:ind w:firstLine="640" w:firstLineChars="200"/>
        <w:textAlignment w:val="auto"/>
        <w:rPr>
          <w:rFonts w:eastAsia="楷体_GB2312" w:cs="仿宋_GB2312"/>
          <w:b w:val="0"/>
          <w:color w:val="auto"/>
          <w:szCs w:val="32"/>
          <w:highlight w:val="none"/>
        </w:rPr>
      </w:pPr>
      <w:r>
        <w:rPr>
          <w:rFonts w:eastAsia="楷体_GB2312" w:cs="仿宋_GB2312"/>
          <w:b w:val="0"/>
          <w:color w:val="auto"/>
          <w:szCs w:val="32"/>
          <w:highlight w:val="none"/>
        </w:rPr>
        <w:t>（三）其他信息</w:t>
      </w:r>
      <w:r>
        <w:rPr>
          <w:rFonts w:hint="eastAsia" w:eastAsia="楷体_GB2312" w:cs="仿宋_GB2312"/>
          <w:b w:val="0"/>
          <w:color w:val="auto"/>
          <w:szCs w:val="32"/>
          <w:highlight w:val="none"/>
          <w:lang w:val="en-US" w:eastAsia="zh-CN"/>
        </w:rPr>
        <w:t>审查标准</w:t>
      </w:r>
    </w:p>
    <w:p w14:paraId="564B6E3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1.必填字段</w:t>
      </w:r>
      <w:r>
        <w:rPr>
          <w:rFonts w:hint="eastAsia" w:ascii="仿宋_GB2312" w:hAnsi="仿宋_GB2312" w:eastAsia="仿宋_GB2312" w:cs="仿宋_GB2312"/>
          <w:color w:val="auto"/>
          <w:sz w:val="32"/>
          <w:szCs w:val="32"/>
          <w:highlight w:val="none"/>
          <w:lang w:val="en-US" w:eastAsia="zh-CN"/>
        </w:rPr>
        <w:t>信息</w:t>
      </w:r>
      <w:r>
        <w:rPr>
          <w:rFonts w:hint="default" w:ascii="仿宋_GB2312" w:hAnsi="仿宋_GB2312" w:eastAsia="仿宋_GB2312" w:cs="仿宋_GB2312"/>
          <w:color w:val="auto"/>
          <w:sz w:val="32"/>
          <w:szCs w:val="32"/>
          <w:highlight w:val="none"/>
          <w:lang w:val="en-US" w:eastAsia="zh-CN"/>
        </w:rPr>
        <w:t>与上传</w:t>
      </w:r>
      <w:r>
        <w:rPr>
          <w:rFonts w:hint="eastAsia" w:ascii="仿宋_GB2312" w:hAnsi="仿宋_GB2312" w:eastAsia="仿宋_GB2312" w:cs="仿宋_GB2312"/>
          <w:color w:val="auto"/>
          <w:sz w:val="32"/>
          <w:szCs w:val="32"/>
          <w:highlight w:val="none"/>
          <w:lang w:val="en-US" w:eastAsia="zh-CN"/>
        </w:rPr>
        <w:t>的佐证材料</w:t>
      </w:r>
      <w:r>
        <w:rPr>
          <w:rFonts w:hint="default" w:ascii="仿宋_GB2312" w:hAnsi="仿宋_GB2312" w:eastAsia="仿宋_GB2312" w:cs="仿宋_GB2312"/>
          <w:color w:val="auto"/>
          <w:sz w:val="32"/>
          <w:szCs w:val="32"/>
          <w:highlight w:val="none"/>
          <w:lang w:val="en-US" w:eastAsia="zh-CN"/>
        </w:rPr>
        <w:t>一致。</w:t>
      </w:r>
    </w:p>
    <w:p w14:paraId="3CDE50A5">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2.必审字段</w:t>
      </w:r>
      <w:r>
        <w:rPr>
          <w:rFonts w:hint="eastAsia" w:ascii="仿宋_GB2312" w:hAnsi="仿宋_GB2312" w:eastAsia="仿宋_GB2312" w:cs="仿宋_GB2312"/>
          <w:color w:val="auto"/>
          <w:sz w:val="32"/>
          <w:szCs w:val="32"/>
          <w:highlight w:val="none"/>
          <w:lang w:val="en-US" w:eastAsia="zh-CN"/>
        </w:rPr>
        <w:t>信息</w:t>
      </w:r>
      <w:r>
        <w:rPr>
          <w:rFonts w:hint="default" w:ascii="仿宋_GB2312" w:hAnsi="仿宋_GB2312" w:eastAsia="仿宋_GB2312" w:cs="仿宋_GB2312"/>
          <w:color w:val="auto"/>
          <w:sz w:val="32"/>
          <w:szCs w:val="32"/>
          <w:highlight w:val="none"/>
          <w:lang w:val="en-US" w:eastAsia="zh-CN"/>
        </w:rPr>
        <w:t>与官方</w:t>
      </w:r>
      <w:r>
        <w:rPr>
          <w:rFonts w:hint="eastAsia" w:ascii="仿宋_GB2312" w:hAnsi="仿宋_GB2312" w:eastAsia="仿宋_GB2312" w:cs="仿宋_GB2312"/>
          <w:color w:val="auto"/>
          <w:sz w:val="32"/>
          <w:szCs w:val="32"/>
          <w:highlight w:val="none"/>
          <w:lang w:val="en-US" w:eastAsia="zh-CN"/>
        </w:rPr>
        <w:t>权威</w:t>
      </w:r>
      <w:r>
        <w:rPr>
          <w:rFonts w:hint="default" w:ascii="仿宋_GB2312" w:hAnsi="仿宋_GB2312" w:eastAsia="仿宋_GB2312" w:cs="仿宋_GB2312"/>
          <w:color w:val="auto"/>
          <w:sz w:val="32"/>
          <w:szCs w:val="32"/>
          <w:highlight w:val="none"/>
          <w:lang w:val="en-US" w:eastAsia="zh-CN"/>
        </w:rPr>
        <w:t>平台系统查询一致。</w:t>
      </w:r>
    </w:p>
    <w:p w14:paraId="52739DB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3.资质许可、认证证书、</w:t>
      </w:r>
      <w:r>
        <w:rPr>
          <w:rFonts w:hint="eastAsia" w:ascii="仿宋_GB2312" w:hAnsi="仿宋_GB2312" w:eastAsia="仿宋_GB2312" w:cs="仿宋_GB2312"/>
          <w:color w:val="auto"/>
          <w:sz w:val="32"/>
          <w:szCs w:val="32"/>
          <w:highlight w:val="none"/>
          <w:lang w:val="en-US" w:eastAsia="zh-CN"/>
        </w:rPr>
        <w:t>人员资质</w:t>
      </w:r>
      <w:r>
        <w:rPr>
          <w:rFonts w:hint="default" w:ascii="仿宋_GB2312" w:hAnsi="仿宋_GB2312" w:eastAsia="仿宋_GB2312" w:cs="仿宋_GB2312"/>
          <w:color w:val="auto"/>
          <w:sz w:val="32"/>
          <w:szCs w:val="32"/>
          <w:highlight w:val="none"/>
          <w:lang w:val="en-US" w:eastAsia="zh-CN"/>
        </w:rPr>
        <w:t>、合规证明等</w:t>
      </w:r>
      <w:r>
        <w:rPr>
          <w:rFonts w:hint="eastAsia" w:ascii="仿宋_GB2312" w:hAnsi="仿宋_GB2312" w:eastAsia="仿宋_GB2312" w:cs="仿宋_GB2312"/>
          <w:color w:val="auto"/>
          <w:sz w:val="32"/>
          <w:szCs w:val="32"/>
          <w:highlight w:val="none"/>
          <w:lang w:val="en-US" w:eastAsia="zh-CN"/>
        </w:rPr>
        <w:t>佐证材料在有效期限内</w:t>
      </w:r>
      <w:r>
        <w:rPr>
          <w:rFonts w:hint="default" w:ascii="仿宋_GB2312" w:hAnsi="仿宋_GB2312" w:eastAsia="仿宋_GB2312" w:cs="仿宋_GB2312"/>
          <w:color w:val="auto"/>
          <w:sz w:val="32"/>
          <w:szCs w:val="32"/>
          <w:highlight w:val="none"/>
          <w:lang w:val="en-US" w:eastAsia="zh-CN"/>
        </w:rPr>
        <w:t>。</w:t>
      </w:r>
    </w:p>
    <w:p w14:paraId="468CDEC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w:t>
      </w:r>
      <w:r>
        <w:rPr>
          <w:rFonts w:hint="default" w:ascii="仿宋_GB2312" w:hAnsi="仿宋_GB2312" w:eastAsia="仿宋_GB2312" w:cs="仿宋_GB2312"/>
          <w:color w:val="auto"/>
          <w:sz w:val="32"/>
          <w:szCs w:val="32"/>
          <w:highlight w:val="none"/>
          <w:lang w:val="en-US" w:eastAsia="zh-CN"/>
        </w:rPr>
        <w:t>不予入库情形</w:t>
      </w:r>
      <w:r>
        <w:rPr>
          <w:rFonts w:hint="eastAsia" w:ascii="仿宋_GB2312" w:hAnsi="仿宋_GB2312" w:eastAsia="仿宋_GB2312" w:cs="仿宋_GB2312"/>
          <w:color w:val="auto"/>
          <w:sz w:val="32"/>
          <w:szCs w:val="32"/>
          <w:highlight w:val="none"/>
          <w:lang w:val="en-US" w:eastAsia="zh-CN"/>
        </w:rPr>
        <w:t>的认定标准</w:t>
      </w:r>
      <w:r>
        <w:rPr>
          <w:rFonts w:hint="default" w:ascii="仿宋_GB2312" w:hAnsi="仿宋_GB2312" w:eastAsia="仿宋_GB2312" w:cs="仿宋_GB2312"/>
          <w:color w:val="auto"/>
          <w:sz w:val="32"/>
          <w:szCs w:val="32"/>
          <w:highlight w:val="none"/>
          <w:lang w:val="en-US" w:eastAsia="zh-CN"/>
        </w:rPr>
        <w:t>：</w:t>
      </w:r>
    </w:p>
    <w:p w14:paraId="184D739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color w:val="auto"/>
          <w:highlight w:val="none"/>
          <w:lang w:val="en-US" w:eastAsia="zh-CN"/>
        </w:rPr>
      </w:pPr>
      <w:r>
        <w:rPr>
          <w:rFonts w:hint="eastAsia" w:ascii="仿宋_GB2312" w:hAnsi="仿宋_GB2312" w:eastAsia="仿宋_GB2312" w:cs="仿宋_GB2312"/>
          <w:color w:val="auto"/>
          <w:sz w:val="32"/>
          <w:szCs w:val="32"/>
          <w:highlight w:val="none"/>
          <w:lang w:val="en-US" w:eastAsia="zh-CN"/>
        </w:rPr>
        <w:t>（</w:t>
      </w:r>
      <w:r>
        <w:rPr>
          <w:rFonts w:hint="default"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val="en-US" w:eastAsia="zh-CN"/>
        </w:rPr>
        <w:t>）填报</w:t>
      </w:r>
      <w:r>
        <w:rPr>
          <w:rFonts w:hint="default" w:ascii="仿宋_GB2312" w:hAnsi="仿宋_GB2312" w:eastAsia="仿宋_GB2312" w:cs="仿宋_GB2312"/>
          <w:color w:val="auto"/>
          <w:sz w:val="32"/>
          <w:szCs w:val="32"/>
          <w:highlight w:val="none"/>
          <w:lang w:val="en-US" w:eastAsia="zh-CN"/>
        </w:rPr>
        <w:t>信息与</w:t>
      </w:r>
      <w:r>
        <w:rPr>
          <w:rFonts w:hint="eastAsia" w:ascii="仿宋_GB2312" w:hAnsi="仿宋_GB2312" w:eastAsia="仿宋_GB2312" w:cs="仿宋_GB2312"/>
          <w:color w:val="auto"/>
          <w:sz w:val="32"/>
          <w:szCs w:val="32"/>
          <w:highlight w:val="none"/>
          <w:lang w:val="en-US" w:eastAsia="zh-CN"/>
        </w:rPr>
        <w:t>官方权威平台系统一致性、真实性</w:t>
      </w:r>
      <w:r>
        <w:rPr>
          <w:rFonts w:hint="default" w:ascii="仿宋_GB2312" w:hAnsi="仿宋_GB2312" w:eastAsia="仿宋_GB2312" w:cs="仿宋_GB2312"/>
          <w:color w:val="auto"/>
          <w:sz w:val="32"/>
          <w:szCs w:val="32"/>
          <w:highlight w:val="none"/>
          <w:lang w:val="en-US" w:eastAsia="zh-CN"/>
        </w:rPr>
        <w:t>核验</w:t>
      </w:r>
      <w:r>
        <w:rPr>
          <w:rFonts w:hint="eastAsia" w:ascii="仿宋_GB2312" w:hAnsi="仿宋_GB2312" w:eastAsia="仿宋_GB2312" w:cs="仿宋_GB2312"/>
          <w:color w:val="auto"/>
          <w:sz w:val="32"/>
          <w:szCs w:val="32"/>
          <w:highlight w:val="none"/>
          <w:lang w:val="en-US" w:eastAsia="zh-CN"/>
        </w:rPr>
        <w:t>不通过</w:t>
      </w:r>
      <w:r>
        <w:rPr>
          <w:rFonts w:hint="default" w:ascii="仿宋_GB2312" w:hAnsi="仿宋_GB2312" w:eastAsia="仿宋_GB2312" w:cs="仿宋_GB2312"/>
          <w:color w:val="auto"/>
          <w:sz w:val="32"/>
          <w:szCs w:val="32"/>
          <w:highlight w:val="none"/>
          <w:lang w:val="en-US" w:eastAsia="zh-CN"/>
        </w:rPr>
        <w:t>。</w:t>
      </w:r>
    </w:p>
    <w:p w14:paraId="484281F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w:t>
      </w:r>
      <w:r>
        <w:rPr>
          <w:rFonts w:hint="default" w:ascii="仿宋_GB2312" w:hAnsi="仿宋_GB2312" w:eastAsia="仿宋_GB2312" w:cs="仿宋_GB2312"/>
          <w:color w:val="auto"/>
          <w:sz w:val="32"/>
          <w:szCs w:val="32"/>
          <w:highlight w:val="none"/>
          <w:lang w:val="en-US" w:eastAsia="zh-CN"/>
        </w:rPr>
        <w:t>证件有效期过期。</w:t>
      </w:r>
    </w:p>
    <w:p w14:paraId="0B87AE7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（3）提交的材料不符合时间要求，如：近半年连续3个月、近三年，统计时段均以申请提交之日为截止日期，向前追溯</w:t>
      </w:r>
      <w:r>
        <w:rPr>
          <w:rFonts w:hint="default" w:ascii="仿宋_GB2312" w:hAnsi="仿宋_GB2312" w:eastAsia="仿宋_GB2312" w:cs="仿宋_GB2312"/>
          <w:color w:val="auto"/>
          <w:sz w:val="32"/>
          <w:szCs w:val="32"/>
          <w:highlight w:val="none"/>
          <w:lang w:val="en-US" w:eastAsia="zh-CN"/>
        </w:rPr>
        <w:t>。</w:t>
      </w:r>
    </w:p>
    <w:p w14:paraId="2BFA004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（4）提交资质证件的员工姓名不在</w:t>
      </w:r>
      <w:r>
        <w:rPr>
          <w:rFonts w:hint="default" w:ascii="仿宋_GB2312" w:hAnsi="仿宋_GB2312" w:eastAsia="仿宋_GB2312" w:cs="仿宋_GB2312"/>
          <w:color w:val="auto"/>
          <w:sz w:val="32"/>
          <w:szCs w:val="32"/>
          <w:highlight w:val="none"/>
          <w:lang w:val="en-US" w:eastAsia="zh-CN"/>
        </w:rPr>
        <w:t>社会保险参保证明</w:t>
      </w:r>
      <w:r>
        <w:rPr>
          <w:rFonts w:hint="eastAsia" w:ascii="仿宋_GB2312" w:hAnsi="仿宋_GB2312" w:eastAsia="仿宋_GB2312" w:cs="仿宋_GB2312"/>
          <w:color w:val="auto"/>
          <w:sz w:val="32"/>
          <w:szCs w:val="32"/>
          <w:highlight w:val="none"/>
          <w:lang w:val="en-US" w:eastAsia="zh-CN"/>
        </w:rPr>
        <w:t>的</w:t>
      </w:r>
      <w:r>
        <w:rPr>
          <w:rFonts w:hint="default" w:ascii="仿宋_GB2312" w:hAnsi="仿宋_GB2312" w:eastAsia="仿宋_GB2312" w:cs="仿宋_GB2312"/>
          <w:color w:val="auto"/>
          <w:sz w:val="32"/>
          <w:szCs w:val="32"/>
          <w:highlight w:val="none"/>
          <w:lang w:val="en-US" w:eastAsia="zh-CN"/>
        </w:rPr>
        <w:t>人员名单内。</w:t>
      </w:r>
    </w:p>
    <w:p w14:paraId="379F50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color w:val="auto"/>
          <w:lang w:val="en-US" w:eastAsia="zh-CN"/>
        </w:rPr>
      </w:pPr>
      <w:r>
        <w:rPr>
          <w:rFonts w:hint="eastAsia" w:ascii="仿宋_GB2312" w:hAnsi="仿宋_GB2312" w:eastAsia="仿宋_GB2312" w:cs="仿宋_GB2312"/>
          <w:color w:val="auto"/>
          <w:sz w:val="32"/>
          <w:szCs w:val="32"/>
          <w:highlight w:val="none"/>
          <w:lang w:val="en-US" w:eastAsia="zh-CN"/>
        </w:rPr>
        <w:t>供应商商事信息库入库审查规则具体详见附件。</w:t>
      </w:r>
    </w:p>
    <w:p w14:paraId="755A411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宋体" w:eastAsia="黑体" w:cs="黑体"/>
          <w:color w:val="auto"/>
          <w:kern w:val="0"/>
          <w:sz w:val="32"/>
          <w:szCs w:val="32"/>
          <w:lang w:val="en-US" w:eastAsia="zh-CN" w:bidi="ar"/>
        </w:rPr>
      </w:pPr>
      <w:r>
        <w:rPr>
          <w:rFonts w:hint="eastAsia" w:ascii="黑体" w:hAnsi="宋体" w:eastAsia="黑体" w:cs="黑体"/>
          <w:color w:val="auto"/>
          <w:kern w:val="0"/>
          <w:sz w:val="32"/>
          <w:szCs w:val="32"/>
          <w:lang w:val="en-US" w:eastAsia="zh-CN" w:bidi="ar"/>
        </w:rPr>
        <w:t>三、提交要求</w:t>
      </w:r>
    </w:p>
    <w:p w14:paraId="0C033A7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color w:val="auto"/>
          <w:kern w:val="0"/>
          <w:sz w:val="32"/>
          <w:szCs w:val="32"/>
          <w:lang w:val="en-US" w:eastAsia="zh-CN" w:bidi="ar"/>
        </w:rPr>
      </w:pPr>
      <w:r>
        <w:rPr>
          <w:rFonts w:hint="eastAsia" w:ascii="楷体_GB2312" w:hAnsi="楷体_GB2312" w:eastAsia="楷体_GB2312" w:cs="楷体_GB2312"/>
          <w:color w:val="auto"/>
          <w:kern w:val="0"/>
          <w:sz w:val="32"/>
          <w:szCs w:val="32"/>
          <w:lang w:val="en-US" w:eastAsia="zh-CN" w:bidi="ar"/>
        </w:rPr>
        <w:t>（一）信息收录/填报要求</w:t>
      </w:r>
    </w:p>
    <w:p w14:paraId="7B664675">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1.商业基础信息</w:t>
      </w:r>
    </w:p>
    <w:p w14:paraId="73E1AB0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（1）营业执照信息：直接引用供应商登记注册信息，收录关键信息包括供应商名称、统一社会信用代码、类型、注册资金（万元）、成立日期、法定代表人、登记机关、营业期限、住所等。</w:t>
      </w:r>
    </w:p>
    <w:p w14:paraId="2D50295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（2）股东及股权信息：对接国家企业信用信息公示系统，收录关键信息包括：股东名称、股东类型、认缴/实缴出资方式、认缴/实缴出资额、认缴/实缴出资日期等。</w:t>
      </w:r>
    </w:p>
    <w:p w14:paraId="3B417523">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2.人力资源信息</w:t>
      </w:r>
    </w:p>
    <w:p w14:paraId="143B8781">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（1）社会保险参保证明：收录近半年连续3个月的社会保险参保证明，填报关键信息包括最新社保缴纳人数、年份、月份、人员名单等。</w:t>
      </w:r>
    </w:p>
    <w:p w14:paraId="78CBAA48">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人员资质证书：收录注册会计师、电气工程师（发输变电/供配电）、结构工程师、建筑师、造价工程师、监理工程师、建造师、安全工程师、咨询工程师、设备监理师、律师等25种证书；填报关键信息包括证书名称、姓名、证书编号、工作/聘用单位、发证日期等。</w:t>
      </w:r>
    </w:p>
    <w:p w14:paraId="726E444A">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color w:val="auto"/>
          <w:lang w:val="en-US" w:eastAsia="zh-CN"/>
        </w:rPr>
      </w:pPr>
      <w:r>
        <w:rPr>
          <w:rFonts w:hint="eastAsia" w:ascii="仿宋_GB2312" w:hAnsi="仿宋_GB2312" w:eastAsia="仿宋_GB2312" w:cs="仿宋_GB2312"/>
          <w:color w:val="auto"/>
          <w:sz w:val="32"/>
          <w:szCs w:val="32"/>
          <w:highlight w:val="none"/>
          <w:lang w:val="en-US" w:eastAsia="zh-CN"/>
        </w:rPr>
        <w:t>3.诉讼和信用信息</w:t>
      </w:r>
    </w:p>
    <w:p w14:paraId="307D2BA5">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（1）诉讼及仲裁情况：对接中国裁判文书网、信用中国等，收录关键信息包括案由、案号、发布日期、审理法院、当事人姓名或名称、涉案金额、裁判结果等。</w:t>
      </w:r>
    </w:p>
    <w:p w14:paraId="1810682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信用信息：对接国家税务总局电子税务局收录纳税人等级证明，关键信息包括评价年度、纳税人名称、纳税人识别号、纳税信用等级等；对接国家企业信用信息公示系统收录行政处罚、列入经营异常名录、列入严重违法失信名单（黑名单）等。</w:t>
      </w:r>
    </w:p>
    <w:p w14:paraId="3EBE6F95">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4.财务信息</w:t>
      </w:r>
    </w:p>
    <w:p w14:paraId="1C627799">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收录近三年经第三方审计的财务报告，填报关键信息包括报告编码、资产总额、负债总额、收入总额、利润总额等。</w:t>
      </w:r>
    </w:p>
    <w:p w14:paraId="325AABE9">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5.资质证书信息</w:t>
      </w:r>
    </w:p>
    <w:p w14:paraId="32B0219A">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（1）行政许可类证书:收录工业产品许可证、特种设备许可证、建设工程企业资质、安全生产许可证等9种证书；填报关键信息包括证书名称、证书编号、单位名称、有效期等。</w:t>
      </w:r>
    </w:p>
    <w:p w14:paraId="6F13CC6C">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认证认可类证书:收录3C强制认证、质量管理体系认证、环境管理体系认证、中国职业健康安全管理体系认证、能源管理体系认证等5种证书；填报关键信息包括证书编号、认证单位（发证机构）、有效期、发证日期、认证范围、符合标准等。</w:t>
      </w:r>
    </w:p>
    <w:p w14:paraId="6369013F">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技术创新与数字化水平认定信息：收录高新技术企业、企业技术中心、智能工厂、发明专利、实用新型专利、商标注册证、计算机软件著作权登记等7种证书；填报关键信息包括：企业名称、证书编号、有效期等。</w:t>
      </w:r>
    </w:p>
    <w:p w14:paraId="522D2969">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6.获奖信息</w:t>
      </w:r>
    </w:p>
    <w:p w14:paraId="228C69C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收录鲁班奖、优质工程奖、科技进步奖、发明专利奖等4种证书；填报关键信息：包括奖项名称、单位名称、获奖层级等。</w:t>
      </w:r>
    </w:p>
    <w:p w14:paraId="51AB230B">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7.绿色低碳信息</w:t>
      </w:r>
    </w:p>
    <w:p w14:paraId="7F5BF43A">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收录绿色工厂、绿色供应链管理企业、绿电证书交易凭证、排污许可证等4种证书；填报关键信息包括：单位名称、证书名称、申报年份、通过批次、有效期限、交易编号、购买方（单位/个人）、购买数量（电量）、项目名称、项目代码、电量生产日期、交易平台等。</w:t>
      </w:r>
    </w:p>
    <w:p w14:paraId="14FAA7E8">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color w:val="auto"/>
          <w:kern w:val="0"/>
          <w:sz w:val="32"/>
          <w:szCs w:val="32"/>
          <w:lang w:val="en-US" w:eastAsia="zh-CN" w:bidi="ar"/>
        </w:rPr>
      </w:pPr>
      <w:r>
        <w:rPr>
          <w:rFonts w:hint="eastAsia" w:ascii="楷体_GB2312" w:hAnsi="楷体_GB2312" w:eastAsia="楷体_GB2312" w:cs="楷体_GB2312"/>
          <w:color w:val="auto"/>
          <w:kern w:val="0"/>
          <w:sz w:val="32"/>
          <w:szCs w:val="32"/>
          <w:lang w:val="en-US" w:eastAsia="zh-CN" w:bidi="ar"/>
        </w:rPr>
        <w:t>（二）佐证材料提交要求</w:t>
      </w:r>
    </w:p>
    <w:p w14:paraId="68A3EEE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佐证材料包括：上传证书</w:t>
      </w:r>
      <w:r>
        <w:rPr>
          <w:rFonts w:hint="eastAsia" w:ascii="仿宋_GB2312" w:hAnsi="仿宋_GB2312" w:eastAsia="仿宋_GB2312" w:cs="仿宋_GB2312"/>
          <w:color w:val="auto"/>
          <w:sz w:val="32"/>
          <w:szCs w:val="32"/>
          <w:highlight w:val="none"/>
          <w:lang w:val="en-US" w:eastAsia="zh-CN"/>
        </w:rPr>
        <w:t>或证照的</w:t>
      </w:r>
      <w:r>
        <w:rPr>
          <w:rFonts w:hint="eastAsia" w:ascii="仿宋_GB2312" w:hAnsi="仿宋_GB2312" w:eastAsia="仿宋_GB2312" w:cs="仿宋_GB2312"/>
          <w:color w:val="auto"/>
          <w:sz w:val="32"/>
          <w:szCs w:val="32"/>
          <w:highlight w:val="none"/>
          <w:lang w:eastAsia="zh-CN"/>
        </w:rPr>
        <w:t>原件扫描件/电子版、官方</w:t>
      </w:r>
      <w:r>
        <w:rPr>
          <w:rFonts w:hint="eastAsia" w:ascii="仿宋_GB2312" w:hAnsi="仿宋_GB2312" w:eastAsia="仿宋_GB2312" w:cs="仿宋_GB2312"/>
          <w:color w:val="auto"/>
          <w:sz w:val="32"/>
          <w:szCs w:val="32"/>
          <w:highlight w:val="none"/>
          <w:lang w:val="en-US" w:eastAsia="zh-CN"/>
        </w:rPr>
        <w:t>权威</w:t>
      </w:r>
      <w:r>
        <w:rPr>
          <w:rFonts w:hint="eastAsia" w:ascii="仿宋_GB2312" w:hAnsi="仿宋_GB2312" w:eastAsia="仿宋_GB2312" w:cs="仿宋_GB2312"/>
          <w:color w:val="auto"/>
          <w:sz w:val="32"/>
          <w:szCs w:val="32"/>
          <w:highlight w:val="none"/>
          <w:lang w:eastAsia="zh-CN"/>
        </w:rPr>
        <w:t>平台查验截图。查验截图应完整保留网页网址与查询时间，禁止裁剪，关键核验信息需以方框或底色醒目标注。</w:t>
      </w:r>
    </w:p>
    <w:p w14:paraId="0E4B4277">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default"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eastAsia="zh-CN"/>
        </w:rPr>
        <w:t>提交规范：</w:t>
      </w:r>
      <w:r>
        <w:rPr>
          <w:rFonts w:hint="eastAsia" w:ascii="仿宋_GB2312" w:hAnsi="仿宋_GB2312" w:eastAsia="仿宋_GB2312" w:cs="仿宋_GB2312"/>
          <w:color w:val="auto"/>
          <w:sz w:val="32"/>
          <w:szCs w:val="32"/>
          <w:highlight w:val="none"/>
          <w:lang w:val="en-US" w:eastAsia="zh-CN"/>
        </w:rPr>
        <w:t>同一种类型证书</w:t>
      </w:r>
      <w:r>
        <w:rPr>
          <w:rFonts w:hint="eastAsia" w:ascii="仿宋_GB2312" w:hAnsi="仿宋_GB2312" w:eastAsia="仿宋_GB2312" w:cs="仿宋_GB2312"/>
          <w:color w:val="auto"/>
          <w:sz w:val="32"/>
          <w:szCs w:val="32"/>
          <w:highlight w:val="none"/>
          <w:lang w:eastAsia="zh-CN"/>
        </w:rPr>
        <w:t>对应多张</w:t>
      </w:r>
      <w:r>
        <w:rPr>
          <w:rFonts w:hint="eastAsia" w:ascii="仿宋_GB2312" w:hAnsi="仿宋_GB2312" w:eastAsia="仿宋_GB2312" w:cs="仿宋_GB2312"/>
          <w:color w:val="auto"/>
          <w:sz w:val="32"/>
          <w:szCs w:val="32"/>
          <w:highlight w:val="none"/>
          <w:lang w:val="en-US" w:eastAsia="zh-CN"/>
        </w:rPr>
        <w:t>证书</w:t>
      </w:r>
      <w:r>
        <w:rPr>
          <w:rFonts w:hint="eastAsia" w:ascii="仿宋_GB2312" w:hAnsi="仿宋_GB2312" w:eastAsia="仿宋_GB2312" w:cs="仿宋_GB2312"/>
          <w:color w:val="auto"/>
          <w:sz w:val="32"/>
          <w:szCs w:val="32"/>
          <w:highlight w:val="none"/>
          <w:lang w:eastAsia="zh-CN"/>
        </w:rPr>
        <w:t>的，</w:t>
      </w:r>
      <w:r>
        <w:rPr>
          <w:rFonts w:hint="eastAsia" w:ascii="仿宋_GB2312" w:hAnsi="仿宋_GB2312" w:eastAsia="仿宋_GB2312" w:cs="仿宋_GB2312"/>
          <w:color w:val="auto"/>
          <w:sz w:val="32"/>
          <w:szCs w:val="32"/>
          <w:highlight w:val="none"/>
          <w:lang w:val="en-US" w:eastAsia="zh-CN"/>
        </w:rPr>
        <w:t>需</w:t>
      </w:r>
      <w:r>
        <w:rPr>
          <w:rFonts w:hint="eastAsia" w:ascii="仿宋_GB2312" w:hAnsi="仿宋_GB2312" w:eastAsia="仿宋_GB2312" w:cs="仿宋_GB2312"/>
          <w:color w:val="auto"/>
          <w:sz w:val="32"/>
          <w:szCs w:val="32"/>
          <w:highlight w:val="none"/>
          <w:lang w:eastAsia="zh-CN"/>
        </w:rPr>
        <w:t>逐张扫描</w:t>
      </w:r>
      <w:r>
        <w:rPr>
          <w:rFonts w:hint="eastAsia" w:ascii="仿宋_GB2312" w:hAnsi="仿宋_GB2312" w:eastAsia="仿宋_GB2312" w:cs="仿宋_GB2312"/>
          <w:color w:val="auto"/>
          <w:sz w:val="32"/>
          <w:szCs w:val="32"/>
          <w:highlight w:val="none"/>
          <w:lang w:val="en-US" w:eastAsia="zh-CN"/>
        </w:rPr>
        <w:t>，一张证照对应一个</w:t>
      </w:r>
      <w:r>
        <w:rPr>
          <w:rFonts w:hint="eastAsia" w:ascii="仿宋_GB2312" w:hAnsi="仿宋_GB2312" w:eastAsia="仿宋_GB2312" w:cs="仿宋_GB2312"/>
          <w:color w:val="auto"/>
          <w:sz w:val="32"/>
          <w:szCs w:val="32"/>
          <w:highlight w:val="none"/>
          <w:lang w:eastAsia="zh-CN"/>
        </w:rPr>
        <w:t>PDF</w:t>
      </w:r>
      <w:r>
        <w:rPr>
          <w:rFonts w:hint="eastAsia" w:ascii="仿宋_GB2312" w:hAnsi="仿宋_GB2312" w:eastAsia="仿宋_GB2312" w:cs="仿宋_GB2312"/>
          <w:color w:val="auto"/>
          <w:sz w:val="32"/>
          <w:szCs w:val="32"/>
          <w:highlight w:val="none"/>
          <w:lang w:val="en-US" w:eastAsia="zh-CN"/>
        </w:rPr>
        <w:t>文件</w:t>
      </w:r>
      <w:r>
        <w:rPr>
          <w:rFonts w:hint="eastAsia" w:ascii="仿宋_GB2312" w:hAnsi="仿宋_GB2312" w:eastAsia="仿宋_GB2312" w:cs="仿宋_GB2312"/>
          <w:color w:val="auto"/>
          <w:sz w:val="32"/>
          <w:szCs w:val="32"/>
          <w:highlight w:val="none"/>
          <w:lang w:eastAsia="zh-CN"/>
        </w:rPr>
        <w:t>或JPG、</w:t>
      </w:r>
      <w:r>
        <w:rPr>
          <w:rFonts w:hint="eastAsia" w:ascii="仿宋_GB2312" w:hAnsi="仿宋_GB2312" w:eastAsia="仿宋_GB2312" w:cs="仿宋_GB2312"/>
          <w:color w:val="auto"/>
          <w:sz w:val="32"/>
          <w:szCs w:val="32"/>
          <w:highlight w:val="none"/>
          <w:lang w:val="en-US" w:eastAsia="zh-CN"/>
        </w:rPr>
        <w:t>PNG等图片</w:t>
      </w:r>
      <w:r>
        <w:rPr>
          <w:rFonts w:hint="eastAsia" w:ascii="仿宋_GB2312" w:hAnsi="仿宋_GB2312" w:eastAsia="仿宋_GB2312" w:cs="仿宋_GB2312"/>
          <w:color w:val="auto"/>
          <w:sz w:val="32"/>
          <w:szCs w:val="32"/>
          <w:highlight w:val="none"/>
          <w:lang w:eastAsia="zh-CN"/>
        </w:rPr>
        <w:t>格式文件。</w:t>
      </w:r>
    </w:p>
    <w:p w14:paraId="4B1CED0B">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材料要求：</w:t>
      </w:r>
      <w:r>
        <w:rPr>
          <w:rFonts w:hint="eastAsia" w:ascii="仿宋_GB2312" w:hAnsi="仿宋_GB2312" w:eastAsia="仿宋_GB2312" w:cs="仿宋_GB2312"/>
          <w:b w:val="0"/>
          <w:bCs w:val="0"/>
          <w:color w:val="auto"/>
          <w:sz w:val="32"/>
          <w:szCs w:val="32"/>
          <w:highlight w:val="none"/>
          <w:lang w:eastAsia="zh-CN"/>
        </w:rPr>
        <w:t>佐证材料</w:t>
      </w:r>
      <w:r>
        <w:rPr>
          <w:rFonts w:hint="eastAsia" w:ascii="仿宋_GB2312" w:hAnsi="仿宋_GB2312" w:eastAsia="仿宋_GB2312" w:cs="仿宋_GB2312"/>
          <w:color w:val="auto"/>
          <w:sz w:val="32"/>
          <w:szCs w:val="32"/>
          <w:highlight w:val="none"/>
          <w:lang w:eastAsia="zh-CN"/>
        </w:rPr>
        <w:t>需清晰可辨，信息完整无遮挡，无篡改</w:t>
      </w:r>
      <w:r>
        <w:rPr>
          <w:rFonts w:hint="eastAsia" w:ascii="仿宋_GB2312" w:hAnsi="仿宋_GB2312" w:eastAsia="仿宋_GB2312" w:cs="仿宋_GB2312"/>
          <w:color w:val="auto"/>
          <w:sz w:val="32"/>
          <w:szCs w:val="32"/>
          <w:highlight w:val="none"/>
          <w:lang w:val="en-US" w:eastAsia="zh-CN"/>
        </w:rPr>
        <w:t>或</w:t>
      </w:r>
      <w:r>
        <w:rPr>
          <w:rFonts w:hint="eastAsia" w:ascii="仿宋_GB2312" w:hAnsi="仿宋_GB2312" w:eastAsia="仿宋_GB2312" w:cs="仿宋_GB2312"/>
          <w:color w:val="auto"/>
          <w:sz w:val="32"/>
          <w:szCs w:val="32"/>
          <w:highlight w:val="none"/>
          <w:lang w:eastAsia="zh-CN"/>
        </w:rPr>
        <w:t>伪造情形。</w:t>
      </w:r>
    </w:p>
    <w:p w14:paraId="1E78F38A">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default" w:ascii="黑体" w:hAnsi="宋体" w:eastAsia="黑体" w:cs="黑体"/>
          <w:color w:val="auto"/>
          <w:kern w:val="0"/>
          <w:sz w:val="32"/>
          <w:szCs w:val="32"/>
          <w:lang w:val="en-US" w:eastAsia="zh-CN" w:bidi="ar"/>
        </w:rPr>
      </w:pPr>
      <w:r>
        <w:rPr>
          <w:rFonts w:hint="eastAsia" w:ascii="黑体" w:hAnsi="宋体" w:eastAsia="黑体" w:cs="黑体"/>
          <w:color w:val="auto"/>
          <w:kern w:val="0"/>
          <w:sz w:val="32"/>
          <w:szCs w:val="32"/>
          <w:lang w:val="en-US" w:eastAsia="zh-CN" w:bidi="ar"/>
        </w:rPr>
        <w:t>五、应用方式</w:t>
      </w:r>
    </w:p>
    <w:p w14:paraId="4168E30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商事信息</w:t>
      </w:r>
      <w:r>
        <w:rPr>
          <w:rFonts w:hint="eastAsia" w:ascii="仿宋_GB2312" w:hAnsi="仿宋_GB2312" w:eastAsia="仿宋_GB2312" w:cs="仿宋_GB2312"/>
          <w:color w:val="auto"/>
          <w:sz w:val="32"/>
          <w:szCs w:val="32"/>
          <w:highlight w:val="none"/>
          <w:lang w:eastAsia="zh-CN"/>
        </w:rPr>
        <w:t>库结果</w:t>
      </w:r>
      <w:r>
        <w:rPr>
          <w:rFonts w:hint="eastAsia" w:ascii="仿宋_GB2312" w:hAnsi="仿宋_GB2312" w:eastAsia="仿宋_GB2312" w:cs="仿宋_GB2312"/>
          <w:color w:val="auto"/>
          <w:sz w:val="32"/>
          <w:szCs w:val="32"/>
          <w:highlight w:val="none"/>
          <w:lang w:val="en-US" w:eastAsia="zh-CN"/>
        </w:rPr>
        <w:t>将</w:t>
      </w:r>
      <w:r>
        <w:rPr>
          <w:rFonts w:hint="eastAsia" w:ascii="仿宋_GB2312" w:hAnsi="仿宋_GB2312" w:eastAsia="仿宋_GB2312" w:cs="仿宋_GB2312"/>
          <w:color w:val="auto"/>
          <w:sz w:val="32"/>
          <w:szCs w:val="32"/>
          <w:highlight w:val="none"/>
          <w:lang w:eastAsia="zh-CN"/>
        </w:rPr>
        <w:t>在</w:t>
      </w:r>
      <w:r>
        <w:rPr>
          <w:rFonts w:hint="eastAsia" w:ascii="仿宋_GB2312" w:hAnsi="仿宋_GB2312" w:eastAsia="仿宋_GB2312" w:cs="仿宋_GB2312"/>
          <w:color w:val="auto"/>
          <w:sz w:val="32"/>
          <w:szCs w:val="32"/>
          <w:highlight w:val="none"/>
          <w:lang w:val="en-US" w:eastAsia="zh-CN"/>
        </w:rPr>
        <w:t>后续供应商</w:t>
      </w:r>
      <w:r>
        <w:rPr>
          <w:rFonts w:hint="default" w:ascii="仿宋_GB2312" w:hAnsi="仿宋_GB2312" w:eastAsia="仿宋_GB2312" w:cs="仿宋_GB2312"/>
          <w:b w:val="0"/>
          <w:bCs w:val="0"/>
          <w:color w:val="auto"/>
          <w:sz w:val="32"/>
          <w:szCs w:val="32"/>
          <w:highlight w:val="none"/>
          <w:lang w:val="en-US" w:eastAsia="zh-CN"/>
        </w:rPr>
        <w:t>资格预审及资质能力评价、</w:t>
      </w:r>
      <w:r>
        <w:rPr>
          <w:rFonts w:hint="eastAsia" w:ascii="仿宋_GB2312" w:hAnsi="仿宋_GB2312" w:eastAsia="仿宋_GB2312" w:cs="仿宋_GB2312"/>
          <w:b w:val="0"/>
          <w:bCs w:val="0"/>
          <w:color w:val="auto"/>
          <w:sz w:val="32"/>
          <w:szCs w:val="32"/>
          <w:highlight w:val="none"/>
          <w:lang w:val="en-US" w:eastAsia="zh-CN"/>
        </w:rPr>
        <w:t>招标</w:t>
      </w:r>
      <w:r>
        <w:rPr>
          <w:rFonts w:hint="default" w:ascii="仿宋_GB2312" w:hAnsi="仿宋_GB2312" w:eastAsia="仿宋_GB2312" w:cs="仿宋_GB2312"/>
          <w:b w:val="0"/>
          <w:bCs w:val="0"/>
          <w:color w:val="auto"/>
          <w:sz w:val="32"/>
          <w:szCs w:val="32"/>
          <w:highlight w:val="none"/>
          <w:lang w:val="en-US" w:eastAsia="zh-CN"/>
        </w:rPr>
        <w:t>采购</w:t>
      </w:r>
      <w:r>
        <w:rPr>
          <w:rFonts w:hint="eastAsia" w:ascii="仿宋_GB2312" w:hAnsi="仿宋_GB2312" w:eastAsia="仿宋_GB2312" w:cs="仿宋_GB2312"/>
          <w:b w:val="0"/>
          <w:bCs w:val="0"/>
          <w:color w:val="auto"/>
          <w:sz w:val="32"/>
          <w:szCs w:val="32"/>
          <w:highlight w:val="none"/>
          <w:lang w:val="en-US" w:eastAsia="zh-CN"/>
        </w:rPr>
        <w:t>等阶段</w:t>
      </w:r>
      <w:r>
        <w:rPr>
          <w:rFonts w:hint="default" w:ascii="仿宋_GB2312" w:hAnsi="仿宋_GB2312" w:eastAsia="仿宋_GB2312" w:cs="仿宋_GB2312"/>
          <w:b w:val="0"/>
          <w:bCs w:val="0"/>
          <w:color w:val="auto"/>
          <w:sz w:val="32"/>
          <w:szCs w:val="32"/>
          <w:highlight w:val="none"/>
          <w:lang w:val="en-US" w:eastAsia="zh-CN"/>
        </w:rPr>
        <w:t>应用</w:t>
      </w:r>
      <w:r>
        <w:rPr>
          <w:rFonts w:hint="eastAsia" w:ascii="仿宋_GB2312" w:hAnsi="仿宋_GB2312" w:eastAsia="仿宋_GB2312" w:cs="仿宋_GB2312"/>
          <w:b w:val="0"/>
          <w:bCs w:val="0"/>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具体应用方式在相关公告或文件中予以明确。</w:t>
      </w:r>
    </w:p>
    <w:p w14:paraId="782039EB">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宋体" w:eastAsia="黑体" w:cs="黑体"/>
          <w:bCs w:val="0"/>
          <w:snapToGrid/>
          <w:color w:val="auto"/>
          <w:kern w:val="0"/>
          <w:sz w:val="32"/>
          <w:szCs w:val="32"/>
          <w:lang w:val="en-US" w:eastAsia="zh-CN" w:bidi="ar"/>
        </w:rPr>
      </w:pPr>
      <w:r>
        <w:rPr>
          <w:rFonts w:hint="eastAsia" w:ascii="黑体" w:hAnsi="宋体" w:eastAsia="黑体" w:cs="黑体"/>
          <w:bCs w:val="0"/>
          <w:snapToGrid/>
          <w:color w:val="auto"/>
          <w:kern w:val="0"/>
          <w:sz w:val="32"/>
          <w:szCs w:val="32"/>
          <w:lang w:val="en-US" w:eastAsia="zh-CN" w:bidi="ar"/>
        </w:rPr>
        <w:t>六、不良行为处理</w:t>
      </w:r>
    </w:p>
    <w:p w14:paraId="38C1B357">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 w:eastAsia="仿宋_GB2312" w:cs="Times New Roman"/>
          <w:bCs/>
          <w:snapToGrid w:val="0"/>
          <w:color w:val="auto"/>
          <w:kern w:val="0"/>
          <w:sz w:val="32"/>
          <w:szCs w:val="32"/>
          <w:highlight w:val="none"/>
          <w:lang w:val="en-US" w:eastAsia="zh-CN"/>
        </w:rPr>
      </w:pPr>
      <w:r>
        <w:rPr>
          <w:rFonts w:hint="eastAsia" w:ascii="仿宋_GB2312" w:hAnsi="仿宋" w:eastAsia="仿宋_GB2312" w:cs="Times New Roman"/>
          <w:bCs/>
          <w:snapToGrid w:val="0"/>
          <w:color w:val="auto"/>
          <w:kern w:val="0"/>
          <w:sz w:val="32"/>
          <w:szCs w:val="32"/>
          <w:highlight w:val="none"/>
          <w:lang w:val="en-US" w:eastAsia="zh-CN"/>
        </w:rPr>
        <w:t>供应商应对所提供信息、材料的真实性、准确性负责。入库审查过程中发现供应商存在材料造假、隐瞒真实信息等不良行为的，按照供应商不良行为管理有关规定进行处理。</w:t>
      </w:r>
    </w:p>
    <w:p w14:paraId="51FC7333">
      <w:pPr>
        <w:keepNext w:val="0"/>
        <w:keepLines w:val="0"/>
        <w:pageBreakBefore w:val="0"/>
        <w:widowControl/>
        <w:suppressLineNumbers w:val="0"/>
        <w:kinsoku/>
        <w:wordWrap/>
        <w:overflowPunct/>
        <w:topLinePunct w:val="0"/>
        <w:autoSpaceDE/>
        <w:autoSpaceDN/>
        <w:bidi w:val="0"/>
        <w:adjustRightInd/>
        <w:snapToGrid/>
        <w:spacing w:line="560" w:lineRule="atLeast"/>
        <w:ind w:firstLine="640" w:firstLineChars="200"/>
        <w:jc w:val="both"/>
        <w:textAlignment w:val="auto"/>
        <w:rPr>
          <w:rFonts w:hint="default" w:ascii="仿宋_GB2312" w:hAnsi="仿宋" w:eastAsia="仿宋_GB2312" w:cs="Times New Roman"/>
          <w:bCs/>
          <w:snapToGrid w:val="0"/>
          <w:color w:val="auto"/>
          <w:kern w:val="0"/>
          <w:sz w:val="32"/>
          <w:szCs w:val="32"/>
          <w:highlight w:val="none"/>
          <w:lang w:val="en-US" w:eastAsia="zh-CN"/>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B05F0">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0F7E4F">
                          <w:pPr>
                            <w:pStyle w:val="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530F7E4F">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949"/>
    <w:rsid w:val="00097BB6"/>
    <w:rsid w:val="00253DCB"/>
    <w:rsid w:val="002A0F59"/>
    <w:rsid w:val="004F033E"/>
    <w:rsid w:val="0054345C"/>
    <w:rsid w:val="007D58A4"/>
    <w:rsid w:val="0091127A"/>
    <w:rsid w:val="009216A3"/>
    <w:rsid w:val="00AC384D"/>
    <w:rsid w:val="00B337E7"/>
    <w:rsid w:val="00BD1949"/>
    <w:rsid w:val="00E2681F"/>
    <w:rsid w:val="016D0719"/>
    <w:rsid w:val="016D2080"/>
    <w:rsid w:val="01BC7FC5"/>
    <w:rsid w:val="01C1317D"/>
    <w:rsid w:val="02366395"/>
    <w:rsid w:val="033A1036"/>
    <w:rsid w:val="03DA1E34"/>
    <w:rsid w:val="03EA53FB"/>
    <w:rsid w:val="0415193D"/>
    <w:rsid w:val="049A30B3"/>
    <w:rsid w:val="04AE7933"/>
    <w:rsid w:val="04E54459"/>
    <w:rsid w:val="052D7BE5"/>
    <w:rsid w:val="058F7E4E"/>
    <w:rsid w:val="06BA780A"/>
    <w:rsid w:val="07B30E55"/>
    <w:rsid w:val="08185F71"/>
    <w:rsid w:val="08845C30"/>
    <w:rsid w:val="093F4490"/>
    <w:rsid w:val="09C51F9C"/>
    <w:rsid w:val="0AA75A95"/>
    <w:rsid w:val="0AD35295"/>
    <w:rsid w:val="0B6C1706"/>
    <w:rsid w:val="0BAB0C3C"/>
    <w:rsid w:val="0BB9425F"/>
    <w:rsid w:val="0C1749F1"/>
    <w:rsid w:val="0C253646"/>
    <w:rsid w:val="0C254F9C"/>
    <w:rsid w:val="0CB065CE"/>
    <w:rsid w:val="0D791392"/>
    <w:rsid w:val="0D9709F0"/>
    <w:rsid w:val="0DA56B02"/>
    <w:rsid w:val="0DEF157C"/>
    <w:rsid w:val="0DF251F0"/>
    <w:rsid w:val="0E3B2EEF"/>
    <w:rsid w:val="0E415257"/>
    <w:rsid w:val="0E491241"/>
    <w:rsid w:val="0E6D67DC"/>
    <w:rsid w:val="0EC12DF2"/>
    <w:rsid w:val="0EFD024C"/>
    <w:rsid w:val="0F1665BD"/>
    <w:rsid w:val="0F5A5D87"/>
    <w:rsid w:val="0F637E9E"/>
    <w:rsid w:val="0F667B30"/>
    <w:rsid w:val="0F876E4E"/>
    <w:rsid w:val="0FBF1DB6"/>
    <w:rsid w:val="0FD83907"/>
    <w:rsid w:val="10035C7F"/>
    <w:rsid w:val="109374AD"/>
    <w:rsid w:val="10991310"/>
    <w:rsid w:val="10C77805"/>
    <w:rsid w:val="11D02C42"/>
    <w:rsid w:val="11FE7070"/>
    <w:rsid w:val="120A72F9"/>
    <w:rsid w:val="12124026"/>
    <w:rsid w:val="1218432E"/>
    <w:rsid w:val="12227D8F"/>
    <w:rsid w:val="122910FD"/>
    <w:rsid w:val="12E00592"/>
    <w:rsid w:val="12F400B9"/>
    <w:rsid w:val="13110170"/>
    <w:rsid w:val="133A6C1B"/>
    <w:rsid w:val="143D45F0"/>
    <w:rsid w:val="14A96077"/>
    <w:rsid w:val="155B1B0A"/>
    <w:rsid w:val="15666E30"/>
    <w:rsid w:val="15C327BC"/>
    <w:rsid w:val="161D36FD"/>
    <w:rsid w:val="1644314A"/>
    <w:rsid w:val="169D20DE"/>
    <w:rsid w:val="174B7A7A"/>
    <w:rsid w:val="174E7015"/>
    <w:rsid w:val="175C131C"/>
    <w:rsid w:val="18393649"/>
    <w:rsid w:val="186A4D40"/>
    <w:rsid w:val="18C950E9"/>
    <w:rsid w:val="18CA0ACD"/>
    <w:rsid w:val="19197654"/>
    <w:rsid w:val="191A3947"/>
    <w:rsid w:val="1924532C"/>
    <w:rsid w:val="1953508B"/>
    <w:rsid w:val="199074CE"/>
    <w:rsid w:val="19A02502"/>
    <w:rsid w:val="19B244E8"/>
    <w:rsid w:val="1A911762"/>
    <w:rsid w:val="1B5E434F"/>
    <w:rsid w:val="1BCC76B4"/>
    <w:rsid w:val="1BF64501"/>
    <w:rsid w:val="1BF82367"/>
    <w:rsid w:val="1BFF7C75"/>
    <w:rsid w:val="1D0B7C2A"/>
    <w:rsid w:val="1D2D7D26"/>
    <w:rsid w:val="1D3A506D"/>
    <w:rsid w:val="1E335646"/>
    <w:rsid w:val="1E460938"/>
    <w:rsid w:val="1E6D441D"/>
    <w:rsid w:val="1E763D37"/>
    <w:rsid w:val="1E9D238D"/>
    <w:rsid w:val="1EB065C3"/>
    <w:rsid w:val="1F280C9B"/>
    <w:rsid w:val="1F580934"/>
    <w:rsid w:val="1FBB215A"/>
    <w:rsid w:val="1FD47DFE"/>
    <w:rsid w:val="1FDFBE3D"/>
    <w:rsid w:val="1FED3A46"/>
    <w:rsid w:val="20130809"/>
    <w:rsid w:val="2073674F"/>
    <w:rsid w:val="207F473B"/>
    <w:rsid w:val="209958F6"/>
    <w:rsid w:val="21575FB5"/>
    <w:rsid w:val="220C1C4E"/>
    <w:rsid w:val="225C2832"/>
    <w:rsid w:val="23BB00A6"/>
    <w:rsid w:val="23E155FF"/>
    <w:rsid w:val="241740F2"/>
    <w:rsid w:val="243312D4"/>
    <w:rsid w:val="2488376B"/>
    <w:rsid w:val="249B313E"/>
    <w:rsid w:val="24D25796"/>
    <w:rsid w:val="24D64862"/>
    <w:rsid w:val="24F25309"/>
    <w:rsid w:val="24F9312F"/>
    <w:rsid w:val="24FC3E1B"/>
    <w:rsid w:val="2505174B"/>
    <w:rsid w:val="259F51ED"/>
    <w:rsid w:val="25AC0843"/>
    <w:rsid w:val="25EB648A"/>
    <w:rsid w:val="26612451"/>
    <w:rsid w:val="268B23B4"/>
    <w:rsid w:val="26967344"/>
    <w:rsid w:val="26B0229E"/>
    <w:rsid w:val="273F6FB4"/>
    <w:rsid w:val="27504D36"/>
    <w:rsid w:val="275D5975"/>
    <w:rsid w:val="28406C9F"/>
    <w:rsid w:val="284902C2"/>
    <w:rsid w:val="287A3FE9"/>
    <w:rsid w:val="287C4162"/>
    <w:rsid w:val="28FF2A38"/>
    <w:rsid w:val="295A1555"/>
    <w:rsid w:val="29A430D6"/>
    <w:rsid w:val="2A105610"/>
    <w:rsid w:val="2A634B91"/>
    <w:rsid w:val="2A777F44"/>
    <w:rsid w:val="2CA41E54"/>
    <w:rsid w:val="2CDA40A0"/>
    <w:rsid w:val="2CF34630"/>
    <w:rsid w:val="2D55533C"/>
    <w:rsid w:val="2D6E504D"/>
    <w:rsid w:val="2D822A66"/>
    <w:rsid w:val="2DA3140D"/>
    <w:rsid w:val="2E742018"/>
    <w:rsid w:val="2E874865"/>
    <w:rsid w:val="2E9D3017"/>
    <w:rsid w:val="2EA13694"/>
    <w:rsid w:val="2F192FEB"/>
    <w:rsid w:val="2F2A5C0F"/>
    <w:rsid w:val="2F3C637E"/>
    <w:rsid w:val="2F4C473B"/>
    <w:rsid w:val="2FD93666"/>
    <w:rsid w:val="30087DD3"/>
    <w:rsid w:val="302B0591"/>
    <w:rsid w:val="30791982"/>
    <w:rsid w:val="30C2452E"/>
    <w:rsid w:val="30C7302C"/>
    <w:rsid w:val="31221329"/>
    <w:rsid w:val="313510F3"/>
    <w:rsid w:val="31874E38"/>
    <w:rsid w:val="31B57F54"/>
    <w:rsid w:val="31EB6126"/>
    <w:rsid w:val="32B10A84"/>
    <w:rsid w:val="3310297A"/>
    <w:rsid w:val="332E534F"/>
    <w:rsid w:val="33426507"/>
    <w:rsid w:val="34391470"/>
    <w:rsid w:val="343C589A"/>
    <w:rsid w:val="34534B49"/>
    <w:rsid w:val="3458463A"/>
    <w:rsid w:val="34A45B3B"/>
    <w:rsid w:val="34EB2C41"/>
    <w:rsid w:val="351B3059"/>
    <w:rsid w:val="3524474C"/>
    <w:rsid w:val="35CE43AF"/>
    <w:rsid w:val="35FD2C0C"/>
    <w:rsid w:val="3661242C"/>
    <w:rsid w:val="36D87DEE"/>
    <w:rsid w:val="36F9481A"/>
    <w:rsid w:val="37712D2F"/>
    <w:rsid w:val="37AA0E84"/>
    <w:rsid w:val="382477D3"/>
    <w:rsid w:val="38363B71"/>
    <w:rsid w:val="3890073F"/>
    <w:rsid w:val="39843CAB"/>
    <w:rsid w:val="39C65AFA"/>
    <w:rsid w:val="39C85615"/>
    <w:rsid w:val="3A017413"/>
    <w:rsid w:val="3A56336D"/>
    <w:rsid w:val="3A633E97"/>
    <w:rsid w:val="3AFE7529"/>
    <w:rsid w:val="3B5366F2"/>
    <w:rsid w:val="3BD36186"/>
    <w:rsid w:val="3BEF5AA2"/>
    <w:rsid w:val="3BFE287E"/>
    <w:rsid w:val="3CF1642C"/>
    <w:rsid w:val="3D3D3DEE"/>
    <w:rsid w:val="3D994313"/>
    <w:rsid w:val="3DAA33C1"/>
    <w:rsid w:val="3DB03A43"/>
    <w:rsid w:val="3DFD309B"/>
    <w:rsid w:val="3E1767FF"/>
    <w:rsid w:val="3E9310B3"/>
    <w:rsid w:val="3ECC5028"/>
    <w:rsid w:val="3EE72F66"/>
    <w:rsid w:val="3F1B2E64"/>
    <w:rsid w:val="3F405317"/>
    <w:rsid w:val="3F512A93"/>
    <w:rsid w:val="3FC03259"/>
    <w:rsid w:val="3FC97FBF"/>
    <w:rsid w:val="3FEFBD2D"/>
    <w:rsid w:val="40EA15FF"/>
    <w:rsid w:val="40FA159E"/>
    <w:rsid w:val="411E1256"/>
    <w:rsid w:val="413C53DC"/>
    <w:rsid w:val="41FA720B"/>
    <w:rsid w:val="42487ACD"/>
    <w:rsid w:val="42C85FE1"/>
    <w:rsid w:val="42F942E1"/>
    <w:rsid w:val="43437047"/>
    <w:rsid w:val="43754F9C"/>
    <w:rsid w:val="43897230"/>
    <w:rsid w:val="44013C95"/>
    <w:rsid w:val="447E1B67"/>
    <w:rsid w:val="44B02B1A"/>
    <w:rsid w:val="44C52F3E"/>
    <w:rsid w:val="450160AF"/>
    <w:rsid w:val="451468BE"/>
    <w:rsid w:val="45203DD7"/>
    <w:rsid w:val="452623CC"/>
    <w:rsid w:val="452A575A"/>
    <w:rsid w:val="46096B98"/>
    <w:rsid w:val="467E5858"/>
    <w:rsid w:val="46DF19CE"/>
    <w:rsid w:val="46FB1FB4"/>
    <w:rsid w:val="474E6C98"/>
    <w:rsid w:val="475271F5"/>
    <w:rsid w:val="47A26A44"/>
    <w:rsid w:val="47E31A8B"/>
    <w:rsid w:val="47FC2C79"/>
    <w:rsid w:val="47FE48EB"/>
    <w:rsid w:val="48C01FCC"/>
    <w:rsid w:val="49067885"/>
    <w:rsid w:val="491675ED"/>
    <w:rsid w:val="49426287"/>
    <w:rsid w:val="497F6CCB"/>
    <w:rsid w:val="498A5E7B"/>
    <w:rsid w:val="49F55976"/>
    <w:rsid w:val="4A242FDE"/>
    <w:rsid w:val="4A5610DC"/>
    <w:rsid w:val="4A680980"/>
    <w:rsid w:val="4A6D2B27"/>
    <w:rsid w:val="4A8077A5"/>
    <w:rsid w:val="4AB755FF"/>
    <w:rsid w:val="4B287404"/>
    <w:rsid w:val="4B4A589C"/>
    <w:rsid w:val="4BC15FEC"/>
    <w:rsid w:val="4C13472C"/>
    <w:rsid w:val="4C42667F"/>
    <w:rsid w:val="4C5D3CD9"/>
    <w:rsid w:val="4CE32AE1"/>
    <w:rsid w:val="4D1166D9"/>
    <w:rsid w:val="4D41728B"/>
    <w:rsid w:val="4D9F4DB7"/>
    <w:rsid w:val="4E521BE2"/>
    <w:rsid w:val="4E9F6122"/>
    <w:rsid w:val="4E9F6789"/>
    <w:rsid w:val="4F4223BF"/>
    <w:rsid w:val="4F754D6C"/>
    <w:rsid w:val="4FA4660A"/>
    <w:rsid w:val="50050483"/>
    <w:rsid w:val="502C64EB"/>
    <w:rsid w:val="51693C45"/>
    <w:rsid w:val="51924984"/>
    <w:rsid w:val="53281305"/>
    <w:rsid w:val="537C6010"/>
    <w:rsid w:val="53C032CF"/>
    <w:rsid w:val="54F76888"/>
    <w:rsid w:val="556723D2"/>
    <w:rsid w:val="56234F27"/>
    <w:rsid w:val="567B4668"/>
    <w:rsid w:val="57126B04"/>
    <w:rsid w:val="57131519"/>
    <w:rsid w:val="576A5DBF"/>
    <w:rsid w:val="57875CC6"/>
    <w:rsid w:val="57972F3D"/>
    <w:rsid w:val="579B286F"/>
    <w:rsid w:val="57A826D4"/>
    <w:rsid w:val="57E45B25"/>
    <w:rsid w:val="580F79DB"/>
    <w:rsid w:val="583267BC"/>
    <w:rsid w:val="5885274F"/>
    <w:rsid w:val="5907677B"/>
    <w:rsid w:val="596606DC"/>
    <w:rsid w:val="59A90A22"/>
    <w:rsid w:val="59DA60CC"/>
    <w:rsid w:val="5A364806"/>
    <w:rsid w:val="5A6241F0"/>
    <w:rsid w:val="5A657B5B"/>
    <w:rsid w:val="5A947EF5"/>
    <w:rsid w:val="5AB86E5D"/>
    <w:rsid w:val="5B0451BF"/>
    <w:rsid w:val="5B3242C9"/>
    <w:rsid w:val="5BA6270F"/>
    <w:rsid w:val="5BBE2FEE"/>
    <w:rsid w:val="5BCC17AB"/>
    <w:rsid w:val="5C023CC7"/>
    <w:rsid w:val="5C112479"/>
    <w:rsid w:val="5C274918"/>
    <w:rsid w:val="5C732FA9"/>
    <w:rsid w:val="5CDC1654"/>
    <w:rsid w:val="5CE477A0"/>
    <w:rsid w:val="5D061655"/>
    <w:rsid w:val="5D355860"/>
    <w:rsid w:val="5D450D57"/>
    <w:rsid w:val="5D6A07B0"/>
    <w:rsid w:val="5DD602EB"/>
    <w:rsid w:val="5E293509"/>
    <w:rsid w:val="5E53394B"/>
    <w:rsid w:val="5E7E5B18"/>
    <w:rsid w:val="5EAC376C"/>
    <w:rsid w:val="5FAC8308"/>
    <w:rsid w:val="5FDD58B0"/>
    <w:rsid w:val="5FDE0BF5"/>
    <w:rsid w:val="5FFD049A"/>
    <w:rsid w:val="60011CDA"/>
    <w:rsid w:val="600B0BE5"/>
    <w:rsid w:val="606C46F2"/>
    <w:rsid w:val="60B00706"/>
    <w:rsid w:val="618227C1"/>
    <w:rsid w:val="61BB2ED6"/>
    <w:rsid w:val="61D3049A"/>
    <w:rsid w:val="623D5E33"/>
    <w:rsid w:val="62571661"/>
    <w:rsid w:val="62665416"/>
    <w:rsid w:val="6268545A"/>
    <w:rsid w:val="630F6BA0"/>
    <w:rsid w:val="636A315B"/>
    <w:rsid w:val="637A0052"/>
    <w:rsid w:val="63844584"/>
    <w:rsid w:val="64681FC0"/>
    <w:rsid w:val="646B7F3D"/>
    <w:rsid w:val="651B088D"/>
    <w:rsid w:val="65576F39"/>
    <w:rsid w:val="65914FF1"/>
    <w:rsid w:val="661A6960"/>
    <w:rsid w:val="678FCC8F"/>
    <w:rsid w:val="68F06DB1"/>
    <w:rsid w:val="690A1C5A"/>
    <w:rsid w:val="693855A6"/>
    <w:rsid w:val="69A25C36"/>
    <w:rsid w:val="69C0475B"/>
    <w:rsid w:val="69D01E16"/>
    <w:rsid w:val="6A203573"/>
    <w:rsid w:val="6A3E2354"/>
    <w:rsid w:val="6A6869A1"/>
    <w:rsid w:val="6B2A32FE"/>
    <w:rsid w:val="6B725CDD"/>
    <w:rsid w:val="6B844B48"/>
    <w:rsid w:val="6BB2023B"/>
    <w:rsid w:val="6BF769B5"/>
    <w:rsid w:val="6CD75C45"/>
    <w:rsid w:val="6D714644"/>
    <w:rsid w:val="6DB61FE0"/>
    <w:rsid w:val="6DC530D7"/>
    <w:rsid w:val="6E063824"/>
    <w:rsid w:val="6ECE59CF"/>
    <w:rsid w:val="6ED71757"/>
    <w:rsid w:val="6F195893"/>
    <w:rsid w:val="6F721472"/>
    <w:rsid w:val="6F92354A"/>
    <w:rsid w:val="6FD53EE8"/>
    <w:rsid w:val="6FEFE036"/>
    <w:rsid w:val="6FF21CC2"/>
    <w:rsid w:val="6FFF3BF7"/>
    <w:rsid w:val="70BD48A6"/>
    <w:rsid w:val="71310039"/>
    <w:rsid w:val="71757889"/>
    <w:rsid w:val="723916A5"/>
    <w:rsid w:val="726E6A5B"/>
    <w:rsid w:val="72D570CF"/>
    <w:rsid w:val="72F6438F"/>
    <w:rsid w:val="72FA3EA6"/>
    <w:rsid w:val="73FF4176"/>
    <w:rsid w:val="74126ABE"/>
    <w:rsid w:val="747D4058"/>
    <w:rsid w:val="748E729B"/>
    <w:rsid w:val="74DE55CA"/>
    <w:rsid w:val="756A0B2A"/>
    <w:rsid w:val="75BE64D1"/>
    <w:rsid w:val="75C04261"/>
    <w:rsid w:val="75F32A1D"/>
    <w:rsid w:val="76063FB8"/>
    <w:rsid w:val="762C568F"/>
    <w:rsid w:val="765B1D60"/>
    <w:rsid w:val="768E0875"/>
    <w:rsid w:val="76C520FF"/>
    <w:rsid w:val="77AC2482"/>
    <w:rsid w:val="77BF950F"/>
    <w:rsid w:val="77FE0852"/>
    <w:rsid w:val="780935F6"/>
    <w:rsid w:val="78152E10"/>
    <w:rsid w:val="7880028F"/>
    <w:rsid w:val="78C82F09"/>
    <w:rsid w:val="7998043C"/>
    <w:rsid w:val="79D87F02"/>
    <w:rsid w:val="7A506109"/>
    <w:rsid w:val="7A7D2AFA"/>
    <w:rsid w:val="7A841790"/>
    <w:rsid w:val="7A891E5A"/>
    <w:rsid w:val="7AC3653C"/>
    <w:rsid w:val="7B3E49E8"/>
    <w:rsid w:val="7BE34FC9"/>
    <w:rsid w:val="7C0D7144"/>
    <w:rsid w:val="7CDF84FD"/>
    <w:rsid w:val="7D775F16"/>
    <w:rsid w:val="7D7A55C6"/>
    <w:rsid w:val="7D7F2EE4"/>
    <w:rsid w:val="7DCB2A1D"/>
    <w:rsid w:val="7DEFBFC6"/>
    <w:rsid w:val="7E2061B2"/>
    <w:rsid w:val="7E282032"/>
    <w:rsid w:val="7E4D64B4"/>
    <w:rsid w:val="7E7E7F63"/>
    <w:rsid w:val="7EF5FEF3"/>
    <w:rsid w:val="7EF6094F"/>
    <w:rsid w:val="7EF76083"/>
    <w:rsid w:val="7F577ABD"/>
    <w:rsid w:val="7F6C015E"/>
    <w:rsid w:val="7F735A20"/>
    <w:rsid w:val="7F7FB1DA"/>
    <w:rsid w:val="7F88079C"/>
    <w:rsid w:val="7FBC3867"/>
    <w:rsid w:val="7FC6140B"/>
    <w:rsid w:val="7FCEC4E5"/>
    <w:rsid w:val="7FFE5FEB"/>
    <w:rsid w:val="9FFE1FD0"/>
    <w:rsid w:val="A7FFF918"/>
    <w:rsid w:val="BFBEDB06"/>
    <w:rsid w:val="D97FF666"/>
    <w:rsid w:val="E5FB922B"/>
    <w:rsid w:val="EF8C4F76"/>
    <w:rsid w:val="EFE6D5BB"/>
    <w:rsid w:val="F3FEE41C"/>
    <w:rsid w:val="FA5CC8DE"/>
    <w:rsid w:val="FBD15652"/>
    <w:rsid w:val="FEFF48F7"/>
    <w:rsid w:val="FF9632FD"/>
    <w:rsid w:val="FFEF8E5D"/>
    <w:rsid w:val="FFFF363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120" w:after="120" w:line="300" w:lineRule="auto"/>
    </w:pPr>
    <w:rPr>
      <w:rFonts w:ascii="Arial" w:hAnsi="Arial"/>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annotation text"/>
    <w:basedOn w:val="1"/>
    <w:qFormat/>
    <w:uiPriority w:val="0"/>
    <w:pPr>
      <w:jc w:val="left"/>
    </w:pPr>
  </w:style>
  <w:style w:type="paragraph" w:styleId="7">
    <w:name w:val="Body Text Indent"/>
    <w:basedOn w:val="1"/>
    <w:next w:val="8"/>
    <w:unhideWhenUsed/>
    <w:qFormat/>
    <w:uiPriority w:val="0"/>
    <w:pPr>
      <w:autoSpaceDE w:val="0"/>
      <w:autoSpaceDN w:val="0"/>
      <w:spacing w:beforeLines="0" w:after="120" w:afterLines="0"/>
      <w:ind w:left="420"/>
    </w:pPr>
    <w:rPr>
      <w:rFonts w:hint="eastAsia" w:ascii="Times New Roman" w:hAnsi="Times New Roman" w:eastAsia="宋体"/>
      <w:sz w:val="21"/>
      <w:szCs w:val="24"/>
      <w:lang w:val="zh-CN"/>
    </w:rPr>
  </w:style>
  <w:style w:type="paragraph" w:styleId="8">
    <w:name w:val="envelope return"/>
    <w:basedOn w:val="1"/>
    <w:qFormat/>
    <w:uiPriority w:val="0"/>
    <w:pPr>
      <w:snapToGrid w:val="0"/>
    </w:pPr>
    <w:rPr>
      <w:rFonts w:hint="eastAsia" w:ascii="Arial" w:hAnsi="Arial" w:eastAsia="宋体" w:cs="Times New Roman"/>
      <w:szCs w:val="20"/>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List"/>
    <w:basedOn w:val="1"/>
    <w:unhideWhenUsed/>
    <w:qFormat/>
    <w:uiPriority w:val="0"/>
    <w:pPr>
      <w:spacing w:beforeLines="0" w:afterLines="0"/>
      <w:ind w:left="200" w:hanging="200" w:hangingChars="200"/>
    </w:pPr>
    <w:rPr>
      <w:rFonts w:hint="eastAsia" w:ascii="宋体" w:hAnsi="宋体" w:eastAsia="宋体" w:cs="宋体"/>
      <w:sz w:val="21"/>
      <w:szCs w:val="21"/>
    </w:rPr>
  </w:style>
  <w:style w:type="paragraph" w:styleId="12">
    <w:name w:val="Body Text First Indent 2"/>
    <w:basedOn w:val="7"/>
    <w:next w:val="13"/>
    <w:unhideWhenUsed/>
    <w:qFormat/>
    <w:uiPriority w:val="0"/>
    <w:pPr>
      <w:spacing w:beforeLines="0" w:afterLines="0"/>
      <w:ind w:firstLine="420"/>
    </w:pPr>
    <w:rPr>
      <w:rFonts w:hint="eastAsia"/>
      <w:sz w:val="21"/>
      <w:szCs w:val="24"/>
    </w:rPr>
  </w:style>
  <w:style w:type="paragraph" w:customStyle="1" w:styleId="13">
    <w:name w:val="表格文字"/>
    <w:basedOn w:val="11"/>
    <w:next w:val="1"/>
    <w:unhideWhenUsed/>
    <w:qFormat/>
    <w:uiPriority w:val="0"/>
    <w:pPr>
      <w:spacing w:beforeLines="0" w:afterLines="0"/>
      <w:ind w:firstLine="0" w:firstLineChars="0"/>
      <w:jc w:val="center"/>
    </w:pPr>
    <w:rPr>
      <w:rFonts w:hint="eastAsia"/>
      <w:sz w:val="21"/>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qFormat/>
    <w:uiPriority w:val="0"/>
    <w:rPr>
      <w:color w:val="0000FF"/>
      <w:u w:val="single"/>
    </w:rPr>
  </w:style>
  <w:style w:type="character" w:customStyle="1" w:styleId="18">
    <w:name w:val="_Style 17"/>
    <w:unhideWhenUsed/>
    <w:qFormat/>
    <w:uiPriority w:val="99"/>
    <w:rPr>
      <w:color w:val="605E5C"/>
      <w:shd w:val="clear" w:color="auto" w:fill="E1DFDD"/>
    </w:rPr>
  </w:style>
  <w:style w:type="paragraph" w:customStyle="1" w:styleId="19">
    <w:name w:val="Table Paragraph"/>
    <w:basedOn w:val="1"/>
    <w:unhideWhenUsed/>
    <w:qFormat/>
    <w:uiPriority w:val="1"/>
    <w:pPr>
      <w:autoSpaceDE w:val="0"/>
      <w:autoSpaceDN w:val="0"/>
      <w:spacing w:beforeLines="0" w:afterLines="0"/>
      <w:jc w:val="left"/>
    </w:pPr>
    <w:rPr>
      <w:rFonts w:hint="eastAsia" w:ascii="宋体" w:hAnsi="宋体" w:eastAsia="宋体" w:cs="宋体"/>
      <w:sz w:val="22"/>
      <w:szCs w:val="22"/>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2115</Words>
  <Characters>2207</Characters>
  <Lines>3</Lines>
  <Paragraphs>1</Paragraphs>
  <TotalTime>16</TotalTime>
  <ScaleCrop>false</ScaleCrop>
  <LinksUpToDate>false</LinksUpToDate>
  <CharactersWithSpaces>2209</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2022-03-10T05:43:00Z</dcterms:created>
  <dc:creator>zhanggx</dc:creator>
  <cp:lastModifiedBy>XC~xuhan</cp:lastModifiedBy>
  <cp:lastPrinted>2024-01-27T00:42:00Z</cp:lastPrinted>
  <dcterms:modified xsi:type="dcterms:W3CDTF">2026-09-18T14:46:51Z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EA27DF9456654462A9CCF28584359389</vt:lpwstr>
  </property>
  <property fmtid="{D5CDD505-2E9C-101B-9397-08002B2CF9AE}" pid="4" name="KSOTemplateDocerSaveRecord">
    <vt:lpwstr>eyJoZGlkIjoiMDYzNmZiYzRmNjFiOTBhOWFjMmMxMjViZTczZGNiYWMiLCJ1c2VySWQiOiIyNDUyMjE4MDUifQ==</vt:lpwstr>
  </property>
</Properties>
</file>