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2" w:after="0" w:line="240" w:lineRule="auto"/>
        <w:ind w:left="-1540" w:leftChars="-700" w:right="-20"/>
        <w:rPr>
          <w:rFonts w:ascii="宋体" w:hAnsi="宋体" w:eastAsia="宋体" w:cs="宋体"/>
          <w:color w:val="auto"/>
          <w:sz w:val="20"/>
          <w:szCs w:val="20"/>
        </w:rPr>
      </w:pPr>
      <w:r>
        <w:rPr>
          <w:rFonts w:hint="eastAsia" w:ascii="黑体" w:hAnsi="黑体" w:eastAsia="黑体" w:cs="黑体"/>
          <w:b w:val="0"/>
          <w:bCs w:val="0"/>
          <w:color w:val="auto"/>
          <w:sz w:val="32"/>
          <w:szCs w:val="32"/>
          <w:lang w:val="en-US" w:eastAsia="zh-CN"/>
        </w:rPr>
        <w:drawing>
          <wp:anchor distT="0" distB="0" distL="114300" distR="114300" simplePos="0" relativeHeight="251659264" behindDoc="1" locked="0" layoutInCell="1" allowOverlap="1">
            <wp:simplePos x="0" y="0"/>
            <wp:positionH relativeFrom="column">
              <wp:posOffset>-1218565</wp:posOffset>
            </wp:positionH>
            <wp:positionV relativeFrom="paragraph">
              <wp:posOffset>-911225</wp:posOffset>
            </wp:positionV>
            <wp:extent cx="7765415" cy="10979150"/>
            <wp:effectExtent l="0" t="0" r="6985" b="0"/>
            <wp:wrapNone/>
            <wp:docPr id="2" name="图片 3" descr="D:\2021文件夹\南方电网\20210531——南网VI完稿修改\中国南方电网2021版交接设计稿\应用文件AI\B办公事务系统\未标题-2_画板 1.png未标题-2_画板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descr="D:\2021文件夹\南方电网\20210531——南网VI完稿修改\中国南方电网2021版交接设计稿\应用文件AI\B办公事务系统\未标题-2_画板 1.png未标题-2_画板 1"/>
                    <pic:cNvPicPr>
                      <a:picLocks noChangeAspect="1" noChangeArrowheads="1"/>
                    </pic:cNvPicPr>
                  </pic:nvPicPr>
                  <pic:blipFill>
                    <a:blip r:embed="rId7"/>
                    <a:srcRect/>
                    <a:stretch>
                      <a:fillRect/>
                    </a:stretch>
                  </pic:blipFill>
                  <pic:spPr>
                    <a:xfrm>
                      <a:off x="0" y="0"/>
                      <a:ext cx="7765415" cy="10979150"/>
                    </a:xfrm>
                    <a:prstGeom prst="rect">
                      <a:avLst/>
                    </a:prstGeom>
                    <a:noFill/>
                    <a:ln w="9525">
                      <a:noFill/>
                      <a:miter lim="800000"/>
                      <a:headEnd/>
                      <a:tailEnd/>
                    </a:ln>
                  </pic:spPr>
                </pic:pic>
              </a:graphicData>
            </a:graphic>
          </wp:anchor>
        </w:drawing>
      </w:r>
    </w:p>
    <w:p>
      <w:pPr>
        <w:spacing w:after="0" w:line="200" w:lineRule="exact"/>
        <w:rPr>
          <w:rFonts w:ascii="宋体" w:hAnsi="宋体" w:eastAsia="宋体" w:cs="宋体"/>
          <w:color w:val="auto"/>
          <w:sz w:val="20"/>
          <w:szCs w:val="20"/>
        </w:rPr>
      </w:pPr>
    </w:p>
    <w:p>
      <w:pPr>
        <w:spacing w:after="0" w:line="200" w:lineRule="exact"/>
        <w:rPr>
          <w:rFonts w:ascii="宋体" w:hAnsi="宋体" w:eastAsia="宋体" w:cs="宋体"/>
          <w:color w:val="auto"/>
          <w:sz w:val="20"/>
          <w:szCs w:val="20"/>
        </w:rPr>
      </w:pPr>
    </w:p>
    <w:p>
      <w:pPr>
        <w:spacing w:after="0" w:line="200" w:lineRule="exact"/>
        <w:rPr>
          <w:rFonts w:ascii="宋体" w:hAnsi="宋体" w:eastAsia="宋体" w:cs="宋体"/>
          <w:color w:val="auto"/>
          <w:sz w:val="20"/>
          <w:szCs w:val="20"/>
        </w:rPr>
      </w:pPr>
    </w:p>
    <w:p>
      <w:pPr>
        <w:rPr>
          <w:rFonts w:ascii="宋体" w:hAnsi="宋体" w:eastAsia="宋体" w:cs="宋体"/>
          <w:color w:val="auto"/>
        </w:rPr>
      </w:pPr>
    </w:p>
    <w:p>
      <w:pPr>
        <w:spacing w:before="5" w:after="0" w:line="240" w:lineRule="auto"/>
        <w:ind w:left="4854" w:right="4269"/>
        <w:jc w:val="center"/>
        <w:rPr>
          <w:rFonts w:ascii="宋体" w:hAnsi="宋体" w:eastAsia="宋体" w:cs="宋体"/>
          <w:color w:val="auto"/>
          <w:spacing w:val="2"/>
          <w:sz w:val="36"/>
          <w:szCs w:val="36"/>
        </w:rPr>
      </w:pPr>
    </w:p>
    <w:p>
      <w:pPr>
        <w:spacing w:before="5" w:after="0" w:line="240" w:lineRule="auto"/>
        <w:ind w:right="-16"/>
        <w:jc w:val="center"/>
        <w:rPr>
          <w:rFonts w:hint="eastAsia" w:ascii="宋体" w:hAnsi="宋体" w:eastAsia="宋体" w:cs="宋体"/>
          <w:b/>
          <w:bCs/>
          <w:color w:val="auto"/>
          <w:spacing w:val="2"/>
          <w:w w:val="90"/>
          <w:sz w:val="48"/>
          <w:szCs w:val="48"/>
          <w:lang w:val="en-US" w:eastAsia="zh-CN"/>
        </w:rPr>
      </w:pPr>
    </w:p>
    <w:p>
      <w:pPr>
        <w:spacing w:before="5" w:after="0" w:line="240" w:lineRule="auto"/>
        <w:ind w:right="-16"/>
        <w:jc w:val="center"/>
        <w:rPr>
          <w:rFonts w:hint="eastAsia" w:ascii="宋体" w:hAnsi="宋体" w:eastAsia="宋体" w:cs="宋体"/>
          <w:b/>
          <w:bCs/>
          <w:color w:val="auto"/>
          <w:spacing w:val="2"/>
          <w:w w:val="90"/>
          <w:sz w:val="48"/>
          <w:szCs w:val="48"/>
          <w:lang w:val="en-US" w:eastAsia="zh-CN"/>
        </w:rPr>
      </w:pPr>
    </w:p>
    <w:p>
      <w:pPr>
        <w:spacing w:before="5" w:after="0" w:line="240" w:lineRule="auto"/>
        <w:ind w:right="-16"/>
        <w:jc w:val="center"/>
        <w:rPr>
          <w:rFonts w:hint="eastAsia" w:ascii="宋体" w:hAnsi="宋体" w:eastAsia="宋体" w:cs="宋体"/>
          <w:b/>
          <w:bCs/>
          <w:color w:val="auto"/>
          <w:spacing w:val="2"/>
          <w:w w:val="90"/>
          <w:sz w:val="48"/>
          <w:szCs w:val="48"/>
          <w:lang w:val="en-US" w:eastAsia="zh-CN"/>
        </w:rPr>
      </w:pPr>
      <w:r>
        <w:rPr>
          <w:rFonts w:hint="eastAsia" w:ascii="宋体" w:hAnsi="宋体" w:eastAsia="宋体" w:cs="宋体"/>
          <w:b/>
          <w:bCs/>
          <w:color w:val="auto"/>
          <w:spacing w:val="2"/>
          <w:w w:val="90"/>
          <w:sz w:val="48"/>
          <w:szCs w:val="48"/>
          <w:lang w:val="en-US" w:eastAsia="zh-CN"/>
        </w:rPr>
        <w:t>海南电力产业发展有限责任公司2026年</w:t>
      </w:r>
    </w:p>
    <w:p>
      <w:pPr>
        <w:spacing w:before="5" w:after="0" w:line="240" w:lineRule="auto"/>
        <w:ind w:right="-16"/>
        <w:jc w:val="center"/>
        <w:rPr>
          <w:rFonts w:hint="eastAsia" w:ascii="宋体" w:hAnsi="宋体" w:eastAsia="宋体" w:cs="宋体"/>
          <w:b/>
          <w:bCs/>
          <w:color w:val="auto"/>
          <w:spacing w:val="2"/>
          <w:w w:val="90"/>
          <w:sz w:val="48"/>
          <w:szCs w:val="48"/>
          <w:lang w:val="en-US" w:eastAsia="zh-CN"/>
        </w:rPr>
      </w:pPr>
      <w:r>
        <w:rPr>
          <w:rFonts w:hint="eastAsia" w:ascii="宋体" w:hAnsi="宋体" w:eastAsia="宋体" w:cs="宋体"/>
          <w:b/>
          <w:bCs/>
          <w:color w:val="auto"/>
          <w:spacing w:val="2"/>
          <w:w w:val="90"/>
          <w:sz w:val="48"/>
          <w:szCs w:val="48"/>
          <w:lang w:val="en-US" w:eastAsia="zh-CN"/>
        </w:rPr>
        <w:t>营配等项目施工物资采购项目</w:t>
      </w:r>
    </w:p>
    <w:p>
      <w:pPr>
        <w:spacing w:before="5" w:after="0" w:line="240" w:lineRule="auto"/>
        <w:ind w:right="-16"/>
        <w:jc w:val="center"/>
        <w:rPr>
          <w:rFonts w:ascii="宋体" w:hAnsi="宋体" w:eastAsia="宋体" w:cs="宋体"/>
          <w:b/>
          <w:bCs/>
          <w:color w:val="auto"/>
          <w:w w:val="90"/>
          <w:sz w:val="48"/>
          <w:szCs w:val="48"/>
          <w:lang w:eastAsia="zh-CN"/>
        </w:rPr>
      </w:pPr>
      <w:r>
        <w:rPr>
          <w:rFonts w:hint="eastAsia" w:ascii="宋体" w:hAnsi="宋体" w:eastAsia="宋体" w:cs="宋体"/>
          <w:b/>
          <w:bCs/>
          <w:color w:val="auto"/>
          <w:spacing w:val="2"/>
          <w:w w:val="90"/>
          <w:sz w:val="48"/>
          <w:szCs w:val="48"/>
          <w:lang w:val="en-US" w:eastAsia="zh-CN"/>
        </w:rPr>
        <w:t>技术规范书</w:t>
      </w:r>
    </w:p>
    <w:p>
      <w:pPr>
        <w:spacing w:before="7" w:after="0" w:line="180" w:lineRule="exact"/>
        <w:rPr>
          <w:rFonts w:ascii="宋体" w:hAnsi="宋体" w:eastAsia="宋体" w:cs="宋体"/>
          <w:color w:val="auto"/>
          <w:sz w:val="18"/>
          <w:szCs w:val="18"/>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200" w:lineRule="exact"/>
        <w:rPr>
          <w:rFonts w:ascii="宋体" w:hAnsi="宋体" w:eastAsia="宋体" w:cs="宋体"/>
          <w:color w:val="auto"/>
          <w:sz w:val="20"/>
          <w:szCs w:val="20"/>
          <w:lang w:eastAsia="zh-CN"/>
        </w:rPr>
      </w:pPr>
    </w:p>
    <w:p>
      <w:pPr>
        <w:spacing w:after="0" w:line="311" w:lineRule="auto"/>
        <w:ind w:left="5145" w:right="4560"/>
        <w:jc w:val="center"/>
        <w:rPr>
          <w:rFonts w:ascii="宋体" w:hAnsi="宋体" w:eastAsia="宋体" w:cs="宋体"/>
          <w:color w:val="auto"/>
          <w:sz w:val="28"/>
          <w:szCs w:val="28"/>
          <w:lang w:eastAsia="zh-CN"/>
        </w:rPr>
      </w:pPr>
    </w:p>
    <w:p>
      <w:pPr>
        <w:spacing w:after="0" w:line="311" w:lineRule="auto"/>
        <w:ind w:left="5145" w:right="4560"/>
        <w:jc w:val="center"/>
        <w:rPr>
          <w:rFonts w:ascii="宋体" w:hAnsi="宋体" w:eastAsia="宋体" w:cs="宋体"/>
          <w:color w:val="auto"/>
          <w:sz w:val="28"/>
          <w:szCs w:val="28"/>
          <w:lang w:eastAsia="zh-CN"/>
        </w:rPr>
      </w:pPr>
    </w:p>
    <w:p>
      <w:pPr>
        <w:spacing w:after="0" w:line="311" w:lineRule="auto"/>
        <w:ind w:right="4560"/>
        <w:jc w:val="both"/>
        <w:rPr>
          <w:rFonts w:ascii="宋体" w:hAnsi="宋体" w:eastAsia="宋体" w:cs="宋体"/>
          <w:color w:val="auto"/>
          <w:sz w:val="28"/>
          <w:szCs w:val="28"/>
          <w:lang w:eastAsia="zh-CN"/>
        </w:rPr>
      </w:pPr>
    </w:p>
    <w:p>
      <w:pPr>
        <w:spacing w:after="0" w:line="311" w:lineRule="auto"/>
        <w:ind w:left="5145" w:right="4560"/>
        <w:jc w:val="center"/>
        <w:rPr>
          <w:rFonts w:ascii="宋体" w:hAnsi="宋体" w:eastAsia="宋体" w:cs="宋体"/>
          <w:color w:val="auto"/>
          <w:sz w:val="28"/>
          <w:szCs w:val="28"/>
          <w:lang w:eastAsia="zh-CN"/>
        </w:rPr>
      </w:pPr>
    </w:p>
    <w:p>
      <w:pPr>
        <w:spacing w:after="0" w:line="311" w:lineRule="auto"/>
        <w:ind w:right="-16"/>
        <w:jc w:val="center"/>
        <w:rPr>
          <w:rFonts w:hint="eastAsia" w:eastAsia="黑体"/>
          <w:b/>
          <w:sz w:val="40"/>
          <w:szCs w:val="20"/>
          <w:highlight w:val="none"/>
          <w:lang w:val="zh-CN"/>
        </w:rPr>
      </w:pPr>
      <w:r>
        <w:rPr>
          <w:rFonts w:hint="eastAsia" w:eastAsia="黑体"/>
          <w:b/>
          <w:sz w:val="40"/>
          <w:szCs w:val="20"/>
          <w:highlight w:val="none"/>
          <w:lang w:val="zh-CN"/>
        </w:rPr>
        <w:t>海南</w:t>
      </w:r>
      <w:r>
        <w:rPr>
          <w:rFonts w:hint="eastAsia" w:eastAsia="黑体"/>
          <w:b/>
          <w:sz w:val="40"/>
          <w:szCs w:val="20"/>
          <w:highlight w:val="none"/>
          <w:lang w:val="en-US" w:eastAsia="zh-CN"/>
        </w:rPr>
        <w:t>电力产业发展</w:t>
      </w:r>
      <w:r>
        <w:rPr>
          <w:rFonts w:hint="eastAsia" w:eastAsia="黑体"/>
          <w:b/>
          <w:sz w:val="40"/>
          <w:szCs w:val="20"/>
          <w:highlight w:val="none"/>
          <w:lang w:val="zh-CN"/>
        </w:rPr>
        <w:t>有限责任公司</w:t>
      </w:r>
    </w:p>
    <w:p>
      <w:pPr>
        <w:spacing w:after="0" w:line="311" w:lineRule="auto"/>
        <w:ind w:right="-16"/>
        <w:jc w:val="center"/>
        <w:rPr>
          <w:rFonts w:ascii="宋体" w:hAnsi="宋体" w:eastAsia="宋体" w:cs="宋体"/>
          <w:color w:val="auto"/>
          <w:sz w:val="28"/>
          <w:szCs w:val="28"/>
          <w:lang w:eastAsia="zh-CN"/>
        </w:rPr>
      </w:pPr>
      <w:r>
        <w:rPr>
          <w:rFonts w:hint="eastAsia" w:eastAsia="黑体"/>
          <w:b/>
          <w:sz w:val="40"/>
          <w:szCs w:val="20"/>
          <w:highlight w:val="none"/>
          <w:lang w:val="en-US" w:eastAsia="zh-CN"/>
        </w:rPr>
        <w:t>2026年07月</w:t>
      </w:r>
    </w:p>
    <w:p>
      <w:pPr>
        <w:rPr>
          <w:rFonts w:ascii="宋体" w:hAnsi="宋体" w:eastAsia="宋体" w:cs="宋体"/>
          <w:b/>
          <w:bCs/>
          <w:color w:val="auto"/>
          <w:w w:val="99"/>
          <w:position w:val="-1"/>
          <w:sz w:val="24"/>
          <w:szCs w:val="24"/>
          <w:lang w:eastAsia="zh-CN"/>
        </w:rPr>
      </w:pPr>
      <w:r>
        <w:rPr>
          <w:rFonts w:hint="eastAsia" w:ascii="宋体" w:hAnsi="宋体" w:eastAsia="宋体" w:cs="宋体"/>
          <w:b/>
          <w:bCs/>
          <w:color w:val="auto"/>
          <w:w w:val="99"/>
          <w:position w:val="-1"/>
          <w:sz w:val="24"/>
          <w:szCs w:val="24"/>
          <w:lang w:eastAsia="zh-CN"/>
        </w:rPr>
        <w:br w:type="page"/>
      </w:r>
    </w:p>
    <w:p>
      <w:pPr>
        <w:spacing w:after="0" w:line="360" w:lineRule="auto"/>
        <w:jc w:val="center"/>
        <w:rPr>
          <w:rFonts w:ascii="宋体" w:hAnsi="宋体" w:eastAsia="宋体" w:cs="宋体"/>
          <w:color w:val="auto"/>
          <w:sz w:val="28"/>
          <w:szCs w:val="28"/>
          <w:lang w:eastAsia="zh-CN"/>
        </w:rPr>
      </w:pPr>
      <w:r>
        <w:rPr>
          <w:rFonts w:hint="eastAsia" w:ascii="宋体" w:hAnsi="宋体" w:eastAsia="宋体" w:cs="宋体"/>
          <w:b/>
          <w:bCs/>
          <w:color w:val="auto"/>
          <w:sz w:val="24"/>
          <w:szCs w:val="24"/>
          <w:lang w:eastAsia="zh-CN"/>
        </w:rPr>
        <w:t>目录</w:t>
      </w:r>
    </w:p>
    <w:sdt>
      <w:sdtPr>
        <w:rPr>
          <w:rFonts w:ascii="宋体" w:hAnsi="宋体" w:eastAsia="宋体" w:cstheme="minorBidi"/>
          <w:color w:val="auto"/>
          <w:sz w:val="21"/>
          <w:szCs w:val="22"/>
          <w:lang w:val="en-US" w:eastAsia="en-US" w:bidi="ar-SA"/>
        </w:rPr>
        <w:id w:val="147452018"/>
        <w15:color w:val="DBDBDB"/>
        <w:docPartObj>
          <w:docPartGallery w:val="Table of Contents"/>
          <w:docPartUnique/>
        </w:docPartObj>
      </w:sdtPr>
      <w:sdtEndPr>
        <w:rPr>
          <w:rFonts w:ascii="宋体" w:hAnsi="宋体" w:eastAsia="宋体" w:cs="宋体"/>
          <w:bCs/>
          <w:color w:val="auto"/>
          <w:spacing w:val="1"/>
          <w:w w:val="129"/>
          <w:sz w:val="22"/>
          <w:szCs w:val="30"/>
          <w:lang w:val="en-US" w:eastAsia="zh-CN" w:bidi="ar-SA"/>
        </w:rPr>
      </w:sdtEndPr>
      <w:sdtContent>
        <w:p>
          <w:pPr>
            <w:spacing w:before="0" w:beforeLines="0" w:after="0" w:afterLines="0" w:line="240" w:lineRule="auto"/>
            <w:ind w:left="0" w:leftChars="0" w:right="0" w:rightChars="0" w:firstLine="0" w:firstLineChars="0"/>
            <w:jc w:val="center"/>
            <w:rPr>
              <w:color w:val="auto"/>
            </w:rPr>
          </w:pPr>
        </w:p>
        <w:p>
          <w:pPr>
            <w:pStyle w:val="14"/>
            <w:tabs>
              <w:tab w:val="right" w:leader="dot" w:pos="8306"/>
            </w:tabs>
          </w:pPr>
          <w:r>
            <w:rPr>
              <w:rFonts w:ascii="宋体" w:hAnsi="宋体" w:eastAsia="宋体" w:cs="宋体"/>
              <w:b/>
              <w:bCs/>
              <w:color w:val="auto"/>
              <w:spacing w:val="1"/>
              <w:w w:val="129"/>
              <w:sz w:val="30"/>
              <w:szCs w:val="30"/>
              <w:lang w:eastAsia="zh-CN"/>
            </w:rPr>
            <w:fldChar w:fldCharType="begin"/>
          </w:r>
          <w:r>
            <w:rPr>
              <w:rFonts w:ascii="宋体" w:hAnsi="宋体" w:eastAsia="宋体" w:cs="宋体"/>
              <w:b/>
              <w:bCs/>
              <w:color w:val="auto"/>
              <w:spacing w:val="1"/>
              <w:w w:val="129"/>
              <w:sz w:val="30"/>
              <w:szCs w:val="30"/>
              <w:lang w:eastAsia="zh-CN"/>
            </w:rPr>
            <w:instrText xml:space="preserve">TOC \o "1-3" \h \u </w:instrText>
          </w:r>
          <w:r>
            <w:rPr>
              <w:rFonts w:ascii="宋体" w:hAnsi="宋体" w:eastAsia="宋体" w:cs="宋体"/>
              <w:b/>
              <w:bCs/>
              <w:color w:val="auto"/>
              <w:spacing w:val="1"/>
              <w:w w:val="129"/>
              <w:sz w:val="30"/>
              <w:szCs w:val="30"/>
              <w:lang w:eastAsia="zh-CN"/>
            </w:rPr>
            <w:fldChar w:fldCharType="separate"/>
          </w: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_Toc32248 </w:instrText>
          </w:r>
          <w:r>
            <w:rPr>
              <w:rFonts w:ascii="宋体" w:hAnsi="宋体" w:eastAsia="宋体" w:cs="宋体"/>
              <w:bCs/>
              <w:spacing w:val="1"/>
              <w:w w:val="129"/>
              <w:szCs w:val="30"/>
              <w:lang w:eastAsia="zh-CN"/>
            </w:rPr>
            <w:fldChar w:fldCharType="separate"/>
          </w:r>
          <w:r>
            <w:rPr>
              <w:rFonts w:hint="default"/>
              <w:lang w:eastAsia="zh-CN"/>
            </w:rPr>
            <w:t xml:space="preserve">1. </w:t>
          </w:r>
          <w:r>
            <w:rPr>
              <w:rFonts w:hint="eastAsia"/>
              <w:lang w:eastAsia="zh-CN"/>
            </w:rPr>
            <w:t>总的部分</w:t>
          </w:r>
          <w:r>
            <w:tab/>
          </w:r>
          <w:r>
            <w:fldChar w:fldCharType="begin"/>
          </w:r>
          <w:r>
            <w:instrText xml:space="preserve"> PAGEREF _Toc32248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_Toc17707 </w:instrText>
          </w:r>
          <w:r>
            <w:rPr>
              <w:rFonts w:ascii="宋体" w:hAnsi="宋体" w:eastAsia="宋体" w:cs="宋体"/>
              <w:bCs/>
              <w:spacing w:val="1"/>
              <w:w w:val="129"/>
              <w:szCs w:val="30"/>
              <w:lang w:eastAsia="zh-CN"/>
            </w:rPr>
            <w:fldChar w:fldCharType="separate"/>
          </w:r>
          <w:r>
            <w:rPr>
              <w:rFonts w:hint="default"/>
              <w:lang w:eastAsia="zh-CN"/>
            </w:rPr>
            <w:t xml:space="preserve">1.1. </w:t>
          </w:r>
          <w:r>
            <w:rPr>
              <w:rFonts w:hint="eastAsia"/>
              <w:lang w:eastAsia="zh-CN"/>
            </w:rPr>
            <w:t>项目背景</w:t>
          </w:r>
          <w:r>
            <w:tab/>
          </w:r>
          <w:r>
            <w:fldChar w:fldCharType="begin"/>
          </w:r>
          <w:r>
            <w:instrText xml:space="preserve"> PAGEREF _Toc17707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_Toc7675 </w:instrText>
          </w:r>
          <w:r>
            <w:rPr>
              <w:rFonts w:ascii="宋体" w:hAnsi="宋体" w:eastAsia="宋体" w:cs="宋体"/>
              <w:bCs/>
              <w:spacing w:val="1"/>
              <w:w w:val="129"/>
              <w:szCs w:val="30"/>
              <w:lang w:eastAsia="zh-CN"/>
            </w:rPr>
            <w:fldChar w:fldCharType="separate"/>
          </w:r>
          <w:r>
            <w:rPr>
              <w:rFonts w:hint="default"/>
              <w:lang w:eastAsia="zh-CN"/>
            </w:rPr>
            <w:t xml:space="preserve">1.2. </w:t>
          </w:r>
          <w:r>
            <w:rPr>
              <w:rFonts w:hint="eastAsia"/>
              <w:lang w:eastAsia="zh-CN"/>
            </w:rPr>
            <w:t>一般规定</w:t>
          </w:r>
          <w:r>
            <w:tab/>
          </w:r>
          <w:r>
            <w:fldChar w:fldCharType="begin"/>
          </w:r>
          <w:r>
            <w:instrText xml:space="preserve"> PAGEREF _Toc7675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_Toc964 </w:instrText>
          </w:r>
          <w:r>
            <w:rPr>
              <w:rFonts w:ascii="宋体" w:hAnsi="宋体" w:eastAsia="宋体" w:cs="宋体"/>
              <w:bCs/>
              <w:spacing w:val="1"/>
              <w:w w:val="129"/>
              <w:szCs w:val="30"/>
              <w:lang w:eastAsia="zh-CN"/>
            </w:rPr>
            <w:fldChar w:fldCharType="separate"/>
          </w:r>
          <w:r>
            <w:rPr>
              <w:rFonts w:hint="default"/>
              <w:lang w:eastAsia="zh-CN"/>
            </w:rPr>
            <w:t xml:space="preserve">1.3. </w:t>
          </w:r>
          <w:r>
            <w:rPr>
              <w:rFonts w:hint="eastAsia"/>
              <w:lang w:eastAsia="zh-CN"/>
            </w:rPr>
            <w:t>投标须知</w:t>
          </w:r>
          <w:r>
            <w:tab/>
          </w:r>
          <w:r>
            <w:fldChar w:fldCharType="begin"/>
          </w:r>
          <w:r>
            <w:instrText xml:space="preserve"> PAGEREF _Toc964 \h </w:instrText>
          </w:r>
          <w:r>
            <w:fldChar w:fldCharType="separate"/>
          </w:r>
          <w:r>
            <w:t>1</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_Toc20337 </w:instrText>
          </w:r>
          <w:r>
            <w:rPr>
              <w:rFonts w:ascii="宋体" w:hAnsi="宋体" w:eastAsia="宋体" w:cs="宋体"/>
              <w:bCs/>
              <w:spacing w:val="1"/>
              <w:w w:val="129"/>
              <w:szCs w:val="30"/>
              <w:lang w:eastAsia="zh-CN"/>
            </w:rPr>
            <w:fldChar w:fldCharType="separate"/>
          </w:r>
          <w:r>
            <w:rPr>
              <w:rFonts w:hint="default"/>
              <w:lang w:eastAsia="zh-CN"/>
            </w:rPr>
            <w:t xml:space="preserve">1.4. </w:t>
          </w:r>
          <w:r>
            <w:rPr>
              <w:rFonts w:hint="eastAsia"/>
              <w:lang w:eastAsia="zh-CN"/>
            </w:rPr>
            <w:t>卖方职责</w:t>
          </w:r>
          <w:r>
            <w:tab/>
          </w:r>
          <w:r>
            <w:fldChar w:fldCharType="begin"/>
          </w:r>
          <w:r>
            <w:instrText xml:space="preserve"> PAGEREF _Toc20337 \h </w:instrText>
          </w:r>
          <w:r>
            <w:fldChar w:fldCharType="separate"/>
          </w:r>
          <w:r>
            <w:t>3</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_Toc19519 </w:instrText>
          </w:r>
          <w:r>
            <w:rPr>
              <w:rFonts w:ascii="宋体" w:hAnsi="宋体" w:eastAsia="宋体" w:cs="宋体"/>
              <w:bCs/>
              <w:spacing w:val="1"/>
              <w:w w:val="129"/>
              <w:szCs w:val="30"/>
              <w:lang w:eastAsia="zh-CN"/>
            </w:rPr>
            <w:fldChar w:fldCharType="separate"/>
          </w:r>
          <w:r>
            <w:rPr>
              <w:rFonts w:hint="default"/>
              <w:lang w:eastAsia="zh-CN"/>
            </w:rPr>
            <w:t xml:space="preserve">1.5. </w:t>
          </w:r>
          <w:r>
            <w:rPr>
              <w:rFonts w:hint="eastAsia"/>
              <w:lang w:eastAsia="zh-CN"/>
            </w:rPr>
            <w:t>买方职责</w:t>
          </w:r>
          <w:r>
            <w:tab/>
          </w:r>
          <w:r>
            <w:fldChar w:fldCharType="begin"/>
          </w:r>
          <w:r>
            <w:instrText xml:space="preserve"> PAGEREF _Toc19519 \h </w:instrText>
          </w:r>
          <w:r>
            <w:fldChar w:fldCharType="separate"/>
          </w:r>
          <w:r>
            <w:t>5</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_Toc29061 </w:instrText>
          </w:r>
          <w:r>
            <w:rPr>
              <w:rFonts w:ascii="宋体" w:hAnsi="宋体" w:eastAsia="宋体" w:cs="宋体"/>
              <w:bCs/>
              <w:spacing w:val="1"/>
              <w:w w:val="129"/>
              <w:szCs w:val="30"/>
              <w:lang w:eastAsia="zh-CN"/>
            </w:rPr>
            <w:fldChar w:fldCharType="separate"/>
          </w:r>
          <w:r>
            <w:rPr>
              <w:rFonts w:hint="default"/>
              <w:lang w:eastAsia="zh-CN"/>
            </w:rPr>
            <w:t xml:space="preserve">1.6. </w:t>
          </w:r>
          <w:r>
            <w:rPr>
              <w:rFonts w:hint="eastAsia"/>
              <w:lang w:eastAsia="zh-CN"/>
            </w:rPr>
            <w:t>设计遵循的标准规范</w:t>
          </w:r>
          <w:r>
            <w:tab/>
          </w:r>
          <w:r>
            <w:fldChar w:fldCharType="begin"/>
          </w:r>
          <w:r>
            <w:instrText xml:space="preserve"> PAGEREF _Toc29061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_Toc15631 </w:instrText>
          </w:r>
          <w:r>
            <w:rPr>
              <w:rFonts w:ascii="宋体" w:hAnsi="宋体" w:eastAsia="宋体" w:cs="宋体"/>
              <w:bCs/>
              <w:spacing w:val="1"/>
              <w:w w:val="129"/>
              <w:szCs w:val="30"/>
              <w:lang w:eastAsia="zh-CN"/>
            </w:rPr>
            <w:fldChar w:fldCharType="separate"/>
          </w:r>
          <w:r>
            <w:rPr>
              <w:rFonts w:hint="default"/>
              <w:lang w:eastAsia="zh-CN"/>
            </w:rPr>
            <w:t xml:space="preserve">1.7. </w:t>
          </w:r>
          <w:r>
            <w:rPr>
              <w:rFonts w:hint="eastAsia"/>
              <w:lang w:eastAsia="zh-CN"/>
            </w:rPr>
            <w:t>质保及售后服务</w:t>
          </w:r>
          <w:r>
            <w:tab/>
          </w:r>
          <w:r>
            <w:fldChar w:fldCharType="begin"/>
          </w:r>
          <w:r>
            <w:instrText xml:space="preserve"> PAGEREF _Toc15631 \h </w:instrText>
          </w:r>
          <w:r>
            <w:fldChar w:fldCharType="separate"/>
          </w:r>
          <w:r>
            <w:t>6</w:t>
          </w:r>
          <w:r>
            <w:fldChar w:fldCharType="end"/>
          </w:r>
          <w:r>
            <w:rPr>
              <w:rFonts w:ascii="宋体" w:hAnsi="宋体" w:eastAsia="宋体" w:cs="宋体"/>
              <w:bCs/>
              <w:color w:val="auto"/>
              <w:spacing w:val="1"/>
              <w:w w:val="129"/>
              <w:szCs w:val="30"/>
              <w:lang w:eastAsia="zh-CN"/>
            </w:rPr>
            <w:fldChar w:fldCharType="end"/>
          </w:r>
        </w:p>
        <w:p>
          <w:pPr>
            <w:pStyle w:val="14"/>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_Toc15625 </w:instrText>
          </w:r>
          <w:r>
            <w:rPr>
              <w:rFonts w:ascii="宋体" w:hAnsi="宋体" w:eastAsia="宋体" w:cs="宋体"/>
              <w:bCs/>
              <w:spacing w:val="1"/>
              <w:w w:val="129"/>
              <w:szCs w:val="30"/>
              <w:lang w:eastAsia="zh-CN"/>
            </w:rPr>
            <w:fldChar w:fldCharType="separate"/>
          </w:r>
          <w:r>
            <w:rPr>
              <w:rFonts w:hint="default"/>
              <w:lang w:eastAsia="zh-CN"/>
            </w:rPr>
            <w:t xml:space="preserve">2. </w:t>
          </w:r>
          <w:r>
            <w:rPr>
              <w:rFonts w:hint="eastAsia"/>
              <w:lang w:eastAsia="zh-CN"/>
            </w:rPr>
            <w:t>供货一览表及技术规格</w:t>
          </w:r>
          <w:r>
            <w:tab/>
          </w:r>
          <w:r>
            <w:fldChar w:fldCharType="begin"/>
          </w:r>
          <w:r>
            <w:instrText xml:space="preserve"> PAGEREF _Toc15625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_Toc5956 </w:instrText>
          </w:r>
          <w:r>
            <w:rPr>
              <w:rFonts w:ascii="宋体" w:hAnsi="宋体" w:eastAsia="宋体" w:cs="宋体"/>
              <w:bCs/>
              <w:spacing w:val="1"/>
              <w:w w:val="129"/>
              <w:szCs w:val="30"/>
              <w:lang w:eastAsia="zh-CN"/>
            </w:rPr>
            <w:fldChar w:fldCharType="separate"/>
          </w:r>
          <w:r>
            <w:rPr>
              <w:rFonts w:hint="default"/>
              <w:lang w:eastAsia="zh-CN"/>
            </w:rPr>
            <w:t xml:space="preserve">2.1. </w:t>
          </w:r>
          <w:r>
            <w:rPr>
              <w:rFonts w:hint="eastAsia"/>
              <w:lang w:eastAsia="zh-CN"/>
            </w:rPr>
            <w:t>供货一览表</w:t>
          </w:r>
          <w:r>
            <w:tab/>
          </w:r>
          <w:r>
            <w:fldChar w:fldCharType="begin"/>
          </w:r>
          <w:r>
            <w:instrText xml:space="preserve"> PAGEREF _Toc5956 \h </w:instrText>
          </w:r>
          <w:r>
            <w:fldChar w:fldCharType="separate"/>
          </w:r>
          <w:r>
            <w:t>8</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_Toc13385 </w:instrText>
          </w:r>
          <w:r>
            <w:rPr>
              <w:rFonts w:ascii="宋体" w:hAnsi="宋体" w:eastAsia="宋体" w:cs="宋体"/>
              <w:bCs/>
              <w:spacing w:val="1"/>
              <w:w w:val="129"/>
              <w:szCs w:val="30"/>
              <w:lang w:eastAsia="zh-CN"/>
            </w:rPr>
            <w:fldChar w:fldCharType="separate"/>
          </w:r>
          <w:r>
            <w:rPr>
              <w:rFonts w:hint="default"/>
              <w:lang w:val="en-US" w:eastAsia="zh-CN"/>
            </w:rPr>
            <w:t xml:space="preserve">2.2. </w:t>
          </w:r>
          <w:r>
            <w:rPr>
              <w:rFonts w:hint="eastAsia"/>
              <w:lang w:val="en-US" w:eastAsia="zh-CN"/>
            </w:rPr>
            <w:t>设备技术规格</w:t>
          </w:r>
          <w:r>
            <w:tab/>
          </w:r>
          <w:r>
            <w:fldChar w:fldCharType="begin"/>
          </w:r>
          <w:r>
            <w:instrText xml:space="preserve"> PAGEREF _Toc13385 \h </w:instrText>
          </w:r>
          <w:r>
            <w:fldChar w:fldCharType="separate"/>
          </w:r>
          <w:r>
            <w:t>11</w:t>
          </w:r>
          <w:r>
            <w:fldChar w:fldCharType="end"/>
          </w:r>
          <w:r>
            <w:rPr>
              <w:rFonts w:ascii="宋体" w:hAnsi="宋体" w:eastAsia="宋体" w:cs="宋体"/>
              <w:bCs/>
              <w:color w:val="auto"/>
              <w:spacing w:val="1"/>
              <w:w w:val="129"/>
              <w:szCs w:val="30"/>
              <w:lang w:eastAsia="zh-CN"/>
            </w:rPr>
            <w:fldChar w:fldCharType="end"/>
          </w:r>
        </w:p>
        <w:p>
          <w:pPr>
            <w:pStyle w:val="14"/>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_Toc8415 </w:instrText>
          </w:r>
          <w:r>
            <w:rPr>
              <w:rFonts w:ascii="宋体" w:hAnsi="宋体" w:eastAsia="宋体" w:cs="宋体"/>
              <w:bCs/>
              <w:spacing w:val="1"/>
              <w:w w:val="129"/>
              <w:szCs w:val="30"/>
              <w:lang w:eastAsia="zh-CN"/>
            </w:rPr>
            <w:fldChar w:fldCharType="separate"/>
          </w:r>
          <w:r>
            <w:rPr>
              <w:rFonts w:hint="default"/>
              <w:lang w:eastAsia="zh-CN"/>
            </w:rPr>
            <w:t xml:space="preserve">3. </w:t>
          </w:r>
          <w:r>
            <w:rPr>
              <w:rFonts w:hint="eastAsia"/>
              <w:lang w:eastAsia="zh-CN"/>
            </w:rPr>
            <w:t>其它</w:t>
          </w:r>
          <w:r>
            <w:tab/>
          </w:r>
          <w:r>
            <w:fldChar w:fldCharType="begin"/>
          </w:r>
          <w:r>
            <w:instrText xml:space="preserve"> PAGEREF _Toc8415 \h </w:instrText>
          </w:r>
          <w:r>
            <w:fldChar w:fldCharType="separate"/>
          </w:r>
          <w:r>
            <w:t>28</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_Toc27614 </w:instrText>
          </w:r>
          <w:r>
            <w:rPr>
              <w:rFonts w:ascii="宋体" w:hAnsi="宋体" w:eastAsia="宋体" w:cs="宋体"/>
              <w:bCs/>
              <w:spacing w:val="1"/>
              <w:w w:val="129"/>
              <w:szCs w:val="30"/>
              <w:lang w:eastAsia="zh-CN"/>
            </w:rPr>
            <w:fldChar w:fldCharType="separate"/>
          </w:r>
          <w:r>
            <w:rPr>
              <w:rFonts w:hint="default"/>
              <w:lang w:eastAsia="zh-CN"/>
            </w:rPr>
            <w:t xml:space="preserve">3.1. </w:t>
          </w:r>
          <w:r>
            <w:rPr>
              <w:rFonts w:hint="eastAsia"/>
              <w:lang w:eastAsia="zh-CN"/>
            </w:rPr>
            <w:t>技术资料</w:t>
          </w:r>
          <w:r>
            <w:tab/>
          </w:r>
          <w:r>
            <w:fldChar w:fldCharType="begin"/>
          </w:r>
          <w:r>
            <w:instrText xml:space="preserve"> PAGEREF _Toc27614 \h </w:instrText>
          </w:r>
          <w:r>
            <w:fldChar w:fldCharType="separate"/>
          </w:r>
          <w:r>
            <w:t>28</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_Toc3026 </w:instrText>
          </w:r>
          <w:r>
            <w:rPr>
              <w:rFonts w:ascii="宋体" w:hAnsi="宋体" w:eastAsia="宋体" w:cs="宋体"/>
              <w:bCs/>
              <w:spacing w:val="1"/>
              <w:w w:val="129"/>
              <w:szCs w:val="30"/>
              <w:lang w:eastAsia="zh-CN"/>
            </w:rPr>
            <w:fldChar w:fldCharType="separate"/>
          </w:r>
          <w:r>
            <w:rPr>
              <w:rFonts w:hint="default"/>
              <w:lang w:eastAsia="zh-CN"/>
            </w:rPr>
            <w:t xml:space="preserve">3.2. </w:t>
          </w:r>
          <w:r>
            <w:rPr>
              <w:rFonts w:hint="eastAsia"/>
              <w:lang w:eastAsia="zh-CN"/>
            </w:rPr>
            <w:t>文件资料的内容</w:t>
          </w:r>
          <w:r>
            <w:tab/>
          </w:r>
          <w:r>
            <w:fldChar w:fldCharType="begin"/>
          </w:r>
          <w:r>
            <w:instrText xml:space="preserve"> PAGEREF _Toc3026 \h </w:instrText>
          </w:r>
          <w:r>
            <w:fldChar w:fldCharType="separate"/>
          </w:r>
          <w:r>
            <w:t>28</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_Toc25615 </w:instrText>
          </w:r>
          <w:r>
            <w:rPr>
              <w:rFonts w:ascii="宋体" w:hAnsi="宋体" w:eastAsia="宋体" w:cs="宋体"/>
              <w:bCs/>
              <w:spacing w:val="1"/>
              <w:w w:val="129"/>
              <w:szCs w:val="30"/>
              <w:lang w:eastAsia="zh-CN"/>
            </w:rPr>
            <w:fldChar w:fldCharType="separate"/>
          </w:r>
          <w:r>
            <w:rPr>
              <w:rFonts w:hint="default"/>
              <w:lang w:eastAsia="zh-CN"/>
            </w:rPr>
            <w:t xml:space="preserve">3.3. </w:t>
          </w:r>
          <w:r>
            <w:rPr>
              <w:rFonts w:hint="eastAsia"/>
              <w:lang w:eastAsia="zh-CN"/>
            </w:rPr>
            <w:t>使用手册与培训</w:t>
          </w:r>
          <w:r>
            <w:tab/>
          </w:r>
          <w:r>
            <w:fldChar w:fldCharType="begin"/>
          </w:r>
          <w:r>
            <w:instrText xml:space="preserve"> PAGEREF _Toc25615 \h </w:instrText>
          </w:r>
          <w:r>
            <w:fldChar w:fldCharType="separate"/>
          </w:r>
          <w:r>
            <w:t>29</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_Toc16953 </w:instrText>
          </w:r>
          <w:r>
            <w:rPr>
              <w:rFonts w:ascii="宋体" w:hAnsi="宋体" w:eastAsia="宋体" w:cs="宋体"/>
              <w:bCs/>
              <w:spacing w:val="1"/>
              <w:w w:val="129"/>
              <w:szCs w:val="30"/>
              <w:lang w:eastAsia="zh-CN"/>
            </w:rPr>
            <w:fldChar w:fldCharType="separate"/>
          </w:r>
          <w:r>
            <w:rPr>
              <w:rFonts w:hint="default"/>
              <w:lang w:eastAsia="zh-CN"/>
            </w:rPr>
            <w:t xml:space="preserve">3.4. </w:t>
          </w:r>
          <w:r>
            <w:rPr>
              <w:rFonts w:hint="eastAsia"/>
              <w:lang w:eastAsia="zh-CN"/>
            </w:rPr>
            <w:t>保密要求</w:t>
          </w:r>
          <w:r>
            <w:tab/>
          </w:r>
          <w:r>
            <w:fldChar w:fldCharType="begin"/>
          </w:r>
          <w:r>
            <w:instrText xml:space="preserve"> PAGEREF _Toc16953 \h </w:instrText>
          </w:r>
          <w:r>
            <w:fldChar w:fldCharType="separate"/>
          </w:r>
          <w:r>
            <w:t>29</w:t>
          </w:r>
          <w:r>
            <w:fldChar w:fldCharType="end"/>
          </w:r>
          <w:r>
            <w:rPr>
              <w:rFonts w:ascii="宋体" w:hAnsi="宋体" w:eastAsia="宋体" w:cs="宋体"/>
              <w:bCs/>
              <w:color w:val="auto"/>
              <w:spacing w:val="1"/>
              <w:w w:val="129"/>
              <w:szCs w:val="30"/>
              <w:lang w:eastAsia="zh-CN"/>
            </w:rPr>
            <w:fldChar w:fldCharType="end"/>
          </w:r>
        </w:p>
        <w:p>
          <w:pPr>
            <w:pStyle w:val="15"/>
            <w:tabs>
              <w:tab w:val="right" w:leader="dot" w:pos="8306"/>
            </w:tabs>
          </w:pPr>
          <w:r>
            <w:rPr>
              <w:rFonts w:ascii="宋体" w:hAnsi="宋体" w:eastAsia="宋体" w:cs="宋体"/>
              <w:bCs/>
              <w:color w:val="auto"/>
              <w:spacing w:val="1"/>
              <w:w w:val="129"/>
              <w:szCs w:val="30"/>
              <w:lang w:eastAsia="zh-CN"/>
            </w:rPr>
            <w:fldChar w:fldCharType="begin"/>
          </w:r>
          <w:r>
            <w:rPr>
              <w:rFonts w:ascii="宋体" w:hAnsi="宋体" w:eastAsia="宋体" w:cs="宋体"/>
              <w:bCs/>
              <w:spacing w:val="1"/>
              <w:w w:val="129"/>
              <w:szCs w:val="30"/>
              <w:lang w:eastAsia="zh-CN"/>
            </w:rPr>
            <w:instrText xml:space="preserve"> HYPERLINK \l _Toc1413 </w:instrText>
          </w:r>
          <w:r>
            <w:rPr>
              <w:rFonts w:ascii="宋体" w:hAnsi="宋体" w:eastAsia="宋体" w:cs="宋体"/>
              <w:bCs/>
              <w:spacing w:val="1"/>
              <w:w w:val="129"/>
              <w:szCs w:val="30"/>
              <w:lang w:eastAsia="zh-CN"/>
            </w:rPr>
            <w:fldChar w:fldCharType="separate"/>
          </w:r>
          <w:r>
            <w:rPr>
              <w:rFonts w:hint="default"/>
              <w:lang w:eastAsia="zh-CN"/>
            </w:rPr>
            <w:t xml:space="preserve">3.5. </w:t>
          </w:r>
          <w:r>
            <w:rPr>
              <w:rFonts w:hint="eastAsia"/>
              <w:lang w:eastAsia="zh-CN"/>
            </w:rPr>
            <w:t>其它</w:t>
          </w:r>
          <w:r>
            <w:tab/>
          </w:r>
          <w:r>
            <w:fldChar w:fldCharType="begin"/>
          </w:r>
          <w:r>
            <w:instrText xml:space="preserve"> PAGEREF _Toc1413 \h </w:instrText>
          </w:r>
          <w:r>
            <w:fldChar w:fldCharType="separate"/>
          </w:r>
          <w:r>
            <w:t>29</w:t>
          </w:r>
          <w:r>
            <w:fldChar w:fldCharType="end"/>
          </w:r>
          <w:r>
            <w:rPr>
              <w:rFonts w:ascii="宋体" w:hAnsi="宋体" w:eastAsia="宋体" w:cs="宋体"/>
              <w:bCs/>
              <w:color w:val="auto"/>
              <w:spacing w:val="1"/>
              <w:w w:val="129"/>
              <w:szCs w:val="30"/>
              <w:lang w:eastAsia="zh-CN"/>
            </w:rPr>
            <w:fldChar w:fldCharType="end"/>
          </w:r>
        </w:p>
        <w:p>
          <w:pPr>
            <w:keepNext w:val="0"/>
            <w:keepLines w:val="0"/>
            <w:pageBreakBefore w:val="0"/>
            <w:widowControl w:val="0"/>
            <w:kinsoku/>
            <w:wordWrap/>
            <w:overflowPunct/>
            <w:topLinePunct w:val="0"/>
            <w:autoSpaceDE/>
            <w:autoSpaceDN/>
            <w:bidi w:val="0"/>
            <w:adjustRightInd/>
            <w:snapToGrid/>
            <w:spacing w:after="0" w:line="20" w:lineRule="atLeast"/>
            <w:ind w:right="-20"/>
            <w:textAlignment w:val="auto"/>
            <w:rPr>
              <w:rFonts w:ascii="宋体" w:hAnsi="宋体" w:eastAsia="宋体" w:cs="宋体"/>
              <w:bCs/>
              <w:color w:val="auto"/>
              <w:spacing w:val="1"/>
              <w:w w:val="129"/>
              <w:sz w:val="22"/>
              <w:szCs w:val="30"/>
              <w:lang w:val="en-US" w:eastAsia="zh-CN" w:bidi="ar-SA"/>
            </w:rPr>
          </w:pPr>
          <w:r>
            <w:rPr>
              <w:rFonts w:ascii="宋体" w:hAnsi="宋体" w:eastAsia="宋体" w:cs="宋体"/>
              <w:bCs/>
              <w:color w:val="auto"/>
              <w:spacing w:val="1"/>
              <w:w w:val="129"/>
              <w:szCs w:val="30"/>
              <w:lang w:eastAsia="zh-CN"/>
            </w:rPr>
            <w:fldChar w:fldCharType="end"/>
          </w:r>
        </w:p>
      </w:sdtContent>
    </w:sdt>
    <w:p>
      <w:pPr>
        <w:spacing w:after="0" w:line="360" w:lineRule="auto"/>
        <w:ind w:right="-20"/>
        <w:rPr>
          <w:rFonts w:ascii="宋体" w:hAnsi="宋体" w:eastAsia="宋体" w:cs="宋体"/>
          <w:bCs/>
          <w:color w:val="auto"/>
          <w:spacing w:val="1"/>
          <w:w w:val="129"/>
          <w:sz w:val="22"/>
          <w:szCs w:val="30"/>
          <w:lang w:val="en-US" w:eastAsia="zh-CN" w:bidi="ar-SA"/>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pPr>
        <w:pStyle w:val="3"/>
        <w:bidi w:val="0"/>
        <w:ind w:left="432" w:leftChars="0" w:hanging="432" w:firstLineChars="0"/>
        <w:rPr>
          <w:rFonts w:hint="eastAsia"/>
          <w:color w:val="auto"/>
          <w:lang w:eastAsia="zh-CN"/>
        </w:rPr>
      </w:pPr>
      <w:bookmarkStart w:id="0" w:name="_Toc32248"/>
      <w:r>
        <w:rPr>
          <w:rFonts w:hint="eastAsia"/>
          <w:color w:val="auto"/>
          <w:lang w:eastAsia="zh-CN"/>
        </w:rPr>
        <w:t>总的部分</w:t>
      </w:r>
      <w:bookmarkEnd w:id="0"/>
    </w:p>
    <w:p>
      <w:pPr>
        <w:pStyle w:val="4"/>
        <w:bidi w:val="0"/>
        <w:ind w:left="575" w:leftChars="0" w:hanging="575" w:firstLineChars="0"/>
        <w:rPr>
          <w:rFonts w:hint="eastAsia"/>
          <w:color w:val="auto"/>
          <w:lang w:eastAsia="zh-CN"/>
        </w:rPr>
      </w:pPr>
      <w:bookmarkStart w:id="1" w:name="_Toc17707"/>
      <w:bookmarkStart w:id="2" w:name="_Toc27439"/>
      <w:r>
        <w:rPr>
          <w:rFonts w:hint="eastAsia"/>
          <w:color w:val="auto"/>
          <w:lang w:eastAsia="zh-CN"/>
        </w:rPr>
        <w:t>项目背景</w:t>
      </w:r>
      <w:bookmarkEnd w:id="1"/>
      <w:bookmarkEnd w:id="2"/>
    </w:p>
    <w:p>
      <w:pPr>
        <w:numPr>
          <w:ilvl w:val="0"/>
          <w:numId w:val="0"/>
        </w:numPr>
        <w:spacing w:after="0" w:line="360" w:lineRule="auto"/>
        <w:ind w:firstLine="480" w:firstLineChars="200"/>
        <w:rPr>
          <w:rFonts w:hint="eastAsia" w:ascii="宋体" w:hAnsi="宋体"/>
          <w:color w:val="auto"/>
          <w:sz w:val="24"/>
          <w:szCs w:val="24"/>
          <w:highlight w:val="none"/>
        </w:rPr>
      </w:pPr>
      <w:r>
        <w:rPr>
          <w:rFonts w:hint="eastAsia" w:ascii="宋体" w:hAnsi="宋体" w:eastAsia="宋体"/>
          <w:color w:val="auto"/>
          <w:sz w:val="24"/>
          <w:szCs w:val="24"/>
          <w:highlight w:val="none"/>
          <w:lang w:val="en-US" w:eastAsia="zh-CN"/>
        </w:rPr>
        <w:t>为解决海南电力产业发展有限责任公司所中标营配指挥中心等项目，需采购一批设备用于项目交付</w:t>
      </w:r>
      <w:r>
        <w:rPr>
          <w:rFonts w:hint="eastAsia" w:ascii="宋体" w:hAnsi="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本次项目</w:t>
      </w:r>
      <w:r>
        <w:rPr>
          <w:rFonts w:hint="eastAsia" w:ascii="宋体" w:hAnsi="宋体" w:eastAsia="宋体"/>
          <w:color w:val="auto"/>
          <w:sz w:val="24"/>
          <w:szCs w:val="24"/>
          <w:highlight w:val="none"/>
          <w:lang w:val="en-US" w:eastAsia="zh-CN"/>
        </w:rPr>
        <w:t>设备清单详见供货一览表。</w:t>
      </w:r>
    </w:p>
    <w:p>
      <w:pPr>
        <w:pStyle w:val="4"/>
        <w:bidi w:val="0"/>
        <w:ind w:left="575" w:leftChars="0" w:hanging="575" w:firstLineChars="0"/>
        <w:rPr>
          <w:color w:val="auto"/>
          <w:lang w:eastAsia="zh-CN"/>
        </w:rPr>
      </w:pPr>
      <w:bookmarkStart w:id="3" w:name="_Toc5956"/>
      <w:r>
        <w:rPr>
          <w:rFonts w:hint="eastAsia"/>
          <w:color w:val="auto"/>
          <w:lang w:eastAsia="zh-CN"/>
        </w:rPr>
        <w:t>供货一览表</w:t>
      </w:r>
      <w:bookmarkEnd w:id="3"/>
    </w:p>
    <w:tbl>
      <w:tblPr>
        <w:tblStyle w:val="18"/>
        <w:tblW w:w="4997" w:type="pct"/>
        <w:tblInd w:w="0"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Layout w:type="autofit"/>
        <w:tblCellMar>
          <w:top w:w="0" w:type="dxa"/>
          <w:left w:w="108" w:type="dxa"/>
          <w:bottom w:w="0" w:type="dxa"/>
          <w:right w:w="108" w:type="dxa"/>
        </w:tblCellMar>
      </w:tblPr>
      <w:tblGrid>
        <w:gridCol w:w="457"/>
        <w:gridCol w:w="1590"/>
        <w:gridCol w:w="4311"/>
        <w:gridCol w:w="595"/>
        <w:gridCol w:w="728"/>
        <w:gridCol w:w="836"/>
      </w:tblGrid>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序号</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设备名称</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规格参数</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单位</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数量</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b/>
                <w:bCs/>
                <w:i w:val="0"/>
                <w:iCs w:val="0"/>
                <w:color w:val="000000"/>
                <w:sz w:val="24"/>
                <w:szCs w:val="24"/>
                <w:u w:val="none"/>
              </w:rPr>
            </w:pPr>
            <w:r>
              <w:rPr>
                <w:rFonts w:hint="eastAsia" w:ascii="宋体" w:hAnsi="宋体" w:eastAsia="宋体" w:cs="宋体"/>
                <w:b/>
                <w:bCs/>
                <w:i w:val="0"/>
                <w:iCs w:val="0"/>
                <w:color w:val="000000"/>
                <w:kern w:val="0"/>
                <w:sz w:val="24"/>
                <w:szCs w:val="24"/>
                <w:u w:val="none"/>
                <w:lang w:val="en-US" w:eastAsia="zh-CN" w:bidi="ar"/>
              </w:rPr>
              <w:t>备注</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抗光幕布</w:t>
            </w:r>
          </w:p>
        </w:tc>
        <w:tc>
          <w:tcPr>
            <w:tcW w:w="1420" w:type="pct"/>
            <w:tcBorders>
              <w:tl2br w:val="nil"/>
              <w:tr2bl w:val="nil"/>
            </w:tcBorders>
            <w:shd w:val="clear" w:color="auto" w:fill="auto"/>
            <w:vAlign w:val="center"/>
          </w:tcPr>
          <w:p>
            <w:pPr>
              <w:numPr>
                <w:ilvl w:val="0"/>
                <w:numId w:val="0"/>
              </w:numPr>
              <w:spacing w:line="0" w:lineRule="atLeast"/>
              <w:jc w:val="both"/>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color w:val="auto"/>
                <w:sz w:val="24"/>
                <w:szCs w:val="24"/>
                <w:highlight w:val="none"/>
                <w:lang w:val="en-US" w:eastAsia="zh-CN" w:bidi="ar"/>
              </w:rPr>
              <w:t>布尺寸：≥180寸</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jc w:val="center"/>
              <w:rPr>
                <w:rFonts w:hint="default" w:ascii="宋体" w:hAnsi="宋体" w:eastAsia="宋体" w:cs="宋体"/>
                <w:i w:val="0"/>
                <w:iCs w:val="0"/>
                <w:color w:val="000000"/>
                <w:sz w:val="24"/>
                <w:szCs w:val="24"/>
                <w:u w:val="none"/>
                <w:lang w:val="en-US" w:eastAsia="zh-CN"/>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无线投屏器</w:t>
            </w:r>
          </w:p>
        </w:tc>
        <w:tc>
          <w:tcPr>
            <w:tcW w:w="1420" w:type="pct"/>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1.4K@30Hz 手机无线投屏器</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一键快投，横竖屏切换，无线距离可达10米</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2.输入：USB-C (5V/500mA)</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3.输出：HDMI，2.4/5GHz无线模块</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4.分辨率：4K@30Hz</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5.频段：2.4/5GHz</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6.尺寸：66(L)×66(W)×14.64(H)mm</w:t>
            </w:r>
          </w:p>
          <w:p>
            <w:pPr>
              <w:keepNext w:val="0"/>
              <w:keepLines w:val="0"/>
              <w:widowControl/>
              <w:suppressLineNumbers w:val="0"/>
              <w:jc w:val="both"/>
              <w:textAlignment w:val="center"/>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val="en-US" w:eastAsia="zh-CN" w:bidi="ar"/>
              </w:rPr>
              <w:t>7.配件：0.5米 HDMI线，1米 A-C线</w:t>
            </w:r>
          </w:p>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color w:val="auto"/>
                <w:sz w:val="24"/>
                <w:szCs w:val="24"/>
                <w:highlight w:val="none"/>
                <w:lang w:val="en-US" w:eastAsia="zh-CN" w:bidi="ar"/>
              </w:rPr>
              <w:t>8.包装：彩盒</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lang w:val="en-US" w:eastAsia="en-US" w:bidi="ar-SA"/>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异形监控台</w:t>
            </w:r>
          </w:p>
        </w:tc>
        <w:tc>
          <w:tcPr>
            <w:tcW w:w="1420" w:type="pct"/>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1．冷轧钢厚度≥0.8mm，气保焊；</w:t>
            </w:r>
            <w:bookmarkStart w:id="48" w:name="_GoBack"/>
          </w:p>
          <w:bookmarkEnd w:id="48"/>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2．总厚≥36mm，边缘铝型材封边；</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3．背部预留散热孔，台面后沿设毛刷拉铝过线槽（垂直入线不外露）；</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4．尺寸：约4800*800*780；</w:t>
            </w:r>
          </w:p>
          <w:p>
            <w:pPr>
              <w:keepNext w:val="0"/>
              <w:keepLines w:val="0"/>
              <w:widowControl/>
              <w:suppressLineNumbers w:val="0"/>
              <w:jc w:val="both"/>
              <w:textAlignment w:val="center"/>
              <w:rPr>
                <w:rFonts w:hint="default"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角度：坐席台面间夹角约为165°</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组</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2" w:type="pct"/>
            <w:tcBorders>
              <w:tl2br w:val="nil"/>
              <w:tr2bl w:val="nil"/>
            </w:tcBorders>
            <w:shd w:val="clear" w:color="auto" w:fill="auto"/>
            <w:vAlign w:val="center"/>
          </w:tcPr>
          <w:p>
            <w:pPr>
              <w:jc w:val="center"/>
              <w:rPr>
                <w:rFonts w:hint="default" w:ascii="宋体" w:hAnsi="宋体" w:eastAsia="宋体" w:cs="宋体"/>
                <w:i w:val="0"/>
                <w:iCs w:val="0"/>
                <w:color w:val="000000"/>
                <w:sz w:val="21"/>
                <w:szCs w:val="21"/>
                <w:u w:val="none"/>
                <w:lang w:val="en-US" w:eastAsia="zh-CN"/>
              </w:rPr>
            </w:pPr>
            <w:r>
              <w:rPr>
                <w:rFonts w:hint="eastAsia" w:ascii="宋体" w:hAnsi="宋体" w:eastAsia="宋体" w:cs="宋体"/>
                <w:i w:val="0"/>
                <w:iCs w:val="0"/>
                <w:color w:val="000000"/>
                <w:sz w:val="21"/>
                <w:szCs w:val="21"/>
                <w:u w:val="none"/>
                <w:lang w:val="en-US" w:eastAsia="zh-CN"/>
              </w:rPr>
              <w:t>根据甲方现场定制需要为准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配电柜</w:t>
            </w:r>
          </w:p>
        </w:tc>
        <w:tc>
          <w:tcPr>
            <w:tcW w:w="1420" w:type="pct"/>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1．配置不低于：功率10KW/1组；2路输出（1P)/手、自动（时控开关）控制/电源、运行指示灯。</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人体工学椅</w:t>
            </w:r>
          </w:p>
        </w:tc>
        <w:tc>
          <w:tcPr>
            <w:tcW w:w="1420" w:type="pct"/>
            <w:tcBorders>
              <w:tl2br w:val="nil"/>
              <w:tr2bl w:val="nil"/>
            </w:tcBorders>
            <w:shd w:val="clear" w:color="auto" w:fill="auto"/>
            <w:vAlign w:val="center"/>
          </w:tcPr>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 xml:space="preserve">                                                                            1.可升降旋转头枕；</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2.黑色或灰色全新进口特网；</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3.腰部符合人体公学顶腰设计、更加舒适；</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4.黑色3D活动扶手、带PU扶手面（前后，左右，旋转，升降）；</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5.座包一体成型定型海绵永不变形，透气网布；</w:t>
            </w:r>
          </w:p>
          <w:p>
            <w:pPr>
              <w:keepNext w:val="0"/>
              <w:keepLines w:val="0"/>
              <w:widowControl/>
              <w:suppressLineNumbers w:val="0"/>
              <w:jc w:val="both"/>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6.规格：560*680*1160</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文件柜（三门）</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国产定制</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7</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音箱线</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专业护套线：2*2.0</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m</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200</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8</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主席台</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国产定制</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rPr>
              <w:t>根据甲方现场定制需要为准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9</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成套办公桌椅</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1.桌子尺寸：1430*1430*1100</w:t>
            </w:r>
          </w:p>
          <w:p>
            <w:pPr>
              <w:keepNext w:val="0"/>
              <w:keepLines w:val="0"/>
              <w:widowControl/>
              <w:suppressLineNumbers w:val="0"/>
              <w:jc w:val="center"/>
              <w:textAlignment w:val="center"/>
              <w:rPr>
                <w:rFonts w:hint="eastAsia" w:ascii="宋体" w:hAnsi="宋体" w:eastAsia="宋体" w:cs="宋体"/>
                <w:i w:val="0"/>
                <w:iCs w:val="0"/>
                <w:color w:val="000000"/>
                <w:sz w:val="21"/>
                <w:szCs w:val="21"/>
                <w:highlight w:val="none"/>
                <w:u w:val="none"/>
                <w:lang w:val="en-US" w:eastAsia="zh-CN" w:bidi="ar-SA"/>
              </w:rPr>
            </w:pPr>
            <w:r>
              <w:rPr>
                <w:rFonts w:hint="eastAsia" w:ascii="宋体" w:hAnsi="宋体" w:eastAsia="宋体" w:cs="宋体"/>
                <w:i w:val="0"/>
                <w:iCs w:val="0"/>
                <w:color w:val="000000"/>
                <w:kern w:val="0"/>
                <w:sz w:val="21"/>
                <w:szCs w:val="21"/>
                <w:highlight w:val="none"/>
                <w:u w:val="none"/>
                <w:lang w:val="en-US" w:eastAsia="zh-CN" w:bidi="ar"/>
              </w:rPr>
              <w:t>2.椅子尺寸：615*550*1000</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2" w:type="pct"/>
            <w:tcBorders>
              <w:tl2br w:val="nil"/>
              <w:tr2bl w:val="nil"/>
            </w:tcBorders>
            <w:shd w:val="clear" w:color="auto" w:fill="auto"/>
            <w:vAlign w:val="center"/>
          </w:tcPr>
          <w:p>
            <w:pPr>
              <w:jc w:val="center"/>
              <w:rPr>
                <w:rFonts w:hint="eastAsia" w:ascii="宋体" w:hAnsi="宋体" w:eastAsia="宋体" w:cs="宋体"/>
                <w:i w:val="0"/>
                <w:iCs w:val="0"/>
                <w:color w:val="000000"/>
                <w:sz w:val="21"/>
                <w:szCs w:val="21"/>
                <w:u w:val="none"/>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10</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会议桌椅</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1.会议桌：材质：中纤板，白色亮光烤漆，规格：3600*1800*760</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2.椅子：面材靠背用高弹力网布，规格：975mm*640mm*640mm，面材：靠背用高弹力网布</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11</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研发办公桌椅</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国产定制</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根据甲方现场定制需要为准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12</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大班桌</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规格：1800*900*750</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13</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42U标准机柜</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1．尺寸：约600mm*600mm*2000mm</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；2．配置不少于：两风扇，3层隔板，1电源分配单元；</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14</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42U标准机柜</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1．尺寸：约600mm*800mm*2000mm；</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2．配置不少于：两风扇，3层隔板，1电源分配单元；</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15</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24口配线架</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国产/国标</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16</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理线架（24口）</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国产/国标</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5</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17</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PDU插线板</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技术参数：最大电流</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10A，额定电压250V，最大功率2500W，8位，1.8米</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只</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18</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电池架</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定制开放式电池架，支持4层单/双列自由组合，满足现场68节12V200Ah铅酸蓄电池，含电池架承重底座</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sz w:val="21"/>
                <w:szCs w:val="21"/>
                <w:u w:val="none"/>
                <w:lang w:val="en-US" w:eastAsia="zh-CN"/>
              </w:rPr>
              <w:t>根据甲方现场定制需要为准</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19</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电池开关汇流盒</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电池开关汇流盒，</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直流专用开关，不可用交流开关代替，要求同时配置单组开关及总开关160A/3P*3（2个电池组独立开关+总开关）</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汇流铜排</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20</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电池间连接线缆、铜排</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电池组内采用铜排连接30*3mm，</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跨层电池连接线BVR 1*35mm²</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载流量≥160A</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批</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21</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UPS与电池间连接线</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BVR 1*35mm²</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批</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40米</w:t>
            </w: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22</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综合配电柜</w:t>
            </w:r>
          </w:p>
        </w:tc>
        <w:tc>
          <w:tcPr>
            <w:tcW w:w="1420"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市电回路：</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200A/3P*1+125A/3P*3+32A/3P*3+20A/2P*3，防雷/浪涌</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highlight w:val="none"/>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UPS回路：</w:t>
            </w:r>
          </w:p>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highlight w:val="none"/>
                <w:u w:val="none"/>
                <w:lang w:val="en-US" w:eastAsia="zh-CN" w:bidi="ar"/>
              </w:rPr>
              <w:t>125A/3P*1+63A/3P*3+32A/3P*3+20A/2P*3，防雷/浪涌</w:t>
            </w:r>
          </w:p>
        </w:tc>
        <w:tc>
          <w:tcPr>
            <w:tcW w:w="571"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台</w:t>
            </w:r>
          </w:p>
        </w:tc>
        <w:tc>
          <w:tcPr>
            <w:tcW w:w="649"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w:t>
            </w:r>
          </w:p>
        </w:tc>
        <w:tc>
          <w:tcPr>
            <w:tcW w:w="712"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23</w:t>
            </w:r>
          </w:p>
        </w:tc>
        <w:tc>
          <w:tcPr>
            <w:tcW w:w="1188"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不锈钢防暴钢叉</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不锈钢,可伸缩，可拆卸，尺寸：收缩130cm，伸展205cm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24</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防暴棍</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材质：PP尺寸：Φ30mm×1600mm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把</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25</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PC透明盾牌</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材质：铝合金尺寸：90cm×50cm厚度：3mm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26</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防爆毯</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1、防爆毯尺寸：应不小于1600×1600（mm）</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2、抗暴性能应不低于82-2手榴弹</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27</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灭火毯</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尺寸：1m×1m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张</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28</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正压式空气消防呼吸器</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尺寸：700×300×480mm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29</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4kG手提式七氟丙烷灭火器洁净气体灭火器</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灭火剂：HFC-227ea净含量：4kg</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30</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个人防护装备（防暴头盔、防刺服、防割手套、强光手电筒、毛巾）</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防暴头盔：材质PC黑色</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防刺服：防护面积0.3㎡</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防割手套：材质防割PE纤维+不锈钢丝</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强光手电筒：LED3W</w:t>
            </w:r>
            <w:r>
              <w:rPr>
                <w:rFonts w:hint="eastAsia" w:ascii="宋体" w:hAnsi="宋体" w:eastAsia="宋体" w:cs="宋体"/>
                <w:i w:val="0"/>
                <w:iCs w:val="0"/>
                <w:color w:val="000000"/>
                <w:kern w:val="0"/>
                <w:sz w:val="21"/>
                <w:szCs w:val="21"/>
                <w:u w:val="none"/>
                <w:lang w:val="en-US" w:eastAsia="zh-CN" w:bidi="ar"/>
              </w:rPr>
              <w:br w:type="textWrapping"/>
            </w:r>
            <w:r>
              <w:rPr>
                <w:rFonts w:hint="eastAsia" w:ascii="宋体" w:hAnsi="宋体" w:eastAsia="宋体" w:cs="宋体"/>
                <w:i w:val="0"/>
                <w:iCs w:val="0"/>
                <w:color w:val="000000"/>
                <w:kern w:val="0"/>
                <w:sz w:val="21"/>
                <w:szCs w:val="21"/>
                <w:u w:val="none"/>
                <w:lang w:val="en-US" w:eastAsia="zh-CN" w:bidi="ar"/>
              </w:rPr>
              <w:t>毛巾：30×60mm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31</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急救包</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尺寸：240×180×90mm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32</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阻车钉</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default"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国产国标</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个</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60</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33</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通信器材（固定电话、对讲机等）</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频率范围：450-470MHz信道数：16</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套</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6</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r>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108" w:type="dxa"/>
            <w:bottom w:w="0" w:type="dxa"/>
            <w:right w:w="108" w:type="dxa"/>
          </w:tblCellMar>
        </w:tblPrEx>
        <w:trPr>
          <w:trHeight w:val="500" w:hRule="atLeast"/>
        </w:trPr>
        <w:tc>
          <w:tcPr>
            <w:tcW w:w="457"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yellow"/>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34</w:t>
            </w:r>
          </w:p>
        </w:tc>
        <w:tc>
          <w:tcPr>
            <w:tcW w:w="1188" w:type="pct"/>
            <w:tcBorders>
              <w:tl2br w:val="nil"/>
              <w:tr2bl w:val="nil"/>
            </w:tcBorders>
            <w:shd w:val="clear" w:color="auto" w:fill="auto"/>
            <w:vAlign w:val="center"/>
          </w:tcPr>
          <w:p>
            <w:pPr>
              <w:keepNext w:val="0"/>
              <w:keepLines w:val="0"/>
              <w:widowControl/>
              <w:suppressLineNumbers w:val="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安保放置柜</w:t>
            </w:r>
          </w:p>
        </w:tc>
        <w:tc>
          <w:tcPr>
            <w:tcW w:w="1420"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尺寸：1800×900×400mm</w:t>
            </w:r>
          </w:p>
        </w:tc>
        <w:tc>
          <w:tcPr>
            <w:tcW w:w="571"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面</w:t>
            </w:r>
          </w:p>
        </w:tc>
        <w:tc>
          <w:tcPr>
            <w:tcW w:w="649"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r>
              <w:rPr>
                <w:rFonts w:hint="eastAsia" w:ascii="宋体" w:hAnsi="宋体" w:eastAsia="宋体" w:cs="宋体"/>
                <w:i w:val="0"/>
                <w:iCs w:val="0"/>
                <w:color w:val="000000"/>
                <w:kern w:val="0"/>
                <w:sz w:val="21"/>
                <w:szCs w:val="21"/>
                <w:u w:val="none"/>
                <w:lang w:val="en-US" w:eastAsia="zh-CN" w:bidi="ar"/>
              </w:rPr>
              <w:t>3</w:t>
            </w:r>
          </w:p>
        </w:tc>
        <w:tc>
          <w:tcPr>
            <w:tcW w:w="712" w:type="pct"/>
            <w:tcBorders>
              <w:tl2br w:val="nil"/>
              <w:tr2bl w:val="nil"/>
            </w:tcBorders>
            <w:shd w:val="clear" w:color="auto" w:fill="auto"/>
            <w:vAlign w:val="center"/>
          </w:tcPr>
          <w:p>
            <w:pPr>
              <w:keepNext w:val="0"/>
              <w:keepLines w:val="0"/>
              <w:pageBreakBefore w:val="0"/>
              <w:widowControl/>
              <w:suppressLineNumbers w:val="0"/>
              <w:kinsoku/>
              <w:wordWrap/>
              <w:overflowPunct/>
              <w:topLinePunct w:val="0"/>
              <w:autoSpaceDE/>
              <w:autoSpaceDN/>
              <w:bidi w:val="0"/>
              <w:adjustRightInd/>
              <w:snapToGrid/>
              <w:spacing w:after="0"/>
              <w:jc w:val="center"/>
              <w:textAlignment w:val="center"/>
              <w:rPr>
                <w:rFonts w:hint="eastAsia" w:ascii="宋体" w:hAnsi="宋体" w:eastAsia="宋体" w:cs="宋体"/>
                <w:i w:val="0"/>
                <w:iCs w:val="0"/>
                <w:color w:val="000000"/>
                <w:kern w:val="0"/>
                <w:sz w:val="21"/>
                <w:szCs w:val="21"/>
                <w:u w:val="none"/>
                <w:lang w:val="en-US" w:eastAsia="zh-CN" w:bidi="ar"/>
              </w:rPr>
            </w:pPr>
          </w:p>
        </w:tc>
      </w:tr>
    </w:tbl>
    <w:p>
      <w:pPr>
        <w:keepNext w:val="0"/>
        <w:keepLines w:val="0"/>
        <w:pageBreakBefore w:val="0"/>
        <w:widowControl w:val="0"/>
        <w:kinsoku/>
        <w:wordWrap/>
        <w:overflowPunct/>
        <w:topLinePunct w:val="0"/>
        <w:autoSpaceDE/>
        <w:autoSpaceDN/>
        <w:bidi w:val="0"/>
        <w:adjustRightInd/>
        <w:snapToGrid/>
        <w:spacing w:after="0" w:line="240" w:lineRule="auto"/>
        <w:textAlignment w:val="auto"/>
        <w:rPr>
          <w:rFonts w:hint="eastAsia" w:ascii="宋体" w:hAnsi="宋体" w:eastAsia="宋体" w:cs="宋体"/>
          <w:color w:val="auto"/>
          <w:sz w:val="24"/>
          <w:szCs w:val="24"/>
          <w:lang w:eastAsia="zh-CN"/>
        </w:rPr>
      </w:pPr>
    </w:p>
    <w:p>
      <w:pPr>
        <w:pStyle w:val="2"/>
        <w:ind w:left="0" w:leftChars="0" w:firstLine="0" w:firstLineChars="0"/>
        <w:rPr>
          <w:lang w:eastAsia="zh-CN"/>
        </w:rPr>
      </w:pPr>
    </w:p>
    <w:p>
      <w:pPr>
        <w:pStyle w:val="4"/>
        <w:bidi w:val="0"/>
        <w:ind w:left="575" w:leftChars="0" w:hanging="575" w:firstLineChars="0"/>
        <w:rPr>
          <w:rFonts w:hint="eastAsia"/>
          <w:color w:val="auto"/>
          <w:lang w:eastAsia="zh-CN"/>
        </w:rPr>
      </w:pPr>
      <w:bookmarkStart w:id="4" w:name="_Toc427380953"/>
      <w:bookmarkStart w:id="5" w:name="_Toc124406421"/>
      <w:bookmarkStart w:id="6" w:name="_Toc518408403"/>
      <w:bookmarkStart w:id="7" w:name="_Toc411267588"/>
      <w:bookmarkStart w:id="8" w:name="_Toc427568148"/>
      <w:bookmarkStart w:id="9" w:name="_Toc22344"/>
      <w:bookmarkStart w:id="10" w:name="_Toc12919"/>
      <w:bookmarkStart w:id="11" w:name="_Toc407982394"/>
      <w:bookmarkStart w:id="12" w:name="_Toc407417359"/>
      <w:bookmarkStart w:id="13" w:name="_Toc411269793"/>
      <w:bookmarkStart w:id="14" w:name="_Toc523850205"/>
      <w:bookmarkStart w:id="15" w:name="_Toc240049345"/>
      <w:bookmarkStart w:id="16" w:name="_Toc407415872"/>
      <w:bookmarkStart w:id="17" w:name="_Toc16188"/>
      <w:bookmarkStart w:id="18" w:name="_Toc407415873"/>
      <w:bookmarkStart w:id="19" w:name="_Toc407417360"/>
      <w:bookmarkStart w:id="20" w:name="_Toc407982395"/>
      <w:bookmarkStart w:id="21" w:name="_Toc25805"/>
      <w:bookmarkStart w:id="22" w:name="_Toc964"/>
      <w:r>
        <w:rPr>
          <w:rFonts w:hint="eastAsia"/>
          <w:color w:val="auto"/>
          <w:lang w:eastAsia="zh-CN"/>
        </w:rPr>
        <w:t>产品报价范围</w:t>
      </w:r>
      <w:bookmarkEnd w:id="4"/>
      <w:bookmarkEnd w:id="5"/>
      <w:bookmarkEnd w:id="6"/>
      <w:bookmarkEnd w:id="7"/>
      <w:bookmarkEnd w:id="8"/>
      <w:bookmarkEnd w:id="9"/>
      <w:bookmarkEnd w:id="10"/>
      <w:bookmarkEnd w:id="11"/>
      <w:bookmarkEnd w:id="12"/>
      <w:bookmarkEnd w:id="13"/>
      <w:bookmarkEnd w:id="14"/>
      <w:bookmarkEnd w:id="15"/>
      <w:bookmarkEnd w:id="16"/>
      <w:bookmarkEnd w:id="17"/>
    </w:p>
    <w:p>
      <w:pPr>
        <w:pStyle w:val="22"/>
        <w:keepNext w:val="0"/>
        <w:keepLines w:val="0"/>
        <w:pageBreakBefore w:val="0"/>
        <w:widowControl w:val="0"/>
        <w:kinsoku/>
        <w:wordWrap/>
        <w:overflowPunct/>
        <w:topLinePunct w:val="0"/>
        <w:autoSpaceDE/>
        <w:autoSpaceDN/>
        <w:bidi w:val="0"/>
        <w:adjustRightInd w:val="0"/>
        <w:snapToGrid w:val="0"/>
        <w:spacing w:line="600" w:lineRule="exact"/>
        <w:textAlignment w:val="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★投标方报价中必须包括所供设备运达指定地点的运输费、卸车费。</w:t>
      </w:r>
    </w:p>
    <w:bookmarkEnd w:id="18"/>
    <w:bookmarkEnd w:id="19"/>
    <w:bookmarkEnd w:id="20"/>
    <w:p>
      <w:pPr>
        <w:pStyle w:val="4"/>
        <w:bidi w:val="0"/>
        <w:ind w:left="575" w:leftChars="0" w:hanging="575" w:firstLineChars="0"/>
        <w:rPr>
          <w:color w:val="auto"/>
          <w:lang w:eastAsia="zh-CN"/>
        </w:rPr>
      </w:pPr>
      <w:r>
        <w:rPr>
          <w:rFonts w:hint="eastAsia"/>
          <w:color w:val="auto"/>
          <w:lang w:eastAsia="zh-CN"/>
        </w:rPr>
        <w:t>投标须知</w:t>
      </w:r>
      <w:bookmarkEnd w:id="21"/>
      <w:bookmarkEnd w:id="22"/>
    </w:p>
    <w:p>
      <w:pPr>
        <w:spacing w:before="9" w:after="0" w:line="130" w:lineRule="exact"/>
        <w:rPr>
          <w:rFonts w:ascii="宋体" w:hAnsi="宋体" w:eastAsia="宋体" w:cs="宋体"/>
          <w:color w:val="auto"/>
          <w:sz w:val="13"/>
          <w:szCs w:val="13"/>
          <w:highlight w:val="none"/>
          <w:lang w:eastAsia="zh-CN"/>
        </w:rPr>
      </w:pP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技术规范书中提出的仅为最低限度的技术要求，并未对一切技术细节做出规定，也未充分引述有关标准和规范的条文，投标方应提供符合相关标准和本技术规范的产品。本技术规范所使用的标准如与国家、行业、电网公司以及投标方所执行的标准不一致时，按要求较高的标准执行；</w:t>
      </w:r>
    </w:p>
    <w:p>
      <w:pPr>
        <w:numPr>
          <w:ilvl w:val="0"/>
          <w:numId w:val="2"/>
        </w:numPr>
        <w:spacing w:after="0" w:line="360" w:lineRule="auto"/>
        <w:ind w:left="0" w:firstLine="482" w:firstLineChars="200"/>
        <w:rPr>
          <w:rFonts w:hint="eastAsia" w:ascii="宋体" w:hAnsi="宋体" w:eastAsia="宋体" w:cs="宋体"/>
          <w:b/>
          <w:bCs/>
          <w:color w:val="auto"/>
          <w:sz w:val="24"/>
          <w:szCs w:val="24"/>
          <w:highlight w:val="none"/>
          <w:lang w:eastAsia="zh-CN"/>
        </w:rPr>
      </w:pPr>
      <w:r>
        <w:rPr>
          <w:rFonts w:hint="eastAsia" w:ascii="宋体" w:hAnsi="宋体" w:eastAsia="宋体" w:cs="宋体"/>
          <w:b/>
          <w:bCs/>
          <w:color w:val="auto"/>
          <w:sz w:val="24"/>
          <w:szCs w:val="24"/>
          <w:highlight w:val="none"/>
          <w:lang w:eastAsia="zh-CN"/>
        </w:rPr>
        <w:t>本文件中的</w:t>
      </w:r>
      <w:r>
        <w:rPr>
          <w:rFonts w:hint="eastAsia" w:ascii="宋体" w:hAnsi="宋体" w:eastAsia="宋体" w:cs="宋体"/>
          <w:b/>
          <w:bCs/>
          <w:color w:val="auto"/>
          <w:sz w:val="24"/>
          <w:szCs w:val="24"/>
          <w:highlight w:val="none"/>
          <w:lang w:val="en-US" w:eastAsia="zh-CN"/>
        </w:rPr>
        <w:t>所有设备技术参数为招标方最低技术要求</w:t>
      </w:r>
      <w:r>
        <w:rPr>
          <w:rFonts w:hint="eastAsia" w:ascii="宋体" w:hAnsi="宋体" w:eastAsia="宋体" w:cs="宋体"/>
          <w:b/>
          <w:bCs/>
          <w:color w:val="auto"/>
          <w:sz w:val="24"/>
          <w:szCs w:val="24"/>
          <w:highlight w:val="none"/>
          <w:lang w:eastAsia="zh-CN"/>
        </w:rPr>
        <w:t>，为本次招标项目技术评审中的评分因素“技术参数优异性”的评分依据，投标方须</w:t>
      </w:r>
      <w:r>
        <w:rPr>
          <w:rFonts w:hint="eastAsia" w:ascii="宋体" w:hAnsi="宋体" w:eastAsia="宋体" w:cs="宋体"/>
          <w:b/>
          <w:bCs/>
          <w:color w:val="auto"/>
          <w:sz w:val="24"/>
          <w:szCs w:val="24"/>
          <w:highlight w:val="none"/>
          <w:lang w:val="en-US" w:eastAsia="zh-CN"/>
        </w:rPr>
        <w:t>做出点对点应答并</w:t>
      </w:r>
      <w:r>
        <w:rPr>
          <w:rFonts w:hint="eastAsia" w:ascii="宋体" w:hAnsi="宋体" w:eastAsia="宋体" w:cs="宋体"/>
          <w:b/>
          <w:bCs/>
          <w:color w:val="auto"/>
          <w:sz w:val="24"/>
          <w:szCs w:val="24"/>
          <w:highlight w:val="none"/>
          <w:lang w:eastAsia="zh-CN"/>
        </w:rPr>
        <w:t>满足，若不满足应当予以否决投标方技术文件；应答优于技术规范书的技术参数，投标人必须提供完备的佐证材料。</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方应仔细阅读包括本技术规范书在内的招标文件的所有条款，并根据技术规范书中的要求和范围进行技术方案的设计，其提供的设备的技术方案应满足招标文件所规定的所有要求。投标方也可推荐能满足招标文件要求的类似的或更优的产品和方案，但投标方必须详细标明技术差异。未在技术差异表中说明的条款意味着投标方认可其所提供的设备、产品及服务等的相应部分完全符合或高于本技术规范相应的要求，投标方中标后除非经过买方书面同意，否则不得以任何理由提供低于本技术规范要求的相应的设备、产品及服务等；</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对于应标硬件设备不具备或未达到相关要求的功能或性能，投标方在应答时须针对该项如实说明。投标方认为相关要求不合理的，应给出充分理由及合理的建议；投标方认为相关要求需要在现有产品基础上进一步实现或完善的，应给出实现相关技术要求的方案和进度计划；</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投标方提供的设备必须是标准的，技术上是成熟的；所有设备应是全新的，具有先进结构和一流工艺水平，并能在中国境内安全使用，符合环保要求；</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投标方应依据本技术规范的要求及推荐的技术方案提出详细的设备配置和报价清单；</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投标方的投标文件应以中文简体编写(原厂商的资料可为英文)，所有的计算、说明和图纸等均应采用国际单位。投标方应保证对本次招标的所有技术说明文件保密，在招标前和招标后不得向其他单位公布招标项目单位的有关材料；</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本技术规范书在内容或技术指标上如果存在错误(包括拼写、印刷错误)，投标方应及时提出要求招标方澄清，经招标方确认后对错误内容进行修正；</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针对本次招标的一切有效的书面通知、修改及补充，都是招标文件不可分割的部分，与招标文件具有同等法律效力；</w:t>
      </w:r>
    </w:p>
    <w:p>
      <w:pPr>
        <w:numPr>
          <w:ilvl w:val="0"/>
          <w:numId w:val="2"/>
        </w:numPr>
        <w:spacing w:after="0" w:line="360" w:lineRule="auto"/>
        <w:ind w:left="0" w:firstLine="480" w:firstLineChars="200"/>
        <w:rPr>
          <w:rFonts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技术规范书经买卖双方确认后作为合同的附件，与合同正文具有同等的法律效力。本技术规范书的未尽事宜，由买卖双方在合同技术谈判时协商确定，或以其它形式补充。</w:t>
      </w:r>
    </w:p>
    <w:p>
      <w:pPr>
        <w:pStyle w:val="4"/>
        <w:spacing w:before="156" w:after="156" w:line="600" w:lineRule="exact"/>
        <w:ind w:left="578" w:hanging="578"/>
        <w:rPr>
          <w:rFonts w:hint="eastAsia"/>
          <w:color w:val="auto"/>
          <w:highlight w:val="none"/>
        </w:rPr>
      </w:pPr>
      <w:bookmarkStart w:id="23" w:name="_Toc14021"/>
      <w:bookmarkStart w:id="24" w:name="_Toc28748"/>
      <w:bookmarkStart w:id="25" w:name="_Toc523850198"/>
      <w:bookmarkStart w:id="26" w:name="_Toc3485"/>
      <w:bookmarkStart w:id="27" w:name="_Toc124406414"/>
      <w:r>
        <w:rPr>
          <w:rFonts w:hint="eastAsia"/>
          <w:color w:val="auto"/>
          <w:highlight w:val="none"/>
          <w:lang w:val="en-US" w:eastAsia="zh-CN"/>
        </w:rPr>
        <w:t>进度</w:t>
      </w:r>
      <w:r>
        <w:rPr>
          <w:rFonts w:hint="eastAsia"/>
          <w:color w:val="auto"/>
          <w:highlight w:val="none"/>
        </w:rPr>
        <w:t>保证</w:t>
      </w:r>
      <w:bookmarkEnd w:id="23"/>
      <w:bookmarkEnd w:id="24"/>
      <w:bookmarkEnd w:id="25"/>
      <w:bookmarkEnd w:id="26"/>
      <w:bookmarkEnd w:id="27"/>
    </w:p>
    <w:p>
      <w:pPr>
        <w:numPr>
          <w:ilvl w:val="0"/>
          <w:numId w:val="0"/>
        </w:numPr>
        <w:spacing w:after="0" w:line="360" w:lineRule="auto"/>
        <w:ind w:left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技术规范书中标注为★的条款或参数，投标方必须满足。</w:t>
      </w:r>
    </w:p>
    <w:p>
      <w:pPr>
        <w:numPr>
          <w:ilvl w:val="0"/>
          <w:numId w:val="0"/>
        </w:numPr>
        <w:spacing w:after="0"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★在签订合同后，</w:t>
      </w:r>
      <w:r>
        <w:rPr>
          <w:rFonts w:hint="eastAsia" w:ascii="宋体" w:hAnsi="宋体" w:eastAsia="宋体" w:cs="宋体"/>
          <w:color w:val="auto"/>
          <w:sz w:val="24"/>
          <w:szCs w:val="24"/>
          <w:highlight w:val="none"/>
          <w:lang w:val="en-US" w:eastAsia="zh-CN"/>
        </w:rPr>
        <w:t>根据招标方首次备货要求，七日内按照不低于合同20%金额进行备货 ，备货后由招标方进行确认，确保关键物资满足24小时</w:t>
      </w:r>
      <w:r>
        <w:rPr>
          <w:rFonts w:hint="eastAsia" w:ascii="宋体" w:hAnsi="宋体" w:eastAsia="宋体" w:cs="宋体"/>
          <w:color w:val="auto"/>
          <w:sz w:val="24"/>
          <w:szCs w:val="24"/>
          <w:highlight w:val="none"/>
          <w:lang w:eastAsia="zh-CN"/>
        </w:rPr>
        <w:t>内到货</w:t>
      </w:r>
      <w:r>
        <w:rPr>
          <w:rFonts w:hint="eastAsia" w:ascii="宋体" w:hAnsi="宋体" w:eastAsia="宋体" w:cs="宋体"/>
          <w:color w:val="auto"/>
          <w:sz w:val="24"/>
          <w:szCs w:val="24"/>
          <w:highlight w:val="none"/>
          <w:lang w:val="en-US" w:eastAsia="zh-CN"/>
        </w:rPr>
        <w:t>要求</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含</w:t>
      </w:r>
      <w:r>
        <w:rPr>
          <w:rFonts w:hint="eastAsia" w:ascii="宋体" w:hAnsi="宋体" w:eastAsia="宋体" w:cs="宋体"/>
          <w:color w:val="auto"/>
          <w:sz w:val="24"/>
          <w:szCs w:val="24"/>
          <w:highlight w:val="none"/>
          <w:lang w:eastAsia="zh-CN"/>
        </w:rPr>
        <w:t>节假日），</w:t>
      </w:r>
      <w:r>
        <w:rPr>
          <w:rFonts w:hint="eastAsia" w:ascii="宋体" w:hAnsi="宋体" w:eastAsia="宋体" w:cs="宋体"/>
          <w:color w:val="auto"/>
          <w:sz w:val="24"/>
          <w:szCs w:val="24"/>
          <w:highlight w:val="none"/>
          <w:lang w:val="en-US" w:eastAsia="zh-CN"/>
        </w:rPr>
        <w:t>其他物资十五</w:t>
      </w:r>
      <w:r>
        <w:rPr>
          <w:rFonts w:hint="eastAsia" w:ascii="宋体" w:hAnsi="宋体" w:eastAsia="宋体" w:cs="宋体"/>
          <w:color w:val="auto"/>
          <w:sz w:val="24"/>
          <w:szCs w:val="24"/>
          <w:highlight w:val="none"/>
          <w:lang w:eastAsia="zh-CN"/>
        </w:rPr>
        <w:t>日内完成供货。</w:t>
      </w:r>
    </w:p>
    <w:p>
      <w:pPr>
        <w:numPr>
          <w:ilvl w:val="0"/>
          <w:numId w:val="0"/>
        </w:numPr>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为确保供货交付到招标方所需的工程现场，</w:t>
      </w:r>
      <w:r>
        <w:rPr>
          <w:rFonts w:hint="eastAsia" w:ascii="宋体" w:hAnsi="宋体" w:eastAsia="宋体" w:cs="宋体"/>
          <w:color w:val="auto"/>
          <w:sz w:val="24"/>
          <w:szCs w:val="24"/>
          <w:highlight w:val="none"/>
          <w:lang w:eastAsia="zh-CN"/>
        </w:rPr>
        <w:t>投标方</w:t>
      </w:r>
      <w:r>
        <w:rPr>
          <w:rFonts w:hint="eastAsia" w:ascii="宋体" w:hAnsi="宋体" w:eastAsia="宋体" w:cs="宋体"/>
          <w:color w:val="auto"/>
          <w:sz w:val="24"/>
          <w:szCs w:val="24"/>
          <w:highlight w:val="none"/>
          <w:lang w:val="en-US" w:eastAsia="zh-CN"/>
        </w:rPr>
        <w:t>需提供免费运输服务及卸货服务。</w:t>
      </w:r>
    </w:p>
    <w:p>
      <w:pPr>
        <w:numPr>
          <w:ilvl w:val="0"/>
          <w:numId w:val="0"/>
        </w:numPr>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中标方需在收到招标方订单合同完成签订之日起十五日内完成所有设备到货。</w:t>
      </w:r>
    </w:p>
    <w:p>
      <w:pPr>
        <w:numPr>
          <w:ilvl w:val="0"/>
          <w:numId w:val="0"/>
        </w:numPr>
        <w:spacing w:after="0"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订单合同签订后，中标方需在十五日内完成订单合同中清单里所有的设备到货，若无法在十五日内到货，每超期一日，按照订单签订合同价款1%支付违约费。</w:t>
      </w:r>
    </w:p>
    <w:p>
      <w:pPr>
        <w:numPr>
          <w:ilvl w:val="0"/>
          <w:numId w:val="0"/>
        </w:numPr>
        <w:spacing w:after="0" w:line="360" w:lineRule="auto"/>
        <w:ind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违约解除条款：在签订合同后，合同履约期间出现超期无法在十五日内送达，累计出现三次，招标方有权解除合同。</w:t>
      </w:r>
    </w:p>
    <w:p>
      <w:pPr>
        <w:pStyle w:val="22"/>
        <w:spacing w:line="600" w:lineRule="exact"/>
        <w:rPr>
          <w:rFonts w:hint="default"/>
          <w:color w:val="auto"/>
          <w:highlight w:val="none"/>
          <w:lang w:val="en-US" w:eastAsia="zh-CN"/>
        </w:rPr>
      </w:pPr>
    </w:p>
    <w:p>
      <w:pPr>
        <w:numPr>
          <w:ilvl w:val="0"/>
          <w:numId w:val="0"/>
        </w:numPr>
        <w:spacing w:after="0" w:line="360" w:lineRule="auto"/>
        <w:rPr>
          <w:rFonts w:ascii="宋体" w:hAnsi="宋体" w:eastAsia="宋体" w:cs="宋体"/>
          <w:color w:val="auto"/>
          <w:sz w:val="24"/>
          <w:szCs w:val="24"/>
          <w:highlight w:val="none"/>
          <w:lang w:eastAsia="zh-CN"/>
        </w:rPr>
      </w:pPr>
    </w:p>
    <w:p>
      <w:pPr>
        <w:spacing w:before="7" w:after="0" w:line="100" w:lineRule="exact"/>
        <w:rPr>
          <w:rFonts w:ascii="宋体" w:hAnsi="宋体" w:eastAsia="宋体" w:cs="宋体"/>
          <w:color w:val="auto"/>
          <w:sz w:val="10"/>
          <w:szCs w:val="10"/>
          <w:lang w:eastAsia="zh-CN"/>
        </w:rPr>
      </w:pPr>
    </w:p>
    <w:p>
      <w:pPr>
        <w:widowControl/>
        <w:spacing w:after="0" w:line="240" w:lineRule="auto"/>
        <w:rPr>
          <w:rFonts w:ascii="宋体" w:hAnsi="宋体" w:eastAsia="宋体" w:cs="宋体"/>
          <w:b/>
          <w:bCs/>
          <w:color w:val="auto"/>
          <w:spacing w:val="-1"/>
          <w:sz w:val="28"/>
          <w:szCs w:val="28"/>
          <w:lang w:eastAsia="zh-CN"/>
        </w:rPr>
      </w:pPr>
      <w:bookmarkStart w:id="28" w:name="_Toc4670"/>
      <w:r>
        <w:rPr>
          <w:rFonts w:ascii="宋体" w:hAnsi="宋体" w:eastAsia="宋体" w:cs="宋体"/>
          <w:b/>
          <w:bCs/>
          <w:color w:val="auto"/>
          <w:spacing w:val="-1"/>
          <w:sz w:val="28"/>
          <w:szCs w:val="28"/>
          <w:lang w:eastAsia="zh-CN"/>
        </w:rPr>
        <w:br w:type="page"/>
      </w:r>
    </w:p>
    <w:bookmarkEnd w:id="28"/>
    <w:p>
      <w:pPr>
        <w:pStyle w:val="4"/>
        <w:bidi w:val="0"/>
        <w:ind w:left="575" w:leftChars="0" w:hanging="575" w:firstLineChars="0"/>
        <w:rPr>
          <w:color w:val="auto"/>
          <w:lang w:eastAsia="zh-CN"/>
        </w:rPr>
      </w:pPr>
      <w:bookmarkStart w:id="29" w:name="_Toc15631"/>
      <w:r>
        <w:rPr>
          <w:rFonts w:hint="eastAsia"/>
          <w:color w:val="auto"/>
          <w:lang w:eastAsia="zh-CN"/>
        </w:rPr>
        <w:t>质保及售后服务</w:t>
      </w:r>
      <w:bookmarkEnd w:id="29"/>
    </w:p>
    <w:p>
      <w:pPr>
        <w:spacing w:after="0"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要求投标方对本项目提供</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年的总体质保。投标方提供的主要设备及材料需满足</w:t>
      </w: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lang w:eastAsia="zh-CN"/>
        </w:rPr>
        <w:t>年的质保，设备安装调试并通过验收运行后，进入质保期。</w:t>
      </w:r>
    </w:p>
    <w:p>
      <w:pPr>
        <w:spacing w:after="0"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质保期服务：在质保期内发现供货范围内的任何设备存在缺陷、设备出现故障或达不到标书所标明的技术指标时，投标方在接到通知后必须迅速赶到现场处理，招标方根据情况分析实属产品质量问题时，有权要求投标方为其免费更换设备，即投标方免费负责设备检修、零部件的更换和整机的更换。</w:t>
      </w:r>
    </w:p>
    <w:p>
      <w:pPr>
        <w:spacing w:after="0"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在质保期内如遇到设备发生大的故障，投标方接到招标方的通知后，应派专业技术人员2小时内响应，2小时内到达现场，协助招标方处理故障，并提交事故处理报告。</w:t>
      </w:r>
    </w:p>
    <w:p>
      <w:pPr>
        <w:numPr>
          <w:ilvl w:val="0"/>
          <w:numId w:val="3"/>
        </w:numPr>
        <w:spacing w:after="0" w:line="360" w:lineRule="auto"/>
        <w:ind w:left="0" w:firstLine="480" w:firstLineChars="200"/>
        <w:rPr>
          <w:rFonts w:ascii="宋体" w:hAnsi="宋体" w:eastAsia="宋体" w:cs="宋体"/>
          <w:color w:val="auto"/>
          <w:sz w:val="24"/>
          <w:szCs w:val="24"/>
        </w:rPr>
      </w:pPr>
      <w:r>
        <w:rPr>
          <w:rFonts w:hint="eastAsia" w:ascii="宋体" w:hAnsi="宋体" w:eastAsia="宋体" w:cs="宋体"/>
          <w:color w:val="auto"/>
          <w:sz w:val="24"/>
          <w:szCs w:val="24"/>
          <w:lang w:eastAsia="zh-CN"/>
        </w:rPr>
        <w:t>售后</w:t>
      </w:r>
      <w:r>
        <w:rPr>
          <w:rFonts w:hint="eastAsia" w:ascii="宋体" w:hAnsi="宋体" w:eastAsia="宋体" w:cs="宋体"/>
          <w:color w:val="auto"/>
          <w:sz w:val="24"/>
          <w:szCs w:val="24"/>
        </w:rPr>
        <w:t>服务内容</w:t>
      </w:r>
    </w:p>
    <w:p>
      <w:pPr>
        <w:spacing w:after="0" w:line="360" w:lineRule="auto"/>
        <w:ind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服务内容包括：</w:t>
      </w:r>
    </w:p>
    <w:p>
      <w:pPr>
        <w:numPr>
          <w:ilvl w:val="0"/>
          <w:numId w:val="4"/>
        </w:numPr>
        <w:spacing w:after="0" w:line="360" w:lineRule="auto"/>
        <w:ind w:left="0"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硬件产品出现故障后需进行更换或修复，同时在修复期间提供相应的备件供业主方使用；</w:t>
      </w:r>
    </w:p>
    <w:p>
      <w:pPr>
        <w:numPr>
          <w:ilvl w:val="0"/>
          <w:numId w:val="3"/>
        </w:numPr>
        <w:spacing w:after="0" w:line="360" w:lineRule="auto"/>
        <w:ind w:left="0" w:firstLine="480" w:firstLineChars="200"/>
        <w:rPr>
          <w:rFonts w:ascii="宋体" w:hAnsi="宋体" w:eastAsia="宋体" w:cs="宋体"/>
          <w:color w:val="auto"/>
          <w:sz w:val="24"/>
          <w:szCs w:val="24"/>
        </w:rPr>
      </w:pPr>
      <w:r>
        <w:rPr>
          <w:rFonts w:hint="eastAsia" w:ascii="宋体" w:hAnsi="宋体" w:eastAsia="宋体" w:cs="宋体"/>
          <w:color w:val="auto"/>
          <w:sz w:val="24"/>
          <w:szCs w:val="24"/>
        </w:rPr>
        <w:t>服务方式</w:t>
      </w:r>
    </w:p>
    <w:p>
      <w:pPr>
        <w:spacing w:after="0" w:line="360" w:lineRule="auto"/>
        <w:ind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要求提供多种服务方式，包括：</w:t>
      </w:r>
    </w:p>
    <w:p>
      <w:pPr>
        <w:numPr>
          <w:ilvl w:val="0"/>
          <w:numId w:val="5"/>
        </w:numPr>
        <w:spacing w:after="0" w:line="360" w:lineRule="auto"/>
        <w:ind w:left="0"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热线电话：提供7×24小时热线电话支持，随时解答设备使用过程中出现的问题；</w:t>
      </w:r>
    </w:p>
    <w:p>
      <w:pPr>
        <w:numPr>
          <w:ilvl w:val="0"/>
          <w:numId w:val="5"/>
        </w:numPr>
        <w:spacing w:after="0" w:line="360" w:lineRule="auto"/>
        <w:ind w:left="0"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WEB方式：提供电子邮件、文档下载等远程技术支持方式；</w:t>
      </w:r>
    </w:p>
    <w:p>
      <w:pPr>
        <w:numPr>
          <w:ilvl w:val="0"/>
          <w:numId w:val="5"/>
        </w:numPr>
        <w:spacing w:after="0" w:line="360" w:lineRule="auto"/>
        <w:ind w:left="0" w:firstLine="480" w:firstLineChars="200"/>
        <w:rPr>
          <w:rFonts w:ascii="宋体" w:hAnsi="宋体" w:eastAsia="宋体" w:cs="宋体"/>
          <w:color w:val="auto"/>
          <w:sz w:val="24"/>
          <w:szCs w:val="24"/>
          <w:lang w:eastAsia="zh-CN"/>
        </w:rPr>
      </w:pPr>
      <w:r>
        <w:rPr>
          <w:rFonts w:hint="eastAsia" w:ascii="宋体" w:hAnsi="宋体" w:eastAsia="宋体" w:cs="宋体"/>
          <w:color w:val="auto"/>
          <w:sz w:val="24"/>
          <w:szCs w:val="24"/>
          <w:lang w:eastAsia="zh-CN"/>
        </w:rPr>
        <w:t>现场服务：提供现场服务。</w:t>
      </w:r>
    </w:p>
    <w:p>
      <w:pPr>
        <w:numPr>
          <w:ilvl w:val="0"/>
          <w:numId w:val="3"/>
        </w:numPr>
        <w:spacing w:after="0" w:line="360" w:lineRule="auto"/>
        <w:ind w:left="0" w:firstLine="480" w:firstLineChars="200"/>
        <w:rPr>
          <w:rFonts w:ascii="宋体" w:hAnsi="宋体" w:eastAsia="宋体" w:cs="宋体"/>
          <w:color w:val="auto"/>
          <w:sz w:val="24"/>
          <w:szCs w:val="24"/>
        </w:rPr>
      </w:pPr>
      <w:bookmarkStart w:id="30" w:name="_Toc14353"/>
      <w:bookmarkStart w:id="31" w:name="_Toc3562"/>
      <w:bookmarkStart w:id="32" w:name="_Toc4944"/>
      <w:bookmarkStart w:id="33" w:name="_Toc8786"/>
      <w:r>
        <w:rPr>
          <w:rFonts w:hint="eastAsia" w:ascii="宋体" w:hAnsi="宋体" w:eastAsia="宋体" w:cs="宋体"/>
          <w:color w:val="auto"/>
          <w:sz w:val="24"/>
          <w:szCs w:val="24"/>
        </w:rPr>
        <w:t>响应时间</w:t>
      </w:r>
      <w:bookmarkEnd w:id="30"/>
      <w:bookmarkEnd w:id="31"/>
      <w:bookmarkEnd w:id="32"/>
      <w:bookmarkEnd w:id="33"/>
    </w:p>
    <w:p>
      <w:pPr>
        <w:spacing w:after="0" w:line="360" w:lineRule="auto"/>
        <w:ind w:firstLine="480" w:firstLineChars="200"/>
        <w:rPr>
          <w:rFonts w:ascii="宋体" w:hAnsi="宋体" w:eastAsia="宋体" w:cs="宋体"/>
          <w:b/>
          <w:bCs/>
          <w:color w:val="auto"/>
          <w:spacing w:val="2"/>
          <w:sz w:val="28"/>
          <w:szCs w:val="28"/>
          <w:lang w:eastAsia="zh-CN"/>
        </w:rPr>
      </w:pPr>
      <w:r>
        <w:rPr>
          <w:rFonts w:hint="eastAsia" w:ascii="宋体" w:hAnsi="宋体" w:eastAsia="宋体" w:cs="宋体"/>
          <w:color w:val="auto"/>
          <w:sz w:val="24"/>
          <w:szCs w:val="24"/>
          <w:lang w:eastAsia="zh-CN"/>
        </w:rPr>
        <w:t>要求电话响应时间≤1小时，邮件响应时间≤2小时，现场响应时间≤2小时，对于排障时间要求 24 小时内解决。</w:t>
      </w:r>
      <w:bookmarkStart w:id="34" w:name="_Toc341"/>
    </w:p>
    <w:p>
      <w:pPr>
        <w:widowControl/>
        <w:spacing w:after="0" w:line="240" w:lineRule="auto"/>
        <w:rPr>
          <w:rFonts w:ascii="宋体" w:hAnsi="宋体" w:eastAsia="宋体" w:cs="宋体"/>
          <w:b/>
          <w:bCs/>
          <w:color w:val="auto"/>
          <w:sz w:val="28"/>
          <w:szCs w:val="28"/>
          <w:lang w:eastAsia="zh-CN"/>
        </w:rPr>
      </w:pPr>
      <w:bookmarkStart w:id="35" w:name="_Toc23319"/>
      <w:r>
        <w:rPr>
          <w:rFonts w:ascii="宋体" w:hAnsi="宋体" w:eastAsia="宋体" w:cs="宋体"/>
          <w:b/>
          <w:bCs/>
          <w:color w:val="auto"/>
          <w:sz w:val="28"/>
          <w:szCs w:val="28"/>
          <w:lang w:eastAsia="zh-CN"/>
        </w:rPr>
        <w:br w:type="page"/>
      </w:r>
    </w:p>
    <w:bookmarkEnd w:id="34"/>
    <w:bookmarkEnd w:id="35"/>
    <w:p>
      <w:pPr>
        <w:pStyle w:val="3"/>
        <w:numPr>
          <w:ilvl w:val="0"/>
          <w:numId w:val="1"/>
        </w:numPr>
        <w:bidi w:val="0"/>
        <w:rPr>
          <w:color w:val="auto"/>
          <w:lang w:eastAsia="zh-CN"/>
        </w:rPr>
      </w:pPr>
      <w:bookmarkStart w:id="36" w:name="_Toc8415"/>
      <w:r>
        <w:rPr>
          <w:rFonts w:hint="eastAsia"/>
          <w:color w:val="auto"/>
          <w:lang w:eastAsia="zh-CN"/>
        </w:rPr>
        <w:t>其它</w:t>
      </w:r>
      <w:bookmarkEnd w:id="36"/>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本规范文件提出的是最低限度的要求，并未对所有技术细节作出规定，也未完全陈述与之有关的规范和标准。投标人应保证提供符合本招标文件和相关的国际、国内工业标准的优质产品及其相应服务。此外，必须执行国家有关安全、环保等强制性标准。</w:t>
      </w:r>
    </w:p>
    <w:p>
      <w:pPr>
        <w:pStyle w:val="3"/>
        <w:tabs>
          <w:tab w:val="left" w:pos="0"/>
        </w:tabs>
        <w:spacing w:before="156" w:after="156" w:line="600" w:lineRule="exact"/>
        <w:ind w:left="13" w:leftChars="-58" w:hanging="141" w:hangingChars="50"/>
        <w:rPr>
          <w:highlight w:val="none"/>
        </w:rPr>
      </w:pPr>
      <w:bookmarkStart w:id="37" w:name="_Toc27602"/>
      <w:bookmarkStart w:id="38" w:name="_Toc523850215"/>
      <w:bookmarkStart w:id="39" w:name="_Toc7829"/>
      <w:r>
        <w:rPr>
          <w:rFonts w:hint="eastAsia"/>
          <w:highlight w:val="none"/>
        </w:rPr>
        <w:t>测试及验收</w:t>
      </w:r>
      <w:bookmarkEnd w:id="37"/>
      <w:bookmarkEnd w:id="38"/>
      <w:bookmarkEnd w:id="39"/>
    </w:p>
    <w:p>
      <w:pPr>
        <w:pStyle w:val="4"/>
        <w:tabs>
          <w:tab w:val="left" w:pos="756"/>
        </w:tabs>
        <w:spacing w:before="156" w:after="156" w:line="600" w:lineRule="exact"/>
        <w:ind w:left="578" w:hanging="578"/>
        <w:rPr>
          <w:color w:val="auto"/>
          <w:highlight w:val="none"/>
        </w:rPr>
      </w:pPr>
      <w:bookmarkStart w:id="40" w:name="_Toc271893793"/>
      <w:bookmarkStart w:id="41" w:name="_Toc10509"/>
      <w:bookmarkStart w:id="42" w:name="_Toc10997"/>
      <w:bookmarkStart w:id="43" w:name="_Toc317236947"/>
      <w:bookmarkStart w:id="44" w:name="_Toc374"/>
      <w:bookmarkStart w:id="45" w:name="_Toc18001"/>
      <w:bookmarkStart w:id="46" w:name="_Toc523850216"/>
      <w:r>
        <w:rPr>
          <w:rFonts w:hint="eastAsia"/>
          <w:color w:val="auto"/>
          <w:highlight w:val="none"/>
        </w:rPr>
        <w:t>概述</w:t>
      </w:r>
      <w:bookmarkEnd w:id="40"/>
      <w:bookmarkEnd w:id="41"/>
      <w:bookmarkEnd w:id="42"/>
      <w:bookmarkEnd w:id="43"/>
      <w:bookmarkEnd w:id="44"/>
      <w:bookmarkEnd w:id="45"/>
      <w:bookmarkEnd w:id="46"/>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投标方提供的产品应根据招标方同意的程序进行检验和测试，并在投标书中给出参考的测试目的、内容，招标方保留根据投标方的承诺而监视试验的权利。</w:t>
      </w:r>
    </w:p>
    <w:p>
      <w:pPr>
        <w:spacing w:after="0" w:line="360" w:lineRule="auto"/>
        <w:ind w:firstLine="488" w:firstLineChars="200"/>
        <w:rPr>
          <w:rFonts w:hint="eastAsia" w:ascii="宋体" w:hAnsi="宋体" w:eastAsia="宋体" w:cs="宋体"/>
          <w:color w:val="auto"/>
          <w:spacing w:val="2"/>
          <w:sz w:val="24"/>
          <w:szCs w:val="24"/>
          <w:lang w:eastAsia="zh-CN"/>
        </w:rPr>
      </w:pPr>
      <w:r>
        <w:rPr>
          <w:rFonts w:hint="eastAsia" w:ascii="宋体" w:hAnsi="宋体" w:eastAsia="宋体" w:cs="宋体"/>
          <w:color w:val="auto"/>
          <w:spacing w:val="2"/>
          <w:sz w:val="24"/>
          <w:szCs w:val="24"/>
          <w:lang w:eastAsia="zh-CN"/>
        </w:rPr>
        <w:t>当产品部署后，如发现产品有缺陷或当安装完毕后按投标方的出厂试验报告数据进行现场测试时，发现指标达不到投标方提供的产品技术数据和招标方技术规范要求的技术性能时，</w:t>
      </w:r>
      <w:r>
        <w:rPr>
          <w:rFonts w:hint="eastAsia" w:ascii="宋体" w:hAnsi="宋体" w:eastAsia="宋体" w:cs="宋体"/>
          <w:color w:val="auto"/>
          <w:spacing w:val="2"/>
          <w:sz w:val="24"/>
          <w:szCs w:val="24"/>
          <w:lang w:val="en-US" w:eastAsia="zh-CN"/>
        </w:rPr>
        <w:t>中</w:t>
      </w:r>
      <w:r>
        <w:rPr>
          <w:rFonts w:hint="eastAsia" w:ascii="宋体" w:hAnsi="宋体" w:eastAsia="宋体" w:cs="宋体"/>
          <w:color w:val="auto"/>
          <w:spacing w:val="2"/>
          <w:sz w:val="24"/>
          <w:szCs w:val="24"/>
          <w:lang w:eastAsia="zh-CN"/>
        </w:rPr>
        <w:t>标方应免费为招标方更换，然后进行系统测试和验收。</w:t>
      </w:r>
    </w:p>
    <w:p>
      <w:pPr>
        <w:pStyle w:val="2"/>
        <w:ind w:left="0" w:leftChars="0" w:firstLine="0" w:firstLineChars="0"/>
        <w:rPr>
          <w:rFonts w:hint="eastAsia"/>
          <w:lang w:eastAsia="zh-CN"/>
        </w:rPr>
      </w:pPr>
    </w:p>
    <w:p>
      <w:pPr>
        <w:pStyle w:val="4"/>
        <w:tabs>
          <w:tab w:val="left" w:pos="756"/>
        </w:tabs>
        <w:spacing w:before="156" w:after="156" w:line="600" w:lineRule="exact"/>
        <w:ind w:left="578" w:hanging="578"/>
        <w:rPr>
          <w:color w:val="auto"/>
          <w:highlight w:val="none"/>
        </w:rPr>
      </w:pPr>
      <w:bookmarkStart w:id="47" w:name="_Toc10685"/>
      <w:r>
        <w:rPr>
          <w:rFonts w:hint="eastAsia"/>
          <w:color w:val="auto"/>
          <w:highlight w:val="none"/>
        </w:rPr>
        <w:t>到货验收</w:t>
      </w:r>
      <w:bookmarkEnd w:id="47"/>
    </w:p>
    <w:p>
      <w:pPr>
        <w:spacing w:after="0" w:line="360" w:lineRule="auto"/>
        <w:ind w:firstLine="488"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根据中标产品的技术规范要求和质量标准，对产品进行检查验收，对产品有异议，招标方有权当场拒收。如发现数量不足或有质量等问题，中标方负责按照招标方的要求采取补足、更换或退货等处理措施，并承担由此发生的一切损失和费用。</w:t>
      </w:r>
    </w:p>
    <w:p>
      <w:pPr>
        <w:spacing w:after="0" w:line="360" w:lineRule="auto"/>
        <w:ind w:firstLine="488" w:firstLineChars="200"/>
        <w:rPr>
          <w:rFonts w:hint="eastAsia" w:ascii="宋体" w:hAnsi="宋体" w:eastAsia="宋体" w:cs="宋体"/>
          <w:color w:val="auto"/>
          <w:spacing w:val="2"/>
          <w:sz w:val="24"/>
          <w:szCs w:val="24"/>
          <w:lang w:val="en-US" w:eastAsia="zh-CN"/>
        </w:rPr>
      </w:pPr>
      <w:r>
        <w:rPr>
          <w:rFonts w:hint="eastAsia" w:ascii="宋体" w:hAnsi="宋体" w:eastAsia="宋体" w:cs="宋体"/>
          <w:color w:val="auto"/>
          <w:spacing w:val="2"/>
          <w:sz w:val="24"/>
          <w:szCs w:val="24"/>
          <w:lang w:val="en-US" w:eastAsia="zh-CN"/>
        </w:rPr>
        <w:t>产品设备齐全，包装完整，经开箱检查后型号及规格与合同设备清单一致，设备检测工作正常后，视为到货验收合格。</w:t>
      </w:r>
    </w:p>
    <w:p>
      <w:pPr>
        <w:pStyle w:val="2"/>
        <w:ind w:left="0" w:leftChars="0" w:firstLine="0" w:firstLineChars="0"/>
      </w:pPr>
    </w:p>
    <w:sectPr>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start="1"/>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2"/>
    </w:pPr>
    <w:r>
      <w:rPr>
        <w:lang w:eastAsia="zh-CN"/>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
                          </w:pPr>
                          <w:r>
                            <w:fldChar w:fldCharType="begin"/>
                          </w:r>
                          <w:r>
                            <w:instrText xml:space="preserve"> PAGE  \* MERGEFORMAT </w:instrText>
                          </w:r>
                          <w:r>
                            <w:fldChar w:fldCharType="separate"/>
                          </w:r>
                          <w:r>
                            <w:t>6</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pPr>
                      <w:pStyle w:val="12"/>
                    </w:pPr>
                    <w:r>
                      <w:fldChar w:fldCharType="begin"/>
                    </w:r>
                    <w:r>
                      <w:instrText xml:space="preserve"> PAGE  \* MERGEFORMAT </w:instrText>
                    </w:r>
                    <w:r>
                      <w:fldChar w:fldCharType="separate"/>
                    </w:r>
                    <w:r>
                      <w:t>6</w:t>
                    </w:r>
                    <w:r>
                      <w:fldChar w:fldCharType="end"/>
                    </w:r>
                  </w:p>
                </w:txbxContent>
              </v:textbox>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F1C96C"/>
    <w:multiLevelType w:val="multilevel"/>
    <w:tmpl w:val="81F1C96C"/>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1">
    <w:nsid w:val="C0142760"/>
    <w:multiLevelType w:val="multilevel"/>
    <w:tmpl w:val="C0142760"/>
    <w:lvl w:ilvl="0" w:tentative="0">
      <w:start w:val="1"/>
      <w:numFmt w:val="decimal"/>
      <w:suff w:val="space"/>
      <w:lvlText w:val="（%1）"/>
      <w:lvlJc w:val="left"/>
      <w:pPr>
        <w:ind w:left="840" w:hanging="420"/>
      </w:pPr>
      <w:rPr>
        <w:rFonts w:hint="eastAsia"/>
      </w:rPr>
    </w:lvl>
    <w:lvl w:ilvl="1" w:tentative="0">
      <w:start w:val="1"/>
      <w:numFmt w:val="lowerLetter"/>
      <w:lvlText w:val="%2)"/>
      <w:lvlJc w:val="left"/>
      <w:pPr>
        <w:ind w:left="1260" w:hanging="420"/>
      </w:pPr>
    </w:lvl>
    <w:lvl w:ilvl="2" w:tentative="0">
      <w:start w:val="1"/>
      <w:numFmt w:val="lowerRoman"/>
      <w:lvlText w:val="%3."/>
      <w:lvlJc w:val="right"/>
      <w:pPr>
        <w:ind w:left="1680" w:hanging="420"/>
      </w:pPr>
    </w:lvl>
    <w:lvl w:ilvl="3" w:tentative="0">
      <w:start w:val="1"/>
      <w:numFmt w:val="decimal"/>
      <w:lvlText w:val="%4."/>
      <w:lvlJc w:val="left"/>
      <w:pPr>
        <w:ind w:left="2100" w:hanging="420"/>
      </w:pPr>
    </w:lvl>
    <w:lvl w:ilvl="4" w:tentative="0">
      <w:start w:val="1"/>
      <w:numFmt w:val="lowerLetter"/>
      <w:lvlText w:val="%5)"/>
      <w:lvlJc w:val="left"/>
      <w:pPr>
        <w:ind w:left="2520" w:hanging="420"/>
      </w:pPr>
    </w:lvl>
    <w:lvl w:ilvl="5" w:tentative="0">
      <w:start w:val="1"/>
      <w:numFmt w:val="lowerRoman"/>
      <w:lvlText w:val="%6."/>
      <w:lvlJc w:val="right"/>
      <w:pPr>
        <w:ind w:left="2940" w:hanging="420"/>
      </w:pPr>
    </w:lvl>
    <w:lvl w:ilvl="6" w:tentative="0">
      <w:start w:val="1"/>
      <w:numFmt w:val="decimal"/>
      <w:lvlText w:val="%7."/>
      <w:lvlJc w:val="left"/>
      <w:pPr>
        <w:ind w:left="3360" w:hanging="420"/>
      </w:pPr>
    </w:lvl>
    <w:lvl w:ilvl="7" w:tentative="0">
      <w:start w:val="1"/>
      <w:numFmt w:val="lowerLetter"/>
      <w:lvlText w:val="%8)"/>
      <w:lvlJc w:val="left"/>
      <w:pPr>
        <w:ind w:left="3780" w:hanging="420"/>
      </w:pPr>
    </w:lvl>
    <w:lvl w:ilvl="8" w:tentative="0">
      <w:start w:val="1"/>
      <w:numFmt w:val="lowerRoman"/>
      <w:lvlText w:val="%9."/>
      <w:lvlJc w:val="right"/>
      <w:pPr>
        <w:ind w:left="4200" w:hanging="420"/>
      </w:pPr>
    </w:lvl>
  </w:abstractNum>
  <w:abstractNum w:abstractNumId="2">
    <w:nsid w:val="DDFAAFBB"/>
    <w:multiLevelType w:val="singleLevel"/>
    <w:tmpl w:val="DDFAAFBB"/>
    <w:lvl w:ilvl="0" w:tentative="0">
      <w:start w:val="1"/>
      <w:numFmt w:val="decimal"/>
      <w:lvlText w:val="%1."/>
      <w:lvlJc w:val="left"/>
      <w:pPr>
        <w:ind w:left="425" w:hanging="425"/>
      </w:pPr>
      <w:rPr>
        <w:rFonts w:hint="default"/>
      </w:rPr>
    </w:lvl>
  </w:abstractNum>
  <w:abstractNum w:abstractNumId="3">
    <w:nsid w:val="70D19E47"/>
    <w:multiLevelType w:val="multilevel"/>
    <w:tmpl w:val="70D19E47"/>
    <w:lvl w:ilvl="0" w:tentative="0">
      <w:start w:val="1"/>
      <w:numFmt w:val="decimal"/>
      <w:pStyle w:val="3"/>
      <w:lvlText w:val="%1."/>
      <w:lvlJc w:val="left"/>
      <w:pPr>
        <w:ind w:left="432" w:hanging="432"/>
      </w:pPr>
      <w:rPr>
        <w:rFonts w:hint="default"/>
      </w:rPr>
    </w:lvl>
    <w:lvl w:ilvl="1" w:tentative="0">
      <w:start w:val="1"/>
      <w:numFmt w:val="decimal"/>
      <w:pStyle w:val="4"/>
      <w:lvlText w:val="%1.%2."/>
      <w:lvlJc w:val="left"/>
      <w:pPr>
        <w:ind w:left="575" w:hanging="575"/>
      </w:pPr>
      <w:rPr>
        <w:rFonts w:hint="default"/>
      </w:rPr>
    </w:lvl>
    <w:lvl w:ilvl="2" w:tentative="0">
      <w:start w:val="1"/>
      <w:numFmt w:val="decimal"/>
      <w:pStyle w:val="5"/>
      <w:suff w:val="space"/>
      <w:lvlText w:val="%1.%2.%3."/>
      <w:lvlJc w:val="left"/>
      <w:pPr>
        <w:ind w:left="720" w:hanging="720"/>
      </w:pPr>
      <w:rPr>
        <w:rFonts w:hint="default"/>
      </w:rPr>
    </w:lvl>
    <w:lvl w:ilvl="3" w:tentative="0">
      <w:start w:val="1"/>
      <w:numFmt w:val="decimal"/>
      <w:pStyle w:val="6"/>
      <w:suff w:val="nothing"/>
      <w:lvlText w:val="%1.%2.%3.%4."/>
      <w:lvlJc w:val="left"/>
      <w:pPr>
        <w:ind w:left="864" w:hanging="864"/>
      </w:pPr>
      <w:rPr>
        <w:rFonts w:hint="default"/>
      </w:rPr>
    </w:lvl>
    <w:lvl w:ilvl="4" w:tentative="0">
      <w:start w:val="1"/>
      <w:numFmt w:val="decimal"/>
      <w:lvlText w:val="%1.%2.%3.%4.%5."/>
      <w:lvlJc w:val="left"/>
      <w:pPr>
        <w:ind w:left="1008" w:hanging="1008"/>
      </w:pPr>
      <w:rPr>
        <w:rFonts w:hint="default"/>
      </w:rPr>
    </w:lvl>
    <w:lvl w:ilvl="5" w:tentative="0">
      <w:start w:val="1"/>
      <w:numFmt w:val="decimal"/>
      <w:lvlText w:val="%1.%2.%3.%4.%5.%6."/>
      <w:lvlJc w:val="left"/>
      <w:pPr>
        <w:ind w:left="1151" w:hanging="1151"/>
      </w:pPr>
      <w:rPr>
        <w:rFonts w:hint="default"/>
      </w:rPr>
    </w:lvl>
    <w:lvl w:ilvl="6" w:tentative="0">
      <w:start w:val="1"/>
      <w:numFmt w:val="decimal"/>
      <w:lvlText w:val="%1.%2.%3.%4.%5.%6.%7."/>
      <w:lvlJc w:val="left"/>
      <w:pPr>
        <w:ind w:left="1296" w:hanging="1296"/>
      </w:pPr>
      <w:rPr>
        <w:rFonts w:hint="default"/>
      </w:rPr>
    </w:lvl>
    <w:lvl w:ilvl="7" w:tentative="0">
      <w:start w:val="1"/>
      <w:numFmt w:val="decimal"/>
      <w:lvlText w:val="%1.%2.%3.%4.%5.%6.%7.%8."/>
      <w:lvlJc w:val="left"/>
      <w:pPr>
        <w:ind w:left="1440" w:hanging="1440"/>
      </w:pPr>
      <w:rPr>
        <w:rFonts w:hint="default"/>
      </w:rPr>
    </w:lvl>
    <w:lvl w:ilvl="8" w:tentative="0">
      <w:start w:val="1"/>
      <w:numFmt w:val="decimal"/>
      <w:lvlText w:val="%1.%2.%3.%4.%5.%6.%7.%8.%9."/>
      <w:lvlJc w:val="left"/>
      <w:pPr>
        <w:ind w:left="1583" w:hanging="1583"/>
      </w:pPr>
      <w:rPr>
        <w:rFonts w:hint="default"/>
      </w:rPr>
    </w:lvl>
  </w:abstractNum>
  <w:abstractNum w:abstractNumId="4">
    <w:nsid w:val="7B1B3977"/>
    <w:multiLevelType w:val="multilevel"/>
    <w:tmpl w:val="7B1B3977"/>
    <w:lvl w:ilvl="0" w:tentative="0">
      <w:start w:val="1"/>
      <w:numFmt w:val="decimal"/>
      <w:suff w:val="space"/>
      <w:lvlText w:val="%1."/>
      <w:lvlJc w:val="left"/>
      <w:pPr>
        <w:ind w:left="425" w:hanging="425"/>
      </w:pPr>
      <w:rPr>
        <w:rFonts w:hint="default"/>
      </w:rPr>
    </w:lvl>
    <w:lvl w:ilvl="1" w:tentative="0">
      <w:start w:val="1"/>
      <w:numFmt w:val="decimal"/>
      <w:suff w:val="space"/>
      <w:lvlText w:val="%1.%2."/>
      <w:lvlJc w:val="left"/>
      <w:pPr>
        <w:ind w:left="567" w:hanging="567"/>
      </w:pPr>
      <w:rPr>
        <w:rFonts w:hint="default"/>
      </w:rPr>
    </w:lvl>
    <w:lvl w:ilvl="2" w:tentative="0">
      <w:start w:val="1"/>
      <w:numFmt w:val="decimal"/>
      <w:suff w:val="space"/>
      <w:lvlText w:val="%1.%2.%3."/>
      <w:lvlJc w:val="left"/>
      <w:pPr>
        <w:ind w:left="709" w:hanging="709"/>
      </w:pPr>
      <w:rPr>
        <w:rFonts w:hint="default"/>
      </w:rPr>
    </w:lvl>
    <w:lvl w:ilvl="3" w:tentative="0">
      <w:start w:val="1"/>
      <w:numFmt w:val="decimal"/>
      <w:suff w:val="space"/>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TQwNjcwZmEyZDk3MjRmZDJjZGRhODg5ZmIxMGUxOWIifQ=="/>
  </w:docVars>
  <w:rsids>
    <w:rsidRoot w:val="00000000"/>
    <w:rsid w:val="001228AB"/>
    <w:rsid w:val="00272850"/>
    <w:rsid w:val="0038056C"/>
    <w:rsid w:val="00D1102F"/>
    <w:rsid w:val="00D73760"/>
    <w:rsid w:val="00DA22F4"/>
    <w:rsid w:val="01BB21E7"/>
    <w:rsid w:val="01F462C4"/>
    <w:rsid w:val="02051AE6"/>
    <w:rsid w:val="02AC5A72"/>
    <w:rsid w:val="02B726F0"/>
    <w:rsid w:val="02E071C6"/>
    <w:rsid w:val="02FE2771"/>
    <w:rsid w:val="0314091A"/>
    <w:rsid w:val="031E33B8"/>
    <w:rsid w:val="03642C85"/>
    <w:rsid w:val="04343DE2"/>
    <w:rsid w:val="043F0BEF"/>
    <w:rsid w:val="049A4077"/>
    <w:rsid w:val="04F320E3"/>
    <w:rsid w:val="04F73278"/>
    <w:rsid w:val="050B6856"/>
    <w:rsid w:val="05850883"/>
    <w:rsid w:val="058C1C12"/>
    <w:rsid w:val="05BB24F7"/>
    <w:rsid w:val="05EA20B2"/>
    <w:rsid w:val="05F964A2"/>
    <w:rsid w:val="061B2F96"/>
    <w:rsid w:val="062F3A3A"/>
    <w:rsid w:val="064055CE"/>
    <w:rsid w:val="06415BD5"/>
    <w:rsid w:val="06B156A8"/>
    <w:rsid w:val="06B33653"/>
    <w:rsid w:val="06B97816"/>
    <w:rsid w:val="06F56377"/>
    <w:rsid w:val="0731580B"/>
    <w:rsid w:val="073B2FFD"/>
    <w:rsid w:val="07480C4F"/>
    <w:rsid w:val="079C1EB4"/>
    <w:rsid w:val="083B668E"/>
    <w:rsid w:val="083F6977"/>
    <w:rsid w:val="08CA6CBB"/>
    <w:rsid w:val="09080889"/>
    <w:rsid w:val="09261B0E"/>
    <w:rsid w:val="09267C87"/>
    <w:rsid w:val="092F0220"/>
    <w:rsid w:val="093A3588"/>
    <w:rsid w:val="095B4567"/>
    <w:rsid w:val="09B23FE2"/>
    <w:rsid w:val="0A4725AB"/>
    <w:rsid w:val="0ABA2D7D"/>
    <w:rsid w:val="0ACE189B"/>
    <w:rsid w:val="0AE04232"/>
    <w:rsid w:val="0B20514C"/>
    <w:rsid w:val="0BF4099A"/>
    <w:rsid w:val="0C60135C"/>
    <w:rsid w:val="0CC41080"/>
    <w:rsid w:val="0D39327C"/>
    <w:rsid w:val="0D444BEE"/>
    <w:rsid w:val="0D814026"/>
    <w:rsid w:val="0D9941F9"/>
    <w:rsid w:val="0DB90694"/>
    <w:rsid w:val="0E4869BE"/>
    <w:rsid w:val="0E617CB9"/>
    <w:rsid w:val="0E636264"/>
    <w:rsid w:val="0E9D75E1"/>
    <w:rsid w:val="0ECB47FA"/>
    <w:rsid w:val="0F0D63D4"/>
    <w:rsid w:val="0F2C6214"/>
    <w:rsid w:val="0F5C7A3F"/>
    <w:rsid w:val="0FCB3577"/>
    <w:rsid w:val="0FDC42A7"/>
    <w:rsid w:val="0FDC6DAA"/>
    <w:rsid w:val="10272128"/>
    <w:rsid w:val="105834B3"/>
    <w:rsid w:val="106464FE"/>
    <w:rsid w:val="108D5222"/>
    <w:rsid w:val="10A5455F"/>
    <w:rsid w:val="10C07307"/>
    <w:rsid w:val="10D778E0"/>
    <w:rsid w:val="11414710"/>
    <w:rsid w:val="115A6918"/>
    <w:rsid w:val="11801201"/>
    <w:rsid w:val="11B938A8"/>
    <w:rsid w:val="11D44D9D"/>
    <w:rsid w:val="120451D4"/>
    <w:rsid w:val="120B18A7"/>
    <w:rsid w:val="12453AF7"/>
    <w:rsid w:val="12D85778"/>
    <w:rsid w:val="12E85A12"/>
    <w:rsid w:val="13110DD5"/>
    <w:rsid w:val="13326913"/>
    <w:rsid w:val="134E1F6E"/>
    <w:rsid w:val="13CF248D"/>
    <w:rsid w:val="146A4F99"/>
    <w:rsid w:val="14C0493E"/>
    <w:rsid w:val="14E02B1C"/>
    <w:rsid w:val="1507770D"/>
    <w:rsid w:val="15161464"/>
    <w:rsid w:val="152C33A6"/>
    <w:rsid w:val="15302525"/>
    <w:rsid w:val="154148ED"/>
    <w:rsid w:val="15863253"/>
    <w:rsid w:val="162C0C83"/>
    <w:rsid w:val="164C2D64"/>
    <w:rsid w:val="16702E8A"/>
    <w:rsid w:val="16815279"/>
    <w:rsid w:val="179B2922"/>
    <w:rsid w:val="17BB1176"/>
    <w:rsid w:val="17D65BAB"/>
    <w:rsid w:val="17E44EC0"/>
    <w:rsid w:val="184F676E"/>
    <w:rsid w:val="18895A8E"/>
    <w:rsid w:val="188E3A9B"/>
    <w:rsid w:val="18A60DE5"/>
    <w:rsid w:val="19192147"/>
    <w:rsid w:val="1A4B35E4"/>
    <w:rsid w:val="1A7B3BAB"/>
    <w:rsid w:val="1A903AFB"/>
    <w:rsid w:val="1A9C4299"/>
    <w:rsid w:val="1AC83294"/>
    <w:rsid w:val="1AD9749D"/>
    <w:rsid w:val="1B10101D"/>
    <w:rsid w:val="1B3A5814"/>
    <w:rsid w:val="1B636067"/>
    <w:rsid w:val="1B9E6666"/>
    <w:rsid w:val="1BEC70AB"/>
    <w:rsid w:val="1C1147C7"/>
    <w:rsid w:val="1C404465"/>
    <w:rsid w:val="1C420E24"/>
    <w:rsid w:val="1CB4486B"/>
    <w:rsid w:val="1DAD023F"/>
    <w:rsid w:val="1DDD721A"/>
    <w:rsid w:val="1E2A058F"/>
    <w:rsid w:val="1E3E64A9"/>
    <w:rsid w:val="1E5660C5"/>
    <w:rsid w:val="1EC01001"/>
    <w:rsid w:val="1F10520A"/>
    <w:rsid w:val="1FA37075"/>
    <w:rsid w:val="1FC102B2"/>
    <w:rsid w:val="201E74B3"/>
    <w:rsid w:val="202978EB"/>
    <w:rsid w:val="203D7274"/>
    <w:rsid w:val="2058589F"/>
    <w:rsid w:val="20D97901"/>
    <w:rsid w:val="213A588A"/>
    <w:rsid w:val="215F4DCD"/>
    <w:rsid w:val="21894F27"/>
    <w:rsid w:val="21A345BC"/>
    <w:rsid w:val="21DE0DD2"/>
    <w:rsid w:val="222F7A24"/>
    <w:rsid w:val="225F4807"/>
    <w:rsid w:val="23272DCD"/>
    <w:rsid w:val="233A33D9"/>
    <w:rsid w:val="23E81414"/>
    <w:rsid w:val="241B2DEB"/>
    <w:rsid w:val="2432177F"/>
    <w:rsid w:val="248150B6"/>
    <w:rsid w:val="24836BF3"/>
    <w:rsid w:val="24D37C07"/>
    <w:rsid w:val="251251DD"/>
    <w:rsid w:val="25392E9F"/>
    <w:rsid w:val="25565125"/>
    <w:rsid w:val="25D36F91"/>
    <w:rsid w:val="263C5266"/>
    <w:rsid w:val="26A05B8D"/>
    <w:rsid w:val="26A56238"/>
    <w:rsid w:val="26DE3F14"/>
    <w:rsid w:val="26E76D98"/>
    <w:rsid w:val="27000251"/>
    <w:rsid w:val="275A5024"/>
    <w:rsid w:val="276115AA"/>
    <w:rsid w:val="277D7855"/>
    <w:rsid w:val="27AB1C1C"/>
    <w:rsid w:val="27B4350B"/>
    <w:rsid w:val="2827226D"/>
    <w:rsid w:val="28493AA6"/>
    <w:rsid w:val="28606A11"/>
    <w:rsid w:val="28886E0E"/>
    <w:rsid w:val="28AB4A44"/>
    <w:rsid w:val="28C22C83"/>
    <w:rsid w:val="29606AF1"/>
    <w:rsid w:val="298638C2"/>
    <w:rsid w:val="29AE1DE3"/>
    <w:rsid w:val="2A665E1A"/>
    <w:rsid w:val="2ACE1AD5"/>
    <w:rsid w:val="2AD71E4C"/>
    <w:rsid w:val="2B334A2A"/>
    <w:rsid w:val="2B607608"/>
    <w:rsid w:val="2C8C70A2"/>
    <w:rsid w:val="2CB1781A"/>
    <w:rsid w:val="2D355CE0"/>
    <w:rsid w:val="2D7B7CF2"/>
    <w:rsid w:val="2D9E3CF6"/>
    <w:rsid w:val="2DB84DAF"/>
    <w:rsid w:val="2DD24E04"/>
    <w:rsid w:val="2E1B7727"/>
    <w:rsid w:val="2E1C51B6"/>
    <w:rsid w:val="2E9C0E80"/>
    <w:rsid w:val="2ECA65D4"/>
    <w:rsid w:val="2EDB49D5"/>
    <w:rsid w:val="2F0E473E"/>
    <w:rsid w:val="2F3E4E28"/>
    <w:rsid w:val="2F6A471E"/>
    <w:rsid w:val="2F724D99"/>
    <w:rsid w:val="30183CF7"/>
    <w:rsid w:val="301B4C7C"/>
    <w:rsid w:val="3042533E"/>
    <w:rsid w:val="30613E51"/>
    <w:rsid w:val="30C30B57"/>
    <w:rsid w:val="30F77FD8"/>
    <w:rsid w:val="31101099"/>
    <w:rsid w:val="31321010"/>
    <w:rsid w:val="315A1D85"/>
    <w:rsid w:val="316F5349"/>
    <w:rsid w:val="31A37EE5"/>
    <w:rsid w:val="326203B9"/>
    <w:rsid w:val="32E95D13"/>
    <w:rsid w:val="32FF7EB7"/>
    <w:rsid w:val="332E2F02"/>
    <w:rsid w:val="333B229A"/>
    <w:rsid w:val="337F48E1"/>
    <w:rsid w:val="33E47230"/>
    <w:rsid w:val="340772C6"/>
    <w:rsid w:val="34455B47"/>
    <w:rsid w:val="344714D3"/>
    <w:rsid w:val="344A2B14"/>
    <w:rsid w:val="34864C95"/>
    <w:rsid w:val="34CC172C"/>
    <w:rsid w:val="34CF66F0"/>
    <w:rsid w:val="350B60EB"/>
    <w:rsid w:val="357E757C"/>
    <w:rsid w:val="358C136B"/>
    <w:rsid w:val="365851A3"/>
    <w:rsid w:val="36657792"/>
    <w:rsid w:val="36BB3D77"/>
    <w:rsid w:val="372F0F16"/>
    <w:rsid w:val="38341B11"/>
    <w:rsid w:val="384F6DEF"/>
    <w:rsid w:val="38A4483B"/>
    <w:rsid w:val="38E73AEB"/>
    <w:rsid w:val="38EA4DB3"/>
    <w:rsid w:val="391536F1"/>
    <w:rsid w:val="39E331D2"/>
    <w:rsid w:val="39F74BA5"/>
    <w:rsid w:val="3A8D1F7C"/>
    <w:rsid w:val="3AD45894"/>
    <w:rsid w:val="3AE2425E"/>
    <w:rsid w:val="3B0E5C5E"/>
    <w:rsid w:val="3B250B17"/>
    <w:rsid w:val="3B4C09D6"/>
    <w:rsid w:val="3B6B7B2E"/>
    <w:rsid w:val="3B95464E"/>
    <w:rsid w:val="3BB6697B"/>
    <w:rsid w:val="3BEB34C4"/>
    <w:rsid w:val="3C0A6701"/>
    <w:rsid w:val="3C3D024F"/>
    <w:rsid w:val="3C6A5E0A"/>
    <w:rsid w:val="3D755B93"/>
    <w:rsid w:val="3DAE273F"/>
    <w:rsid w:val="3DBB3958"/>
    <w:rsid w:val="3E0E185F"/>
    <w:rsid w:val="3E3C48FD"/>
    <w:rsid w:val="3E52324D"/>
    <w:rsid w:val="3E5A3BC2"/>
    <w:rsid w:val="3E725C32"/>
    <w:rsid w:val="3E7F5015"/>
    <w:rsid w:val="3ECA6AD6"/>
    <w:rsid w:val="3ECE7AD9"/>
    <w:rsid w:val="3F007EF2"/>
    <w:rsid w:val="3F3441A5"/>
    <w:rsid w:val="3F63308A"/>
    <w:rsid w:val="3FA702E8"/>
    <w:rsid w:val="3FCC4884"/>
    <w:rsid w:val="3FEA1F2C"/>
    <w:rsid w:val="400718BA"/>
    <w:rsid w:val="40202543"/>
    <w:rsid w:val="402204A1"/>
    <w:rsid w:val="40411F10"/>
    <w:rsid w:val="405B6EA5"/>
    <w:rsid w:val="40622AB1"/>
    <w:rsid w:val="416C5E78"/>
    <w:rsid w:val="41757BDC"/>
    <w:rsid w:val="419A3FAE"/>
    <w:rsid w:val="41EA1493"/>
    <w:rsid w:val="426444C2"/>
    <w:rsid w:val="42783D2B"/>
    <w:rsid w:val="429A4B38"/>
    <w:rsid w:val="42CF46E4"/>
    <w:rsid w:val="42F205FF"/>
    <w:rsid w:val="430E2691"/>
    <w:rsid w:val="43507DFC"/>
    <w:rsid w:val="43835153"/>
    <w:rsid w:val="44A30F87"/>
    <w:rsid w:val="451C0B6B"/>
    <w:rsid w:val="453D4DFC"/>
    <w:rsid w:val="45947504"/>
    <w:rsid w:val="45DA468A"/>
    <w:rsid w:val="46FC2E01"/>
    <w:rsid w:val="479B7487"/>
    <w:rsid w:val="48B459D5"/>
    <w:rsid w:val="48FB0348"/>
    <w:rsid w:val="49326564"/>
    <w:rsid w:val="49496A9F"/>
    <w:rsid w:val="495D69A1"/>
    <w:rsid w:val="496D4BEE"/>
    <w:rsid w:val="496D4E83"/>
    <w:rsid w:val="49865D2D"/>
    <w:rsid w:val="499A554C"/>
    <w:rsid w:val="49A150AA"/>
    <w:rsid w:val="49A32D36"/>
    <w:rsid w:val="49DF11B1"/>
    <w:rsid w:val="49E6704C"/>
    <w:rsid w:val="4A437992"/>
    <w:rsid w:val="4AC57A4E"/>
    <w:rsid w:val="4AC72371"/>
    <w:rsid w:val="4ACB506E"/>
    <w:rsid w:val="4AD77C59"/>
    <w:rsid w:val="4AEE3FFB"/>
    <w:rsid w:val="4B1C1647"/>
    <w:rsid w:val="4C4C7C20"/>
    <w:rsid w:val="4CF41255"/>
    <w:rsid w:val="4D40134C"/>
    <w:rsid w:val="4D605FFE"/>
    <w:rsid w:val="4D7F33D7"/>
    <w:rsid w:val="4D7F4451"/>
    <w:rsid w:val="4D9B295F"/>
    <w:rsid w:val="4DDB6FF8"/>
    <w:rsid w:val="4E1C29D4"/>
    <w:rsid w:val="4E3605DF"/>
    <w:rsid w:val="4EA551A4"/>
    <w:rsid w:val="4EE60424"/>
    <w:rsid w:val="4F0444B0"/>
    <w:rsid w:val="4F1B0EDE"/>
    <w:rsid w:val="4F215A12"/>
    <w:rsid w:val="4F373A05"/>
    <w:rsid w:val="511E0023"/>
    <w:rsid w:val="51337FC8"/>
    <w:rsid w:val="514C786D"/>
    <w:rsid w:val="518C7E71"/>
    <w:rsid w:val="51B64D1E"/>
    <w:rsid w:val="51C770FB"/>
    <w:rsid w:val="51E11735"/>
    <w:rsid w:val="51F90505"/>
    <w:rsid w:val="521605BB"/>
    <w:rsid w:val="52470D8A"/>
    <w:rsid w:val="52714D59"/>
    <w:rsid w:val="52B626C2"/>
    <w:rsid w:val="53080E48"/>
    <w:rsid w:val="53635A2E"/>
    <w:rsid w:val="53852DC9"/>
    <w:rsid w:val="539C2622"/>
    <w:rsid w:val="53A54549"/>
    <w:rsid w:val="53E21E30"/>
    <w:rsid w:val="53F555CD"/>
    <w:rsid w:val="545509EE"/>
    <w:rsid w:val="54766E20"/>
    <w:rsid w:val="54836BEC"/>
    <w:rsid w:val="54CC71B0"/>
    <w:rsid w:val="55453A67"/>
    <w:rsid w:val="558C2939"/>
    <w:rsid w:val="559D089E"/>
    <w:rsid w:val="561B71B4"/>
    <w:rsid w:val="56226ADC"/>
    <w:rsid w:val="566B274A"/>
    <w:rsid w:val="56AB0FBE"/>
    <w:rsid w:val="56E4241D"/>
    <w:rsid w:val="578E53EB"/>
    <w:rsid w:val="579C1BCB"/>
    <w:rsid w:val="57BC0EE9"/>
    <w:rsid w:val="57E918BC"/>
    <w:rsid w:val="583400D5"/>
    <w:rsid w:val="58405511"/>
    <w:rsid w:val="585F4402"/>
    <w:rsid w:val="58B8581B"/>
    <w:rsid w:val="58D80B21"/>
    <w:rsid w:val="59181FD7"/>
    <w:rsid w:val="593A0373"/>
    <w:rsid w:val="597508A1"/>
    <w:rsid w:val="5A0F46DC"/>
    <w:rsid w:val="5AA15711"/>
    <w:rsid w:val="5AC24903"/>
    <w:rsid w:val="5AD3006C"/>
    <w:rsid w:val="5AED1A9E"/>
    <w:rsid w:val="5B0A2F3D"/>
    <w:rsid w:val="5B7B5B4F"/>
    <w:rsid w:val="5C311D40"/>
    <w:rsid w:val="5C4416C6"/>
    <w:rsid w:val="5C685E15"/>
    <w:rsid w:val="5C906CCE"/>
    <w:rsid w:val="5CAE3391"/>
    <w:rsid w:val="5CB647FF"/>
    <w:rsid w:val="5CE964FA"/>
    <w:rsid w:val="5CF4539B"/>
    <w:rsid w:val="5D192F00"/>
    <w:rsid w:val="5D1C1431"/>
    <w:rsid w:val="5D1E440A"/>
    <w:rsid w:val="5D3665F9"/>
    <w:rsid w:val="5D4D621E"/>
    <w:rsid w:val="5D4E6A06"/>
    <w:rsid w:val="5DBA0DD1"/>
    <w:rsid w:val="5E6261E1"/>
    <w:rsid w:val="5E82661B"/>
    <w:rsid w:val="5E9E18CC"/>
    <w:rsid w:val="5EB757F1"/>
    <w:rsid w:val="5F0A307C"/>
    <w:rsid w:val="5F23336D"/>
    <w:rsid w:val="5F3673C4"/>
    <w:rsid w:val="5F46765E"/>
    <w:rsid w:val="5F574813"/>
    <w:rsid w:val="5F5D2E4C"/>
    <w:rsid w:val="5F7408C2"/>
    <w:rsid w:val="5F8328B3"/>
    <w:rsid w:val="5F8F1018"/>
    <w:rsid w:val="5FD53A4A"/>
    <w:rsid w:val="5FDC1FC3"/>
    <w:rsid w:val="60160C30"/>
    <w:rsid w:val="60250E69"/>
    <w:rsid w:val="602A5424"/>
    <w:rsid w:val="606036A1"/>
    <w:rsid w:val="608D15AC"/>
    <w:rsid w:val="60F7140B"/>
    <w:rsid w:val="60FB0B6F"/>
    <w:rsid w:val="61454C97"/>
    <w:rsid w:val="620F67EC"/>
    <w:rsid w:val="62177F67"/>
    <w:rsid w:val="621C6FEF"/>
    <w:rsid w:val="6223201F"/>
    <w:rsid w:val="625D436D"/>
    <w:rsid w:val="626207F5"/>
    <w:rsid w:val="63035AB9"/>
    <w:rsid w:val="632D4A46"/>
    <w:rsid w:val="63462575"/>
    <w:rsid w:val="636D65D6"/>
    <w:rsid w:val="63DE1526"/>
    <w:rsid w:val="64184643"/>
    <w:rsid w:val="64373C6C"/>
    <w:rsid w:val="644F259F"/>
    <w:rsid w:val="649B3F3E"/>
    <w:rsid w:val="64B9579D"/>
    <w:rsid w:val="65605444"/>
    <w:rsid w:val="6571738A"/>
    <w:rsid w:val="66110D10"/>
    <w:rsid w:val="661F2C0A"/>
    <w:rsid w:val="66302AB4"/>
    <w:rsid w:val="666C2F5C"/>
    <w:rsid w:val="666C4E98"/>
    <w:rsid w:val="66A1591D"/>
    <w:rsid w:val="66BE2423"/>
    <w:rsid w:val="66CB2AFE"/>
    <w:rsid w:val="67301A87"/>
    <w:rsid w:val="673B646A"/>
    <w:rsid w:val="67544B35"/>
    <w:rsid w:val="67662B31"/>
    <w:rsid w:val="678F49DC"/>
    <w:rsid w:val="67A376E5"/>
    <w:rsid w:val="67AB0FFB"/>
    <w:rsid w:val="67BC6CEB"/>
    <w:rsid w:val="67C11F46"/>
    <w:rsid w:val="67E61027"/>
    <w:rsid w:val="67E97104"/>
    <w:rsid w:val="6861404E"/>
    <w:rsid w:val="69006D41"/>
    <w:rsid w:val="694C2397"/>
    <w:rsid w:val="69610D6B"/>
    <w:rsid w:val="69844254"/>
    <w:rsid w:val="698605AD"/>
    <w:rsid w:val="69E01F40"/>
    <w:rsid w:val="69FD6AD5"/>
    <w:rsid w:val="6A2E7726"/>
    <w:rsid w:val="6A941159"/>
    <w:rsid w:val="6AC41FD2"/>
    <w:rsid w:val="6ACC3C3E"/>
    <w:rsid w:val="6AE306AA"/>
    <w:rsid w:val="6B352872"/>
    <w:rsid w:val="6B441808"/>
    <w:rsid w:val="6C065149"/>
    <w:rsid w:val="6C814A92"/>
    <w:rsid w:val="6CB27040"/>
    <w:rsid w:val="6CCD5461"/>
    <w:rsid w:val="6D1234C8"/>
    <w:rsid w:val="6D23681A"/>
    <w:rsid w:val="6D324426"/>
    <w:rsid w:val="6D637604"/>
    <w:rsid w:val="6DC878D9"/>
    <w:rsid w:val="6DCA3B30"/>
    <w:rsid w:val="6E1D55A5"/>
    <w:rsid w:val="6E5D4C17"/>
    <w:rsid w:val="6EB34837"/>
    <w:rsid w:val="6EF03395"/>
    <w:rsid w:val="6EFB7D4E"/>
    <w:rsid w:val="6EFF1532"/>
    <w:rsid w:val="6F2A49F1"/>
    <w:rsid w:val="6F2B6BEF"/>
    <w:rsid w:val="6F5558EE"/>
    <w:rsid w:val="705666DD"/>
    <w:rsid w:val="705A23DD"/>
    <w:rsid w:val="70645311"/>
    <w:rsid w:val="70903082"/>
    <w:rsid w:val="71047AFA"/>
    <w:rsid w:val="713816C4"/>
    <w:rsid w:val="71597917"/>
    <w:rsid w:val="71F41601"/>
    <w:rsid w:val="722D2A5F"/>
    <w:rsid w:val="724F2AC9"/>
    <w:rsid w:val="735B56D0"/>
    <w:rsid w:val="73C93ADC"/>
    <w:rsid w:val="73FA42D5"/>
    <w:rsid w:val="743267B5"/>
    <w:rsid w:val="74464405"/>
    <w:rsid w:val="74904F21"/>
    <w:rsid w:val="752B3379"/>
    <w:rsid w:val="753D32F4"/>
    <w:rsid w:val="754F6E04"/>
    <w:rsid w:val="75543CE7"/>
    <w:rsid w:val="758F7694"/>
    <w:rsid w:val="759871F9"/>
    <w:rsid w:val="75B46B29"/>
    <w:rsid w:val="75D05D09"/>
    <w:rsid w:val="75E95CFE"/>
    <w:rsid w:val="765D7DD7"/>
    <w:rsid w:val="76680CF1"/>
    <w:rsid w:val="76803B70"/>
    <w:rsid w:val="76E75C21"/>
    <w:rsid w:val="77034864"/>
    <w:rsid w:val="771816DB"/>
    <w:rsid w:val="77862AE9"/>
    <w:rsid w:val="778D3715"/>
    <w:rsid w:val="77A02E51"/>
    <w:rsid w:val="77C178FC"/>
    <w:rsid w:val="77C46A63"/>
    <w:rsid w:val="77E138BA"/>
    <w:rsid w:val="77E3682C"/>
    <w:rsid w:val="77E40401"/>
    <w:rsid w:val="77E55B44"/>
    <w:rsid w:val="7852068B"/>
    <w:rsid w:val="78583717"/>
    <w:rsid w:val="785E36D3"/>
    <w:rsid w:val="78A82EF9"/>
    <w:rsid w:val="78CF5AC2"/>
    <w:rsid w:val="78D5544C"/>
    <w:rsid w:val="78DE6954"/>
    <w:rsid w:val="7923774A"/>
    <w:rsid w:val="7934773A"/>
    <w:rsid w:val="79481F08"/>
    <w:rsid w:val="79A1389B"/>
    <w:rsid w:val="79BD574A"/>
    <w:rsid w:val="7A0D5743"/>
    <w:rsid w:val="7A33538F"/>
    <w:rsid w:val="7A5213A8"/>
    <w:rsid w:val="7A9333D6"/>
    <w:rsid w:val="7A9A17C7"/>
    <w:rsid w:val="7AA30CA1"/>
    <w:rsid w:val="7B361733"/>
    <w:rsid w:val="7B386719"/>
    <w:rsid w:val="7B5551A9"/>
    <w:rsid w:val="7B62387C"/>
    <w:rsid w:val="7B822664"/>
    <w:rsid w:val="7B8C15B1"/>
    <w:rsid w:val="7BA50CDA"/>
    <w:rsid w:val="7BC84478"/>
    <w:rsid w:val="7C1E59E5"/>
    <w:rsid w:val="7C547659"/>
    <w:rsid w:val="7CED2D61"/>
    <w:rsid w:val="7D225061"/>
    <w:rsid w:val="7D6E1CFA"/>
    <w:rsid w:val="7D8612A3"/>
    <w:rsid w:val="7DA53E25"/>
    <w:rsid w:val="7DC425BD"/>
    <w:rsid w:val="7E6A5604"/>
    <w:rsid w:val="7EA36676"/>
    <w:rsid w:val="7EAC11D2"/>
    <w:rsid w:val="7F271B7E"/>
    <w:rsid w:val="7F376DBE"/>
    <w:rsid w:val="7FA0594C"/>
    <w:rsid w:val="7FC066BC"/>
    <w:rsid w:val="7FF671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qFormat="1" w:uiPriority="99"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99"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after="200" w:line="276" w:lineRule="auto"/>
    </w:pPr>
    <w:rPr>
      <w:rFonts w:asciiTheme="minorHAnsi" w:hAnsiTheme="minorHAnsi" w:eastAsiaTheme="minorHAnsi" w:cstheme="minorBidi"/>
      <w:sz w:val="22"/>
      <w:szCs w:val="22"/>
      <w:lang w:val="en-US" w:eastAsia="en-US" w:bidi="ar-SA"/>
    </w:rPr>
  </w:style>
  <w:style w:type="paragraph" w:styleId="3">
    <w:name w:val="heading 1"/>
    <w:basedOn w:val="1"/>
    <w:next w:val="1"/>
    <w:qFormat/>
    <w:uiPriority w:val="0"/>
    <w:pPr>
      <w:keepNext/>
      <w:keepLines/>
      <w:numPr>
        <w:ilvl w:val="0"/>
        <w:numId w:val="1"/>
      </w:numPr>
      <w:spacing w:beforeLines="0" w:after="0" w:afterLines="0" w:line="360" w:lineRule="auto"/>
      <w:ind w:left="432" w:hanging="432"/>
      <w:outlineLvl w:val="0"/>
    </w:pPr>
    <w:rPr>
      <w:rFonts w:ascii="宋体" w:hAnsi="宋体" w:eastAsia="宋体" w:cs="宋体"/>
      <w:b/>
      <w:kern w:val="44"/>
      <w:sz w:val="28"/>
      <w:szCs w:val="28"/>
      <w:lang w:eastAsia="zh-CN"/>
    </w:rPr>
  </w:style>
  <w:style w:type="paragraph" w:styleId="4">
    <w:name w:val="heading 2"/>
    <w:basedOn w:val="1"/>
    <w:next w:val="1"/>
    <w:unhideWhenUsed/>
    <w:qFormat/>
    <w:uiPriority w:val="0"/>
    <w:pPr>
      <w:keepNext/>
      <w:keepLines/>
      <w:numPr>
        <w:ilvl w:val="1"/>
        <w:numId w:val="1"/>
      </w:numPr>
      <w:spacing w:beforeLines="0" w:after="0" w:afterLines="0" w:line="360" w:lineRule="auto"/>
      <w:ind w:left="575" w:hanging="575"/>
      <w:outlineLvl w:val="1"/>
    </w:pPr>
    <w:rPr>
      <w:rFonts w:ascii="宋体" w:hAnsi="宋体" w:eastAsia="宋体" w:cs="宋体"/>
      <w:b/>
      <w:sz w:val="28"/>
      <w:szCs w:val="28"/>
      <w:lang w:eastAsia="zh-CN"/>
    </w:rPr>
  </w:style>
  <w:style w:type="paragraph" w:styleId="5">
    <w:name w:val="heading 3"/>
    <w:basedOn w:val="1"/>
    <w:next w:val="1"/>
    <w:unhideWhenUsed/>
    <w:qFormat/>
    <w:uiPriority w:val="0"/>
    <w:pPr>
      <w:keepNext/>
      <w:keepLines/>
      <w:numPr>
        <w:ilvl w:val="2"/>
        <w:numId w:val="1"/>
      </w:numPr>
      <w:tabs>
        <w:tab w:val="left" w:pos="0"/>
      </w:tabs>
      <w:spacing w:after="0" w:line="360" w:lineRule="auto"/>
      <w:ind w:left="720" w:hanging="720"/>
      <w:outlineLvl w:val="2"/>
    </w:pPr>
    <w:rPr>
      <w:rFonts w:ascii="宋体" w:hAnsi="宋体" w:eastAsia="宋体" w:cs="宋体"/>
      <w:b/>
      <w:sz w:val="28"/>
      <w:szCs w:val="24"/>
      <w:lang w:eastAsia="zh-CN"/>
    </w:rPr>
  </w:style>
  <w:style w:type="paragraph" w:styleId="6">
    <w:name w:val="heading 4"/>
    <w:basedOn w:val="1"/>
    <w:next w:val="1"/>
    <w:unhideWhenUsed/>
    <w:qFormat/>
    <w:uiPriority w:val="0"/>
    <w:pPr>
      <w:keepNext/>
      <w:keepLines/>
      <w:numPr>
        <w:ilvl w:val="3"/>
        <w:numId w:val="1"/>
      </w:numPr>
      <w:spacing w:beforeLines="0" w:after="0" w:afterLines="0" w:line="360" w:lineRule="auto"/>
      <w:ind w:left="864" w:hanging="864"/>
      <w:outlineLvl w:val="3"/>
    </w:pPr>
    <w:rPr>
      <w:rFonts w:ascii="宋体" w:hAnsi="宋体" w:eastAsia="宋体" w:cs="宋体"/>
      <w:b/>
      <w:sz w:val="28"/>
      <w:lang w:eastAsia="zh-CN"/>
    </w:rPr>
  </w:style>
  <w:style w:type="paragraph" w:styleId="7">
    <w:name w:val="heading 5"/>
    <w:basedOn w:val="1"/>
    <w:next w:val="1"/>
    <w:semiHidden/>
    <w:unhideWhenUsed/>
    <w:qFormat/>
    <w:uiPriority w:val="0"/>
    <w:pPr>
      <w:keepNext/>
      <w:keepLines/>
      <w:spacing w:before="280" w:beforeLines="0" w:beforeAutospacing="0" w:after="290" w:afterLines="0" w:afterAutospacing="0" w:line="372" w:lineRule="auto"/>
      <w:outlineLvl w:val="4"/>
    </w:pPr>
    <w:rPr>
      <w:b/>
      <w:sz w:val="28"/>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customStyle="1" w:styleId="2">
    <w:name w:val="正文-公1"/>
    <w:basedOn w:val="1"/>
    <w:qFormat/>
    <w:uiPriority w:val="0"/>
    <w:pPr>
      <w:ind w:firstLine="200" w:firstLineChars="200"/>
    </w:pPr>
    <w:rPr>
      <w:rFonts w:ascii="Calibri" w:hAnsi="Calibri" w:eastAsia="宋体" w:cs="Calibri"/>
      <w:color w:val="000000"/>
      <w:szCs w:val="21"/>
    </w:rPr>
  </w:style>
  <w:style w:type="paragraph" w:styleId="8">
    <w:name w:val="caption"/>
    <w:basedOn w:val="1"/>
    <w:next w:val="1"/>
    <w:qFormat/>
    <w:uiPriority w:val="99"/>
    <w:rPr>
      <w:rFonts w:ascii="宋体" w:hAnsi="Arial" w:cs="Arial"/>
      <w:sz w:val="28"/>
      <w:szCs w:val="20"/>
    </w:rPr>
  </w:style>
  <w:style w:type="paragraph" w:styleId="9">
    <w:name w:val="annotation text"/>
    <w:basedOn w:val="1"/>
    <w:qFormat/>
    <w:uiPriority w:val="0"/>
    <w:pPr>
      <w:jc w:val="left"/>
    </w:pPr>
  </w:style>
  <w:style w:type="paragraph" w:styleId="10">
    <w:name w:val="Body Text"/>
    <w:basedOn w:val="1"/>
    <w:next w:val="1"/>
    <w:qFormat/>
    <w:uiPriority w:val="0"/>
    <w:pPr>
      <w:spacing w:after="120"/>
    </w:pPr>
    <w:rPr>
      <w:kern w:val="0"/>
      <w:sz w:val="20"/>
      <w:szCs w:val="24"/>
    </w:rPr>
  </w:style>
  <w:style w:type="paragraph" w:styleId="11">
    <w:name w:val="toc 3"/>
    <w:basedOn w:val="1"/>
    <w:next w:val="1"/>
    <w:qFormat/>
    <w:uiPriority w:val="39"/>
    <w:pPr>
      <w:ind w:left="840" w:leftChars="400"/>
    </w:pPr>
    <w:rPr>
      <w:rFonts w:asciiTheme="minorAscii" w:hAnsiTheme="minorAscii" w:eastAsiaTheme="minorEastAsia"/>
    </w:rPr>
  </w:style>
  <w:style w:type="paragraph" w:styleId="12">
    <w:name w:val="footer"/>
    <w:basedOn w:val="1"/>
    <w:qFormat/>
    <w:uiPriority w:val="0"/>
    <w:pPr>
      <w:tabs>
        <w:tab w:val="center" w:pos="4153"/>
        <w:tab w:val="right" w:pos="8306"/>
      </w:tabs>
      <w:snapToGrid w:val="0"/>
    </w:pPr>
    <w:rPr>
      <w:sz w:val="18"/>
    </w:rPr>
  </w:style>
  <w:style w:type="paragraph" w:styleId="1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4">
    <w:name w:val="toc 1"/>
    <w:basedOn w:val="1"/>
    <w:next w:val="1"/>
    <w:qFormat/>
    <w:uiPriority w:val="39"/>
    <w:rPr>
      <w:rFonts w:eastAsia="宋体" w:asciiTheme="minorAscii" w:hAnsiTheme="minorAscii"/>
    </w:rPr>
  </w:style>
  <w:style w:type="paragraph" w:styleId="15">
    <w:name w:val="toc 2"/>
    <w:basedOn w:val="1"/>
    <w:next w:val="1"/>
    <w:qFormat/>
    <w:uiPriority w:val="39"/>
    <w:pPr>
      <w:ind w:left="420" w:leftChars="200"/>
    </w:pPr>
  </w:style>
  <w:style w:type="paragraph" w:styleId="16">
    <w:name w:val="Normal (Web)"/>
    <w:basedOn w:val="1"/>
    <w:qFormat/>
    <w:uiPriority w:val="0"/>
    <w:pPr>
      <w:spacing w:before="0" w:beforeAutospacing="1" w:after="0" w:afterAutospacing="1"/>
      <w:ind w:left="0" w:right="0"/>
      <w:jc w:val="left"/>
    </w:pPr>
    <w:rPr>
      <w:kern w:val="0"/>
      <w:sz w:val="24"/>
      <w:lang w:val="en-US" w:eastAsia="zh-CN" w:bidi="ar"/>
    </w:rPr>
  </w:style>
  <w:style w:type="paragraph" w:styleId="17">
    <w:name w:val="index 1"/>
    <w:basedOn w:val="1"/>
    <w:next w:val="1"/>
    <w:unhideWhenUsed/>
    <w:qFormat/>
    <w:uiPriority w:val="99"/>
    <w:rPr>
      <w:szCs w:val="20"/>
    </w:rPr>
  </w:style>
  <w:style w:type="character" w:styleId="20">
    <w:name w:val="page number"/>
    <w:basedOn w:val="19"/>
    <w:semiHidden/>
    <w:qFormat/>
    <w:uiPriority w:val="0"/>
  </w:style>
  <w:style w:type="paragraph" w:customStyle="1" w:styleId="21">
    <w:name w:val="封面标准名称"/>
    <w:qFormat/>
    <w:uiPriority w:val="0"/>
    <w:pPr>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2">
    <w:name w:val="GEDI正文样式"/>
    <w:basedOn w:val="23"/>
    <w:qFormat/>
    <w:uiPriority w:val="0"/>
    <w:pPr>
      <w:adjustRightInd w:val="0"/>
      <w:snapToGrid w:val="0"/>
      <w:spacing w:line="480" w:lineRule="atLeast"/>
    </w:pPr>
  </w:style>
  <w:style w:type="paragraph" w:customStyle="1" w:styleId="23">
    <w:name w:val="正文文字样式"/>
    <w:basedOn w:val="1"/>
    <w:qFormat/>
    <w:uiPriority w:val="0"/>
    <w:pPr>
      <w:ind w:firstLine="480"/>
    </w:pPr>
  </w:style>
  <w:style w:type="table" w:customStyle="1" w:styleId="24">
    <w:name w:val="Table Normal"/>
    <w:semiHidden/>
    <w:unhideWhenUsed/>
    <w:qFormat/>
    <w:uiPriority w:val="0"/>
    <w:tblPr>
      <w:tblCellMar>
        <w:top w:w="0" w:type="dxa"/>
        <w:left w:w="0" w:type="dxa"/>
        <w:bottom w:w="0" w:type="dxa"/>
        <w:right w:w="0" w:type="dxa"/>
      </w:tblCellMar>
    </w:tblPr>
  </w:style>
  <w:style w:type="paragraph" w:customStyle="1" w:styleId="25">
    <w:name w:val="Table Text"/>
    <w:basedOn w:val="1"/>
    <w:semiHidden/>
    <w:qFormat/>
    <w:uiPriority w:val="0"/>
    <w:rPr>
      <w:rFonts w:ascii="宋体" w:hAnsi="宋体" w:eastAsia="宋体" w:cs="宋体"/>
      <w:sz w:val="20"/>
      <w:szCs w:val="20"/>
      <w:lang w:val="en-US" w:eastAsia="en-US" w:bidi="ar-SA"/>
    </w:rPr>
  </w:style>
  <w:style w:type="character" w:customStyle="1" w:styleId="26">
    <w:name w:val="font11"/>
    <w:basedOn w:val="19"/>
    <w:qFormat/>
    <w:uiPriority w:val="0"/>
    <w:rPr>
      <w:rFonts w:hint="eastAsia" w:ascii="微软雅黑" w:hAnsi="微软雅黑" w:eastAsia="微软雅黑" w:cs="微软雅黑"/>
      <w:color w:val="000000"/>
      <w:sz w:val="16"/>
      <w:szCs w:val="16"/>
      <w:u w:val="none"/>
    </w:rPr>
  </w:style>
  <w:style w:type="paragraph" w:customStyle="1" w:styleId="27">
    <w:name w:val="正文1"/>
    <w:basedOn w:val="1"/>
    <w:qFormat/>
    <w:uiPriority w:val="0"/>
    <w:pPr>
      <w:snapToGrid w:val="0"/>
      <w:spacing w:line="480" w:lineRule="atLeast"/>
      <w:ind w:firstLine="567"/>
    </w:pPr>
    <w:rPr>
      <w:rFonts w:ascii="宋体" w:hAnsi="宋体" w:cs="宋体"/>
      <w:kern w:val="0"/>
      <w:sz w:val="28"/>
      <w:szCs w:val="24"/>
      <w:lang w:val="sq-AL"/>
    </w:rPr>
  </w:style>
  <w:style w:type="character" w:customStyle="1" w:styleId="28">
    <w:name w:val="font21"/>
    <w:basedOn w:val="19"/>
    <w:qFormat/>
    <w:uiPriority w:val="0"/>
    <w:rPr>
      <w:rFonts w:hint="eastAsia" w:ascii="宋体" w:hAnsi="宋体" w:eastAsia="宋体" w:cs="宋体"/>
      <w:color w:val="FF0000"/>
      <w:sz w:val="18"/>
      <w:szCs w:val="18"/>
      <w:u w:val="none"/>
    </w:rPr>
  </w:style>
  <w:style w:type="character" w:customStyle="1" w:styleId="29">
    <w:name w:val="font31"/>
    <w:basedOn w:val="19"/>
    <w:qFormat/>
    <w:uiPriority w:val="0"/>
    <w:rPr>
      <w:rFonts w:hint="eastAsia" w:ascii="宋体" w:hAnsi="宋体" w:eastAsia="宋体" w:cs="宋体"/>
      <w:color w:val="000000"/>
      <w:sz w:val="18"/>
      <w:szCs w:val="18"/>
      <w:u w:val="none"/>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1.png"/><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12</Pages>
  <Words>40</Words>
  <Characters>47</Characters>
  <Lines>0</Lines>
  <Paragraphs>0</Paragraphs>
  <TotalTime>5</TotalTime>
  <ScaleCrop>false</ScaleCrop>
  <LinksUpToDate>false</LinksUpToDate>
  <CharactersWithSpaces>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2024-10-31T09:54:00Z</dcterms:created>
  <dc:creator>34334</dc:creator>
  <cp:lastModifiedBy>4AAEF205E03F46EE8F230D4D3B5C0AA0</cp:lastModifiedBy>
  <cp:lastPrinted>2025-03-17T09:11:00Z</cp:lastPrinted>
  <dcterms:modified xsi:type="dcterms:W3CDTF">2026-09-18T02:12:17Z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762109C5F8514DFDA0AA6457CAF182FB_13</vt:lpwstr>
  </property>
  <property fmtid="{D5CDD505-2E9C-101B-9397-08002B2CF9AE}" pid="4" name="KSOTemplateDocerSaveRecord">
    <vt:lpwstr>eyJoZGlkIjoiY2ZhZmMzMjY1YmU0NWNmMjcyYTY4NzJjZjk5MGZiYWYiLCJ1c2VySWQiOiIxMzgxNzM0NzkwIn0=</vt:lpwstr>
  </property>
</Properties>
</file>