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bookmarkStart w:id="0" w:name="OLE_LINK2"/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2026年云网能源公司科技产品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第二批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商标注册代理服务项目</w:t>
      </w:r>
    </w:p>
    <w:p>
      <w:pPr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技术规范书</w:t>
      </w:r>
    </w:p>
    <w:bookmarkEnd w:id="0"/>
    <w:p>
      <w:pPr>
        <w:snapToGrid w:val="0"/>
        <w:spacing w:line="560" w:lineRule="exact"/>
        <w:jc w:val="center"/>
        <w:rPr>
          <w:rFonts w:eastAsia="仿宋_GB2312"/>
          <w:sz w:val="44"/>
          <w:szCs w:val="20"/>
        </w:rPr>
      </w:pPr>
    </w:p>
    <w:p>
      <w:pPr>
        <w:spacing w:line="520" w:lineRule="exact"/>
        <w:ind w:firstLine="640" w:firstLineChars="200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云南电网能源投资有限责任公司</w:t>
      </w:r>
      <w:r>
        <w:rPr>
          <w:rFonts w:hint="eastAsia" w:ascii="仿宋_GB2312" w:hAnsi="仿宋" w:eastAsia="仿宋_GB2312" w:cs="仿宋"/>
          <w:sz w:val="32"/>
          <w:szCs w:val="32"/>
          <w:u w:val="single"/>
        </w:rPr>
        <w:t xml:space="preserve"> 科技产品商标注册代理服务项目</w:t>
      </w:r>
      <w:r>
        <w:rPr>
          <w:rFonts w:hint="eastAsia" w:ascii="仿宋_GB2312" w:hAnsi="仿宋" w:eastAsia="仿宋_GB2312" w:cs="仿宋"/>
          <w:sz w:val="32"/>
          <w:szCs w:val="32"/>
        </w:rPr>
        <w:t>资金已经落实，根据招投标相关规定，经研究决定以零星采购的方式择优选定服务商。具体事项如下：</w:t>
      </w:r>
    </w:p>
    <w:p>
      <w:pPr>
        <w:spacing w:line="520" w:lineRule="exact"/>
        <w:ind w:firstLine="640" w:firstLineChars="200"/>
        <w:rPr>
          <w:rFonts w:hint="eastAsia" w:ascii="黑体" w:hAnsi="黑体" w:eastAsia="黑体" w:cs="仿宋"/>
          <w:bCs/>
          <w:sz w:val="32"/>
          <w:szCs w:val="32"/>
        </w:rPr>
      </w:pPr>
      <w:r>
        <w:rPr>
          <w:rFonts w:hint="eastAsia" w:ascii="黑体" w:hAnsi="黑体" w:eastAsia="黑体" w:cs="仿宋"/>
          <w:bCs/>
          <w:sz w:val="32"/>
          <w:szCs w:val="32"/>
        </w:rPr>
        <w:t>一、报价须知</w:t>
      </w:r>
    </w:p>
    <w:p>
      <w:pPr>
        <w:spacing w:line="520" w:lineRule="exact"/>
        <w:ind w:firstLine="640" w:firstLineChars="200"/>
        <w:rPr>
          <w:rFonts w:hint="eastAsia"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（一）报价以人民币为货币单位，包含总价，总价为含税价。</w:t>
      </w:r>
    </w:p>
    <w:p>
      <w:pPr>
        <w:spacing w:line="520" w:lineRule="exact"/>
        <w:ind w:firstLine="640" w:firstLineChars="200"/>
        <w:rPr>
          <w:rFonts w:hint="eastAsia"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（二）报价人应提供支撑项目报价的相关证明文件（例如：企业营业执照复印件并加盖公章、企业资质、类似业绩等）。</w:t>
      </w:r>
    </w:p>
    <w:p>
      <w:pPr>
        <w:spacing w:line="520" w:lineRule="exact"/>
        <w:ind w:firstLine="640" w:firstLineChars="200"/>
        <w:rPr>
          <w:rFonts w:hint="eastAsia"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（三）报价相关证明文件须通过南方电网公司供应链统一服务平台（登录网址：http://www.bidding.csg.cn），并于【报名开始时间】至【报价结束时间】（详见零星采购公告）在南方电网公司供应链统一服务平台报价，过期无法参加报价。</w:t>
      </w:r>
    </w:p>
    <w:p>
      <w:pPr>
        <w:spacing w:line="520" w:lineRule="exact"/>
        <w:ind w:firstLine="640" w:firstLineChars="200"/>
        <w:rPr>
          <w:rFonts w:hint="eastAsia"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（四）询价成交原则：满足要求的情况下总价最低价者中标。</w:t>
      </w:r>
    </w:p>
    <w:p>
      <w:pPr>
        <w:spacing w:line="520" w:lineRule="exact"/>
        <w:ind w:firstLine="640" w:firstLineChars="200"/>
        <w:rPr>
          <w:rFonts w:hint="eastAsia"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（五）各报价人对上述条款均应作出响应，非响应性报价均作无效报价处理。</w:t>
      </w:r>
    </w:p>
    <w:p>
      <w:pPr>
        <w:spacing w:line="520" w:lineRule="exact"/>
        <w:ind w:firstLine="640" w:firstLineChars="200"/>
        <w:rPr>
          <w:rFonts w:hint="eastAsia" w:ascii="黑体" w:hAnsi="黑体" w:eastAsia="黑体" w:cs="仿宋"/>
          <w:bCs/>
          <w:sz w:val="32"/>
          <w:szCs w:val="32"/>
        </w:rPr>
      </w:pPr>
      <w:r>
        <w:rPr>
          <w:rFonts w:hint="eastAsia" w:ascii="黑体" w:hAnsi="黑体" w:eastAsia="黑体" w:cs="仿宋"/>
          <w:bCs/>
          <w:sz w:val="32"/>
          <w:szCs w:val="32"/>
        </w:rPr>
        <w:t>二、项目背景与目标</w:t>
      </w:r>
    </w:p>
    <w:p>
      <w:pPr>
        <w:spacing w:line="520" w:lineRule="exact"/>
        <w:ind w:firstLine="640" w:firstLineChars="200"/>
        <w:rPr>
          <w:rFonts w:ascii="仿宋_GB2312" w:hAnsi="黑体" w:eastAsia="仿宋_GB2312" w:cs="仿宋"/>
          <w:bCs/>
          <w:sz w:val="32"/>
          <w:szCs w:val="32"/>
        </w:rPr>
      </w:pPr>
      <w:r>
        <w:rPr>
          <w:rFonts w:hint="eastAsia" w:ascii="黑体" w:hAnsi="黑体" w:eastAsia="黑体" w:cs="仿宋"/>
          <w:bCs/>
          <w:sz w:val="32"/>
          <w:szCs w:val="32"/>
        </w:rPr>
        <w:t>背景：</w:t>
      </w:r>
      <w:r>
        <w:rPr>
          <w:rFonts w:hint="eastAsia" w:ascii="仿宋_GB2312" w:hAnsi="黑体" w:eastAsia="仿宋_GB2312" w:cs="仿宋"/>
          <w:bCs/>
          <w:sz w:val="32"/>
          <w:szCs w:val="32"/>
        </w:rPr>
        <w:t>云网能源有限公司为深化品牌战略布局，强化</w:t>
      </w:r>
      <w:bookmarkStart w:id="1" w:name="OLE_LINK3"/>
      <w:r>
        <w:rPr>
          <w:rFonts w:hint="eastAsia" w:ascii="仿宋_GB2312" w:hAnsi="黑体" w:eastAsia="仿宋_GB2312" w:cs="仿宋"/>
          <w:bCs/>
          <w:sz w:val="32"/>
          <w:szCs w:val="32"/>
        </w:rPr>
        <w:t>“越光保盒”系列</w:t>
      </w:r>
      <w:bookmarkEnd w:id="1"/>
      <w:r>
        <w:rPr>
          <w:rFonts w:hint="eastAsia" w:ascii="仿宋_GB2312" w:hAnsi="黑体" w:eastAsia="仿宋_GB2312" w:cs="仿宋"/>
          <w:bCs/>
          <w:sz w:val="32"/>
          <w:szCs w:val="32"/>
        </w:rPr>
        <w:t>产品的市场辨识度与法律保护，现计划对“越光保盒”系列产品进行商标注册，以确立品牌独占性，防范知识产权风险。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 w:cs="仿宋"/>
          <w:bCs/>
          <w:sz w:val="32"/>
          <w:szCs w:val="32"/>
        </w:rPr>
      </w:pPr>
      <w:r>
        <w:rPr>
          <w:rFonts w:hint="eastAsia" w:ascii="黑体" w:hAnsi="黑体" w:eastAsia="黑体" w:cs="仿宋"/>
          <w:bCs/>
          <w:sz w:val="32"/>
          <w:szCs w:val="32"/>
        </w:rPr>
        <w:t>目标：</w:t>
      </w:r>
      <w:bookmarkStart w:id="2" w:name="OLE_LINK5"/>
      <w:r>
        <w:rPr>
          <w:rFonts w:hint="eastAsia" w:ascii="仿宋_GB2312" w:hAnsi="黑体" w:eastAsia="仿宋_GB2312" w:cs="仿宋"/>
          <w:bCs/>
          <w:sz w:val="32"/>
          <w:szCs w:val="32"/>
        </w:rPr>
        <w:t>完成“越光保盒”系列产品在指定商品/服务类别上的国内商标注册申请，并取得《商标注册证》，确保品牌在法律层面获得全面、有效的保护。</w:t>
      </w:r>
      <w:bookmarkEnd w:id="2"/>
    </w:p>
    <w:p>
      <w:pPr>
        <w:spacing w:line="520" w:lineRule="exact"/>
        <w:ind w:firstLine="640" w:firstLineChars="200"/>
        <w:rPr>
          <w:rFonts w:hint="eastAsia" w:ascii="黑体" w:hAnsi="黑体" w:eastAsia="黑体" w:cs="仿宋"/>
          <w:bCs/>
          <w:sz w:val="32"/>
          <w:szCs w:val="32"/>
        </w:rPr>
      </w:pPr>
      <w:r>
        <w:rPr>
          <w:rFonts w:hint="eastAsia" w:ascii="黑体" w:hAnsi="黑体" w:eastAsia="黑体" w:cs="仿宋"/>
          <w:bCs/>
          <w:sz w:val="32"/>
          <w:szCs w:val="32"/>
        </w:rPr>
        <w:t>三、服务内容与要求</w:t>
      </w:r>
    </w:p>
    <w:p>
      <w:pPr>
        <w:spacing w:line="520" w:lineRule="exact"/>
        <w:ind w:firstLine="640" w:firstLineChars="200"/>
        <w:rPr>
          <w:rFonts w:hint="eastAsia" w:ascii="楷体_GB2312" w:hAnsi="黑体" w:eastAsia="楷体_GB2312" w:cs="仿宋"/>
          <w:bCs/>
          <w:sz w:val="32"/>
          <w:szCs w:val="32"/>
        </w:rPr>
      </w:pPr>
      <w:r>
        <w:rPr>
          <w:rFonts w:hint="eastAsia" w:ascii="楷体_GB2312" w:hAnsi="黑体" w:eastAsia="楷体_GB2312" w:cs="仿宋"/>
          <w:bCs/>
          <w:sz w:val="32"/>
          <w:szCs w:val="32"/>
        </w:rPr>
        <w:t>（一）服务范围</w:t>
      </w:r>
    </w:p>
    <w:p>
      <w:pPr>
        <w:spacing w:line="520" w:lineRule="exact"/>
        <w:ind w:firstLine="643" w:firstLineChars="200"/>
        <w:rPr>
          <w:rFonts w:hint="eastAsia"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/>
          <w:sz w:val="32"/>
          <w:szCs w:val="32"/>
        </w:rPr>
        <w:t>1.商标标识：</w:t>
      </w:r>
      <w:r>
        <w:rPr>
          <w:rFonts w:hint="eastAsia" w:ascii="仿宋_GB2312" w:hAnsi="黑体" w:eastAsia="仿宋_GB2312" w:cs="仿宋"/>
          <w:bCs/>
          <w:sz w:val="32"/>
          <w:szCs w:val="32"/>
        </w:rPr>
        <w:t>“越光保盒”系列产品图形、中文标准字的组合设计。</w:t>
      </w:r>
    </w:p>
    <w:p>
      <w:pPr>
        <w:spacing w:line="520" w:lineRule="exact"/>
        <w:ind w:firstLine="643" w:firstLineChars="200"/>
        <w:rPr>
          <w:rFonts w:hint="eastAsia" w:ascii="仿宋_GB2312" w:hAnsi="黑体" w:eastAsia="仿宋_GB2312" w:cs="仿宋"/>
          <w:b/>
          <w:sz w:val="32"/>
          <w:szCs w:val="32"/>
        </w:rPr>
      </w:pPr>
      <w:r>
        <w:rPr>
          <w:rFonts w:hint="eastAsia" w:ascii="仿宋_GB2312" w:hAnsi="黑体" w:eastAsia="仿宋_GB2312" w:cs="仿宋"/>
          <w:b/>
          <w:sz w:val="32"/>
          <w:szCs w:val="32"/>
        </w:rPr>
        <w:t>2.注册类别：</w:t>
      </w:r>
    </w:p>
    <w:p>
      <w:pPr>
        <w:spacing w:line="520" w:lineRule="exact"/>
        <w:ind w:firstLine="640" w:firstLineChars="200"/>
        <w:rPr>
          <w:rFonts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Cs/>
          <w:sz w:val="32"/>
          <w:szCs w:val="32"/>
        </w:rPr>
        <w:t>第7类：机械设备；</w:t>
      </w:r>
    </w:p>
    <w:p>
      <w:pPr>
        <w:spacing w:line="520" w:lineRule="exact"/>
        <w:ind w:firstLine="640" w:firstLineChars="200"/>
        <w:rPr>
          <w:rFonts w:ascii="仿宋_GB2312" w:hAnsi="黑体" w:eastAsia="仿宋_GB2312" w:cs="仿宋"/>
          <w:bCs/>
          <w:sz w:val="32"/>
          <w:szCs w:val="32"/>
        </w:rPr>
      </w:pPr>
      <w:bookmarkStart w:id="3" w:name="OLE_LINK4"/>
      <w:r>
        <w:rPr>
          <w:rFonts w:hint="eastAsia" w:ascii="仿宋_GB2312" w:hAnsi="黑体" w:eastAsia="仿宋_GB2312" w:cs="仿宋"/>
          <w:bCs/>
          <w:sz w:val="32"/>
          <w:szCs w:val="32"/>
        </w:rPr>
        <w:t>第</w:t>
      </w:r>
      <w:bookmarkEnd w:id="3"/>
      <w:r>
        <w:rPr>
          <w:rFonts w:hint="eastAsia" w:ascii="仿宋_GB2312" w:hAnsi="黑体" w:eastAsia="仿宋_GB2312" w:cs="仿宋"/>
          <w:bCs/>
          <w:sz w:val="32"/>
          <w:szCs w:val="32"/>
        </w:rPr>
        <w:t>9类：科学仪器；</w:t>
      </w:r>
    </w:p>
    <w:p>
      <w:pPr>
        <w:spacing w:line="520" w:lineRule="exact"/>
        <w:ind w:firstLine="640" w:firstLineChars="200"/>
        <w:rPr>
          <w:rFonts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Cs/>
          <w:sz w:val="32"/>
          <w:szCs w:val="32"/>
        </w:rPr>
        <w:t>第35类：广告宣传，包装门头；</w:t>
      </w:r>
    </w:p>
    <w:p>
      <w:pPr>
        <w:spacing w:line="520" w:lineRule="exact"/>
        <w:ind w:firstLine="640" w:firstLineChars="200"/>
        <w:rPr>
          <w:rFonts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Cs/>
          <w:sz w:val="32"/>
          <w:szCs w:val="32"/>
        </w:rPr>
        <w:t>第37类：安装维修，电力工程；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Cs/>
          <w:sz w:val="32"/>
          <w:szCs w:val="32"/>
        </w:rPr>
        <w:t>第42类，产品设计。</w:t>
      </w:r>
    </w:p>
    <w:p>
      <w:pPr>
        <w:spacing w:line="520" w:lineRule="exact"/>
        <w:ind w:firstLine="640" w:firstLineChars="200"/>
        <w:rPr>
          <w:rFonts w:hint="eastAsia" w:ascii="楷体_GB2312" w:hAnsi="黑体" w:eastAsia="楷体_GB2312" w:cs="仿宋"/>
          <w:bCs/>
          <w:sz w:val="32"/>
          <w:szCs w:val="32"/>
        </w:rPr>
      </w:pPr>
      <w:r>
        <w:rPr>
          <w:rFonts w:hint="eastAsia" w:ascii="楷体_GB2312" w:hAnsi="黑体" w:eastAsia="楷体_GB2312" w:cs="仿宋"/>
          <w:bCs/>
          <w:sz w:val="32"/>
          <w:szCs w:val="32"/>
        </w:rPr>
        <w:t>（二）服务流程要求</w:t>
      </w:r>
    </w:p>
    <w:p>
      <w:pPr>
        <w:spacing w:line="520" w:lineRule="exact"/>
        <w:ind w:firstLine="643" w:firstLineChars="200"/>
        <w:rPr>
          <w:rFonts w:hint="eastAsia"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/>
          <w:sz w:val="32"/>
          <w:szCs w:val="32"/>
        </w:rPr>
        <w:t>1.商标查询与风险评估：</w:t>
      </w:r>
      <w:r>
        <w:rPr>
          <w:rFonts w:hint="eastAsia" w:ascii="仿宋_GB2312" w:hAnsi="黑体" w:eastAsia="仿宋_GB2312" w:cs="仿宋"/>
          <w:bCs/>
          <w:sz w:val="32"/>
          <w:szCs w:val="32"/>
        </w:rPr>
        <w:t>对目标商标在指定类别上进行全维度检索，出具商标可注册性分析报告或意见。</w:t>
      </w:r>
    </w:p>
    <w:p>
      <w:pPr>
        <w:spacing w:line="520" w:lineRule="exact"/>
        <w:ind w:firstLine="643" w:firstLineChars="200"/>
        <w:rPr>
          <w:rFonts w:hint="eastAsia"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/>
          <w:sz w:val="32"/>
          <w:szCs w:val="32"/>
        </w:rPr>
        <w:t>2.申请材料准备与提交：</w:t>
      </w:r>
      <w:r>
        <w:rPr>
          <w:rFonts w:hint="eastAsia" w:ascii="仿宋_GB2312" w:hAnsi="黑体" w:eastAsia="仿宋_GB2312" w:cs="仿宋"/>
          <w:bCs/>
          <w:sz w:val="32"/>
          <w:szCs w:val="32"/>
        </w:rPr>
        <w:t>代理撰写并提交商标注册申请书、代理委托书等全套法律文件，确保格式合规、信息准确。</w:t>
      </w:r>
    </w:p>
    <w:p>
      <w:pPr>
        <w:spacing w:line="520" w:lineRule="exact"/>
        <w:ind w:firstLine="643" w:firstLineChars="200"/>
        <w:rPr>
          <w:rFonts w:hint="eastAsia"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/>
          <w:sz w:val="32"/>
          <w:szCs w:val="32"/>
        </w:rPr>
        <w:t>3.申请流程跟踪与反馈：</w:t>
      </w:r>
      <w:r>
        <w:rPr>
          <w:rFonts w:hint="eastAsia" w:ascii="仿宋_GB2312" w:hAnsi="黑体" w:eastAsia="仿宋_GB2312" w:cs="仿宋"/>
          <w:bCs/>
          <w:sz w:val="32"/>
          <w:szCs w:val="32"/>
        </w:rPr>
        <w:t>实时跟踪商标局审查进度，及时向甲方通报受理、初审、公告、核准等各阶段状态。</w:t>
      </w:r>
    </w:p>
    <w:p>
      <w:pPr>
        <w:spacing w:line="520" w:lineRule="exact"/>
        <w:ind w:firstLine="643" w:firstLineChars="200"/>
        <w:rPr>
          <w:rFonts w:hint="eastAsia"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/>
          <w:sz w:val="32"/>
          <w:szCs w:val="32"/>
        </w:rPr>
        <w:t>4.审查意见响应：</w:t>
      </w:r>
      <w:r>
        <w:rPr>
          <w:rFonts w:hint="eastAsia" w:ascii="仿宋_GB2312" w:hAnsi="黑体" w:eastAsia="仿宋_GB2312" w:cs="仿宋"/>
          <w:bCs/>
          <w:sz w:val="32"/>
          <w:szCs w:val="32"/>
        </w:rPr>
        <w:t>如遇商标局下发补正或驳回通知，须在法定时限内提供专业解决方案并代理完成答复/复审。</w:t>
      </w:r>
    </w:p>
    <w:p>
      <w:pPr>
        <w:spacing w:line="520" w:lineRule="exact"/>
        <w:ind w:firstLine="643" w:firstLineChars="200"/>
        <w:rPr>
          <w:rFonts w:hint="eastAsia"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/>
          <w:sz w:val="32"/>
          <w:szCs w:val="32"/>
        </w:rPr>
        <w:t>5.证书交付与归档：</w:t>
      </w:r>
      <w:r>
        <w:rPr>
          <w:rFonts w:hint="eastAsia" w:ascii="仿宋_GB2312" w:hAnsi="黑体" w:eastAsia="仿宋_GB2312" w:cs="仿宋"/>
          <w:bCs/>
          <w:sz w:val="32"/>
          <w:szCs w:val="32"/>
        </w:rPr>
        <w:t>商标核准注册后，及时领取《商标注册证》并移交甲方，同步提供电子归档文件。</w:t>
      </w:r>
    </w:p>
    <w:p>
      <w:pPr>
        <w:spacing w:line="520" w:lineRule="exact"/>
        <w:ind w:firstLine="640" w:firstLineChars="200"/>
        <w:rPr>
          <w:rFonts w:hint="eastAsia" w:ascii="楷体_GB2312" w:hAnsi="黑体" w:eastAsia="楷体_GB2312" w:cs="仿宋"/>
          <w:bCs/>
          <w:sz w:val="32"/>
          <w:szCs w:val="32"/>
        </w:rPr>
      </w:pPr>
      <w:r>
        <w:rPr>
          <w:rFonts w:hint="eastAsia" w:ascii="楷体_GB2312" w:hAnsi="黑体" w:eastAsia="楷体_GB2312" w:cs="仿宋"/>
          <w:bCs/>
          <w:sz w:val="32"/>
          <w:szCs w:val="32"/>
        </w:rPr>
        <w:t>（三）服务质量标准</w:t>
      </w:r>
    </w:p>
    <w:p>
      <w:pPr>
        <w:spacing w:line="520" w:lineRule="exact"/>
        <w:ind w:firstLine="643" w:firstLineChars="200"/>
        <w:rPr>
          <w:rFonts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/>
          <w:sz w:val="32"/>
          <w:szCs w:val="32"/>
        </w:rPr>
        <w:t>1.专业合规：</w:t>
      </w:r>
      <w:r>
        <w:rPr>
          <w:rFonts w:hint="eastAsia" w:ascii="仿宋_GB2312" w:hAnsi="黑体" w:eastAsia="仿宋_GB2312" w:cs="仿宋"/>
          <w:bCs/>
          <w:sz w:val="32"/>
          <w:szCs w:val="32"/>
        </w:rPr>
        <w:t>确保所有操作符合《商标法》《商标实施条例》等法律法规。</w:t>
      </w:r>
    </w:p>
    <w:p>
      <w:pPr>
        <w:spacing w:line="520" w:lineRule="exact"/>
        <w:ind w:firstLine="643" w:firstLineChars="200"/>
        <w:rPr>
          <w:rFonts w:hint="eastAsia"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/>
          <w:sz w:val="32"/>
          <w:szCs w:val="32"/>
        </w:rPr>
        <w:t>2.时效性：</w:t>
      </w:r>
      <w:r>
        <w:rPr>
          <w:rFonts w:hint="eastAsia" w:ascii="仿宋_GB2312" w:hAnsi="黑体" w:eastAsia="仿宋_GB2312" w:cs="仿宋"/>
          <w:bCs/>
          <w:sz w:val="32"/>
          <w:szCs w:val="32"/>
        </w:rPr>
        <w:t>在受理后3个工作日内提交申请；各阶段官方文书须在收到后24小时内反馈甲方。</w:t>
      </w:r>
    </w:p>
    <w:p>
      <w:pPr>
        <w:spacing w:line="520" w:lineRule="exact"/>
        <w:ind w:firstLine="643" w:firstLineChars="200"/>
        <w:rPr>
          <w:rFonts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/>
          <w:sz w:val="32"/>
          <w:szCs w:val="32"/>
        </w:rPr>
        <w:t>3.成功率保障：</w:t>
      </w:r>
      <w:r>
        <w:rPr>
          <w:rFonts w:hint="eastAsia" w:ascii="仿宋_GB2312" w:hAnsi="黑体" w:eastAsia="仿宋_GB2312" w:cs="仿宋"/>
          <w:bCs/>
          <w:sz w:val="32"/>
          <w:szCs w:val="32"/>
        </w:rPr>
        <w:t>基于前期检索的注册方案，应具备较高的授权预期，如因服务方操作失误导致注册失败，须承担相应责任。</w:t>
      </w:r>
    </w:p>
    <w:p>
      <w:pPr>
        <w:spacing w:line="520" w:lineRule="exact"/>
        <w:ind w:firstLine="643" w:firstLineChars="200"/>
        <w:rPr>
          <w:rFonts w:hint="eastAsia"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/>
          <w:sz w:val="32"/>
          <w:szCs w:val="32"/>
        </w:rPr>
        <w:t>4.保密义务：</w:t>
      </w:r>
      <w:r>
        <w:rPr>
          <w:rFonts w:hint="eastAsia" w:ascii="仿宋_GB2312" w:hAnsi="黑体" w:eastAsia="仿宋_GB2312" w:cs="仿宋"/>
          <w:bCs/>
          <w:sz w:val="32"/>
          <w:szCs w:val="32"/>
        </w:rPr>
        <w:t>对甲方提供的设计稿、产品信息等全部资料承担保密责任。</w:t>
      </w:r>
    </w:p>
    <w:p>
      <w:pPr>
        <w:spacing w:line="520" w:lineRule="exact"/>
        <w:ind w:firstLine="640" w:firstLineChars="200"/>
        <w:rPr>
          <w:rFonts w:hint="eastAsia" w:ascii="黑体" w:hAnsi="黑体" w:eastAsia="黑体" w:cs="仿宋"/>
          <w:bCs/>
          <w:sz w:val="32"/>
          <w:szCs w:val="32"/>
        </w:rPr>
      </w:pPr>
      <w:r>
        <w:rPr>
          <w:rFonts w:hint="eastAsia" w:ascii="黑体" w:hAnsi="黑体" w:eastAsia="黑体" w:cs="仿宋"/>
          <w:bCs/>
          <w:sz w:val="32"/>
          <w:szCs w:val="32"/>
        </w:rPr>
        <w:t>四、供应商资格要求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 w:cs="仿宋"/>
          <w:bCs/>
          <w:sz w:val="32"/>
          <w:szCs w:val="32"/>
        </w:rPr>
      </w:pPr>
      <w:bookmarkStart w:id="4" w:name="OLE_LINK1"/>
      <w:r>
        <w:rPr>
          <w:rFonts w:hint="eastAsia" w:ascii="仿宋_GB2312" w:hAnsi="黑体" w:eastAsia="仿宋_GB2312" w:cs="仿宋"/>
          <w:bCs/>
          <w:sz w:val="32"/>
          <w:szCs w:val="32"/>
        </w:rPr>
        <w:t>1.具备国家知识产权局备案的商标代理机构资质；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Cs/>
          <w:sz w:val="32"/>
          <w:szCs w:val="32"/>
        </w:rPr>
        <w:t>2.具备能源科技或相关领域商标注册案例经验者；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Cs/>
          <w:sz w:val="32"/>
          <w:szCs w:val="32"/>
        </w:rPr>
        <w:t>3.服务团队需配备至少1名有法律职业资格证书或其他同等资格证书的专业人员。</w:t>
      </w:r>
    </w:p>
    <w:bookmarkEnd w:id="4"/>
    <w:p>
      <w:pPr>
        <w:spacing w:line="520" w:lineRule="exact"/>
        <w:ind w:firstLine="640" w:firstLineChars="200"/>
        <w:rPr>
          <w:rFonts w:hint="eastAsia" w:ascii="黑体" w:hAnsi="黑体" w:eastAsia="黑体" w:cs="仿宋"/>
          <w:bCs/>
          <w:sz w:val="32"/>
          <w:szCs w:val="32"/>
        </w:rPr>
      </w:pPr>
      <w:r>
        <w:rPr>
          <w:rFonts w:hint="eastAsia" w:ascii="黑体" w:hAnsi="黑体" w:eastAsia="黑体" w:cs="仿宋"/>
          <w:bCs/>
          <w:sz w:val="32"/>
          <w:szCs w:val="32"/>
        </w:rPr>
        <w:t>五、交付成果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Cs/>
          <w:sz w:val="32"/>
          <w:szCs w:val="32"/>
        </w:rPr>
        <w:t>1.商标注册申请受理通知书；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Cs/>
          <w:sz w:val="32"/>
          <w:szCs w:val="32"/>
        </w:rPr>
        <w:t>2.《商标注册证》原件及电子扫描件；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Cs/>
          <w:sz w:val="32"/>
          <w:szCs w:val="32"/>
        </w:rPr>
        <w:t>3.完整的商标注册过程档案（含所有官方文书、往来函件）。</w:t>
      </w:r>
    </w:p>
    <w:p>
      <w:pPr>
        <w:spacing w:line="520" w:lineRule="exact"/>
        <w:ind w:firstLine="640" w:firstLineChars="200"/>
        <w:rPr>
          <w:rFonts w:ascii="黑体" w:hAnsi="黑体" w:eastAsia="黑体" w:cs="仿宋"/>
          <w:bCs/>
          <w:sz w:val="32"/>
          <w:szCs w:val="32"/>
        </w:rPr>
      </w:pPr>
      <w:r>
        <w:rPr>
          <w:rFonts w:hint="eastAsia" w:ascii="黑体" w:hAnsi="黑体" w:eastAsia="黑体" w:cs="仿宋"/>
          <w:bCs/>
          <w:sz w:val="32"/>
          <w:szCs w:val="32"/>
        </w:rPr>
        <w:t>六、时间计划</w:t>
      </w:r>
    </w:p>
    <w:p>
      <w:pPr>
        <w:spacing w:line="520" w:lineRule="exact"/>
        <w:ind w:firstLine="643" w:firstLineChars="200"/>
        <w:rPr>
          <w:rFonts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/>
          <w:sz w:val="32"/>
          <w:szCs w:val="32"/>
        </w:rPr>
        <w:t>查询与申报：</w:t>
      </w:r>
      <w:r>
        <w:rPr>
          <w:rFonts w:hint="eastAsia" w:ascii="仿宋_GB2312" w:hAnsi="黑体" w:eastAsia="仿宋_GB2312" w:cs="仿宋"/>
          <w:bCs/>
          <w:sz w:val="32"/>
          <w:szCs w:val="32"/>
        </w:rPr>
        <w:t>2026年</w:t>
      </w:r>
      <w:r>
        <w:rPr>
          <w:rFonts w:hint="eastAsia" w:ascii="仿宋_GB2312" w:hAnsi="黑体" w:eastAsia="仿宋_GB2312" w:cs="仿宋"/>
          <w:bCs/>
          <w:sz w:val="32"/>
          <w:szCs w:val="32"/>
          <w:lang w:val="en-US" w:eastAsia="zh-CN"/>
        </w:rPr>
        <w:t>10</w:t>
      </w:r>
      <w:r>
        <w:rPr>
          <w:rFonts w:hint="eastAsia" w:ascii="仿宋_GB2312" w:hAnsi="黑体" w:eastAsia="仿宋_GB2312" w:cs="仿宋"/>
          <w:bCs/>
          <w:sz w:val="32"/>
          <w:szCs w:val="32"/>
        </w:rPr>
        <w:t>月</w:t>
      </w:r>
      <w:r>
        <w:rPr>
          <w:rFonts w:hint="eastAsia" w:ascii="仿宋_GB2312" w:hAnsi="黑体" w:eastAsia="仿宋_GB2312" w:cs="仿宋"/>
          <w:bCs/>
          <w:sz w:val="32"/>
          <w:szCs w:val="32"/>
          <w:lang w:val="en-US" w:eastAsia="zh-CN"/>
        </w:rPr>
        <w:t>31</w:t>
      </w:r>
      <w:r>
        <w:rPr>
          <w:rFonts w:hint="eastAsia" w:ascii="仿宋_GB2312" w:hAnsi="黑体" w:eastAsia="仿宋_GB2312" w:cs="仿宋"/>
          <w:bCs/>
          <w:sz w:val="32"/>
          <w:szCs w:val="32"/>
        </w:rPr>
        <w:t>日前</w:t>
      </w:r>
    </w:p>
    <w:p>
      <w:pPr>
        <w:spacing w:line="520" w:lineRule="exact"/>
        <w:ind w:firstLine="643" w:firstLineChars="200"/>
        <w:rPr>
          <w:rFonts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/>
          <w:sz w:val="32"/>
          <w:szCs w:val="32"/>
        </w:rPr>
        <w:t>注册周期：</w:t>
      </w:r>
      <w:r>
        <w:rPr>
          <w:rFonts w:hint="eastAsia" w:ascii="仿宋_GB2312" w:hAnsi="黑体" w:eastAsia="仿宋_GB2312" w:cs="仿宋"/>
          <w:bCs/>
          <w:sz w:val="32"/>
          <w:szCs w:val="32"/>
        </w:rPr>
        <w:t>自申请日起约8-12个月（以商标局实际审查时间为准）。</w:t>
      </w:r>
    </w:p>
    <w:p>
      <w:pPr>
        <w:spacing w:line="520" w:lineRule="exact"/>
        <w:ind w:firstLine="643" w:firstLineChars="200"/>
        <w:rPr>
          <w:rFonts w:hint="eastAsia" w:ascii="仿宋_GB2312" w:hAnsi="黑体" w:eastAsia="仿宋_GB2312" w:cs="仿宋"/>
          <w:bCs/>
          <w:sz w:val="32"/>
          <w:szCs w:val="32"/>
        </w:rPr>
      </w:pPr>
      <w:r>
        <w:rPr>
          <w:rFonts w:hint="eastAsia" w:ascii="仿宋_GB2312" w:hAnsi="黑体" w:eastAsia="仿宋_GB2312" w:cs="仿宋"/>
          <w:b/>
          <w:sz w:val="32"/>
          <w:szCs w:val="32"/>
        </w:rPr>
        <w:t>项目完成：</w:t>
      </w:r>
      <w:r>
        <w:rPr>
          <w:rFonts w:hint="eastAsia" w:ascii="仿宋_GB2312" w:hAnsi="黑体" w:eastAsia="仿宋_GB2312" w:cs="仿宋"/>
          <w:bCs/>
          <w:sz w:val="32"/>
          <w:szCs w:val="32"/>
        </w:rPr>
        <w:t>获得全部类别《商标注册证》之日止。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 w:cs="仿宋"/>
          <w:bCs/>
          <w:sz w:val="32"/>
          <w:szCs w:val="32"/>
        </w:rPr>
      </w:pPr>
    </w:p>
    <w:p>
      <w:pPr>
        <w:spacing w:line="520" w:lineRule="exact"/>
        <w:ind w:firstLine="640" w:firstLineChars="200"/>
        <w:rPr>
          <w:rFonts w:hint="eastAsia" w:ascii="仿宋" w:hAnsi="仿宋" w:eastAsia="仿宋" w:cs="仿宋"/>
          <w:bCs/>
          <w:sz w:val="32"/>
          <w:szCs w:val="32"/>
        </w:rPr>
      </w:pPr>
      <w:r>
        <w:rPr>
          <w:rFonts w:hint="eastAsia" w:ascii="仿宋" w:hAnsi="仿宋" w:eastAsia="仿宋" w:cs="仿宋"/>
          <w:bCs/>
          <w:sz w:val="32"/>
          <w:szCs w:val="32"/>
        </w:rPr>
        <w:t>附件：报价文件格式</w:t>
      </w:r>
    </w:p>
    <w:p>
      <w:pPr>
        <w:widowControl/>
        <w:shd w:val="clear" w:color="auto" w:fill="FFFFFF"/>
        <w:spacing w:line="520" w:lineRule="exact"/>
        <w:rPr>
          <w:rFonts w:ascii="仿宋" w:hAnsi="仿宋" w:eastAsia="仿宋" w:cs="仿宋"/>
          <w:sz w:val="32"/>
          <w:szCs w:val="32"/>
        </w:rPr>
      </w:pPr>
    </w:p>
    <w:p>
      <w:pPr>
        <w:widowControl/>
        <w:shd w:val="clear" w:color="auto" w:fill="FFFFFF"/>
        <w:spacing w:line="520" w:lineRule="exact"/>
        <w:rPr>
          <w:rFonts w:ascii="仿宋" w:hAnsi="仿宋" w:eastAsia="仿宋" w:cs="仿宋"/>
          <w:sz w:val="32"/>
          <w:szCs w:val="32"/>
        </w:rPr>
      </w:pPr>
    </w:p>
    <w:p>
      <w:pPr>
        <w:widowControl/>
        <w:shd w:val="clear" w:color="auto" w:fill="FFFFFF"/>
        <w:spacing w:line="520" w:lineRule="exact"/>
        <w:rPr>
          <w:rFonts w:hint="eastAsia" w:ascii="仿宋" w:hAnsi="仿宋" w:eastAsia="仿宋" w:cs="仿宋"/>
          <w:sz w:val="32"/>
          <w:szCs w:val="32"/>
        </w:rPr>
      </w:pPr>
    </w:p>
    <w:p>
      <w:pPr>
        <w:widowControl/>
        <w:shd w:val="clear" w:color="auto" w:fill="FFFFFF"/>
        <w:spacing w:line="520" w:lineRule="exact"/>
        <w:ind w:firstLine="4960" w:firstLineChars="1550"/>
        <w:rPr>
          <w:rFonts w:hint="eastAsia" w:ascii="仿宋" w:hAnsi="仿宋" w:eastAsia="仿宋" w:cs="仿宋"/>
          <w:sz w:val="32"/>
          <w:szCs w:val="32"/>
        </w:rPr>
      </w:pPr>
    </w:p>
    <w:p>
      <w:pPr>
        <w:widowControl/>
        <w:shd w:val="clear" w:color="auto" w:fill="FFFFFF"/>
        <w:spacing w:line="520" w:lineRule="exact"/>
        <w:jc w:val="righ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采购单位</w:t>
      </w:r>
      <w:bookmarkStart w:id="5" w:name="_GoBack"/>
      <w:bookmarkEnd w:id="5"/>
      <w:r>
        <w:rPr>
          <w:rFonts w:hint="eastAsia" w:ascii="仿宋" w:hAnsi="仿宋" w:eastAsia="仿宋" w:cs="仿宋"/>
          <w:sz w:val="32"/>
          <w:szCs w:val="32"/>
        </w:rPr>
        <w:t>：</w:t>
      </w:r>
      <w:r>
        <w:rPr>
          <w:rFonts w:hint="eastAsia" w:ascii="仿宋" w:hAnsi="仿宋" w:eastAsia="仿宋" w:cs="仿宋"/>
          <w:sz w:val="32"/>
          <w:szCs w:val="32"/>
          <w:u w:val="single"/>
        </w:rPr>
        <w:t>云南电网能源投资有限责任公司</w:t>
      </w:r>
    </w:p>
    <w:p>
      <w:pPr>
        <w:widowControl/>
        <w:shd w:val="clear" w:color="auto" w:fill="FFFFFF"/>
        <w:spacing w:line="520" w:lineRule="exact"/>
        <w:ind w:firstLine="4000" w:firstLineChars="1250"/>
        <w:rPr>
          <w:rFonts w:hint="eastAsia" w:ascii="仿宋" w:hAnsi="仿宋" w:eastAsia="仿宋" w:cs="仿宋"/>
          <w:sz w:val="32"/>
          <w:szCs w:val="32"/>
          <w:u w:val="single"/>
        </w:rPr>
      </w:pPr>
      <w:r>
        <w:rPr>
          <w:rFonts w:hint="eastAsia" w:ascii="仿宋" w:hAnsi="仿宋" w:eastAsia="仿宋" w:cs="仿宋"/>
          <w:sz w:val="32"/>
          <w:szCs w:val="32"/>
        </w:rPr>
        <w:t>日期：</w:t>
      </w:r>
      <w:r>
        <w:rPr>
          <w:rFonts w:hint="eastAsia" w:ascii="仿宋" w:hAnsi="仿宋" w:eastAsia="仿宋" w:cs="仿宋"/>
          <w:b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u w:val="single"/>
        </w:rPr>
        <w:t>202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  <w:u w:val="single"/>
        </w:rPr>
        <w:t>年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  <w:u w:val="single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14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日  </w:t>
      </w:r>
    </w:p>
    <w:p>
      <w:pPr>
        <w:pStyle w:val="3"/>
        <w:spacing w:after="0" w:line="560" w:lineRule="exact"/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3"/>
        <w:spacing w:after="0" w:line="560" w:lineRule="exact"/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widowControl/>
        <w:textAlignment w:val="center"/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>
      <w:pPr>
        <w:pStyle w:val="3"/>
        <w:spacing w:after="0" w:line="560" w:lineRule="exact"/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附件：报价文件格式</w:t>
      </w:r>
    </w:p>
    <w:p>
      <w:pPr>
        <w:pStyle w:val="3"/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3"/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2026年云网能源公司科技产品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第二批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商标注册代理服务项目</w:t>
      </w:r>
    </w:p>
    <w:p>
      <w:pPr>
        <w:pStyle w:val="3"/>
        <w:jc w:val="center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pStyle w:val="3"/>
        <w:jc w:val="center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pStyle w:val="3"/>
        <w:jc w:val="center"/>
        <w:rPr>
          <w:rFonts w:hint="eastAsia" w:ascii="黑体" w:hAnsi="黑体" w:eastAsia="黑体" w:cs="黑体"/>
          <w:bCs/>
          <w:sz w:val="44"/>
          <w:szCs w:val="44"/>
        </w:rPr>
      </w:pPr>
      <w:r>
        <w:rPr>
          <w:rFonts w:hint="eastAsia" w:ascii="黑体" w:hAnsi="黑体" w:eastAsia="黑体" w:cs="黑体"/>
          <w:bCs/>
          <w:sz w:val="44"/>
          <w:szCs w:val="44"/>
        </w:rPr>
        <w:t>报价文件</w:t>
      </w:r>
    </w:p>
    <w:p>
      <w:pPr>
        <w:pStyle w:val="3"/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3"/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3"/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3"/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3"/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3"/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</w:pPr>
    </w:p>
    <w:p>
      <w:pPr>
        <w:pStyle w:val="3"/>
        <w:ind w:firstLine="1200" w:firstLineChars="400"/>
        <w:rPr>
          <w:rFonts w:hint="eastAsia"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报价单位（盖章）：</w:t>
      </w:r>
      <w:r>
        <w:rPr>
          <w:rFonts w:hint="eastAsia" w:ascii="黑体" w:hAnsi="黑体" w:eastAsia="黑体" w:cs="黑体"/>
          <w:bCs/>
          <w:sz w:val="30"/>
          <w:szCs w:val="30"/>
          <w:u w:val="single"/>
        </w:rPr>
        <w:t xml:space="preserve">                             </w:t>
      </w:r>
    </w:p>
    <w:p>
      <w:pPr>
        <w:pStyle w:val="3"/>
        <w:ind w:firstLine="1200" w:firstLineChars="400"/>
        <w:rPr>
          <w:rFonts w:hint="eastAsia" w:ascii="黑体" w:hAnsi="黑体" w:eastAsia="黑体" w:cs="黑体"/>
          <w:bCs/>
          <w:sz w:val="30"/>
          <w:szCs w:val="30"/>
          <w:u w:val="single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报 价 日 期：</w:t>
      </w:r>
      <w:r>
        <w:rPr>
          <w:rFonts w:hint="eastAsia" w:ascii="黑体" w:hAnsi="黑体" w:eastAsia="黑体" w:cs="黑体"/>
          <w:bCs/>
          <w:sz w:val="30"/>
          <w:szCs w:val="30"/>
          <w:u w:val="single"/>
        </w:rPr>
        <w:t xml:space="preserve"> </w:t>
      </w:r>
      <w:r>
        <w:rPr>
          <w:rFonts w:hint="eastAsia" w:ascii="黑体" w:hAnsi="黑体" w:eastAsia="黑体" w:cs="黑体"/>
          <w:bCs/>
          <w:sz w:val="30"/>
          <w:szCs w:val="30"/>
          <w:u w:val="single"/>
          <w:lang w:val="en-US" w:eastAsia="zh-CN"/>
        </w:rPr>
        <w:t xml:space="preserve"> </w:t>
      </w:r>
      <w:r>
        <w:rPr>
          <w:rFonts w:hint="eastAsia" w:ascii="黑体" w:hAnsi="黑体" w:eastAsia="黑体" w:cs="黑体"/>
          <w:bCs/>
          <w:sz w:val="30"/>
          <w:szCs w:val="30"/>
          <w:u w:val="single"/>
        </w:rPr>
        <w:t xml:space="preserve">    年    月    日                          </w:t>
      </w:r>
    </w:p>
    <w:p>
      <w:pPr>
        <w:pStyle w:val="3"/>
        <w:ind w:firstLine="1280" w:firstLineChars="400"/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br w:type="page"/>
      </w:r>
    </w:p>
    <w:p>
      <w:pPr>
        <w:pStyle w:val="3"/>
        <w:spacing w:after="0" w:line="360" w:lineRule="auto"/>
        <w:rPr>
          <w:rFonts w:hint="eastAsia"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一、报价表</w:t>
      </w:r>
    </w:p>
    <w:p>
      <w:pPr>
        <w:pStyle w:val="3"/>
        <w:numPr>
          <w:ilvl w:val="0"/>
          <w:numId w:val="1"/>
        </w:numPr>
        <w:spacing w:after="0" w:line="360" w:lineRule="auto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项目总报价：人民币</w:t>
      </w:r>
      <w:r>
        <w:rPr>
          <w:rFonts w:hint="eastAsia" w:ascii="仿宋" w:hAnsi="仿宋" w:eastAsia="仿宋" w:cs="仿宋"/>
          <w:b/>
          <w:sz w:val="28"/>
          <w:szCs w:val="28"/>
          <w:u w:val="single"/>
        </w:rPr>
        <w:t xml:space="preserve">大写 ：          ，小写：         </w:t>
      </w:r>
      <w:r>
        <w:rPr>
          <w:rFonts w:hint="eastAsia" w:ascii="仿宋" w:hAnsi="仿宋" w:eastAsia="仿宋" w:cs="仿宋"/>
          <w:b/>
          <w:sz w:val="28"/>
          <w:szCs w:val="28"/>
        </w:rPr>
        <w:t>元（含税价</w:t>
      </w:r>
      <w:r>
        <w:rPr>
          <w:rFonts w:hint="eastAsia" w:ascii="仿宋" w:hAnsi="仿宋" w:eastAsia="仿宋" w:cs="仿宋"/>
          <w:b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总共包含20项注册类别</w:t>
      </w:r>
      <w:r>
        <w:rPr>
          <w:rFonts w:hint="eastAsia" w:ascii="仿宋" w:hAnsi="仿宋" w:eastAsia="仿宋" w:cs="仿宋"/>
          <w:b/>
          <w:sz w:val="28"/>
          <w:szCs w:val="28"/>
        </w:rPr>
        <w:t>）</w:t>
      </w:r>
    </w:p>
    <w:p>
      <w:pPr>
        <w:pStyle w:val="3"/>
        <w:numPr>
          <w:ilvl w:val="0"/>
          <w:numId w:val="1"/>
        </w:numPr>
        <w:spacing w:after="0" w:line="360" w:lineRule="auto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项目费用报价明细（不能改变表格格式）：</w:t>
      </w:r>
    </w:p>
    <w:tbl>
      <w:tblPr>
        <w:tblStyle w:val="8"/>
        <w:tblW w:w="88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6"/>
        <w:gridCol w:w="1563"/>
        <w:gridCol w:w="910"/>
        <w:gridCol w:w="4102"/>
        <w:gridCol w:w="16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line="360" w:lineRule="auto"/>
              <w:ind w:right="-48" w:rightChars="-23"/>
              <w:jc w:val="center"/>
              <w:rPr>
                <w:rFonts w:hint="eastAsia" w:ascii="仿宋" w:hAnsi="仿宋" w:eastAsia="仿宋"/>
                <w:b/>
                <w:bCs/>
                <w:sz w:val="24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</w:rPr>
              <w:t>序号</w:t>
            </w:r>
          </w:p>
        </w:tc>
        <w:tc>
          <w:tcPr>
            <w:tcW w:w="1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line="360" w:lineRule="auto"/>
              <w:ind w:right="9"/>
              <w:jc w:val="center"/>
              <w:rPr>
                <w:rFonts w:hint="eastAsia" w:ascii="仿宋" w:hAnsi="仿宋" w:eastAsia="仿宋"/>
                <w:b/>
                <w:bCs/>
                <w:sz w:val="24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</w:rPr>
              <w:t>物资名称</w:t>
            </w:r>
          </w:p>
        </w:tc>
        <w:tc>
          <w:tcPr>
            <w:tcW w:w="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line="360" w:lineRule="auto"/>
              <w:ind w:right="9"/>
              <w:jc w:val="center"/>
              <w:rPr>
                <w:rFonts w:hint="eastAsia" w:ascii="仿宋" w:hAnsi="仿宋" w:eastAsia="仿宋"/>
                <w:b/>
                <w:bCs/>
                <w:sz w:val="24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</w:rPr>
              <w:t>数量</w:t>
            </w:r>
          </w:p>
        </w:tc>
        <w:tc>
          <w:tcPr>
            <w:tcW w:w="4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line="360" w:lineRule="auto"/>
              <w:ind w:right="9"/>
              <w:jc w:val="center"/>
              <w:rPr>
                <w:rFonts w:hint="eastAsia" w:ascii="仿宋" w:hAnsi="仿宋" w:eastAsia="仿宋"/>
                <w:b/>
                <w:bCs/>
                <w:sz w:val="24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</w:rPr>
              <w:t>要求</w:t>
            </w:r>
          </w:p>
        </w:tc>
        <w:tc>
          <w:tcPr>
            <w:tcW w:w="16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line="360" w:lineRule="auto"/>
              <w:ind w:right="9"/>
              <w:jc w:val="center"/>
              <w:rPr>
                <w:rFonts w:hint="eastAsia" w:ascii="仿宋" w:hAnsi="仿宋" w:eastAsia="仿宋"/>
                <w:b/>
                <w:bCs/>
                <w:sz w:val="24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</w:rPr>
              <w:t>金额（人民币.元）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2" w:hRule="atLeast"/>
          <w:jc w:val="center"/>
        </w:trPr>
        <w:tc>
          <w:tcPr>
            <w:tcW w:w="6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line="360" w:lineRule="auto"/>
              <w:ind w:right="-48" w:rightChars="-23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5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越光保盒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扫码用电</w:t>
            </w:r>
          </w:p>
        </w:tc>
        <w:tc>
          <w:tcPr>
            <w:tcW w:w="91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5类</w:t>
            </w:r>
          </w:p>
        </w:tc>
        <w:tc>
          <w:tcPr>
            <w:tcW w:w="41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乙方需负责自材料准备至证书领取的全流程代理服务，具体包括： </w:t>
            </w:r>
          </w:p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1.商品/服务项目的最终确定与规范表述。 </w:t>
            </w:r>
          </w:p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2.申请文件的制作、校对与递交。 </w:t>
            </w:r>
          </w:p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3.全程监控流程，在收到官方任何文书（受理、补正、驳回、公告、异议、证书等）后2个工作日内通知甲方并附专业解读。 </w:t>
            </w:r>
          </w:p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4.按时缴纳官方规费。</w:t>
            </w:r>
          </w:p>
        </w:tc>
        <w:tc>
          <w:tcPr>
            <w:tcW w:w="167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line="360" w:lineRule="auto"/>
              <w:ind w:right="9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line="360" w:lineRule="auto"/>
              <w:ind w:right="-48" w:rightChars="-23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5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Style w:val="22"/>
                <w:rFonts w:hint="default" w:ascii="PMingLiU" w:hAnsi="PMingLiU" w:eastAsia="仿宋" w:cs="PMingLiU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越光保盒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新型配电变压器</w:t>
            </w:r>
          </w:p>
        </w:tc>
        <w:tc>
          <w:tcPr>
            <w:tcW w:w="91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5类</w:t>
            </w:r>
          </w:p>
        </w:tc>
        <w:tc>
          <w:tcPr>
            <w:tcW w:w="41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乙方需负责自材料准备至证书领取的全流程代理服务，具体包括： </w:t>
            </w:r>
          </w:p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1.商品/服务项目的最终确定与规范表述。 </w:t>
            </w:r>
          </w:p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2.申请文件的制作、校对与递交。 </w:t>
            </w:r>
          </w:p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3.全程监控流程，在收到官方任何文书（受理、补正、驳回、公告、异议、证书等）后2个工作日内通知甲方并附专业解读。 </w:t>
            </w:r>
          </w:p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4.按时缴纳官方规费。</w:t>
            </w:r>
          </w:p>
        </w:tc>
        <w:tc>
          <w:tcPr>
            <w:tcW w:w="167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line="360" w:lineRule="auto"/>
              <w:ind w:right="9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line="360" w:lineRule="auto"/>
              <w:ind w:right="-48" w:rightChars="-23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3</w:t>
            </w:r>
          </w:p>
        </w:tc>
        <w:tc>
          <w:tcPr>
            <w:tcW w:w="1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Style w:val="22"/>
                <w:rFonts w:hint="default" w:ascii="PMingLiU" w:hAnsi="PMingLiU" w:eastAsia="仿宋" w:cs="PMingLiU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越光保盒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保供电快速接入箱</w:t>
            </w:r>
          </w:p>
        </w:tc>
        <w:tc>
          <w:tcPr>
            <w:tcW w:w="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5类</w:t>
            </w:r>
          </w:p>
        </w:tc>
        <w:tc>
          <w:tcPr>
            <w:tcW w:w="4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乙方需负责自材料准备至证书领取的全流程代理服务，具体包括： </w:t>
            </w:r>
          </w:p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1.商品/服务项目的最终确定与规范表述。 </w:t>
            </w:r>
          </w:p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2.申请文件的制作、校对与递交。 </w:t>
            </w:r>
          </w:p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3.全程监控流程，在收到官方任何文书（受理、补正、驳回、公告、异议、证书等）后2个工作日内通知甲方并附专业解读。 </w:t>
            </w:r>
          </w:p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4.按时缴纳官方规费。</w:t>
            </w:r>
          </w:p>
        </w:tc>
        <w:tc>
          <w:tcPr>
            <w:tcW w:w="167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line="360" w:lineRule="auto"/>
              <w:ind w:right="9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line="360" w:lineRule="auto"/>
              <w:ind w:right="-48" w:rightChars="-23"/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4</w:t>
            </w:r>
          </w:p>
        </w:tc>
        <w:tc>
          <w:tcPr>
            <w:tcW w:w="15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</w:p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</w:p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</w:p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</w:p>
          <w:p>
            <w:pPr>
              <w:widowControl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无人机充电机巢</w:t>
            </w:r>
          </w:p>
        </w:tc>
        <w:tc>
          <w:tcPr>
            <w:tcW w:w="91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5类</w:t>
            </w:r>
          </w:p>
        </w:tc>
        <w:tc>
          <w:tcPr>
            <w:tcW w:w="41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乙方需负责自材料准备至证书领取的全流程代理服务，具体包括： </w:t>
            </w:r>
          </w:p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1.商品/服务项目的最终确定与规范表述。 </w:t>
            </w:r>
          </w:p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2.申请文件的制作、校对与递交。 </w:t>
            </w:r>
          </w:p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3.全程监控流程，在收到官方任何文书（受理、补正、驳回、公告、异议、证书等）后2个工作日内通知甲方并附专业解读。 </w:t>
            </w:r>
          </w:p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</w:rPr>
              <w:t>4.按时缴纳官方规费。</w:t>
            </w:r>
          </w:p>
        </w:tc>
        <w:tc>
          <w:tcPr>
            <w:tcW w:w="167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line="360" w:lineRule="auto"/>
              <w:ind w:right="9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</w:tbl>
    <w:p>
      <w:pPr>
        <w:pStyle w:val="3"/>
        <w:spacing w:after="0" w:line="360" w:lineRule="auto"/>
        <w:rPr>
          <w:rFonts w:hint="eastAsia" w:ascii="黑体" w:hAnsi="黑体" w:eastAsia="黑体" w:cs="黑体"/>
          <w:bCs/>
          <w:sz w:val="30"/>
          <w:szCs w:val="30"/>
        </w:rPr>
      </w:pPr>
    </w:p>
    <w:p>
      <w:pPr>
        <w:pStyle w:val="3"/>
        <w:spacing w:after="0" w:line="360" w:lineRule="auto"/>
        <w:rPr>
          <w:rFonts w:hint="eastAsia"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二、企业营业执照</w:t>
      </w:r>
    </w:p>
    <w:p>
      <w:pPr>
        <w:pStyle w:val="3"/>
        <w:spacing w:after="0" w:line="360" w:lineRule="auto"/>
        <w:rPr>
          <w:rFonts w:hint="eastAsia"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......</w:t>
      </w:r>
    </w:p>
    <w:p>
      <w:pPr>
        <w:pStyle w:val="3"/>
        <w:spacing w:after="0" w:line="360" w:lineRule="auto"/>
        <w:rPr>
          <w:rFonts w:hint="eastAsia" w:ascii="黑体" w:hAnsi="黑体" w:eastAsia="黑体" w:cs="黑体"/>
          <w:bCs/>
          <w:sz w:val="30"/>
          <w:szCs w:val="30"/>
        </w:rPr>
      </w:pPr>
    </w:p>
    <w:p>
      <w:pPr>
        <w:pStyle w:val="3"/>
        <w:spacing w:after="0" w:line="360" w:lineRule="auto"/>
        <w:rPr>
          <w:rFonts w:hint="eastAsia"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三、企业资质证明材料</w:t>
      </w:r>
    </w:p>
    <w:p>
      <w:pPr>
        <w:pStyle w:val="3"/>
        <w:spacing w:after="0" w:line="360" w:lineRule="auto"/>
        <w:rPr>
          <w:rFonts w:hint="eastAsia"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......</w:t>
      </w:r>
    </w:p>
    <w:p>
      <w:pPr>
        <w:pStyle w:val="3"/>
        <w:spacing w:after="0" w:line="360" w:lineRule="auto"/>
        <w:rPr>
          <w:rFonts w:hint="eastAsia" w:ascii="黑体" w:hAnsi="黑体" w:eastAsia="黑体" w:cs="黑体"/>
          <w:bCs/>
          <w:sz w:val="30"/>
          <w:szCs w:val="30"/>
        </w:rPr>
      </w:pPr>
    </w:p>
    <w:p>
      <w:pPr>
        <w:pStyle w:val="3"/>
        <w:spacing w:after="0" w:line="360" w:lineRule="auto"/>
        <w:rPr>
          <w:rFonts w:hint="eastAsia"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四、</w:t>
      </w:r>
      <w:r>
        <w:rPr>
          <w:rFonts w:hint="eastAsia" w:ascii="黑体" w:hAnsi="黑体" w:eastAsia="黑体" w:cs="黑体"/>
          <w:bCs/>
          <w:sz w:val="32"/>
          <w:szCs w:val="32"/>
        </w:rPr>
        <w:t>类似业绩</w:t>
      </w:r>
    </w:p>
    <w:tbl>
      <w:tblPr>
        <w:tblStyle w:val="8"/>
        <w:tblW w:w="8336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06"/>
        <w:gridCol w:w="4744"/>
        <w:gridCol w:w="2086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4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客户名称</w:t>
            </w:r>
          </w:p>
        </w:tc>
        <w:tc>
          <w:tcPr>
            <w:tcW w:w="2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4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......</w:t>
            </w:r>
          </w:p>
        </w:tc>
        <w:tc>
          <w:tcPr>
            <w:tcW w:w="2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......</w:t>
            </w:r>
          </w:p>
        </w:tc>
      </w:tr>
    </w:tbl>
    <w:p>
      <w:pPr>
        <w:widowControl/>
        <w:textAlignment w:val="center"/>
        <w:rPr>
          <w:rFonts w:hint="eastAsia" w:ascii="仿宋" w:hAnsi="仿宋" w:eastAsia="仿宋" w:cs="仿宋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（需附发票扫描件）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center" w:y="1"/>
      <w:rPr>
        <w:rStyle w:val="12"/>
      </w:rPr>
    </w:pPr>
    <w:r>
      <w:rPr>
        <w:rStyle w:val="12"/>
      </w:rPr>
      <w:fldChar w:fldCharType="begin"/>
    </w:r>
    <w:r>
      <w:rPr>
        <w:rStyle w:val="12"/>
      </w:rPr>
      <w:instrText xml:space="preserve">PAGE  </w:instrText>
    </w:r>
    <w:r>
      <w:rPr>
        <w:rStyle w:val="12"/>
      </w:rPr>
      <w:fldChar w:fldCharType="separate"/>
    </w:r>
    <w:r>
      <w:rPr>
        <w:rStyle w:val="12"/>
      </w:rPr>
      <w:t>2</w:t>
    </w:r>
    <w:r>
      <w:rPr>
        <w:rStyle w:val="12"/>
      </w:rPr>
      <w:fldChar w:fldCharType="end"/>
    </w:r>
  </w:p>
  <w:p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72D7B8"/>
    <w:multiLevelType w:val="singleLevel"/>
    <w:tmpl w:val="5E72D7B8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Y2ZmExZjhmNmU4NjYzYjc4ZTc5NmRjNjVmYTQ4YTgifQ=="/>
  </w:docVars>
  <w:rsids>
    <w:rsidRoot w:val="00215891"/>
    <w:rsid w:val="00140CCF"/>
    <w:rsid w:val="00215891"/>
    <w:rsid w:val="00296C51"/>
    <w:rsid w:val="003238A4"/>
    <w:rsid w:val="003F6D6F"/>
    <w:rsid w:val="004C0466"/>
    <w:rsid w:val="0056008F"/>
    <w:rsid w:val="00730A4E"/>
    <w:rsid w:val="007E74BF"/>
    <w:rsid w:val="008A2BFF"/>
    <w:rsid w:val="00F373E2"/>
    <w:rsid w:val="00F84AE4"/>
    <w:rsid w:val="00F91323"/>
    <w:rsid w:val="020311FE"/>
    <w:rsid w:val="02E26621"/>
    <w:rsid w:val="0312045E"/>
    <w:rsid w:val="037B5B9E"/>
    <w:rsid w:val="03E770FD"/>
    <w:rsid w:val="064E48E4"/>
    <w:rsid w:val="06B937E5"/>
    <w:rsid w:val="096D5B06"/>
    <w:rsid w:val="0B78547A"/>
    <w:rsid w:val="0C4724DA"/>
    <w:rsid w:val="0CE7033B"/>
    <w:rsid w:val="0CFC279E"/>
    <w:rsid w:val="0E9512FB"/>
    <w:rsid w:val="0F6E6A60"/>
    <w:rsid w:val="11433163"/>
    <w:rsid w:val="11895257"/>
    <w:rsid w:val="12DD5483"/>
    <w:rsid w:val="12FA6FB1"/>
    <w:rsid w:val="13AA1353"/>
    <w:rsid w:val="17A553DC"/>
    <w:rsid w:val="1A117A54"/>
    <w:rsid w:val="1B6754BF"/>
    <w:rsid w:val="1BB73608"/>
    <w:rsid w:val="1D021F1F"/>
    <w:rsid w:val="1F7E34B7"/>
    <w:rsid w:val="201E1A28"/>
    <w:rsid w:val="22C07664"/>
    <w:rsid w:val="27CA1E96"/>
    <w:rsid w:val="28AD2841"/>
    <w:rsid w:val="28CE7DD6"/>
    <w:rsid w:val="290414F4"/>
    <w:rsid w:val="29EA31D2"/>
    <w:rsid w:val="2A031B7E"/>
    <w:rsid w:val="2BC75076"/>
    <w:rsid w:val="2DC412A4"/>
    <w:rsid w:val="2E2B61B5"/>
    <w:rsid w:val="2F3176E9"/>
    <w:rsid w:val="2F87575C"/>
    <w:rsid w:val="31052FA1"/>
    <w:rsid w:val="31351195"/>
    <w:rsid w:val="314779EA"/>
    <w:rsid w:val="31930FE5"/>
    <w:rsid w:val="31B56C84"/>
    <w:rsid w:val="32735651"/>
    <w:rsid w:val="34BA280C"/>
    <w:rsid w:val="35A72C11"/>
    <w:rsid w:val="373B15AC"/>
    <w:rsid w:val="37A32AE3"/>
    <w:rsid w:val="38856FE1"/>
    <w:rsid w:val="38A777BF"/>
    <w:rsid w:val="39BB22CE"/>
    <w:rsid w:val="3A0D38CD"/>
    <w:rsid w:val="3BD165DE"/>
    <w:rsid w:val="3C2D7F51"/>
    <w:rsid w:val="3C514F83"/>
    <w:rsid w:val="3DCB7AF0"/>
    <w:rsid w:val="3FFF678B"/>
    <w:rsid w:val="42E13B13"/>
    <w:rsid w:val="42F37A63"/>
    <w:rsid w:val="434D13F6"/>
    <w:rsid w:val="43846887"/>
    <w:rsid w:val="44FC4C91"/>
    <w:rsid w:val="45ED1D4A"/>
    <w:rsid w:val="468C4E05"/>
    <w:rsid w:val="46A017ED"/>
    <w:rsid w:val="46AB09C6"/>
    <w:rsid w:val="46B61793"/>
    <w:rsid w:val="46C3401E"/>
    <w:rsid w:val="487B4576"/>
    <w:rsid w:val="495D0383"/>
    <w:rsid w:val="4A095ED9"/>
    <w:rsid w:val="4B985140"/>
    <w:rsid w:val="4D5F0AED"/>
    <w:rsid w:val="4EB32A5C"/>
    <w:rsid w:val="4F520F92"/>
    <w:rsid w:val="50501F54"/>
    <w:rsid w:val="509332EF"/>
    <w:rsid w:val="52AA68B0"/>
    <w:rsid w:val="52C8671E"/>
    <w:rsid w:val="538B39A0"/>
    <w:rsid w:val="53E00EAB"/>
    <w:rsid w:val="53FA62CA"/>
    <w:rsid w:val="5528149F"/>
    <w:rsid w:val="5535716F"/>
    <w:rsid w:val="55366A71"/>
    <w:rsid w:val="577344F3"/>
    <w:rsid w:val="58920E5F"/>
    <w:rsid w:val="58D44687"/>
    <w:rsid w:val="59EA6E92"/>
    <w:rsid w:val="5A9654A5"/>
    <w:rsid w:val="5BB81912"/>
    <w:rsid w:val="5D5C6839"/>
    <w:rsid w:val="5D7B682C"/>
    <w:rsid w:val="5EA64C1C"/>
    <w:rsid w:val="5EBA1FF9"/>
    <w:rsid w:val="5EFE4082"/>
    <w:rsid w:val="61AF037F"/>
    <w:rsid w:val="61DB091C"/>
    <w:rsid w:val="62AC09A8"/>
    <w:rsid w:val="62D02FB9"/>
    <w:rsid w:val="636862ED"/>
    <w:rsid w:val="63A52F55"/>
    <w:rsid w:val="63AF194A"/>
    <w:rsid w:val="643A1700"/>
    <w:rsid w:val="65FC5ADD"/>
    <w:rsid w:val="66017F0A"/>
    <w:rsid w:val="66D31767"/>
    <w:rsid w:val="68E97AF4"/>
    <w:rsid w:val="69320B23"/>
    <w:rsid w:val="698D37BB"/>
    <w:rsid w:val="69EF06FE"/>
    <w:rsid w:val="6CD86022"/>
    <w:rsid w:val="6D2E4BAB"/>
    <w:rsid w:val="6D6C5D15"/>
    <w:rsid w:val="6DC33C1A"/>
    <w:rsid w:val="6DD369BE"/>
    <w:rsid w:val="6E2C166C"/>
    <w:rsid w:val="72453989"/>
    <w:rsid w:val="72532C9F"/>
    <w:rsid w:val="728C4C5A"/>
    <w:rsid w:val="72A52C32"/>
    <w:rsid w:val="738B6BDB"/>
    <w:rsid w:val="738F6E24"/>
    <w:rsid w:val="73971E29"/>
    <w:rsid w:val="73FD2C54"/>
    <w:rsid w:val="742F02F3"/>
    <w:rsid w:val="74F76776"/>
    <w:rsid w:val="75015B7F"/>
    <w:rsid w:val="753649D0"/>
    <w:rsid w:val="75FD70BE"/>
    <w:rsid w:val="76235991"/>
    <w:rsid w:val="779A0F48"/>
    <w:rsid w:val="79734051"/>
    <w:rsid w:val="79DB277C"/>
    <w:rsid w:val="7A162392"/>
    <w:rsid w:val="7AFE15D9"/>
    <w:rsid w:val="7B582F6D"/>
    <w:rsid w:val="7CF1528D"/>
    <w:rsid w:val="7F656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qFormat="1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link w:val="15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3">
    <w:name w:val="Body Text"/>
    <w:basedOn w:val="1"/>
    <w:unhideWhenUsed/>
    <w:qFormat/>
    <w:uiPriority w:val="0"/>
    <w:pPr>
      <w:spacing w:after="120"/>
    </w:pPr>
  </w:style>
  <w:style w:type="paragraph" w:styleId="4">
    <w:name w:val="Date"/>
    <w:basedOn w:val="1"/>
    <w:next w:val="1"/>
    <w:link w:val="19"/>
    <w:qFormat/>
    <w:uiPriority w:val="0"/>
    <w:pPr>
      <w:ind w:left="100" w:leftChars="2500"/>
    </w:pPr>
    <w:rPr>
      <w:b/>
      <w:bCs/>
      <w:color w:val="000000"/>
      <w:sz w:val="28"/>
      <w:szCs w:val="20"/>
    </w:rPr>
  </w:style>
  <w:style w:type="paragraph" w:styleId="5">
    <w:name w:val="Balloon Text"/>
    <w:basedOn w:val="1"/>
    <w:link w:val="18"/>
    <w:qFormat/>
    <w:uiPriority w:val="0"/>
    <w:rPr>
      <w:sz w:val="18"/>
      <w:szCs w:val="18"/>
    </w:rPr>
  </w:style>
  <w:style w:type="paragraph" w:styleId="6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page number"/>
    <w:basedOn w:val="10"/>
    <w:qFormat/>
    <w:uiPriority w:val="0"/>
  </w:style>
  <w:style w:type="character" w:styleId="13">
    <w:name w:val="Hyperlink"/>
    <w:basedOn w:val="10"/>
    <w:semiHidden/>
    <w:unhideWhenUsed/>
    <w:qFormat/>
    <w:uiPriority w:val="0"/>
    <w:rPr>
      <w:color w:val="0000FF"/>
      <w:u w:val="single"/>
    </w:rPr>
  </w:style>
  <w:style w:type="paragraph" w:customStyle="1" w:styleId="14">
    <w:name w:val="样式 宋体 小四 首行缩进:  0.85 厘米 行距: 1.5 倍行距"/>
    <w:basedOn w:val="1"/>
    <w:qFormat/>
    <w:uiPriority w:val="0"/>
    <w:pPr>
      <w:spacing w:line="360" w:lineRule="exact"/>
      <w:ind w:firstLine="482"/>
    </w:pPr>
    <w:rPr>
      <w:rFonts w:ascii="宋体" w:hAnsi="宋体" w:cs="宋体"/>
    </w:rPr>
  </w:style>
  <w:style w:type="character" w:customStyle="1" w:styleId="15">
    <w:name w:val="正文缩进 字符"/>
    <w:link w:val="2"/>
    <w:qFormat/>
    <w:uiPriority w:val="0"/>
    <w:rPr>
      <w:rFonts w:eastAsia="宋体"/>
      <w:lang w:val="en-US" w:eastAsia="zh-CN" w:bidi="ar-SA"/>
    </w:rPr>
  </w:style>
  <w:style w:type="character" w:customStyle="1" w:styleId="16">
    <w:name w:val="页眉 字符"/>
    <w:link w:val="7"/>
    <w:qFormat/>
    <w:uiPriority w:val="0"/>
    <w:rPr>
      <w:kern w:val="2"/>
      <w:sz w:val="18"/>
      <w:szCs w:val="18"/>
    </w:rPr>
  </w:style>
  <w:style w:type="character" w:customStyle="1" w:styleId="17">
    <w:name w:val="页脚 字符"/>
    <w:link w:val="6"/>
    <w:qFormat/>
    <w:uiPriority w:val="0"/>
    <w:rPr>
      <w:kern w:val="2"/>
      <w:sz w:val="18"/>
      <w:szCs w:val="18"/>
    </w:rPr>
  </w:style>
  <w:style w:type="character" w:customStyle="1" w:styleId="18">
    <w:name w:val="批注框文本 字符"/>
    <w:link w:val="5"/>
    <w:qFormat/>
    <w:uiPriority w:val="0"/>
    <w:rPr>
      <w:kern w:val="2"/>
      <w:sz w:val="18"/>
      <w:szCs w:val="18"/>
    </w:rPr>
  </w:style>
  <w:style w:type="character" w:customStyle="1" w:styleId="19">
    <w:name w:val="日期 字符"/>
    <w:basedOn w:val="10"/>
    <w:link w:val="4"/>
    <w:qFormat/>
    <w:uiPriority w:val="0"/>
    <w:rPr>
      <w:b/>
      <w:bCs/>
      <w:color w:val="000000"/>
      <w:kern w:val="2"/>
      <w:sz w:val="28"/>
    </w:rPr>
  </w:style>
  <w:style w:type="paragraph" w:customStyle="1" w:styleId="20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table" w:customStyle="1" w:styleId="21">
    <w:name w:val="table"/>
    <w:basedOn w:val="8"/>
    <w:qFormat/>
    <w:uiPriority w:val="0"/>
  </w:style>
  <w:style w:type="character" w:customStyle="1" w:styleId="22">
    <w:name w:val="a_not(.btn)"/>
    <w:basedOn w:val="10"/>
    <w:qFormat/>
    <w:uiPriority w:val="0"/>
    <w:rPr>
      <w:color w:val="0079F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7</Pages>
  <Words>1083</Words>
  <Characters>1160</Characters>
  <Lines>165</Lines>
  <Paragraphs>160</Paragraphs>
  <TotalTime>27</TotalTime>
  <ScaleCrop>false</ScaleCrop>
  <LinksUpToDate>false</LinksUpToDate>
  <CharactersWithSpaces>2083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2018-08-16T03:32:00Z</dcterms:created>
  <dc:creator>徐文忠</dc:creator>
  <cp:lastModifiedBy>00017540_yn</cp:lastModifiedBy>
  <cp:lastPrinted>2025-07-29T06:47:00Z</cp:lastPrinted>
  <dcterms:modified xsi:type="dcterms:W3CDTF">2026-09-14T10:59:09Z</dcterms:modified>
  <dc:title>云南电网公司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4CA95D633A4D4D09B8988E186D227786</vt:lpwstr>
  </property>
  <property fmtid="{D5CDD505-2E9C-101B-9397-08002B2CF9AE}" pid="4" name="WondersoftTag">
    <vt:lpwstr>228A5B72-E9B1-44AD-AA5C-90D772471893#2#314C207A-08F94E6A-B246B418-E49E41DD##0</vt:lpwstr>
  </property>
  <property fmtid="{D5CDD505-2E9C-101B-9397-08002B2CF9AE}" pid="5" name="KSOTemplateDocerSaveRecord">
    <vt:lpwstr>eyJoZGlkIjoiNWQyNmFiNGRiOTEyNzRhM2RjMDdjNDAwZTRmNzU0YjciLCJ1c2VySWQiOiI2OTg5MDQyMTAifQ==</vt:lpwstr>
  </property>
</Properties>
</file>