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563D2">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7620"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14:paraId="44114BAB">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7C350CF8">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45F3AF79">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5043188C">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181D5D65">
      <w:pPr>
        <w:autoSpaceDE w:val="0"/>
        <w:autoSpaceDN w:val="0"/>
        <w:adjustRightInd w:val="0"/>
        <w:jc w:val="center"/>
        <w:outlineLvl w:val="9"/>
        <w:rPr>
          <w:rFonts w:hint="default" w:ascii="黑体" w:hAnsi="黑体" w:eastAsia="黑体" w:cs="宋体"/>
          <w:b/>
          <w:bCs/>
          <w:kern w:val="0"/>
          <w:sz w:val="52"/>
          <w:szCs w:val="40"/>
          <w:lang w:val="en-US" w:eastAsia="zh-CN"/>
        </w:rPr>
      </w:pPr>
      <w:r>
        <w:rPr>
          <w:rFonts w:hint="default" w:ascii="黑体" w:hAnsi="黑体" w:eastAsia="黑体" w:cs="宋体"/>
          <w:b/>
          <w:bCs/>
          <w:kern w:val="0"/>
          <w:sz w:val="52"/>
          <w:szCs w:val="40"/>
          <w:lang w:val="en-US" w:eastAsia="zh-CN"/>
        </w:rPr>
        <w:t>南方电网调峰调频发电有限公司</w:t>
      </w:r>
    </w:p>
    <w:p w14:paraId="60FE5DFB">
      <w:pPr>
        <w:autoSpaceDE w:val="0"/>
        <w:autoSpaceDN w:val="0"/>
        <w:adjustRightInd w:val="0"/>
        <w:jc w:val="center"/>
        <w:outlineLvl w:val="9"/>
        <w:rPr>
          <w:rFonts w:hint="default" w:ascii="黑体" w:hAnsi="黑体" w:eastAsia="黑体" w:cs="宋体"/>
          <w:b/>
          <w:bCs/>
          <w:kern w:val="0"/>
          <w:sz w:val="52"/>
          <w:szCs w:val="40"/>
          <w:lang w:val="en-US" w:eastAsia="zh-CN"/>
        </w:rPr>
      </w:pPr>
      <w:r>
        <w:rPr>
          <w:rFonts w:hint="default" w:ascii="黑体" w:hAnsi="黑体" w:eastAsia="黑体" w:cs="宋体"/>
          <w:b/>
          <w:bCs/>
          <w:kern w:val="0"/>
          <w:sz w:val="52"/>
          <w:szCs w:val="40"/>
          <w:lang w:val="en-US" w:eastAsia="zh-CN"/>
        </w:rPr>
        <w:t>储能科研院储能电站</w:t>
      </w:r>
    </w:p>
    <w:p w14:paraId="1A6BE800">
      <w:pPr>
        <w:autoSpaceDE w:val="0"/>
        <w:autoSpaceDN w:val="0"/>
        <w:adjustRightInd w:val="0"/>
        <w:jc w:val="center"/>
        <w:outlineLvl w:val="9"/>
        <w:rPr>
          <w:rFonts w:hint="default" w:ascii="黑体" w:hAnsi="黑体" w:eastAsia="黑体" w:cs="宋体"/>
          <w:b/>
          <w:bCs/>
          <w:kern w:val="0"/>
          <w:sz w:val="52"/>
          <w:szCs w:val="40"/>
          <w:lang w:val="en-US" w:eastAsia="zh-CN"/>
        </w:rPr>
      </w:pPr>
      <w:r>
        <w:rPr>
          <w:rFonts w:hint="default" w:ascii="黑体" w:hAnsi="黑体" w:eastAsia="黑体" w:cs="宋体"/>
          <w:b/>
          <w:bCs/>
          <w:kern w:val="0"/>
          <w:sz w:val="52"/>
          <w:szCs w:val="40"/>
          <w:lang w:val="en-US" w:eastAsia="zh-CN"/>
        </w:rPr>
        <w:t>边缘数据传输系统维护</w:t>
      </w:r>
    </w:p>
    <w:p w14:paraId="284FD85D">
      <w:pPr>
        <w:autoSpaceDE w:val="0"/>
        <w:autoSpaceDN w:val="0"/>
        <w:adjustRightInd w:val="0"/>
        <w:jc w:val="center"/>
        <w:outlineLvl w:val="9"/>
        <w:rPr>
          <w:rFonts w:hint="default" w:ascii="黑体" w:hAnsi="黑体" w:eastAsia="黑体" w:cs="宋体"/>
          <w:b/>
          <w:bCs/>
          <w:kern w:val="0"/>
          <w:sz w:val="52"/>
          <w:szCs w:val="40"/>
          <w:lang w:val="en-US" w:eastAsia="zh-CN"/>
        </w:rPr>
      </w:pPr>
      <w:r>
        <w:rPr>
          <w:rFonts w:hint="default" w:ascii="黑体" w:hAnsi="黑体" w:eastAsia="黑体" w:cs="宋体"/>
          <w:b/>
          <w:bCs/>
          <w:kern w:val="0"/>
          <w:sz w:val="52"/>
          <w:szCs w:val="40"/>
          <w:lang w:val="en-US" w:eastAsia="zh-CN"/>
        </w:rPr>
        <w:t>技术规范书</w:t>
      </w:r>
    </w:p>
    <w:p w14:paraId="7214F5C4">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5624A709">
      <w:pPr>
        <w:pStyle w:val="4"/>
        <w:rPr>
          <w:rFonts w:hint="default" w:ascii="Times New Roman" w:hAnsi="Times New Roman" w:eastAsia="仿宋_GB2312" w:cs="Times New Roman"/>
          <w:b/>
          <w:bCs/>
          <w:sz w:val="28"/>
          <w:szCs w:val="36"/>
        </w:rPr>
      </w:pPr>
    </w:p>
    <w:p w14:paraId="599FADF8">
      <w:pPr>
        <w:pStyle w:val="5"/>
        <w:outlineLvl w:val="9"/>
        <w:rPr>
          <w:rFonts w:hint="default" w:ascii="Times New Roman" w:hAnsi="Times New Roman" w:eastAsia="仿宋_GB2312" w:cs="Times New Roman"/>
          <w:b/>
          <w:bCs/>
          <w:sz w:val="28"/>
          <w:szCs w:val="36"/>
        </w:rPr>
      </w:pPr>
    </w:p>
    <w:p w14:paraId="2954D996">
      <w:pPr>
        <w:rPr>
          <w:rFonts w:hint="default" w:ascii="Times New Roman" w:hAnsi="Times New Roman" w:eastAsia="仿宋_GB2312" w:cs="Times New Roman"/>
          <w:b/>
          <w:bCs/>
          <w:sz w:val="28"/>
          <w:szCs w:val="36"/>
        </w:rPr>
      </w:pPr>
    </w:p>
    <w:p w14:paraId="61622F5B">
      <w:pPr>
        <w:pStyle w:val="4"/>
        <w:rPr>
          <w:rFonts w:hint="default" w:ascii="Times New Roman" w:hAnsi="Times New Roman" w:eastAsia="仿宋_GB2312" w:cs="Times New Roman"/>
          <w:b/>
          <w:bCs/>
          <w:sz w:val="28"/>
          <w:szCs w:val="36"/>
        </w:rPr>
      </w:pPr>
    </w:p>
    <w:p w14:paraId="096C5E0E">
      <w:pPr>
        <w:widowControl/>
        <w:spacing w:line="440" w:lineRule="exact"/>
        <w:jc w:val="center"/>
        <w:outlineLvl w:val="9"/>
        <w:rPr>
          <w:rFonts w:hint="eastAsia" w:eastAsia="黑体"/>
          <w:sz w:val="28"/>
          <w:szCs w:val="28"/>
          <w:lang w:eastAsia="zh-CN"/>
        </w:rPr>
      </w:pPr>
      <w:r>
        <w:rPr>
          <w:rFonts w:hint="eastAsia" w:eastAsia="黑体"/>
          <w:sz w:val="28"/>
          <w:szCs w:val="28"/>
        </w:rPr>
        <w:t>南方电网调峰调频发电有限公司储能科研院</w:t>
      </w:r>
    </w:p>
    <w:p w14:paraId="0EAFA5D4">
      <w:pPr>
        <w:widowControl/>
        <w:spacing w:line="440" w:lineRule="exact"/>
        <w:jc w:val="center"/>
        <w:outlineLvl w:val="9"/>
        <w:rPr>
          <w:rFonts w:eastAsia="黑体"/>
          <w:sz w:val="28"/>
          <w:szCs w:val="28"/>
        </w:rPr>
      </w:pPr>
    </w:p>
    <w:p w14:paraId="1BC0F6FA">
      <w:pPr>
        <w:pStyle w:val="5"/>
        <w:outlineLvl w:val="9"/>
        <w:rPr>
          <w:rFonts w:hint="default" w:ascii="Times New Roman" w:hAnsi="Times New Roman" w:eastAsia="仿宋_GB2312" w:cs="Times New Roman"/>
          <w:b/>
          <w:bCs/>
          <w:sz w:val="28"/>
          <w:szCs w:val="36"/>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6</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8</w:t>
      </w:r>
      <w:r>
        <w:rPr>
          <w:rFonts w:hint="eastAsia" w:ascii="new times roman" w:hAnsi="new times roman" w:eastAsia="黑体"/>
          <w:sz w:val="28"/>
          <w:szCs w:val="28"/>
        </w:rPr>
        <w:t>月</w:t>
      </w:r>
    </w:p>
    <w:p w14:paraId="6B69A5F0">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sectPr>
          <w:pgSz w:w="11906" w:h="16838"/>
          <w:pgMar w:top="1440" w:right="1800" w:bottom="1440" w:left="1800" w:header="851" w:footer="992" w:gutter="0"/>
          <w:cols w:space="425" w:num="1"/>
          <w:docGrid w:type="lines" w:linePitch="312" w:charSpace="0"/>
        </w:sectPr>
      </w:pPr>
    </w:p>
    <w:p w14:paraId="4866E221">
      <w:pPr>
        <w:pStyle w:val="2"/>
        <w:keepNext w:val="0"/>
        <w:keepLines w:val="0"/>
        <w:pageBreakBefore w:val="0"/>
        <w:widowControl w:val="0"/>
        <w:kinsoku/>
        <w:wordWrap/>
        <w:overflowPunct/>
        <w:topLinePunct w:val="0"/>
        <w:autoSpaceDE/>
        <w:autoSpaceDN/>
        <w:bidi w:val="0"/>
        <w:adjustRightInd/>
        <w:snapToGrid/>
        <w:spacing w:after="0" w:afterAutospacing="0"/>
        <w:textAlignment w:val="auto"/>
        <w:rPr>
          <w:rFonts w:hint="eastAsia" w:eastAsia="浠垮畫"/>
          <w:sz w:val="28"/>
        </w:rPr>
      </w:pPr>
      <w:r>
        <w:rPr>
          <w:rFonts w:hint="eastAsia" w:eastAsia="浠垮畫"/>
          <w:sz w:val="28"/>
        </w:rPr>
        <w:t>一、项目名称</w:t>
      </w:r>
    </w:p>
    <w:p w14:paraId="2DFDDC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南方电网调峰调频发电有限公司储能科研院储能电站边缘数据传输系统维护</w:t>
      </w:r>
    </w:p>
    <w:p w14:paraId="7F10B713">
      <w:pPr>
        <w:pStyle w:val="2"/>
        <w:keepNext w:val="0"/>
        <w:keepLines w:val="0"/>
        <w:pageBreakBefore w:val="0"/>
        <w:widowControl w:val="0"/>
        <w:kinsoku/>
        <w:wordWrap/>
        <w:overflowPunct/>
        <w:topLinePunct w:val="0"/>
        <w:autoSpaceDE/>
        <w:autoSpaceDN/>
        <w:bidi w:val="0"/>
        <w:adjustRightInd/>
        <w:snapToGrid/>
        <w:spacing w:after="0" w:afterAutospacing="0"/>
        <w:textAlignment w:val="auto"/>
        <w:rPr>
          <w:rFonts w:hint="eastAsia" w:eastAsia="浠垮畫"/>
          <w:sz w:val="28"/>
        </w:rPr>
      </w:pPr>
      <w:r>
        <w:rPr>
          <w:rFonts w:hint="eastAsia" w:eastAsia="浠垮畫"/>
          <w:sz w:val="28"/>
        </w:rPr>
        <w:t>二、项目概况</w:t>
      </w:r>
    </w:p>
    <w:p w14:paraId="3F4C4B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为保障调峰调频资源聚合平台改造（储能电站数据接入）项目系统长期稳定、安全、高效运行，提升故障响应效率，南方电网调峰调频发电有限公司储能科研院拟对杨屋、黎贝、芙蓉、药谷、宝清、清远6个储能站部署的电池储能系统边缘计算平台开展维护服务，按表1内容确定维护站点及系统配置，以此保障站端储能数据采集、汇聚、转发与安全运行管理的连续可靠。</w:t>
      </w:r>
    </w:p>
    <w:p w14:paraId="6CF310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b/>
          <w:bCs/>
          <w:sz w:val="24"/>
          <w:szCs w:val="24"/>
          <w:lang w:val="en-US" w:eastAsia="zh-CN"/>
        </w:rPr>
        <w:t>表1 维护站点及系统配置一览表</w:t>
      </w:r>
    </w:p>
    <w:tbl>
      <w:tblPr>
        <w:tblStyle w:val="7"/>
        <w:tblW w:w="8604" w:type="dxa"/>
        <w:tblInd w:w="0" w:type="dxa"/>
        <w:tblLayout w:type="fixed"/>
        <w:tblCellMar>
          <w:top w:w="15" w:type="dxa"/>
          <w:left w:w="15" w:type="dxa"/>
          <w:bottom w:w="15" w:type="dxa"/>
          <w:right w:w="15" w:type="dxa"/>
        </w:tblCellMar>
      </w:tblPr>
      <w:tblGrid>
        <w:gridCol w:w="628"/>
        <w:gridCol w:w="1250"/>
        <w:gridCol w:w="1316"/>
        <w:gridCol w:w="1225"/>
        <w:gridCol w:w="3164"/>
        <w:gridCol w:w="1021"/>
      </w:tblGrid>
      <w:tr w14:paraId="2ADC4ACB">
        <w:tblPrEx>
          <w:tblCellMar>
            <w:top w:w="15" w:type="dxa"/>
            <w:left w:w="15" w:type="dxa"/>
            <w:bottom w:w="15" w:type="dxa"/>
            <w:right w:w="15" w:type="dxa"/>
          </w:tblCellMar>
        </w:tblPrEx>
        <w:tc>
          <w:tcPr>
            <w:tcW w:w="628" w:type="dxa"/>
            <w:tcBorders>
              <w:top w:val="single" w:color="000000" w:sz="6" w:space="0"/>
              <w:left w:val="single" w:color="000000" w:sz="6" w:space="0"/>
              <w:bottom w:val="single" w:color="000000" w:sz="6" w:space="0"/>
              <w:right w:val="single" w:color="000000" w:sz="6" w:space="0"/>
            </w:tcBorders>
            <w:shd w:val="clear" w:color="auto" w:fill="D9D9D9"/>
            <w:tcMar>
              <w:top w:w="60" w:type="dxa"/>
              <w:left w:w="90" w:type="dxa"/>
              <w:bottom w:w="60" w:type="dxa"/>
              <w:right w:w="90" w:type="dxa"/>
            </w:tcMar>
            <w:vAlign w:val="center"/>
          </w:tcPr>
          <w:p w14:paraId="43D6DF9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序号</w:t>
            </w:r>
          </w:p>
        </w:tc>
        <w:tc>
          <w:tcPr>
            <w:tcW w:w="1250" w:type="dxa"/>
            <w:tcBorders>
              <w:top w:val="single" w:color="000000" w:sz="6" w:space="0"/>
              <w:left w:val="single" w:color="000000" w:sz="6" w:space="0"/>
              <w:bottom w:val="single" w:color="000000" w:sz="6" w:space="0"/>
              <w:right w:val="single" w:color="000000" w:sz="6" w:space="0"/>
            </w:tcBorders>
            <w:shd w:val="clear" w:color="auto" w:fill="D9D9D9"/>
            <w:tcMar>
              <w:top w:w="60" w:type="dxa"/>
              <w:left w:w="90" w:type="dxa"/>
              <w:bottom w:w="60" w:type="dxa"/>
              <w:right w:w="90" w:type="dxa"/>
            </w:tcMar>
            <w:vAlign w:val="center"/>
          </w:tcPr>
          <w:p w14:paraId="254D245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站点名称</w:t>
            </w:r>
          </w:p>
        </w:tc>
        <w:tc>
          <w:tcPr>
            <w:tcW w:w="1316" w:type="dxa"/>
            <w:tcBorders>
              <w:top w:val="single" w:color="000000" w:sz="6" w:space="0"/>
              <w:left w:val="single" w:color="000000" w:sz="6" w:space="0"/>
              <w:bottom w:val="single" w:color="000000" w:sz="6" w:space="0"/>
              <w:right w:val="single" w:color="000000" w:sz="6" w:space="0"/>
            </w:tcBorders>
            <w:shd w:val="clear" w:color="auto" w:fill="D9D9D9"/>
            <w:tcMar>
              <w:top w:w="60" w:type="dxa"/>
              <w:left w:w="90" w:type="dxa"/>
              <w:bottom w:w="60" w:type="dxa"/>
              <w:right w:w="90" w:type="dxa"/>
            </w:tcMar>
            <w:vAlign w:val="center"/>
          </w:tcPr>
          <w:p w14:paraId="1B77C7B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站点位置</w:t>
            </w:r>
          </w:p>
        </w:tc>
        <w:tc>
          <w:tcPr>
            <w:tcW w:w="1225" w:type="dxa"/>
            <w:tcBorders>
              <w:top w:val="single" w:color="000000" w:sz="6" w:space="0"/>
              <w:left w:val="single" w:color="000000" w:sz="6" w:space="0"/>
              <w:bottom w:val="single" w:color="000000" w:sz="6" w:space="0"/>
              <w:right w:val="single" w:color="000000" w:sz="6" w:space="0"/>
            </w:tcBorders>
            <w:shd w:val="clear" w:color="auto" w:fill="D9D9D9"/>
            <w:tcMar>
              <w:top w:w="60" w:type="dxa"/>
              <w:left w:w="90" w:type="dxa"/>
              <w:bottom w:w="60" w:type="dxa"/>
              <w:right w:w="90" w:type="dxa"/>
            </w:tcMar>
            <w:vAlign w:val="center"/>
          </w:tcPr>
          <w:p w14:paraId="5D35947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站点容量</w:t>
            </w:r>
          </w:p>
        </w:tc>
        <w:tc>
          <w:tcPr>
            <w:tcW w:w="3164" w:type="dxa"/>
            <w:tcBorders>
              <w:top w:val="single" w:color="000000" w:sz="6" w:space="0"/>
              <w:left w:val="single" w:color="000000" w:sz="6" w:space="0"/>
              <w:bottom w:val="single" w:color="000000" w:sz="6" w:space="0"/>
              <w:right w:val="single" w:color="000000" w:sz="6" w:space="0"/>
            </w:tcBorders>
            <w:shd w:val="clear" w:color="auto" w:fill="D9D9D9"/>
            <w:tcMar>
              <w:top w:w="60" w:type="dxa"/>
              <w:left w:w="90" w:type="dxa"/>
              <w:bottom w:w="60" w:type="dxa"/>
              <w:right w:w="90" w:type="dxa"/>
            </w:tcMar>
            <w:vAlign w:val="center"/>
          </w:tcPr>
          <w:p w14:paraId="6B8D830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维护对象</w:t>
            </w:r>
          </w:p>
        </w:tc>
        <w:tc>
          <w:tcPr>
            <w:tcW w:w="1021" w:type="dxa"/>
            <w:tcBorders>
              <w:top w:val="single" w:color="000000" w:sz="6" w:space="0"/>
              <w:left w:val="single" w:color="000000" w:sz="6" w:space="0"/>
              <w:bottom w:val="single" w:color="000000" w:sz="6" w:space="0"/>
              <w:right w:val="single" w:color="000000" w:sz="6" w:space="0"/>
            </w:tcBorders>
            <w:shd w:val="clear" w:color="auto" w:fill="D9D9D9"/>
            <w:tcMar>
              <w:top w:w="60" w:type="dxa"/>
              <w:left w:w="90" w:type="dxa"/>
              <w:bottom w:w="60" w:type="dxa"/>
              <w:right w:w="90" w:type="dxa"/>
            </w:tcMar>
            <w:vAlign w:val="center"/>
          </w:tcPr>
          <w:p w14:paraId="2EE88FA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工作量</w:t>
            </w:r>
          </w:p>
        </w:tc>
      </w:tr>
      <w:tr w14:paraId="10B902BB">
        <w:tblPrEx>
          <w:tblCellMar>
            <w:top w:w="15" w:type="dxa"/>
            <w:left w:w="15" w:type="dxa"/>
            <w:bottom w:w="15" w:type="dxa"/>
            <w:right w:w="15" w:type="dxa"/>
          </w:tblCellMar>
        </w:tblPrEx>
        <w:tc>
          <w:tcPr>
            <w:tcW w:w="628"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602E260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1</w:t>
            </w:r>
          </w:p>
        </w:tc>
        <w:tc>
          <w:tcPr>
            <w:tcW w:w="1250"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657519E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杨屋站</w:t>
            </w:r>
          </w:p>
        </w:tc>
        <w:tc>
          <w:tcPr>
            <w:tcW w:w="1316"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586EAFF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广东东莞</w:t>
            </w:r>
          </w:p>
        </w:tc>
        <w:tc>
          <w:tcPr>
            <w:tcW w:w="1225"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29609D4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10MW/20MWh</w:t>
            </w:r>
          </w:p>
        </w:tc>
        <w:tc>
          <w:tcPr>
            <w:tcW w:w="3164"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7A7E4F6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采集服务器、正向隔离装置、转发服务器及数据采集/边缘计算服务</w:t>
            </w:r>
          </w:p>
        </w:tc>
        <w:tc>
          <w:tcPr>
            <w:tcW w:w="1021"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5AB945D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全年日常维护</w:t>
            </w:r>
          </w:p>
        </w:tc>
      </w:tr>
      <w:tr w14:paraId="01944454">
        <w:tblPrEx>
          <w:tblCellMar>
            <w:top w:w="15" w:type="dxa"/>
            <w:left w:w="15" w:type="dxa"/>
            <w:bottom w:w="15" w:type="dxa"/>
            <w:right w:w="15" w:type="dxa"/>
          </w:tblCellMar>
        </w:tblPrEx>
        <w:tc>
          <w:tcPr>
            <w:tcW w:w="628"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24AA673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2</w:t>
            </w:r>
          </w:p>
        </w:tc>
        <w:tc>
          <w:tcPr>
            <w:tcW w:w="1250"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3845C9E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黎贝站</w:t>
            </w:r>
          </w:p>
        </w:tc>
        <w:tc>
          <w:tcPr>
            <w:tcW w:w="1316"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685F432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广东东莞</w:t>
            </w:r>
          </w:p>
        </w:tc>
        <w:tc>
          <w:tcPr>
            <w:tcW w:w="1225"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299F739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5MW/10MWh</w:t>
            </w:r>
          </w:p>
        </w:tc>
        <w:tc>
          <w:tcPr>
            <w:tcW w:w="3164"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6522A54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采集服务器、正向隔离装置、转发服务器及数据采集/边缘计算服务</w:t>
            </w:r>
          </w:p>
        </w:tc>
        <w:tc>
          <w:tcPr>
            <w:tcW w:w="1021"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7D2B4F7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全年日常维护</w:t>
            </w:r>
          </w:p>
        </w:tc>
      </w:tr>
      <w:tr w14:paraId="01880AFE">
        <w:tblPrEx>
          <w:tblCellMar>
            <w:top w:w="15" w:type="dxa"/>
            <w:left w:w="15" w:type="dxa"/>
            <w:bottom w:w="15" w:type="dxa"/>
            <w:right w:w="15" w:type="dxa"/>
          </w:tblCellMar>
        </w:tblPrEx>
        <w:tc>
          <w:tcPr>
            <w:tcW w:w="628"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300DF1B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3</w:t>
            </w:r>
          </w:p>
        </w:tc>
        <w:tc>
          <w:tcPr>
            <w:tcW w:w="1250"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21FE602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芙蓉站</w:t>
            </w:r>
          </w:p>
        </w:tc>
        <w:tc>
          <w:tcPr>
            <w:tcW w:w="1316"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36BBB4B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广东广州</w:t>
            </w:r>
          </w:p>
        </w:tc>
        <w:tc>
          <w:tcPr>
            <w:tcW w:w="1225"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5A117C7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5MW/10MWh</w:t>
            </w:r>
          </w:p>
        </w:tc>
        <w:tc>
          <w:tcPr>
            <w:tcW w:w="3164"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6BE062B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采集服务器、正向隔离装置、转发服务器及数据采集/边缘计算服务</w:t>
            </w:r>
          </w:p>
        </w:tc>
        <w:tc>
          <w:tcPr>
            <w:tcW w:w="1021"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1A386BB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全年日常维护</w:t>
            </w:r>
          </w:p>
        </w:tc>
      </w:tr>
      <w:tr w14:paraId="3F1C0C7C">
        <w:tblPrEx>
          <w:tblCellMar>
            <w:top w:w="15" w:type="dxa"/>
            <w:left w:w="15" w:type="dxa"/>
            <w:bottom w:w="15" w:type="dxa"/>
            <w:right w:w="15" w:type="dxa"/>
          </w:tblCellMar>
        </w:tblPrEx>
        <w:tc>
          <w:tcPr>
            <w:tcW w:w="628"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5B1A73C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4</w:t>
            </w:r>
          </w:p>
        </w:tc>
        <w:tc>
          <w:tcPr>
            <w:tcW w:w="1250"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20D7D03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药谷站</w:t>
            </w:r>
          </w:p>
        </w:tc>
        <w:tc>
          <w:tcPr>
            <w:tcW w:w="1316"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125C95A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海南海口</w:t>
            </w:r>
          </w:p>
        </w:tc>
        <w:tc>
          <w:tcPr>
            <w:tcW w:w="1225"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04E59A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5MW/10MWh</w:t>
            </w:r>
          </w:p>
        </w:tc>
        <w:tc>
          <w:tcPr>
            <w:tcW w:w="3164"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77643BB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采集服务器、正向隔离装置、转发服务器及数据采集/边缘计算服务</w:t>
            </w:r>
          </w:p>
        </w:tc>
        <w:tc>
          <w:tcPr>
            <w:tcW w:w="1021"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5B53F64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全年日常维护</w:t>
            </w:r>
          </w:p>
        </w:tc>
      </w:tr>
      <w:tr w14:paraId="0EEC9990">
        <w:tblPrEx>
          <w:tblCellMar>
            <w:top w:w="15" w:type="dxa"/>
            <w:left w:w="15" w:type="dxa"/>
            <w:bottom w:w="15" w:type="dxa"/>
            <w:right w:w="15" w:type="dxa"/>
          </w:tblCellMar>
        </w:tblPrEx>
        <w:tc>
          <w:tcPr>
            <w:tcW w:w="628"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3217D33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5</w:t>
            </w:r>
          </w:p>
        </w:tc>
        <w:tc>
          <w:tcPr>
            <w:tcW w:w="1250"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570E49C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宝清站</w:t>
            </w:r>
          </w:p>
        </w:tc>
        <w:tc>
          <w:tcPr>
            <w:tcW w:w="1316"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5A3159F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广东深圳</w:t>
            </w:r>
          </w:p>
        </w:tc>
        <w:tc>
          <w:tcPr>
            <w:tcW w:w="1225"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3255508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10MW/22MWh</w:t>
            </w:r>
          </w:p>
        </w:tc>
        <w:tc>
          <w:tcPr>
            <w:tcW w:w="3164"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0DFFA8F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采集服务器、正向隔离装置、转发服务器及数据采集/边缘计算服务</w:t>
            </w:r>
          </w:p>
        </w:tc>
        <w:tc>
          <w:tcPr>
            <w:tcW w:w="1021" w:type="dxa"/>
            <w:tcBorders>
              <w:top w:val="single" w:color="000000" w:sz="6" w:space="0"/>
              <w:left w:val="single" w:color="000000" w:sz="6" w:space="0"/>
              <w:bottom w:val="single" w:color="000000" w:sz="6" w:space="0"/>
              <w:right w:val="single" w:color="000000" w:sz="6" w:space="0"/>
            </w:tcBorders>
            <w:tcMar>
              <w:top w:w="60" w:type="dxa"/>
              <w:left w:w="90" w:type="dxa"/>
              <w:bottom w:w="60" w:type="dxa"/>
              <w:right w:w="90" w:type="dxa"/>
            </w:tcMar>
            <w:vAlign w:val="center"/>
          </w:tcPr>
          <w:p w14:paraId="24027FC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全年日常维护</w:t>
            </w:r>
          </w:p>
        </w:tc>
      </w:tr>
      <w:tr w14:paraId="2B49A4D5">
        <w:tblPrEx>
          <w:tblCellMar>
            <w:top w:w="15" w:type="dxa"/>
            <w:left w:w="15" w:type="dxa"/>
            <w:bottom w:w="15" w:type="dxa"/>
            <w:right w:w="15" w:type="dxa"/>
          </w:tblCellMar>
        </w:tblPrEx>
        <w:tc>
          <w:tcPr>
            <w:tcW w:w="628" w:type="dxa"/>
            <w:tcBorders>
              <w:top w:val="single" w:color="000000" w:sz="6" w:space="0"/>
              <w:left w:val="single" w:color="000000" w:sz="6" w:space="0"/>
              <w:bottom w:val="single" w:color="000000" w:sz="6" w:space="0"/>
              <w:right w:val="single" w:color="000000" w:sz="6" w:space="0"/>
            </w:tcBorders>
            <w:shd w:val="clear" w:color="auto" w:fill="auto"/>
            <w:tcMar>
              <w:top w:w="60" w:type="dxa"/>
              <w:left w:w="90" w:type="dxa"/>
              <w:bottom w:w="60" w:type="dxa"/>
              <w:right w:w="90" w:type="dxa"/>
            </w:tcMar>
            <w:vAlign w:val="center"/>
          </w:tcPr>
          <w:p w14:paraId="523A568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6</w:t>
            </w:r>
          </w:p>
        </w:tc>
        <w:tc>
          <w:tcPr>
            <w:tcW w:w="1250" w:type="dxa"/>
            <w:tcBorders>
              <w:top w:val="single" w:color="000000" w:sz="6" w:space="0"/>
              <w:left w:val="single" w:color="000000" w:sz="6" w:space="0"/>
              <w:bottom w:val="single" w:color="000000" w:sz="6" w:space="0"/>
              <w:right w:val="single" w:color="000000" w:sz="6" w:space="0"/>
            </w:tcBorders>
            <w:shd w:val="clear" w:color="auto" w:fill="auto"/>
            <w:tcMar>
              <w:top w:w="60" w:type="dxa"/>
              <w:left w:w="90" w:type="dxa"/>
              <w:bottom w:w="60" w:type="dxa"/>
              <w:right w:w="90" w:type="dxa"/>
            </w:tcMar>
            <w:vAlign w:val="center"/>
          </w:tcPr>
          <w:p w14:paraId="15A30E7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清蓄UPS站</w:t>
            </w:r>
          </w:p>
        </w:tc>
        <w:tc>
          <w:tcPr>
            <w:tcW w:w="1316" w:type="dxa"/>
            <w:tcBorders>
              <w:top w:val="single" w:color="000000" w:sz="6" w:space="0"/>
              <w:left w:val="single" w:color="000000" w:sz="6" w:space="0"/>
              <w:bottom w:val="single" w:color="000000" w:sz="6" w:space="0"/>
              <w:right w:val="single" w:color="000000" w:sz="6" w:space="0"/>
            </w:tcBorders>
            <w:shd w:val="clear" w:color="auto" w:fill="auto"/>
            <w:tcMar>
              <w:top w:w="60" w:type="dxa"/>
              <w:left w:w="90" w:type="dxa"/>
              <w:bottom w:w="60" w:type="dxa"/>
              <w:right w:w="90" w:type="dxa"/>
            </w:tcMar>
            <w:vAlign w:val="center"/>
          </w:tcPr>
          <w:p w14:paraId="241BC38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广东清远</w:t>
            </w:r>
          </w:p>
        </w:tc>
        <w:tc>
          <w:tcPr>
            <w:tcW w:w="1225" w:type="dxa"/>
            <w:tcBorders>
              <w:top w:val="single" w:color="000000" w:sz="6" w:space="0"/>
              <w:left w:val="single" w:color="000000" w:sz="6" w:space="0"/>
              <w:bottom w:val="single" w:color="000000" w:sz="6" w:space="0"/>
              <w:right w:val="single" w:color="000000" w:sz="6" w:space="0"/>
            </w:tcBorders>
            <w:shd w:val="clear" w:color="auto" w:fill="auto"/>
            <w:tcMar>
              <w:top w:w="60" w:type="dxa"/>
              <w:left w:w="90" w:type="dxa"/>
              <w:bottom w:w="60" w:type="dxa"/>
              <w:right w:w="90" w:type="dxa"/>
            </w:tcMar>
            <w:vAlign w:val="center"/>
          </w:tcPr>
          <w:p w14:paraId="7ADC4BA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300kW/1.12MWh</w:t>
            </w:r>
          </w:p>
        </w:tc>
        <w:tc>
          <w:tcPr>
            <w:tcW w:w="3164" w:type="dxa"/>
            <w:tcBorders>
              <w:top w:val="single" w:color="000000" w:sz="6" w:space="0"/>
              <w:left w:val="single" w:color="000000" w:sz="6" w:space="0"/>
              <w:bottom w:val="single" w:color="000000" w:sz="6" w:space="0"/>
              <w:right w:val="single" w:color="000000" w:sz="6" w:space="0"/>
            </w:tcBorders>
            <w:shd w:val="clear" w:color="auto" w:fill="auto"/>
            <w:tcMar>
              <w:top w:w="60" w:type="dxa"/>
              <w:left w:w="90" w:type="dxa"/>
              <w:bottom w:w="60" w:type="dxa"/>
              <w:right w:w="90" w:type="dxa"/>
            </w:tcMar>
            <w:vAlign w:val="center"/>
          </w:tcPr>
          <w:p w14:paraId="33822D9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采集服务器、正向隔离装置、转发服务器及数据采集/边缘计算服务</w:t>
            </w:r>
          </w:p>
        </w:tc>
        <w:tc>
          <w:tcPr>
            <w:tcW w:w="1021" w:type="dxa"/>
            <w:tcBorders>
              <w:top w:val="single" w:color="000000" w:sz="6" w:space="0"/>
              <w:left w:val="single" w:color="000000" w:sz="6" w:space="0"/>
              <w:bottom w:val="single" w:color="000000" w:sz="6" w:space="0"/>
              <w:right w:val="single" w:color="000000" w:sz="6" w:space="0"/>
            </w:tcBorders>
            <w:shd w:val="clear" w:color="auto" w:fill="auto"/>
            <w:tcMar>
              <w:top w:w="60" w:type="dxa"/>
              <w:left w:w="90" w:type="dxa"/>
              <w:bottom w:w="60" w:type="dxa"/>
              <w:right w:w="90" w:type="dxa"/>
            </w:tcMar>
            <w:vAlign w:val="center"/>
          </w:tcPr>
          <w:p w14:paraId="1E191C4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全年日常维护</w:t>
            </w:r>
          </w:p>
        </w:tc>
      </w:tr>
    </w:tbl>
    <w:p w14:paraId="25CBD9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注：各站采集服务器部署于安全Ⅱ区，经正向隔离装置摆渡至安全Ⅲ区转发服务器，最终通过站内综合数据网交换机将数据转发至电化学储能安全运行管理平台（10.152.48.110）。各站信号量以现场实际接入为准。</w:t>
      </w:r>
    </w:p>
    <w:p w14:paraId="186388BF">
      <w:pPr>
        <w:pStyle w:val="2"/>
        <w:keepNext w:val="0"/>
        <w:keepLines w:val="0"/>
        <w:pageBreakBefore w:val="0"/>
        <w:widowControl w:val="0"/>
        <w:kinsoku/>
        <w:wordWrap/>
        <w:overflowPunct/>
        <w:topLinePunct w:val="0"/>
        <w:autoSpaceDE/>
        <w:autoSpaceDN/>
        <w:bidi w:val="0"/>
        <w:adjustRightInd/>
        <w:snapToGrid/>
        <w:spacing w:after="0" w:afterAutospacing="0"/>
        <w:textAlignment w:val="auto"/>
        <w:rPr>
          <w:rFonts w:hint="eastAsia" w:eastAsia="浠垮畫"/>
          <w:sz w:val="28"/>
        </w:rPr>
      </w:pPr>
      <w:r>
        <w:rPr>
          <w:rFonts w:hint="eastAsia" w:eastAsia="浠垮畫"/>
          <w:sz w:val="28"/>
        </w:rPr>
        <w:t>三、服务期限及进度要求</w:t>
      </w:r>
    </w:p>
    <w:p w14:paraId="711C52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服务期限：中标通知书发出之日起至2026年12月31日。</w:t>
      </w:r>
      <w:bookmarkStart w:id="0" w:name="_GoBack"/>
      <w:bookmarkEnd w:id="0"/>
    </w:p>
    <w:p w14:paraId="390692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中标通知书发出后，乙方须主动对接甲方，指派项目专职对接人员开展现场勘察与资料移交对接工作。现场勘察完成之日起7个工作日内，乙方应向甲方提交《维护服务实施方案》；方案经甲方同意后，甲乙双方协商确定维护服务开展安排，有序完成维护服务工作。</w:t>
      </w:r>
    </w:p>
    <w:p w14:paraId="4C33D160">
      <w:pPr>
        <w:pStyle w:val="2"/>
        <w:keepNext w:val="0"/>
        <w:keepLines w:val="0"/>
        <w:pageBreakBefore w:val="0"/>
        <w:widowControl w:val="0"/>
        <w:kinsoku/>
        <w:wordWrap/>
        <w:overflowPunct/>
        <w:topLinePunct w:val="0"/>
        <w:autoSpaceDE/>
        <w:autoSpaceDN/>
        <w:bidi w:val="0"/>
        <w:adjustRightInd/>
        <w:snapToGrid/>
        <w:spacing w:after="0" w:afterAutospacing="0"/>
        <w:textAlignment w:val="auto"/>
        <w:rPr>
          <w:rFonts w:hint="eastAsia" w:eastAsia="浠垮畫"/>
          <w:sz w:val="28"/>
        </w:rPr>
      </w:pPr>
      <w:r>
        <w:rPr>
          <w:rFonts w:hint="eastAsia" w:eastAsia="浠垮畫"/>
          <w:sz w:val="28"/>
        </w:rPr>
        <w:t>四、服务内容及要求</w:t>
      </w:r>
    </w:p>
    <w:p w14:paraId="7AF434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储能科研院五个储能站边缘计算平台维护服务具体内容详见表1所列站点及系统配置。对重点服务要求补充说明如下：</w:t>
      </w:r>
    </w:p>
    <w:p w14:paraId="0580B1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乙方负责采集服务器、正向隔离装置、转发服务器及其上部署的数据采集服务（IEC104）、边缘计算服务软件的日常巡检、故障处置与配置维护；</w:t>
      </w:r>
    </w:p>
    <w:p w14:paraId="3519E7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保障数据从集控子站经采集服务器、正向隔离装置、转发服务器至云平台的采集与转发链路连续可靠，数据上送可控可追溯；</w:t>
      </w:r>
    </w:p>
    <w:p w14:paraId="3DD070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故障排查与恢复应按"先转发、后采集"顺序开展，涉及服务启停、配置变更、点表修改等操作须制定方案并经甲方同意后实施；</w:t>
      </w:r>
    </w:p>
    <w:p w14:paraId="006E58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涉及新增数据点接入、转发点表修改等可能造成数据混乱的操作，须由专业人员实施并经甲方同意，非专业人员不得擅自操作；</w:t>
      </w:r>
    </w:p>
    <w:p w14:paraId="243D9B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仿宋" w:hAnsi="仿宋" w:eastAsia="浠垮畫"/>
          <w:sz w:val="28"/>
          <w:szCs w:val="28"/>
        </w:rPr>
      </w:pPr>
      <w:r>
        <w:rPr>
          <w:rFonts w:hint="eastAsia" w:ascii="Times New Roman" w:hAnsi="Times New Roman" w:eastAsia="仿宋_GB2312" w:cs="Times New Roman"/>
          <w:sz w:val="24"/>
          <w:szCs w:val="24"/>
          <w:lang w:val="en-US" w:eastAsia="zh-CN"/>
        </w:rPr>
        <w:t>乙方在全部维护作业中，须严格遵守电力监控系统安全防护规定及属地各项安全生产管理规章制度相关要求，落实"安全分区、网络专用、横向隔离、纵向认证"原则</w:t>
      </w:r>
      <w:r>
        <w:rPr>
          <w:rFonts w:hint="eastAsia" w:ascii="仿宋" w:hAnsi="仿宋" w:eastAsia="浠垮畫"/>
          <w:sz w:val="28"/>
          <w:szCs w:val="28"/>
        </w:rPr>
        <w:t>。</w:t>
      </w:r>
    </w:p>
    <w:p w14:paraId="6A87F7F4">
      <w:pPr>
        <w:pStyle w:val="2"/>
        <w:keepNext w:val="0"/>
        <w:keepLines w:val="0"/>
        <w:pageBreakBefore w:val="0"/>
        <w:widowControl w:val="0"/>
        <w:kinsoku/>
        <w:wordWrap/>
        <w:overflowPunct/>
        <w:topLinePunct w:val="0"/>
        <w:autoSpaceDE/>
        <w:autoSpaceDN/>
        <w:bidi w:val="0"/>
        <w:adjustRightInd/>
        <w:snapToGrid/>
        <w:spacing w:after="0" w:afterAutospacing="0"/>
        <w:textAlignment w:val="auto"/>
        <w:rPr>
          <w:rFonts w:hint="eastAsia" w:eastAsia="浠垮畫"/>
          <w:sz w:val="28"/>
        </w:rPr>
      </w:pPr>
      <w:r>
        <w:rPr>
          <w:rFonts w:hint="eastAsia" w:eastAsia="浠垮畫"/>
          <w:sz w:val="28"/>
        </w:rPr>
        <w:t>五、交付物</w:t>
      </w:r>
    </w:p>
    <w:p w14:paraId="65D71C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1.维护服务实施方案；2.巡检报告（月/季）；3.故障处置报告。</w:t>
      </w:r>
    </w:p>
    <w:p w14:paraId="086BF779">
      <w:pPr>
        <w:pStyle w:val="2"/>
        <w:keepNext w:val="0"/>
        <w:keepLines w:val="0"/>
        <w:pageBreakBefore w:val="0"/>
        <w:widowControl w:val="0"/>
        <w:kinsoku/>
        <w:wordWrap/>
        <w:overflowPunct/>
        <w:topLinePunct w:val="0"/>
        <w:autoSpaceDE/>
        <w:autoSpaceDN/>
        <w:bidi w:val="0"/>
        <w:adjustRightInd/>
        <w:snapToGrid/>
        <w:spacing w:after="0" w:afterAutospacing="0"/>
        <w:textAlignment w:val="auto"/>
        <w:rPr>
          <w:rFonts w:hint="eastAsia" w:eastAsia="浠垮畫"/>
          <w:sz w:val="28"/>
        </w:rPr>
      </w:pPr>
      <w:r>
        <w:rPr>
          <w:rFonts w:hint="eastAsia" w:eastAsia="浠垮畫"/>
          <w:sz w:val="28"/>
        </w:rPr>
        <w:t>六、供应商需提供证明文件</w:t>
      </w:r>
    </w:p>
    <w:p w14:paraId="310182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eastAsia" w:ascii="仿宋" w:hAnsi="仿宋" w:eastAsia="浠垮畫"/>
          <w:sz w:val="28"/>
          <w:szCs w:val="28"/>
        </w:rPr>
      </w:pPr>
      <w:r>
        <w:rPr>
          <w:rFonts w:hint="eastAsia" w:ascii="Times New Roman" w:hAnsi="Times New Roman" w:eastAsia="仿宋_GB2312" w:cs="Times New Roman"/>
          <w:sz w:val="24"/>
          <w:szCs w:val="24"/>
          <w:lang w:val="en-US" w:eastAsia="zh-CN"/>
        </w:rPr>
        <w:t>1、营业执照（副本）；2、报价清单（盖章版）。</w:t>
      </w:r>
    </w:p>
    <w:p w14:paraId="637F596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new times roman">
    <w:altName w:val="Times New Roman"/>
    <w:panose1 w:val="00000000000000000000"/>
    <w:charset w:val="00"/>
    <w:family w:val="roman"/>
    <w:pitch w:val="default"/>
    <w:sig w:usb0="00000000" w:usb1="00000000" w:usb2="00000000" w:usb3="00000000" w:csb0="00040001" w:csb1="00000000"/>
  </w:font>
  <w:font w:name="浠垮畫">
    <w:altName w:val="宋体"/>
    <w:panose1 w:val="00000000000000000000"/>
    <w:charset w:val="86"/>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E83304"/>
    <w:rsid w:val="0242153D"/>
    <w:rsid w:val="035E5896"/>
    <w:rsid w:val="039D28DA"/>
    <w:rsid w:val="03D01339"/>
    <w:rsid w:val="04D0275E"/>
    <w:rsid w:val="0519283C"/>
    <w:rsid w:val="05253B7D"/>
    <w:rsid w:val="05AD05DE"/>
    <w:rsid w:val="07904FFB"/>
    <w:rsid w:val="086D3F47"/>
    <w:rsid w:val="08904B75"/>
    <w:rsid w:val="0A53127C"/>
    <w:rsid w:val="0A6632A4"/>
    <w:rsid w:val="0ACB2148"/>
    <w:rsid w:val="0AF27FE7"/>
    <w:rsid w:val="0B08250A"/>
    <w:rsid w:val="0BB8695C"/>
    <w:rsid w:val="0C86379A"/>
    <w:rsid w:val="0DEE7869"/>
    <w:rsid w:val="0E0B1397"/>
    <w:rsid w:val="0FD5190A"/>
    <w:rsid w:val="100A68DF"/>
    <w:rsid w:val="11597885"/>
    <w:rsid w:val="11CC6B9F"/>
    <w:rsid w:val="122B5756"/>
    <w:rsid w:val="14123C2A"/>
    <w:rsid w:val="163409FD"/>
    <w:rsid w:val="16B40387"/>
    <w:rsid w:val="16D31800"/>
    <w:rsid w:val="188553CC"/>
    <w:rsid w:val="1968723B"/>
    <w:rsid w:val="19EB3D17"/>
    <w:rsid w:val="1A974FBB"/>
    <w:rsid w:val="1AE2232B"/>
    <w:rsid w:val="1B355C9D"/>
    <w:rsid w:val="1C2F1FCD"/>
    <w:rsid w:val="1C962C76"/>
    <w:rsid w:val="1CCB362F"/>
    <w:rsid w:val="1DFD34C1"/>
    <w:rsid w:val="1E106702"/>
    <w:rsid w:val="1F4A7483"/>
    <w:rsid w:val="1F777753"/>
    <w:rsid w:val="20BF2A80"/>
    <w:rsid w:val="2378262C"/>
    <w:rsid w:val="25E71D3E"/>
    <w:rsid w:val="2811051C"/>
    <w:rsid w:val="2A033A43"/>
    <w:rsid w:val="2AB87865"/>
    <w:rsid w:val="2CDC2BCF"/>
    <w:rsid w:val="2D0A65F3"/>
    <w:rsid w:val="2D52241C"/>
    <w:rsid w:val="2ED23261"/>
    <w:rsid w:val="2F540736"/>
    <w:rsid w:val="2F600F34"/>
    <w:rsid w:val="31A2401D"/>
    <w:rsid w:val="3252231D"/>
    <w:rsid w:val="32B97F3B"/>
    <w:rsid w:val="35391E42"/>
    <w:rsid w:val="35DF4517"/>
    <w:rsid w:val="36603F29"/>
    <w:rsid w:val="36B52988"/>
    <w:rsid w:val="36E81460"/>
    <w:rsid w:val="375F6020"/>
    <w:rsid w:val="3830653A"/>
    <w:rsid w:val="38546D7E"/>
    <w:rsid w:val="38DA69D3"/>
    <w:rsid w:val="396F0447"/>
    <w:rsid w:val="39B06B56"/>
    <w:rsid w:val="39D47F35"/>
    <w:rsid w:val="3AD4089C"/>
    <w:rsid w:val="3AF31F7F"/>
    <w:rsid w:val="3BF75400"/>
    <w:rsid w:val="3E19673F"/>
    <w:rsid w:val="3F045FC5"/>
    <w:rsid w:val="3FFA2E04"/>
    <w:rsid w:val="40F11D2A"/>
    <w:rsid w:val="418A50C0"/>
    <w:rsid w:val="428A43A9"/>
    <w:rsid w:val="42C341BE"/>
    <w:rsid w:val="43BF5EB2"/>
    <w:rsid w:val="449F59B2"/>
    <w:rsid w:val="44D26DDD"/>
    <w:rsid w:val="474B6403"/>
    <w:rsid w:val="478A6FCC"/>
    <w:rsid w:val="4A8C6E8D"/>
    <w:rsid w:val="4AB84C86"/>
    <w:rsid w:val="4CC8272C"/>
    <w:rsid w:val="4ED33CE1"/>
    <w:rsid w:val="50B306DB"/>
    <w:rsid w:val="510A099B"/>
    <w:rsid w:val="523A74F6"/>
    <w:rsid w:val="55613CE9"/>
    <w:rsid w:val="560A1435"/>
    <w:rsid w:val="56EE2D2C"/>
    <w:rsid w:val="57642CF0"/>
    <w:rsid w:val="5A2C76FB"/>
    <w:rsid w:val="5B6466FE"/>
    <w:rsid w:val="5BB1339B"/>
    <w:rsid w:val="5BEE66B8"/>
    <w:rsid w:val="5C3D6937"/>
    <w:rsid w:val="5CF7197C"/>
    <w:rsid w:val="5D502A26"/>
    <w:rsid w:val="5D841F7C"/>
    <w:rsid w:val="5F711156"/>
    <w:rsid w:val="5FCD2DBA"/>
    <w:rsid w:val="60C82547"/>
    <w:rsid w:val="617E483A"/>
    <w:rsid w:val="61B551C2"/>
    <w:rsid w:val="629F4785"/>
    <w:rsid w:val="62F67E98"/>
    <w:rsid w:val="6476379D"/>
    <w:rsid w:val="65BB18A6"/>
    <w:rsid w:val="66533F6E"/>
    <w:rsid w:val="66696111"/>
    <w:rsid w:val="66903D19"/>
    <w:rsid w:val="6A2E024F"/>
    <w:rsid w:val="6A9816EF"/>
    <w:rsid w:val="6AC33F7B"/>
    <w:rsid w:val="6ADF06DE"/>
    <w:rsid w:val="6BBA58AE"/>
    <w:rsid w:val="6C104B90"/>
    <w:rsid w:val="6C7A4CC3"/>
    <w:rsid w:val="6D175EDC"/>
    <w:rsid w:val="6D6C05E2"/>
    <w:rsid w:val="6E8A319E"/>
    <w:rsid w:val="6F0671CF"/>
    <w:rsid w:val="6F67111E"/>
    <w:rsid w:val="70776C11"/>
    <w:rsid w:val="709E2354"/>
    <w:rsid w:val="717B0A3E"/>
    <w:rsid w:val="72C806E0"/>
    <w:rsid w:val="731A4C66"/>
    <w:rsid w:val="74AF2DDE"/>
    <w:rsid w:val="74BA266E"/>
    <w:rsid w:val="75D417EF"/>
    <w:rsid w:val="761F37E8"/>
    <w:rsid w:val="764C3AE7"/>
    <w:rsid w:val="77740D08"/>
    <w:rsid w:val="78666796"/>
    <w:rsid w:val="79707206"/>
    <w:rsid w:val="79E113EC"/>
    <w:rsid w:val="7B403F11"/>
    <w:rsid w:val="7B9B3656"/>
    <w:rsid w:val="7BA03361"/>
    <w:rsid w:val="7BAB22FB"/>
    <w:rsid w:val="7BDA69BE"/>
    <w:rsid w:val="7C823B08"/>
    <w:rsid w:val="7D39684F"/>
    <w:rsid w:val="7DED2BA6"/>
    <w:rsid w:val="7EB517AA"/>
    <w:rsid w:val="7FF47A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qFormat/>
    <w:uiPriority w:val="9"/>
    <w:pPr>
      <w:spacing w:before="240" w:after="100" w:afterAutospacing="1"/>
      <w:outlineLvl w:val="1"/>
    </w:pPr>
    <w:rPr>
      <w:rFonts w:ascii="黑体" w:hAnsi="黑体" w:eastAsia="黑体"/>
      <w:b/>
      <w:bCs/>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caption"/>
    <w:basedOn w:val="1"/>
    <w:next w:val="1"/>
    <w:semiHidden/>
    <w:unhideWhenUsed/>
    <w:qFormat/>
    <w:uiPriority w:val="0"/>
    <w:rPr>
      <w:rFonts w:ascii="Arial" w:hAnsi="Arial" w:eastAsia="黑体"/>
      <w:sz w:val="20"/>
    </w:rPr>
  </w:style>
  <w:style w:type="paragraph" w:styleId="4">
    <w:name w:val="Body Text"/>
    <w:basedOn w:val="5"/>
    <w:next w:val="5"/>
    <w:unhideWhenUsed/>
    <w:qFormat/>
    <w:uiPriority w:val="99"/>
    <w:rPr>
      <w:rFonts w:ascii="宋体" w:hAnsi="宋体" w:eastAsia="宋体" w:cs="宋体"/>
      <w:sz w:val="24"/>
      <w:szCs w:val="24"/>
      <w:lang w:val="zh-CN" w:bidi="zh-CN"/>
    </w:rPr>
  </w:style>
  <w:style w:type="paragraph" w:styleId="5">
    <w:name w:val="Title"/>
    <w:basedOn w:val="1"/>
    <w:next w:val="1"/>
    <w:qFormat/>
    <w:uiPriority w:val="0"/>
    <w:pPr>
      <w:spacing w:before="240" w:after="60"/>
      <w:jc w:val="center"/>
      <w:outlineLvl w:val="0"/>
    </w:pPr>
    <w:rPr>
      <w:rFonts w:ascii="Cambria" w:hAnsi="Cambria" w:eastAsia="宋体"/>
      <w:b/>
      <w:bCs/>
      <w:sz w:val="32"/>
      <w:szCs w:val="32"/>
    </w:rPr>
  </w:style>
  <w:style w:type="paragraph" w:styleId="6">
    <w:name w:val="Normal (Web)"/>
    <w:basedOn w:val="1"/>
    <w:semiHidden/>
    <w:unhideWhenUsed/>
    <w:qFormat/>
    <w:uiPriority w:val="99"/>
    <w:pPr>
      <w:spacing w:before="40" w:after="40"/>
      <w:ind w:firstLine="48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1261</Words>
  <Characters>1345</Characters>
  <Lines>0</Lines>
  <Paragraphs>0</Paragraphs>
  <TotalTime>23</TotalTime>
  <ScaleCrop>false</ScaleCrop>
  <LinksUpToDate>false</LinksUpToDate>
  <CharactersWithSpaces>1346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2024-07-16T02:24:00Z</dcterms:created>
  <dc:creator>孙万洲</dc:creator>
  <cp:lastModifiedBy>龚轩</cp:lastModifiedBy>
  <dcterms:modified xsi:type="dcterms:W3CDTF">2026-09-18T03:17:16Z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E4D9AA6DC2CB40028C35DF7811A2DABD_13</vt:lpwstr>
  </property>
  <property fmtid="{D5CDD505-2E9C-101B-9397-08002B2CF9AE}" pid="4" name="KSOTemplateDocerSaveRecord">
    <vt:lpwstr>eyJoZGlkIjoiYzE4ODhiOTAwZjI0NTUyNGY5NmQxM2VhOTZlNGJlYzYiLCJ1c2VySWQiOiI0NzEzMzU5MDMifQ==</vt:lpwstr>
  </property>
</Properties>
</file>