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7B5099">
      <w:pPr>
        <w:pStyle w:val="6"/>
        <w:spacing w:line="360" w:lineRule="auto"/>
        <w:jc w:val="center"/>
        <w:rPr>
          <w:rFonts w:hint="eastAsia" w:hAnsi="宋体" w:cs="宋体"/>
          <w:b/>
          <w:bCs/>
          <w:snapToGrid w:val="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sz w:val="24"/>
          <w:szCs w:val="24"/>
          <w:highlight w:val="none"/>
        </w:rPr>
        <w:t>项目名称：青海柴达木沙漠东西台基地送电贵州直流工程</w:t>
      </w:r>
      <w:r>
        <w:rPr>
          <w:rFonts w:asciiTheme="minorEastAsia" w:hAnsiTheme="minorEastAsia" w:eastAsiaTheme="minorEastAsia" w:cstheme="minorEastAsia"/>
          <w:b/>
          <w:bCs/>
          <w:snapToGrid w:val="0"/>
          <w:sz w:val="24"/>
          <w:szCs w:val="24"/>
          <w:highlight w:val="none"/>
        </w:rPr>
        <w:t>（南网经营区段）</w:t>
      </w:r>
      <w:r>
        <w:rPr>
          <w:rFonts w:hint="eastAsia" w:asciiTheme="minorEastAsia" w:hAnsiTheme="minorEastAsia" w:eastAsiaTheme="minorEastAsia" w:cstheme="minorEastAsia"/>
          <w:b/>
          <w:bCs/>
          <w:snapToGrid w:val="0"/>
          <w:sz w:val="24"/>
          <w:szCs w:val="24"/>
          <w:highlight w:val="none"/>
        </w:rPr>
        <w:t>预可行性研究</w:t>
      </w:r>
      <w:r>
        <w:rPr>
          <w:rFonts w:hint="eastAsia" w:hAnsi="宋体" w:cs="宋体"/>
          <w:b/>
          <w:bCs/>
          <w:snapToGrid w:val="0"/>
          <w:sz w:val="24"/>
          <w:szCs w:val="24"/>
          <w:highlight w:val="none"/>
        </w:rPr>
        <w:t>招标前期信息表</w:t>
      </w:r>
    </w:p>
    <w:tbl>
      <w:tblPr>
        <w:tblStyle w:val="8"/>
        <w:tblW w:w="80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9"/>
        <w:gridCol w:w="1863"/>
        <w:gridCol w:w="5168"/>
      </w:tblGrid>
      <w:tr w14:paraId="519C9F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989" w:type="dxa"/>
          </w:tcPr>
          <w:p w14:paraId="580803D1">
            <w:pPr>
              <w:pStyle w:val="6"/>
              <w:spacing w:line="360" w:lineRule="auto"/>
              <w:jc w:val="center"/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863" w:type="dxa"/>
          </w:tcPr>
          <w:p w14:paraId="5FBC5B7F">
            <w:pPr>
              <w:pStyle w:val="6"/>
              <w:spacing w:line="360" w:lineRule="auto"/>
              <w:jc w:val="center"/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  <w:t>项目信息</w:t>
            </w:r>
          </w:p>
        </w:tc>
        <w:tc>
          <w:tcPr>
            <w:tcW w:w="5168" w:type="dxa"/>
          </w:tcPr>
          <w:p w14:paraId="0C1C826D">
            <w:pPr>
              <w:pStyle w:val="6"/>
              <w:spacing w:line="360" w:lineRule="auto"/>
              <w:jc w:val="center"/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  <w:t>文件号</w:t>
            </w:r>
          </w:p>
        </w:tc>
      </w:tr>
      <w:tr w14:paraId="1C631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989" w:type="dxa"/>
            <w:vAlign w:val="center"/>
          </w:tcPr>
          <w:p w14:paraId="34761A87">
            <w:pPr>
              <w:pStyle w:val="6"/>
              <w:spacing w:line="360" w:lineRule="auto"/>
              <w:jc w:val="center"/>
              <w:rPr>
                <w:rFonts w:hint="eastAsia" w:hAnsi="宋体" w:cs="宋体"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snapToGrid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863" w:type="dxa"/>
            <w:vAlign w:val="center"/>
          </w:tcPr>
          <w:p w14:paraId="19B61978">
            <w:pPr>
              <w:pStyle w:val="6"/>
              <w:spacing w:line="360" w:lineRule="auto"/>
              <w:jc w:val="center"/>
              <w:rPr>
                <w:rFonts w:hint="eastAsia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招标依据</w:t>
            </w:r>
          </w:p>
        </w:tc>
        <w:tc>
          <w:tcPr>
            <w:tcW w:w="5168" w:type="dxa"/>
          </w:tcPr>
          <w:p w14:paraId="61E6142B">
            <w:pPr>
              <w:pStyle w:val="6"/>
              <w:rPr>
                <w:rFonts w:hint="eastAsia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〔2026〕1709号 关于印发2026年A类电力基建项目前期工作计划表（第三批）的通知</w:t>
            </w:r>
          </w:p>
        </w:tc>
      </w:tr>
      <w:tr w14:paraId="40712E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989" w:type="dxa"/>
            <w:vAlign w:val="center"/>
          </w:tcPr>
          <w:p w14:paraId="45573DD9">
            <w:pPr>
              <w:pStyle w:val="6"/>
              <w:spacing w:line="360" w:lineRule="auto"/>
              <w:jc w:val="center"/>
              <w:rPr>
                <w:rFonts w:hint="eastAsia" w:hAnsi="宋体" w:cs="宋体"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snapToGrid w:val="0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863" w:type="dxa"/>
            <w:vAlign w:val="center"/>
          </w:tcPr>
          <w:p w14:paraId="1C321510">
            <w:pPr>
              <w:pStyle w:val="6"/>
              <w:spacing w:line="360" w:lineRule="auto"/>
              <w:jc w:val="center"/>
              <w:rPr>
                <w:rFonts w:hint="eastAsia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资金落实情况</w:t>
            </w:r>
          </w:p>
        </w:tc>
        <w:tc>
          <w:tcPr>
            <w:tcW w:w="5168" w:type="dxa"/>
            <w:vAlign w:val="center"/>
          </w:tcPr>
          <w:p w14:paraId="7842120A">
            <w:pPr>
              <w:pStyle w:val="6"/>
              <w:spacing w:line="360" w:lineRule="auto"/>
              <w:jc w:val="center"/>
              <w:rPr>
                <w:rFonts w:hint="eastAsia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已落实</w:t>
            </w:r>
          </w:p>
        </w:tc>
      </w:tr>
      <w:tr w14:paraId="065A4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989" w:type="dxa"/>
            <w:vAlign w:val="center"/>
          </w:tcPr>
          <w:p w14:paraId="1B56EA9A">
            <w:pPr>
              <w:pStyle w:val="6"/>
              <w:spacing w:line="360" w:lineRule="auto"/>
              <w:jc w:val="center"/>
              <w:rPr>
                <w:rFonts w:hint="eastAsia" w:hAnsi="宋体" w:cs="宋体"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snapToGrid w:val="0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1863" w:type="dxa"/>
            <w:vAlign w:val="center"/>
          </w:tcPr>
          <w:p w14:paraId="2F73EE76">
            <w:pPr>
              <w:pStyle w:val="6"/>
              <w:spacing w:line="360" w:lineRule="auto"/>
              <w:jc w:val="center"/>
              <w:rPr>
                <w:rFonts w:hint="eastAsia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项目建设单位</w:t>
            </w:r>
          </w:p>
        </w:tc>
        <w:tc>
          <w:tcPr>
            <w:tcW w:w="5168" w:type="dxa"/>
          </w:tcPr>
          <w:p w14:paraId="5F1E0130">
            <w:pPr>
              <w:pStyle w:val="6"/>
              <w:spacing w:line="360" w:lineRule="auto"/>
              <w:jc w:val="center"/>
              <w:rPr>
                <w:rFonts w:hint="eastAsia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南网超高压公司</w:t>
            </w:r>
          </w:p>
        </w:tc>
      </w:tr>
      <w:tr w14:paraId="1DFDE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989" w:type="dxa"/>
            <w:vAlign w:val="center"/>
          </w:tcPr>
          <w:p w14:paraId="4B341322">
            <w:pPr>
              <w:pStyle w:val="6"/>
              <w:spacing w:line="360" w:lineRule="auto"/>
              <w:jc w:val="center"/>
              <w:rPr>
                <w:rFonts w:hint="eastAsia" w:hAnsi="宋体" w:cs="宋体"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snapToGrid w:val="0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1863" w:type="dxa"/>
            <w:vAlign w:val="center"/>
          </w:tcPr>
          <w:p w14:paraId="2734D8A5">
            <w:pPr>
              <w:pStyle w:val="6"/>
              <w:spacing w:line="360" w:lineRule="auto"/>
              <w:jc w:val="center"/>
              <w:rPr>
                <w:rFonts w:hint="eastAsia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项目建设地点</w:t>
            </w:r>
          </w:p>
        </w:tc>
        <w:tc>
          <w:tcPr>
            <w:tcW w:w="5168" w:type="dxa"/>
          </w:tcPr>
          <w:p w14:paraId="10C95105">
            <w:pPr>
              <w:pStyle w:val="6"/>
              <w:spacing w:line="360" w:lineRule="auto"/>
              <w:jc w:val="center"/>
              <w:rPr>
                <w:rFonts w:hint="eastAsia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贵州</w:t>
            </w:r>
          </w:p>
        </w:tc>
      </w:tr>
    </w:tbl>
    <w:p w14:paraId="7C7FBBF4">
      <w:pPr>
        <w:pStyle w:val="6"/>
        <w:adjustRightInd w:val="0"/>
        <w:snapToGrid w:val="0"/>
        <w:spacing w:line="348" w:lineRule="auto"/>
        <w:rPr>
          <w:rFonts w:hint="eastAsia" w:hAnsi="宋体" w:cs="宋体"/>
          <w:b/>
          <w:bCs/>
          <w:sz w:val="21"/>
          <w:szCs w:val="21"/>
          <w:highlight w:val="none"/>
        </w:rPr>
      </w:pPr>
    </w:p>
    <w:p w14:paraId="52DE4F85">
      <w:pPr>
        <w:pStyle w:val="6"/>
        <w:adjustRightInd w:val="0"/>
        <w:snapToGrid w:val="0"/>
        <w:spacing w:line="348" w:lineRule="auto"/>
        <w:ind w:firstLine="422" w:firstLineChars="200"/>
        <w:rPr>
          <w:rFonts w:hint="eastAsia" w:hAnsi="宋体" w:cs="宋体"/>
          <w:sz w:val="21"/>
          <w:szCs w:val="21"/>
          <w:highlight w:val="none"/>
        </w:rPr>
      </w:pPr>
      <w:r>
        <w:rPr>
          <w:rFonts w:hint="eastAsia" w:hAnsi="宋体" w:cs="宋体"/>
          <w:b/>
          <w:bCs/>
          <w:sz w:val="21"/>
          <w:szCs w:val="21"/>
          <w:highlight w:val="none"/>
        </w:rPr>
        <w:t>（一）项目概况</w:t>
      </w:r>
      <w:r>
        <w:rPr>
          <w:rFonts w:hint="eastAsia" w:hAnsi="宋体" w:cs="宋体"/>
          <w:sz w:val="21"/>
          <w:szCs w:val="21"/>
          <w:highlight w:val="none"/>
        </w:rPr>
        <w:t>：</w:t>
      </w:r>
    </w:p>
    <w:p w14:paraId="4238D419">
      <w:pPr>
        <w:adjustRightInd w:val="0"/>
        <w:snapToGrid w:val="0"/>
        <w:spacing w:line="348" w:lineRule="auto"/>
        <w:ind w:firstLine="422" w:firstLineChars="200"/>
        <w:rPr>
          <w:rFonts w:hint="eastAsia" w:hAnsi="宋体" w:cs="宋体"/>
          <w:szCs w:val="21"/>
          <w:highlight w:val="none"/>
        </w:rPr>
      </w:pPr>
      <w:r>
        <w:rPr>
          <w:rFonts w:hint="eastAsia" w:hAnsi="宋体" w:cs="宋体"/>
          <w:b/>
          <w:bCs/>
          <w:szCs w:val="21"/>
          <w:highlight w:val="none"/>
        </w:rPr>
        <w:t>1.建设背景：</w:t>
      </w:r>
      <w:r>
        <w:rPr>
          <w:rFonts w:hint="eastAsia" w:hAnsi="宋体" w:cs="宋体"/>
          <w:szCs w:val="21"/>
          <w:highlight w:val="none"/>
        </w:rPr>
        <w:t>青海柴达木沙漠基地送电贵州直流工程已纳入国家“十五五”新增规划布局跨省跨区输电通道工程，对于实现青海清洁能源更大范围内优化配置，提升受端省份电力安全可靠供应能力，促进绿色转型和“双碳”目标实现，具有重要作用。南方电网公司负责建设本工程受端换流站及贵州境内直流线路（含受端接地极及接地极线路）。</w:t>
      </w:r>
    </w:p>
    <w:p w14:paraId="747D8AE2">
      <w:pPr>
        <w:adjustRightInd w:val="0"/>
        <w:snapToGrid w:val="0"/>
        <w:spacing w:line="348" w:lineRule="auto"/>
        <w:ind w:firstLine="422" w:firstLineChars="200"/>
        <w:rPr>
          <w:rFonts w:hint="eastAsia" w:ascii="宋体" w:hAnsi="宋体" w:cs="宋体"/>
          <w:color w:val="FF0000"/>
          <w:szCs w:val="21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2.建设规模：</w:t>
      </w:r>
      <w:r>
        <w:rPr>
          <w:rFonts w:hint="eastAsia" w:ascii="宋体" w:hAnsi="宋体" w:cs="宋体"/>
          <w:highlight w:val="none"/>
        </w:rPr>
        <w:t>本工程暂推荐采用±800千伏特高压直流输电技术，送电容量800万千瓦，受端在贵州黔中、黔东北地区各建设一座柔直换流站；直流路径全长约2200公里，途经</w:t>
      </w:r>
      <w:r>
        <w:rPr>
          <w:rFonts w:ascii="宋体" w:hAnsi="宋体" w:cs="宋体"/>
          <w:highlight w:val="none"/>
        </w:rPr>
        <w:t>青海、甘肃、陕西、四川、重庆、贵州</w:t>
      </w:r>
      <w:r>
        <w:rPr>
          <w:rFonts w:hint="eastAsia" w:ascii="宋体" w:hAnsi="宋体" w:cs="宋体"/>
          <w:highlight w:val="none"/>
        </w:rPr>
        <w:t>6省（市、区），在南网经营区（贵州）内长度约700公里。具体工程技术方案和建设规模以可研批复意见为准。</w:t>
      </w:r>
    </w:p>
    <w:p w14:paraId="5DA53658">
      <w:pPr>
        <w:pStyle w:val="3"/>
        <w:snapToGrid w:val="0"/>
        <w:spacing w:line="348" w:lineRule="auto"/>
        <w:ind w:firstLine="422" w:firstLineChars="200"/>
        <w:rPr>
          <w:rFonts w:hint="eastAsia" w:ascii="宋体" w:hAnsi="宋体" w:cs="宋体"/>
          <w:b w:val="0"/>
          <w:i w:val="0"/>
          <w:color w:val="auto"/>
          <w:sz w:val="21"/>
          <w:highlight w:val="none"/>
        </w:rPr>
      </w:pPr>
      <w:r>
        <w:rPr>
          <w:rFonts w:hint="eastAsia" w:ascii="宋体" w:hAnsi="宋体" w:cs="宋体"/>
          <w:bCs/>
          <w:i w:val="0"/>
          <w:color w:val="auto"/>
          <w:sz w:val="21"/>
          <w:highlight w:val="none"/>
        </w:rPr>
        <w:t>3.预估投资：</w:t>
      </w:r>
      <w:r>
        <w:rPr>
          <w:rFonts w:ascii="宋体" w:hAnsi="宋体" w:cs="宋体"/>
          <w:b w:val="0"/>
          <w:i w:val="0"/>
          <w:color w:val="auto"/>
          <w:sz w:val="21"/>
          <w:highlight w:val="none"/>
        </w:rPr>
        <w:t>青海柴达木沙漠基地送电贵州直流工程</w:t>
      </w:r>
      <w:r>
        <w:rPr>
          <w:rFonts w:hint="eastAsia" w:ascii="宋体" w:hAnsi="宋体" w:cs="宋体"/>
          <w:b w:val="0"/>
          <w:i w:val="0"/>
          <w:color w:val="auto"/>
          <w:sz w:val="21"/>
          <w:highlight w:val="none"/>
        </w:rPr>
        <w:t>（贵州段）投资约160亿元。</w:t>
      </w:r>
    </w:p>
    <w:p w14:paraId="6BDEC767">
      <w:pPr>
        <w:adjustRightInd w:val="0"/>
        <w:snapToGrid w:val="0"/>
        <w:spacing w:line="348" w:lineRule="auto"/>
        <w:ind w:firstLine="422" w:firstLineChars="200"/>
        <w:rPr>
          <w:rFonts w:hint="eastAsia"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4.规划投产时间：</w:t>
      </w:r>
      <w:r>
        <w:rPr>
          <w:rFonts w:hint="eastAsia" w:ascii="宋体" w:hAnsi="宋体" w:cs="宋体"/>
          <w:highlight w:val="none"/>
        </w:rPr>
        <w:t>暂按“</w:t>
      </w:r>
      <w:r>
        <w:rPr>
          <w:rFonts w:hint="eastAsia" w:ascii="宋体" w:hAnsi="宋体" w:cs="宋体"/>
          <w:kern w:val="0"/>
          <w:szCs w:val="21"/>
          <w:highlight w:val="none"/>
        </w:rPr>
        <w:t>十五五”期间开工，“十六五”期间投产。</w:t>
      </w:r>
    </w:p>
    <w:p w14:paraId="5C49CCB3">
      <w:pPr>
        <w:pStyle w:val="6"/>
        <w:adjustRightInd w:val="0"/>
        <w:snapToGrid w:val="0"/>
        <w:spacing w:line="348" w:lineRule="auto"/>
        <w:ind w:firstLine="422" w:firstLineChars="200"/>
        <w:rPr>
          <w:rFonts w:hint="eastAsia" w:hAnsi="宋体" w:cs="宋体"/>
          <w:b/>
          <w:bCs/>
          <w:sz w:val="21"/>
          <w:szCs w:val="21"/>
          <w:highlight w:val="none"/>
        </w:rPr>
      </w:pPr>
      <w:r>
        <w:rPr>
          <w:rFonts w:hint="eastAsia" w:hAnsi="宋体" w:cs="宋体"/>
          <w:b/>
          <w:bCs/>
          <w:sz w:val="21"/>
          <w:szCs w:val="21"/>
          <w:highlight w:val="none"/>
        </w:rPr>
        <w:t>（二）采购范围：</w:t>
      </w:r>
    </w:p>
    <w:p w14:paraId="08769DEB">
      <w:pPr>
        <w:pStyle w:val="6"/>
        <w:adjustRightInd w:val="0"/>
        <w:snapToGrid w:val="0"/>
        <w:spacing w:line="348" w:lineRule="auto"/>
        <w:ind w:firstLine="420" w:firstLineChars="200"/>
        <w:rPr>
          <w:rFonts w:hint="eastAsia" w:hAnsi="宋体" w:cs="宋体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青海柴达木沙漠东西台基地送电贵州直流工程</w:t>
      </w:r>
      <w:r>
        <w:rPr>
          <w:rFonts w:asciiTheme="minorEastAsia" w:hAnsiTheme="minorEastAsia" w:eastAsiaTheme="minorEastAsia" w:cstheme="minorEastAsia"/>
          <w:sz w:val="21"/>
          <w:szCs w:val="21"/>
          <w:highlight w:val="none"/>
        </w:rPr>
        <w:t>（南网经营区段）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预可行性研究</w:t>
      </w:r>
      <w:r>
        <w:rPr>
          <w:rFonts w:hint="eastAsia" w:hAnsi="宋体" w:cs="宋体"/>
          <w:sz w:val="21"/>
          <w:szCs w:val="21"/>
          <w:highlight w:val="none"/>
        </w:rPr>
        <w:t>：</w:t>
      </w:r>
      <w:r>
        <w:rPr>
          <w:rFonts w:hAnsi="宋体" w:cs="宋体"/>
          <w:sz w:val="21"/>
          <w:szCs w:val="21"/>
          <w:highlight w:val="none"/>
        </w:rPr>
        <w:t>涵盖工程配套电源方案研究、输电方案研究、南方电网经营区段初步选址选线、经济性评价等内容</w:t>
      </w:r>
      <w:r>
        <w:rPr>
          <w:rFonts w:hint="eastAsia" w:hAnsi="宋体" w:cs="宋体"/>
          <w:sz w:val="21"/>
          <w:szCs w:val="21"/>
          <w:highlight w:val="none"/>
        </w:rPr>
        <w:t>。</w:t>
      </w:r>
    </w:p>
    <w:p w14:paraId="64BDAE26">
      <w:pPr>
        <w:pStyle w:val="4"/>
      </w:pPr>
    </w:p>
    <w:p w14:paraId="27BF9D39">
      <w:r>
        <w:br w:type="page"/>
      </w:r>
    </w:p>
    <w:p w14:paraId="4F8BF165">
      <w:pPr>
        <w:pStyle w:val="6"/>
        <w:spacing w:line="360" w:lineRule="auto"/>
        <w:jc w:val="center"/>
        <w:rPr>
          <w:rFonts w:hint="eastAsia" w:hAnsi="宋体" w:cs="宋体"/>
          <w:b/>
          <w:bCs/>
          <w:snapToGrid w:val="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sz w:val="24"/>
          <w:szCs w:val="24"/>
          <w:highlight w:val="none"/>
        </w:rPr>
        <w:t>项目名称：</w:t>
      </w:r>
      <w:r>
        <w:rPr>
          <w:rFonts w:asciiTheme="minorEastAsia" w:hAnsiTheme="minorEastAsia" w:eastAsiaTheme="minorEastAsia" w:cstheme="minorEastAsia"/>
          <w:b/>
          <w:bCs/>
          <w:snapToGrid w:val="0"/>
          <w:sz w:val="24"/>
          <w:szCs w:val="24"/>
          <w:highlight w:val="none"/>
        </w:rPr>
        <w:t>西藏澜沧江上游基地送电广东直流工程（南网经营区段）</w:t>
      </w:r>
      <w:r>
        <w:rPr>
          <w:rFonts w:hint="eastAsia" w:asciiTheme="minorEastAsia" w:hAnsiTheme="minorEastAsia" w:eastAsiaTheme="minorEastAsia" w:cstheme="minorEastAsia"/>
          <w:b/>
          <w:bCs/>
          <w:snapToGrid w:val="0"/>
          <w:sz w:val="24"/>
          <w:szCs w:val="24"/>
          <w:highlight w:val="none"/>
        </w:rPr>
        <w:t>预可行性研究</w:t>
      </w:r>
      <w:r>
        <w:rPr>
          <w:rFonts w:hint="eastAsia" w:hAnsi="宋体" w:cs="宋体"/>
          <w:b/>
          <w:bCs/>
          <w:snapToGrid w:val="0"/>
          <w:sz w:val="24"/>
          <w:szCs w:val="24"/>
          <w:highlight w:val="none"/>
        </w:rPr>
        <w:t>招标前期信息表</w:t>
      </w:r>
    </w:p>
    <w:tbl>
      <w:tblPr>
        <w:tblStyle w:val="8"/>
        <w:tblW w:w="80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9"/>
        <w:gridCol w:w="1863"/>
        <w:gridCol w:w="5168"/>
      </w:tblGrid>
      <w:tr w14:paraId="0EA0E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989" w:type="dxa"/>
          </w:tcPr>
          <w:p w14:paraId="0C428BF0">
            <w:pPr>
              <w:pStyle w:val="6"/>
              <w:spacing w:line="360" w:lineRule="auto"/>
              <w:jc w:val="center"/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863" w:type="dxa"/>
          </w:tcPr>
          <w:p w14:paraId="2A7C6B76">
            <w:pPr>
              <w:pStyle w:val="6"/>
              <w:spacing w:line="360" w:lineRule="auto"/>
              <w:jc w:val="center"/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  <w:t>项目信息</w:t>
            </w:r>
          </w:p>
        </w:tc>
        <w:tc>
          <w:tcPr>
            <w:tcW w:w="5168" w:type="dxa"/>
          </w:tcPr>
          <w:p w14:paraId="01CFCC67">
            <w:pPr>
              <w:pStyle w:val="6"/>
              <w:spacing w:line="360" w:lineRule="auto"/>
              <w:jc w:val="center"/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  <w:highlight w:val="none"/>
              </w:rPr>
              <w:t>文件号</w:t>
            </w:r>
          </w:p>
        </w:tc>
      </w:tr>
      <w:tr w14:paraId="2C2BB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989" w:type="dxa"/>
            <w:vAlign w:val="center"/>
          </w:tcPr>
          <w:p w14:paraId="005EE41E">
            <w:pPr>
              <w:pStyle w:val="6"/>
              <w:spacing w:line="360" w:lineRule="auto"/>
              <w:jc w:val="center"/>
              <w:rPr>
                <w:rFonts w:hint="eastAsia" w:hAnsi="宋体" w:cs="宋体"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snapToGrid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863" w:type="dxa"/>
            <w:vAlign w:val="center"/>
          </w:tcPr>
          <w:p w14:paraId="333D32E5">
            <w:pPr>
              <w:pStyle w:val="6"/>
              <w:spacing w:line="360" w:lineRule="auto"/>
              <w:jc w:val="center"/>
              <w:rPr>
                <w:rFonts w:hint="eastAsia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招标依据</w:t>
            </w:r>
          </w:p>
        </w:tc>
        <w:tc>
          <w:tcPr>
            <w:tcW w:w="5168" w:type="dxa"/>
          </w:tcPr>
          <w:p w14:paraId="664BC010">
            <w:pPr>
              <w:pStyle w:val="6"/>
              <w:rPr>
                <w:rFonts w:hint="eastAsia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〔2026〕1709号 关于印发2026年A类电力基建项目前期工作计划表（第三批）的通知</w:t>
            </w:r>
          </w:p>
        </w:tc>
      </w:tr>
      <w:tr w14:paraId="56E48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989" w:type="dxa"/>
            <w:vAlign w:val="center"/>
          </w:tcPr>
          <w:p w14:paraId="65578F84">
            <w:pPr>
              <w:pStyle w:val="6"/>
              <w:spacing w:line="360" w:lineRule="auto"/>
              <w:jc w:val="center"/>
              <w:rPr>
                <w:rFonts w:hint="eastAsia" w:hAnsi="宋体" w:cs="宋体"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snapToGrid w:val="0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863" w:type="dxa"/>
            <w:vAlign w:val="center"/>
          </w:tcPr>
          <w:p w14:paraId="6A6236BB">
            <w:pPr>
              <w:pStyle w:val="6"/>
              <w:spacing w:line="360" w:lineRule="auto"/>
              <w:jc w:val="center"/>
              <w:rPr>
                <w:rFonts w:hint="eastAsia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资金落实情况</w:t>
            </w:r>
          </w:p>
        </w:tc>
        <w:tc>
          <w:tcPr>
            <w:tcW w:w="5168" w:type="dxa"/>
            <w:vAlign w:val="center"/>
          </w:tcPr>
          <w:p w14:paraId="60BB83D3">
            <w:pPr>
              <w:pStyle w:val="6"/>
              <w:spacing w:line="360" w:lineRule="auto"/>
              <w:jc w:val="center"/>
              <w:rPr>
                <w:rFonts w:hint="eastAsia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已落实</w:t>
            </w:r>
          </w:p>
        </w:tc>
      </w:tr>
      <w:tr w14:paraId="2F590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989" w:type="dxa"/>
            <w:vAlign w:val="center"/>
          </w:tcPr>
          <w:p w14:paraId="7A9FD0BC">
            <w:pPr>
              <w:pStyle w:val="6"/>
              <w:spacing w:line="360" w:lineRule="auto"/>
              <w:jc w:val="center"/>
              <w:rPr>
                <w:rFonts w:hint="eastAsia" w:hAnsi="宋体" w:cs="宋体"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snapToGrid w:val="0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1863" w:type="dxa"/>
            <w:vAlign w:val="center"/>
          </w:tcPr>
          <w:p w14:paraId="5F0A060D">
            <w:pPr>
              <w:pStyle w:val="6"/>
              <w:spacing w:line="360" w:lineRule="auto"/>
              <w:jc w:val="center"/>
              <w:rPr>
                <w:rFonts w:hint="eastAsia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项目建设单位</w:t>
            </w:r>
          </w:p>
        </w:tc>
        <w:tc>
          <w:tcPr>
            <w:tcW w:w="5168" w:type="dxa"/>
          </w:tcPr>
          <w:p w14:paraId="0490C8E0">
            <w:pPr>
              <w:pStyle w:val="6"/>
              <w:spacing w:line="360" w:lineRule="auto"/>
              <w:jc w:val="center"/>
              <w:rPr>
                <w:rFonts w:hint="eastAsia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南网超高压公司</w:t>
            </w:r>
          </w:p>
        </w:tc>
      </w:tr>
      <w:tr w14:paraId="63345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989" w:type="dxa"/>
            <w:vAlign w:val="center"/>
          </w:tcPr>
          <w:p w14:paraId="34193CBD">
            <w:pPr>
              <w:pStyle w:val="6"/>
              <w:spacing w:line="360" w:lineRule="auto"/>
              <w:jc w:val="center"/>
              <w:rPr>
                <w:rFonts w:hint="eastAsia" w:hAnsi="宋体" w:cs="宋体"/>
                <w:snapToGrid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snapToGrid w:val="0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1863" w:type="dxa"/>
            <w:vAlign w:val="center"/>
          </w:tcPr>
          <w:p w14:paraId="5C9E16DB">
            <w:pPr>
              <w:pStyle w:val="6"/>
              <w:spacing w:line="360" w:lineRule="auto"/>
              <w:jc w:val="center"/>
              <w:rPr>
                <w:rFonts w:hint="eastAsia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项目建设地点</w:t>
            </w:r>
          </w:p>
        </w:tc>
        <w:tc>
          <w:tcPr>
            <w:tcW w:w="5168" w:type="dxa"/>
          </w:tcPr>
          <w:p w14:paraId="1998F529">
            <w:pPr>
              <w:pStyle w:val="6"/>
              <w:spacing w:line="360" w:lineRule="auto"/>
              <w:jc w:val="center"/>
              <w:rPr>
                <w:rFonts w:hint="eastAsia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</w:rPr>
              <w:t>云南、广西、广东</w:t>
            </w:r>
          </w:p>
        </w:tc>
      </w:tr>
    </w:tbl>
    <w:p w14:paraId="4090499F">
      <w:pPr>
        <w:pStyle w:val="6"/>
        <w:adjustRightInd w:val="0"/>
        <w:snapToGrid w:val="0"/>
        <w:spacing w:line="348" w:lineRule="auto"/>
        <w:rPr>
          <w:rFonts w:hint="eastAsia" w:hAnsi="宋体" w:cs="宋体"/>
          <w:b/>
          <w:bCs/>
          <w:sz w:val="21"/>
          <w:szCs w:val="21"/>
          <w:highlight w:val="none"/>
        </w:rPr>
      </w:pPr>
    </w:p>
    <w:p w14:paraId="69301061">
      <w:pPr>
        <w:pStyle w:val="6"/>
        <w:adjustRightInd w:val="0"/>
        <w:snapToGrid w:val="0"/>
        <w:spacing w:line="348" w:lineRule="auto"/>
        <w:ind w:firstLine="422" w:firstLineChars="200"/>
        <w:rPr>
          <w:rFonts w:hint="eastAsia" w:hAnsi="宋体" w:cs="宋体"/>
          <w:sz w:val="21"/>
          <w:szCs w:val="21"/>
          <w:highlight w:val="none"/>
        </w:rPr>
      </w:pPr>
      <w:r>
        <w:rPr>
          <w:rFonts w:hint="eastAsia" w:hAnsi="宋体" w:cs="宋体"/>
          <w:b/>
          <w:bCs/>
          <w:sz w:val="21"/>
          <w:szCs w:val="21"/>
          <w:highlight w:val="none"/>
        </w:rPr>
        <w:t>（一）项目概况</w:t>
      </w:r>
      <w:r>
        <w:rPr>
          <w:rFonts w:hint="eastAsia" w:hAnsi="宋体" w:cs="宋体"/>
          <w:sz w:val="21"/>
          <w:szCs w:val="21"/>
          <w:highlight w:val="none"/>
        </w:rPr>
        <w:t>：</w:t>
      </w:r>
    </w:p>
    <w:p w14:paraId="2D900DEF">
      <w:pPr>
        <w:adjustRightInd w:val="0"/>
        <w:snapToGrid w:val="0"/>
        <w:spacing w:line="348" w:lineRule="auto"/>
        <w:ind w:firstLine="422" w:firstLineChars="200"/>
        <w:rPr>
          <w:rFonts w:hint="eastAsia" w:hAnsi="宋体" w:cs="宋体"/>
          <w:szCs w:val="21"/>
          <w:highlight w:val="none"/>
        </w:rPr>
      </w:pPr>
      <w:r>
        <w:rPr>
          <w:rFonts w:hint="eastAsia" w:hAnsi="宋体" w:cs="宋体"/>
          <w:b/>
          <w:bCs/>
          <w:szCs w:val="21"/>
          <w:highlight w:val="none"/>
        </w:rPr>
        <w:t>1.建设背景：</w:t>
      </w:r>
      <w:r>
        <w:rPr>
          <w:rFonts w:hAnsi="宋体" w:cs="宋体"/>
          <w:szCs w:val="21"/>
          <w:highlight w:val="none"/>
        </w:rPr>
        <w:t>西藏澜沧江上游基地送电广东直流工程</w:t>
      </w:r>
      <w:r>
        <w:rPr>
          <w:rFonts w:hint="eastAsia" w:hAnsi="宋体" w:cs="宋体"/>
          <w:szCs w:val="21"/>
          <w:highlight w:val="none"/>
        </w:rPr>
        <w:t>已纳入国家“十五五”新增规划布局跨省跨区输电通道工程，对于实现西藏清洁能源更大范围内优化配置，提升受端省份电力安全可靠供应能力，促进绿色转型和“双碳”目标实现，具有重要作用。南方电网公司负责建设本工程受端换流站及南网经营区内直流线路（含受端接地极及接地极线路）。</w:t>
      </w:r>
    </w:p>
    <w:p w14:paraId="283F3A21">
      <w:pPr>
        <w:adjustRightInd w:val="0"/>
        <w:snapToGrid w:val="0"/>
        <w:spacing w:line="348" w:lineRule="auto"/>
        <w:ind w:firstLine="422" w:firstLineChars="200"/>
        <w:rPr>
          <w:rFonts w:hint="eastAsia" w:ascii="宋体" w:hAnsi="宋体" w:cs="宋体"/>
          <w:color w:val="FF0000"/>
          <w:szCs w:val="21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2.建设规模：</w:t>
      </w:r>
      <w:r>
        <w:rPr>
          <w:rFonts w:hint="eastAsia" w:ascii="宋体" w:hAnsi="宋体" w:cs="宋体"/>
          <w:highlight w:val="none"/>
        </w:rPr>
        <w:t>本工程暂推荐采用±800千伏特高压直流输电技术，送电容量暂按800万千瓦或1000万千瓦，受端在广东珠西北或珠西南地区建设一座柔直换流站；直流路径全长约2200-2600公里，途经西藏、云南、广西、广东4省（区）。具体工程技术方案和建设规模以可研批复意见为准。</w:t>
      </w:r>
    </w:p>
    <w:p w14:paraId="6A413E35">
      <w:pPr>
        <w:pStyle w:val="3"/>
        <w:snapToGrid w:val="0"/>
        <w:spacing w:line="348" w:lineRule="auto"/>
        <w:ind w:firstLine="422" w:firstLineChars="200"/>
        <w:rPr>
          <w:rFonts w:hint="eastAsia" w:ascii="宋体" w:hAnsi="宋体" w:cs="宋体"/>
          <w:b w:val="0"/>
          <w:i w:val="0"/>
          <w:color w:val="auto"/>
          <w:sz w:val="21"/>
          <w:highlight w:val="none"/>
        </w:rPr>
      </w:pPr>
      <w:r>
        <w:rPr>
          <w:rFonts w:hint="eastAsia" w:ascii="宋体" w:hAnsi="宋体" w:cs="宋体"/>
          <w:bCs/>
          <w:i w:val="0"/>
          <w:color w:val="auto"/>
          <w:sz w:val="21"/>
          <w:highlight w:val="none"/>
        </w:rPr>
        <w:t>3.预估投资：</w:t>
      </w:r>
      <w:r>
        <w:rPr>
          <w:rFonts w:ascii="宋体" w:hAnsi="宋体" w:cs="宋体"/>
          <w:b w:val="0"/>
          <w:i w:val="0"/>
          <w:color w:val="auto"/>
          <w:sz w:val="21"/>
          <w:highlight w:val="none"/>
        </w:rPr>
        <w:t>西藏澜沧江上游基地送电广东直流工程</w:t>
      </w:r>
      <w:r>
        <w:rPr>
          <w:rFonts w:hint="eastAsia" w:ascii="宋体" w:hAnsi="宋体" w:cs="宋体"/>
          <w:b w:val="0"/>
          <w:i w:val="0"/>
          <w:color w:val="auto"/>
          <w:sz w:val="21"/>
          <w:highlight w:val="none"/>
        </w:rPr>
        <w:t>（南网经营区段）投资约290-380亿元。</w:t>
      </w:r>
    </w:p>
    <w:p w14:paraId="2F2FA315">
      <w:pPr>
        <w:adjustRightInd w:val="0"/>
        <w:snapToGrid w:val="0"/>
        <w:spacing w:line="348" w:lineRule="auto"/>
        <w:ind w:firstLine="422" w:firstLineChars="200"/>
        <w:rPr>
          <w:rFonts w:hint="eastAsia"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4.规划投产时间：</w:t>
      </w:r>
      <w:r>
        <w:rPr>
          <w:rFonts w:hint="eastAsia" w:ascii="宋体" w:hAnsi="宋体" w:cs="宋体"/>
          <w:highlight w:val="none"/>
        </w:rPr>
        <w:t>暂按“</w:t>
      </w:r>
      <w:r>
        <w:rPr>
          <w:rFonts w:hint="eastAsia" w:ascii="宋体" w:hAnsi="宋体" w:cs="宋体"/>
          <w:kern w:val="0"/>
          <w:szCs w:val="21"/>
          <w:highlight w:val="none"/>
        </w:rPr>
        <w:t>十五五”期间开工，“十六五”期间投产。</w:t>
      </w:r>
    </w:p>
    <w:p w14:paraId="193C8312">
      <w:pPr>
        <w:pStyle w:val="6"/>
        <w:adjustRightInd w:val="0"/>
        <w:snapToGrid w:val="0"/>
        <w:spacing w:line="348" w:lineRule="auto"/>
        <w:ind w:firstLine="422" w:firstLineChars="200"/>
        <w:rPr>
          <w:rFonts w:hint="eastAsia" w:hAnsi="宋体" w:cs="宋体"/>
          <w:b/>
          <w:bCs/>
          <w:sz w:val="21"/>
          <w:szCs w:val="21"/>
          <w:highlight w:val="none"/>
        </w:rPr>
      </w:pPr>
      <w:r>
        <w:rPr>
          <w:rFonts w:hint="eastAsia" w:hAnsi="宋体" w:cs="宋体"/>
          <w:b/>
          <w:bCs/>
          <w:sz w:val="21"/>
          <w:szCs w:val="21"/>
          <w:highlight w:val="none"/>
        </w:rPr>
        <w:t>（二）采购范围：</w:t>
      </w:r>
    </w:p>
    <w:p w14:paraId="572D71F0">
      <w:pPr>
        <w:pStyle w:val="6"/>
        <w:shd w:val="clear" w:color="auto" w:fill="auto"/>
        <w:adjustRightInd w:val="0"/>
        <w:snapToGrid w:val="0"/>
        <w:spacing w:line="348" w:lineRule="auto"/>
        <w:ind w:firstLine="420" w:firstLineChars="200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西藏澜沧江上游基地送电广东直流工程（南网经营区段）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预可行性研究：涵盖工程配套电源方案研究、输电方案研究、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南方电网经营区段初步选址选线、经济性评价等内容。</w:t>
      </w:r>
    </w:p>
    <w:sectPr>
      <w:pgSz w:w="11906" w:h="16838"/>
      <w:pgMar w:top="1417" w:right="1417" w:bottom="1417" w:left="1417" w:header="851" w:footer="992" w:gutter="0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21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C63BCF"/>
    <w:rsid w:val="032B741A"/>
    <w:rsid w:val="03332765"/>
    <w:rsid w:val="033B1639"/>
    <w:rsid w:val="057D7848"/>
    <w:rsid w:val="05E54AA9"/>
    <w:rsid w:val="081C59F5"/>
    <w:rsid w:val="0845254C"/>
    <w:rsid w:val="0D4D36B9"/>
    <w:rsid w:val="0DAC6DFF"/>
    <w:rsid w:val="0ECF74ED"/>
    <w:rsid w:val="0F943213"/>
    <w:rsid w:val="1093505D"/>
    <w:rsid w:val="12AE52EF"/>
    <w:rsid w:val="13682DBF"/>
    <w:rsid w:val="155E663F"/>
    <w:rsid w:val="16097E53"/>
    <w:rsid w:val="17C4348D"/>
    <w:rsid w:val="18E92568"/>
    <w:rsid w:val="1E135722"/>
    <w:rsid w:val="1ECC15A5"/>
    <w:rsid w:val="21F33110"/>
    <w:rsid w:val="263A1F6A"/>
    <w:rsid w:val="26A013A4"/>
    <w:rsid w:val="27E90388"/>
    <w:rsid w:val="2833475B"/>
    <w:rsid w:val="28B5574D"/>
    <w:rsid w:val="291C50C9"/>
    <w:rsid w:val="29253660"/>
    <w:rsid w:val="2A4273F0"/>
    <w:rsid w:val="2D3C3FB6"/>
    <w:rsid w:val="2DEE385D"/>
    <w:rsid w:val="347F162D"/>
    <w:rsid w:val="38332BD6"/>
    <w:rsid w:val="38A83B3F"/>
    <w:rsid w:val="3A40292F"/>
    <w:rsid w:val="3C743CBC"/>
    <w:rsid w:val="3D1B0357"/>
    <w:rsid w:val="3FD90111"/>
    <w:rsid w:val="40D561FF"/>
    <w:rsid w:val="4193196A"/>
    <w:rsid w:val="41DB1250"/>
    <w:rsid w:val="420E1D6F"/>
    <w:rsid w:val="42267EA0"/>
    <w:rsid w:val="42C23B30"/>
    <w:rsid w:val="451F3A5E"/>
    <w:rsid w:val="46974748"/>
    <w:rsid w:val="475C24EB"/>
    <w:rsid w:val="4BD258F2"/>
    <w:rsid w:val="4CC63BCF"/>
    <w:rsid w:val="4D3E5DCD"/>
    <w:rsid w:val="4F6A52DF"/>
    <w:rsid w:val="4F851586"/>
    <w:rsid w:val="53990737"/>
    <w:rsid w:val="53F361B2"/>
    <w:rsid w:val="54047867"/>
    <w:rsid w:val="576D107C"/>
    <w:rsid w:val="57CC7246"/>
    <w:rsid w:val="5B7C01BC"/>
    <w:rsid w:val="5C8F724E"/>
    <w:rsid w:val="5D8F250B"/>
    <w:rsid w:val="5EB44095"/>
    <w:rsid w:val="5F962AA1"/>
    <w:rsid w:val="60777AD1"/>
    <w:rsid w:val="62C007FA"/>
    <w:rsid w:val="66600E1E"/>
    <w:rsid w:val="672E5535"/>
    <w:rsid w:val="692421A5"/>
    <w:rsid w:val="6A340C73"/>
    <w:rsid w:val="6B870DD6"/>
    <w:rsid w:val="6D124C32"/>
    <w:rsid w:val="6D8037DC"/>
    <w:rsid w:val="6DDE4759"/>
    <w:rsid w:val="6E967BD1"/>
    <w:rsid w:val="71287DD8"/>
    <w:rsid w:val="71E01E13"/>
    <w:rsid w:val="735E7B21"/>
    <w:rsid w:val="73DFAF56"/>
    <w:rsid w:val="74196D88"/>
    <w:rsid w:val="748920D0"/>
    <w:rsid w:val="773C7B18"/>
    <w:rsid w:val="794F2E9A"/>
    <w:rsid w:val="79A75641"/>
    <w:rsid w:val="7A6126DA"/>
    <w:rsid w:val="7CD66050"/>
    <w:rsid w:val="7D814B30"/>
    <w:rsid w:val="D7E4FCFC"/>
    <w:rsid w:val="DAF7E1D7"/>
    <w:rsid w:val="E61FB643"/>
    <w:rsid w:val="E6BBCD32"/>
    <w:rsid w:val="F3FB0557"/>
    <w:rsid w:val="F4FF541C"/>
    <w:rsid w:val="FE3F9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0"/>
    <w:pPr>
      <w:ind w:firstLine="420" w:firstLineChars="200"/>
    </w:pPr>
  </w:style>
  <w:style w:type="paragraph" w:styleId="4">
    <w:name w:val="Body Text"/>
    <w:basedOn w:val="1"/>
    <w:next w:val="5"/>
    <w:qFormat/>
    <w:uiPriority w:val="0"/>
    <w:pPr>
      <w:spacing w:after="120" w:afterLines="0" w:afterAutospacing="0"/>
    </w:pPr>
  </w:style>
  <w:style w:type="paragraph" w:styleId="5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6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2023-04-14T07:48:00Z</dcterms:created>
  <dc:creator>陈斌</dc:creator>
  <cp:lastModifiedBy>XC~chenbin</cp:lastModifiedBy>
  <dcterms:modified xsi:type="dcterms:W3CDTF">2026-09-28T09:11:27Z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5AA1B77D559543D1A13EE176E2074813</vt:lpwstr>
  </property>
</Properties>
</file>