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A32B2">
      <w:pPr>
        <w:pStyle w:val="2"/>
        <w:jc w:val="center"/>
        <w:rPr>
          <w:rFonts w:hint="eastAsia" w:ascii="宋体" w:hAnsi="宋体" w:eastAsia="宋体" w:cs="宋体"/>
          <w:b/>
          <w:bCs/>
          <w:i w:val="0"/>
          <w:iCs w:val="0"/>
          <w:caps w:val="0"/>
          <w:color w:val="auto"/>
          <w:spacing w:val="0"/>
          <w:sz w:val="26"/>
          <w:szCs w:val="26"/>
          <w:shd w:val="clear" w:color="auto" w:fill="FFFFFF"/>
          <w:vertAlign w:val="baseline"/>
        </w:rPr>
      </w:pPr>
      <w:bookmarkStart w:id="0" w:name="OLE_LINK1"/>
      <w:r>
        <w:rPr>
          <w:rFonts w:hint="eastAsia" w:ascii="宋体" w:hAnsi="宋体" w:eastAsia="宋体" w:cs="宋体"/>
          <w:b/>
          <w:bCs/>
          <w:i w:val="0"/>
          <w:iCs w:val="0"/>
          <w:caps w:val="0"/>
          <w:color w:val="auto"/>
          <w:spacing w:val="0"/>
          <w:sz w:val="26"/>
          <w:szCs w:val="26"/>
          <w:shd w:val="clear" w:color="auto" w:fill="FFFFFF"/>
          <w:vertAlign w:val="baseline"/>
        </w:rPr>
        <w:t>广东电网有限责任公司报废物资竞买须知</w:t>
      </w:r>
    </w:p>
    <w:p w14:paraId="2AD71A6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一、拍卖方式及要求</w:t>
      </w:r>
    </w:p>
    <w:p w14:paraId="7D709E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采用线上竞价的方式增价拍卖，拍卖人报出拍卖标的的起拍价后，竞买人在此基价上应价。若线上竞价无法正常实施，转为线下现场拍卖。</w:t>
      </w:r>
    </w:p>
    <w:p w14:paraId="3B5CE0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本次拍卖工作需使用南方电网公司废旧物资线上</w:t>
      </w:r>
      <w:r>
        <w:rPr>
          <w:rFonts w:hint="eastAsia" w:ascii="宋体" w:hAnsi="宋体" w:eastAsia="宋体" w:cs="宋体"/>
          <w:color w:val="auto"/>
          <w:sz w:val="22"/>
          <w:szCs w:val="22"/>
          <w:vertAlign w:val="baseline"/>
          <w:lang w:val="en-US" w:eastAsia="zh-CN"/>
        </w:rPr>
        <w:t>拍卖</w:t>
      </w:r>
      <w:r>
        <w:rPr>
          <w:rFonts w:hint="eastAsia" w:ascii="宋体" w:hAnsi="宋体" w:eastAsia="宋体" w:cs="宋体"/>
          <w:color w:val="auto"/>
          <w:sz w:val="22"/>
          <w:szCs w:val="22"/>
          <w:vertAlign w:val="baseline"/>
        </w:rPr>
        <w:t>平台</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新系统模块</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平台的操作请参考《中国南方电网有限责任公司废旧物资线上竞价平台操作指引》（可登录网址:http://www.bidding.csg.cn下载中心获取）。平台使用过程中因竞买人自身操作原因造成无法参与竞价或竞价不成功的，后果由竞买人承担。</w:t>
      </w:r>
    </w:p>
    <w:p w14:paraId="6FDA7C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二、成交原则</w:t>
      </w:r>
    </w:p>
    <w:p w14:paraId="162570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经拍卖师公开确认，以唯一最高应价且不低于起拍价购得标的物的竞买人为买受人。</w:t>
      </w:r>
    </w:p>
    <w:p w14:paraId="186E5B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三、收取买受人佣金标准为：成交金额×</w:t>
      </w:r>
      <w:r>
        <w:rPr>
          <w:rFonts w:hint="eastAsia" w:ascii="宋体" w:hAnsi="宋体" w:eastAsia="宋体" w:cs="宋体"/>
          <w:color w:val="auto"/>
          <w:sz w:val="22"/>
          <w:szCs w:val="22"/>
          <w:u w:val="single"/>
          <w:vertAlign w:val="baseline"/>
          <w:lang w:val="en-US" w:eastAsia="zh-CN"/>
        </w:rPr>
        <w:t>4.6</w:t>
      </w:r>
      <w:r>
        <w:rPr>
          <w:rFonts w:hint="eastAsia" w:ascii="宋体" w:hAnsi="宋体" w:eastAsia="宋体" w:cs="宋体"/>
          <w:color w:val="auto"/>
          <w:sz w:val="22"/>
          <w:szCs w:val="22"/>
          <w:u w:val="single"/>
          <w:vertAlign w:val="baseline"/>
        </w:rPr>
        <w:t xml:space="preserve"> </w:t>
      </w:r>
      <w:r>
        <w:rPr>
          <w:rFonts w:hint="eastAsia" w:ascii="宋体" w:hAnsi="宋体" w:eastAsia="宋体" w:cs="宋体"/>
          <w:color w:val="auto"/>
          <w:sz w:val="22"/>
          <w:szCs w:val="22"/>
          <w:vertAlign w:val="baseline"/>
        </w:rPr>
        <w:t>%。</w:t>
      </w:r>
    </w:p>
    <w:p w14:paraId="53B307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四、竞买人报名要求：</w:t>
      </w:r>
    </w:p>
    <w:p w14:paraId="7C4FF8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lang w:eastAsia="zh-CN"/>
        </w:rPr>
      </w:pPr>
      <w:r>
        <w:rPr>
          <w:rFonts w:hint="eastAsia" w:ascii="宋体" w:hAnsi="宋体" w:eastAsia="宋体" w:cs="宋体"/>
          <w:i w:val="0"/>
          <w:iCs w:val="0"/>
          <w:caps w:val="0"/>
          <w:color w:val="auto"/>
          <w:spacing w:val="0"/>
          <w:sz w:val="22"/>
          <w:szCs w:val="22"/>
          <w:shd w:val="clear" w:color="auto" w:fill="FFFFFF"/>
          <w:vertAlign w:val="baseline"/>
        </w:rPr>
        <w:t>（一）竞买人应是中华人民共和国境内注册的企业法人。</w:t>
      </w:r>
    </w:p>
    <w:p w14:paraId="1081FE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（二）</w:t>
      </w:r>
      <w:r>
        <w:rPr>
          <w:rFonts w:hint="eastAsia" w:ascii="宋体" w:hAnsi="宋体" w:eastAsia="宋体" w:cs="宋体"/>
          <w:i w:val="0"/>
          <w:iCs w:val="0"/>
          <w:caps w:val="0"/>
          <w:color w:val="auto"/>
          <w:spacing w:val="0"/>
          <w:sz w:val="22"/>
          <w:szCs w:val="22"/>
          <w:highlight w:val="none"/>
          <w:shd w:val="clear" w:color="auto" w:fill="FFFFFF"/>
          <w:vertAlign w:val="baseline"/>
        </w:rPr>
        <w:t>竞买人应具备增值税一般纳税人资格，以主管税务机关盖章的书面证明或电子税务局网站一般纳税人资格查询结果为准。</w:t>
      </w:r>
    </w:p>
    <w:p w14:paraId="4B72CB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（三）竞买人营业执照经营范围应包括“废旧物资（或金属）回收”等内容。</w:t>
      </w:r>
    </w:p>
    <w:p w14:paraId="52D7BC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四）竞买人必须持有行业主管部门颁发的有效再生资源回收经营者备案登记手续（或提供在商务部统一业务平台的再生资源回收经营者备案信息）、县级公安机关的废旧金属收购业备案证明。根据商务部令2019年第1号文《商务部关于废止和修改部分规章的决定》的要求，再生资源回收经营者备案事项整合到营业执照上，竞买人须持有行业主管部门颁发有效的营业执照及废旧金属收购业务治安备案证明。</w:t>
      </w:r>
    </w:p>
    <w:p w14:paraId="7223C4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yellow"/>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（五）</w:t>
      </w:r>
      <w:r>
        <w:rPr>
          <w:rFonts w:hint="eastAsia" w:ascii="宋体" w:hAnsi="宋体" w:eastAsia="宋体" w:cs="宋体"/>
          <w:i w:val="0"/>
          <w:iCs w:val="0"/>
          <w:caps w:val="0"/>
          <w:color w:val="auto"/>
          <w:spacing w:val="0"/>
          <w:sz w:val="22"/>
          <w:szCs w:val="22"/>
          <w:highlight w:val="none"/>
          <w:shd w:val="clear" w:color="auto" w:fill="FFFFFF"/>
          <w:vertAlign w:val="baseline"/>
        </w:rPr>
        <w:t>竞买人报名时若仍与任一委托人之间仍有标的未按照合同约定完成交割出库的，则不接受报名。</w:t>
      </w:r>
    </w:p>
    <w:p w14:paraId="1A8ECA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（六）不接受在违约处理期内的竞买人报名。</w:t>
      </w:r>
    </w:p>
    <w:p w14:paraId="0E8336F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（七）若法定代表人为同一个人的两个及两个以上法人；母公司、全资子公司及其控股公司，只接受一家公司报名。</w:t>
      </w:r>
    </w:p>
    <w:p w14:paraId="789D8A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（八）不接受联合体报名。</w:t>
      </w:r>
    </w:p>
    <w:p w14:paraId="0A0FB22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九）竞买人报名前，需在拍卖公告规定的截止报名时间前，前往中国南方电网有限责任公司供应链统一服务平台完成注册登记和审核工作。平台的具体操作请参考《阳光电子商务平台供应商登记注册操作手册》（登录网址:http://www.bidding.csg.cn下载中心获取），详情咨询我司。</w:t>
      </w:r>
    </w:p>
    <w:p w14:paraId="1AC087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五、拍卖保证金和履约保证金的收取</w:t>
      </w:r>
    </w:p>
    <w:p w14:paraId="2C2562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（一）拍卖保证金由拍卖人统一收取，按标的起拍价的15%取整收取，不足5万元的按5万元收取。竞买人按照拍卖公告约定时间将拍卖保证金通过对公账户汇款至拍卖人指定账户，以实际到帐日期为准。</w:t>
      </w:r>
    </w:p>
    <w:p w14:paraId="1469A1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（二）履约保证金由拍卖人统一收取，按拍卖成交价款的15%取整收取。买受人在双方签订合同后3个工作日内将履约保证金通过对公账户汇款至拍卖人指定账户，以实际到帐日期为准。</w:t>
      </w:r>
    </w:p>
    <w:p w14:paraId="6980AA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六、标的撤回</w:t>
      </w:r>
    </w:p>
    <w:p w14:paraId="03F889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（一）委托人在拍卖开始前可以撤回拍卖标的。</w:t>
      </w:r>
    </w:p>
    <w:p w14:paraId="11DDAE6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（二）单一标的在截止报名时，通过资质审查且按规定缴纳拍卖保证金的竞买人不足两家的，该标的撤回。</w:t>
      </w:r>
    </w:p>
    <w:p w14:paraId="68E629E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七、拍卖标的展示</w:t>
      </w:r>
    </w:p>
    <w:p w14:paraId="1924DB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人组织竞买人统一前往标的存放现场查看，并负责现场照相、录像、维持秩序及介绍答疑等工作，委托人安排人员在现场配合拍卖人。每个竞买人最多只能指定2名人员进入仓库查看标的，不得自行前往查看。</w:t>
      </w:r>
    </w:p>
    <w:p w14:paraId="650181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竞买人未在拍卖公告指定时间内到标的存放现场查看，且最终成为买受人的，不得在交割过程中对标的瑕疵或其他任何原因提出的任何异议，如产生任何纠纷或出现的一切责任由买受人承担，委托人和拍卖人不承担任何责任。</w:t>
      </w:r>
    </w:p>
    <w:p w14:paraId="505C5E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（三）拍卖标的分堆存放，存放现场须设置围栏将各标的围蔽，并设置指示牌；封堆后的标的在处置全过程中保持一致，严禁改变已封堆的报废物资现状。</w:t>
      </w:r>
    </w:p>
    <w:p w14:paraId="439FA62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八、拍卖程序</w:t>
      </w:r>
    </w:p>
    <w:p w14:paraId="03711801">
      <w:pPr>
        <w:keepNext w:val="0"/>
        <w:keepLines w:val="0"/>
        <w:pageBreakBefore w:val="0"/>
        <w:widowControl w:val="0"/>
        <w:kinsoku/>
        <w:wordWrap/>
        <w:overflowPunct/>
        <w:topLinePunct w:val="0"/>
        <w:autoSpaceDE/>
        <w:autoSpaceDN/>
        <w:bidi w:val="0"/>
        <w:adjustRightInd/>
        <w:snapToGrid w:val="0"/>
        <w:spacing w:line="360" w:lineRule="auto"/>
        <w:ind w:right="0" w:rightChars="0" w:firstLine="48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color w:val="auto"/>
          <w:sz w:val="24"/>
          <w:highlight w:val="none"/>
          <w:lang w:val="en-US" w:eastAsia="zh-CN"/>
        </w:rPr>
        <w:t>（一）本</w:t>
      </w:r>
      <w:r>
        <w:rPr>
          <w:rFonts w:hint="eastAsia" w:ascii="宋体" w:hAnsi="宋体" w:eastAsia="宋体" w:cs="宋体"/>
          <w:color w:val="auto"/>
          <w:sz w:val="22"/>
          <w:szCs w:val="22"/>
          <w:highlight w:val="none"/>
          <w:lang w:val="en-US" w:eastAsia="zh-CN"/>
        </w:rPr>
        <w:t>场拍卖会采用</w:t>
      </w:r>
      <w:r>
        <w:rPr>
          <w:rFonts w:hint="eastAsia" w:ascii="宋体" w:hAnsi="宋体" w:eastAsia="宋体" w:cs="宋体"/>
          <w:color w:val="auto"/>
          <w:sz w:val="22"/>
          <w:szCs w:val="22"/>
          <w:vertAlign w:val="baseline"/>
        </w:rPr>
        <w:t>南</w:t>
      </w:r>
      <w:r>
        <w:rPr>
          <w:rFonts w:hint="eastAsia" w:ascii="宋体" w:hAnsi="宋体" w:eastAsia="宋体" w:cs="宋体"/>
          <w:color w:val="auto"/>
          <w:sz w:val="22"/>
          <w:szCs w:val="22"/>
          <w:highlight w:val="none"/>
          <w:vertAlign w:val="baseline"/>
        </w:rPr>
        <w:t>方电网公司废旧物资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平台</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新系统模块</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lang w:val="en-US" w:eastAsia="zh-CN"/>
        </w:rPr>
        <w:t>(https://www.bidding.csg.cn)进行公开拍卖，请各竞买人在拍卖前保障网络稳定、畅通，并做好网络登录手续，平台使用过程中因竞买人自身操作原因造成无法参与竞价或竞价不成功的，后果由竞买人承担。</w:t>
      </w:r>
    </w:p>
    <w:p w14:paraId="41856728">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各标包采用增价拍卖的方式进行。此次拍卖会共分为“自由竞价”、“限时竞价”两部分进行，“自由竞价”阶段结束后系统自动进入“限时竞价”阶段，在“限时竞价”结束时最高应价的竞买人成为该标的买受人。</w:t>
      </w:r>
    </w:p>
    <w:p w14:paraId="708800AB">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（三）竞买人一经应价不得撤回</w:t>
      </w:r>
      <w:r>
        <w:rPr>
          <w:rFonts w:hint="eastAsia" w:ascii="宋体" w:hAnsi="宋体" w:eastAsia="宋体" w:cs="宋体"/>
          <w:color w:val="auto"/>
          <w:sz w:val="22"/>
          <w:szCs w:val="22"/>
          <w:highlight w:val="none"/>
        </w:rPr>
        <w:t>，若竞买人成为买受人后反悔的，将承担法律责任。</w:t>
      </w:r>
      <w:r>
        <w:rPr>
          <w:rFonts w:hint="eastAsia" w:ascii="宋体" w:hAnsi="宋体" w:eastAsia="宋体" w:cs="宋体"/>
          <w:color w:val="auto"/>
          <w:sz w:val="22"/>
          <w:szCs w:val="22"/>
          <w:highlight w:val="none"/>
          <w:lang w:val="en-US" w:eastAsia="zh-CN"/>
        </w:rPr>
        <w:t>自竞价开始至结束，如无竞买人应价的，该标的作不成交处理。</w:t>
      </w:r>
    </w:p>
    <w:p w14:paraId="53AD5F1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（四）拍卖标的有保留价的，竞买人的最高应价未达到保留价时，该应价不发生效力，拍卖师有权停止拍卖该标的。</w:t>
      </w:r>
    </w:p>
    <w:p w14:paraId="73CD7DFC">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（五）网络竞价特别告知：</w:t>
      </w:r>
    </w:p>
    <w:p w14:paraId="6EF38159">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1.通过自备终端参与竞价活动的竞买人应尽量采用高带宽、高性能、安全的网络环境，并应注意用户名及密码的安全，离开终端时应及时退出本网络竞价系统。</w:t>
      </w:r>
    </w:p>
    <w:p w14:paraId="2EDD3D4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2.竞买人的注册用户名及密码由竞买人自行设定及保管，因用户名及密码遗失造成不能参与网络应价的，后果由竞买人自行承担。</w:t>
      </w:r>
    </w:p>
    <w:p w14:paraId="6306A8A0">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委托人、拍卖人及网络平台不承担基于上述情况或由于竞买人误操作所造成的一切损失及责任。</w:t>
      </w:r>
    </w:p>
    <w:p w14:paraId="21E5E50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4.出现下列情形之一的，我公司有权暂停或中止网络竞价：</w:t>
      </w:r>
    </w:p>
    <w:p w14:paraId="5EA06F2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（1）因服务器硬件、软件等出现系统故障或操作失误，导致竞拍无法正常进行的。</w:t>
      </w:r>
    </w:p>
    <w:p w14:paraId="0EC06464">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（2）应委托人要求，需暂停或中止网络竞价活动的其他情形。</w:t>
      </w:r>
    </w:p>
    <w:p w14:paraId="355BBBBA">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采取暂停或中止拍卖竞价活动的，我公司将根据项目具体情况选择继续竞价或重新竞价，继续竞价或重新竞价的规则如下：竞价行为可以恢复的，竞买人可继续竞价；竞价行为无法恢复的，则另外重新组织时间竞价。</w:t>
      </w:r>
    </w:p>
    <w:p w14:paraId="0F03AFEB">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六）标的按展示现状拍卖及交割，拍卖公告及拍卖标的清单中对拍卖标的品牌（标注）、型号、规格、外观、数量、质量、生产日期、保质期等均仅供参考，委托人及拍卖人不保证参考清单描述与标的现状一致，对拍卖标的的真伪或品质、数量不承担瑕疵</w:t>
      </w:r>
      <w:r>
        <w:rPr>
          <w:rFonts w:hint="eastAsia" w:ascii="宋体" w:hAnsi="宋体" w:eastAsia="宋体" w:cs="宋体"/>
          <w:color w:val="auto"/>
          <w:sz w:val="22"/>
          <w:szCs w:val="22"/>
          <w:vertAlign w:val="baseline"/>
          <w:lang w:val="en-US" w:eastAsia="zh-CN"/>
        </w:rPr>
        <w:t>担保责任，敬请竞买人务必亲自查看拍卖标的及相关资料，自行判断是否参加竞买。</w:t>
      </w:r>
      <w:r>
        <w:rPr>
          <w:rFonts w:hint="eastAsia" w:ascii="宋体" w:hAnsi="宋体" w:eastAsia="宋体" w:cs="宋体"/>
          <w:b/>
          <w:bCs/>
          <w:color w:val="auto"/>
          <w:sz w:val="22"/>
          <w:szCs w:val="22"/>
          <w:vertAlign w:val="baseline"/>
          <w:lang w:val="en-US" w:eastAsia="zh-CN"/>
        </w:rPr>
        <w:t>竞买人一经参与拍卖活动视为接受并知晓拍卖标的实际状况，不得以现场标的物缺损、包含金属量与数量差异为由拒绝交割。</w:t>
      </w:r>
      <w:r>
        <w:rPr>
          <w:rFonts w:hint="eastAsia" w:ascii="宋体" w:hAnsi="宋体" w:eastAsia="宋体" w:cs="宋体"/>
          <w:color w:val="auto"/>
          <w:sz w:val="22"/>
          <w:szCs w:val="22"/>
          <w:vertAlign w:val="baseline"/>
        </w:rPr>
        <w:t>竞买人在竞投前应仔细审视拍卖标的，并应充分考虑各标的交割出库的先后次序，以及成交后可能需要发生的装卸费、运输费、包装费、税费、税金等一切相关费用。若一旦参加应价竞投，即视为认可该拍卖标的之现状，对</w:t>
      </w:r>
      <w:r>
        <w:rPr>
          <w:rFonts w:hint="eastAsia" w:ascii="宋体" w:hAnsi="宋体" w:eastAsia="宋体" w:cs="宋体"/>
          <w:color w:val="auto"/>
          <w:sz w:val="22"/>
          <w:szCs w:val="22"/>
          <w:highlight w:val="none"/>
          <w:lang w:val="en-US" w:eastAsia="zh-CN"/>
        </w:rPr>
        <w:t>自己竞投的行为承担法律责任，不能以任何理由拒绝履行成交结果、签订合同、支付拍卖成交价款及履约保证金、交割出库，否则按违约处理。</w:t>
      </w:r>
    </w:p>
    <w:p w14:paraId="2A2753D0">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九、标的流拍及流拍处理</w:t>
      </w:r>
    </w:p>
    <w:p w14:paraId="187FA117">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（一）标的流拍：</w:t>
      </w:r>
    </w:p>
    <w:p w14:paraId="59CBBA39">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拍卖流拍是指拍卖标的经过拍卖程序以后未能成交的情形，主要有以下几种：</w:t>
      </w:r>
    </w:p>
    <w:p w14:paraId="1883A5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1.没有竞买人应价。</w:t>
      </w:r>
    </w:p>
    <w:p w14:paraId="6F02B67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2.没有竞买人缴纳拍卖保证金参与竞买。</w:t>
      </w:r>
    </w:p>
    <w:p w14:paraId="6CAB19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3.竞买人所提交的报名资料全部为无效的。</w:t>
      </w:r>
    </w:p>
    <w:p w14:paraId="74519E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default"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4.因不可抗力导致网络竞价不能进行的。</w:t>
      </w:r>
    </w:p>
    <w:p w14:paraId="1B5927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（二）流拍处理：</w:t>
      </w:r>
    </w:p>
    <w:p w14:paraId="5800DD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拍卖流拍的，由委托人负责重新划分标的，申请处置。</w:t>
      </w:r>
    </w:p>
    <w:p w14:paraId="088D6C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十、拍卖成交确认书和报废物资买卖合同的签订</w:t>
      </w:r>
    </w:p>
    <w:p w14:paraId="23BE9F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（一）在拍卖成交后24小时内，买受人须签订拍卖成交确认书。</w:t>
      </w:r>
    </w:p>
    <w:p w14:paraId="0AC7AE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（二）在拍卖成交后1个工作日内，拍卖人将相关拍卖资料以电子邮件和EMS的方式寄出给委托人，拍卖资料包括拍卖成交确认书、刊登拍卖公告的报纸或网址等（均应加盖拍卖人公章）及报废物资买卖合同。</w:t>
      </w:r>
    </w:p>
    <w:p w14:paraId="3A9592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（三</w:t>
      </w:r>
      <w:r>
        <w:rPr>
          <w:rFonts w:hint="eastAsia" w:ascii="宋体" w:hAnsi="宋体" w:eastAsia="宋体" w:cs="宋体"/>
          <w:color w:val="auto"/>
          <w:sz w:val="22"/>
          <w:szCs w:val="22"/>
          <w:highlight w:val="none"/>
          <w:vertAlign w:val="baseline"/>
        </w:rPr>
        <w:t>）在拍卖成交后7个工作日内，</w:t>
      </w:r>
      <w:r>
        <w:rPr>
          <w:rFonts w:hint="eastAsia" w:ascii="宋体" w:hAnsi="宋体" w:eastAsia="宋体" w:cs="宋体"/>
          <w:color w:val="auto"/>
          <w:sz w:val="22"/>
          <w:szCs w:val="22"/>
          <w:highlight w:val="none"/>
          <w:vertAlign w:val="baseline"/>
          <w:lang w:val="en-US" w:eastAsia="zh-CN"/>
        </w:rPr>
        <w:t>买受人与委托人</w:t>
      </w:r>
      <w:r>
        <w:rPr>
          <w:rFonts w:hint="eastAsia" w:ascii="宋体" w:hAnsi="宋体" w:eastAsia="宋体" w:cs="宋体"/>
          <w:color w:val="auto"/>
          <w:sz w:val="22"/>
          <w:szCs w:val="22"/>
          <w:highlight w:val="none"/>
          <w:vertAlign w:val="baseline"/>
        </w:rPr>
        <w:t>完成报废物资买卖合同的签订工作，委托人于签订合同后1个工作日内将付款通知函及合同以电子邮件和EMS的方式寄出给买受人。</w:t>
      </w:r>
    </w:p>
    <w:p w14:paraId="02B55EE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（四）在买受人</w:t>
      </w:r>
      <w:r>
        <w:rPr>
          <w:rFonts w:hint="eastAsia" w:ascii="宋体" w:hAnsi="宋体" w:eastAsia="宋体" w:cs="宋体"/>
          <w:color w:val="auto"/>
          <w:sz w:val="22"/>
          <w:szCs w:val="22"/>
          <w:vertAlign w:val="baseline"/>
        </w:rPr>
        <w:t>和委托人双方签订合同后3个工作日内，买受人将拍卖成交价款通过对公账户汇款至委托人指定账户，以实际到帐日期为准。</w:t>
      </w:r>
    </w:p>
    <w:p w14:paraId="34CDA28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十一、拍卖保证金和履约保证金的退回</w:t>
      </w:r>
    </w:p>
    <w:p w14:paraId="206898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（一）拍卖流拍、由委托人撤回或的标的，拍卖人在拍卖会结束后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个工作日内将拍卖保证金无息退回竞买人。拍卖成交的标的，未竞得标的的竞买人所缴纳的保证金，由拍卖人在拍卖会结束后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个工作日内无息退回；竞得标的的竞买人所缴纳的保证金，委托人在收到拍卖成交价款的2个工作日内，书面通知拍卖人在收到履约保证金后2个工作日内将拍卖保证金无息退回。</w:t>
      </w:r>
    </w:p>
    <w:p w14:paraId="1CAF88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（二）履约保证金按照标包拍卖成交价的15%向上取整收取，买受人在与委托方签订合同后3个工作日内将履约保证金通过对公账户汇至我司指定账户，</w:t>
      </w:r>
      <w:r>
        <w:rPr>
          <w:rFonts w:hint="eastAsia" w:ascii="宋体" w:hAnsi="宋体" w:eastAsia="宋体" w:cs="宋体"/>
          <w:b/>
          <w:bCs/>
          <w:color w:val="auto"/>
          <w:sz w:val="22"/>
          <w:szCs w:val="22"/>
          <w:vertAlign w:val="baseline"/>
        </w:rPr>
        <w:t>户名：南方电网供应链科技（广东）有限公司；开户行：中信银行广州花园支行；账号：8110 9010 1270 1706 630；转账请备注：</w:t>
      </w:r>
      <w:r>
        <w:rPr>
          <w:rFonts w:hint="eastAsia" w:ascii="宋体" w:hAnsi="宋体" w:eastAsia="宋体" w:cs="宋体"/>
          <w:b/>
          <w:bCs/>
          <w:color w:val="auto"/>
          <w:sz w:val="22"/>
          <w:szCs w:val="22"/>
          <w:highlight w:val="none"/>
          <w:vertAlign w:val="baseline"/>
        </w:rPr>
        <w:t>“202</w:t>
      </w:r>
      <w:r>
        <w:rPr>
          <w:rFonts w:hint="eastAsia" w:ascii="宋体" w:hAnsi="宋体" w:eastAsia="宋体" w:cs="宋体"/>
          <w:b/>
          <w:bCs/>
          <w:color w:val="auto"/>
          <w:sz w:val="22"/>
          <w:szCs w:val="22"/>
          <w:highlight w:val="none"/>
          <w:vertAlign w:val="baseline"/>
          <w:lang w:val="en-US" w:eastAsia="zh-CN"/>
        </w:rPr>
        <w:t>665</w:t>
      </w:r>
      <w:r>
        <w:rPr>
          <w:rFonts w:hint="eastAsia" w:ascii="宋体" w:hAnsi="宋体" w:eastAsia="宋体" w:cs="宋体"/>
          <w:b/>
          <w:bCs/>
          <w:color w:val="auto"/>
          <w:sz w:val="22"/>
          <w:szCs w:val="22"/>
          <w:highlight w:val="none"/>
          <w:vertAlign w:val="baseline"/>
        </w:rPr>
        <w:t>期履约保证金/</w:t>
      </w:r>
      <w:r>
        <w:rPr>
          <w:rFonts w:hint="eastAsia" w:ascii="宋体" w:hAnsi="宋体" w:eastAsia="宋体" w:cs="宋体"/>
          <w:b/>
          <w:bCs/>
          <w:color w:val="auto"/>
          <w:sz w:val="22"/>
          <w:szCs w:val="22"/>
          <w:highlight w:val="none"/>
          <w:vertAlign w:val="baseline"/>
          <w:lang w:val="en-US" w:eastAsia="zh-CN"/>
        </w:rPr>
        <w:t>××</w:t>
      </w:r>
      <w:r>
        <w:rPr>
          <w:rFonts w:hint="eastAsia" w:ascii="宋体" w:hAnsi="宋体" w:eastAsia="宋体" w:cs="宋体"/>
          <w:b/>
          <w:bCs/>
          <w:color w:val="auto"/>
          <w:sz w:val="22"/>
          <w:szCs w:val="22"/>
          <w:highlight w:val="none"/>
          <w:vertAlign w:val="baseline"/>
        </w:rPr>
        <w:t>标包”</w:t>
      </w:r>
      <w:r>
        <w:rPr>
          <w:rFonts w:hint="eastAsia" w:ascii="宋体" w:hAnsi="宋体" w:eastAsia="宋体" w:cs="宋体"/>
          <w:color w:val="auto"/>
          <w:sz w:val="22"/>
          <w:szCs w:val="22"/>
          <w:vertAlign w:val="baseline"/>
        </w:rPr>
        <w:t>。</w:t>
      </w:r>
    </w:p>
    <w:p w14:paraId="5EC19B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三</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标的交割完毕，买受人与委托方办理完成交割手续，并签署《标的提货完成确认书》，拍卖人收到《标的提货完成确认书》原件后3个工作日内将履约保证金无息原账户退回。如买受人违约，包括违反《仓库提货作业要求》、《主变变压器提货作业要求》及本须知约定的事项，保证金将划至委托方指定账户，不予退回。</w:t>
      </w:r>
    </w:p>
    <w:p w14:paraId="642045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十二、标的交割</w:t>
      </w:r>
    </w:p>
    <w:p w14:paraId="32B3C8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yellow"/>
          <w:vertAlign w:val="baseline"/>
        </w:rPr>
      </w:pPr>
      <w:r>
        <w:rPr>
          <w:rFonts w:hint="eastAsia" w:ascii="宋体" w:hAnsi="宋体" w:eastAsia="宋体" w:cs="宋体"/>
          <w:color w:val="auto"/>
          <w:sz w:val="22"/>
          <w:szCs w:val="22"/>
          <w:vertAlign w:val="baseline"/>
        </w:rPr>
        <w:t>（一）</w:t>
      </w:r>
      <w:bookmarkStart w:id="1" w:name="OLE_LINK2"/>
      <w:r>
        <w:rPr>
          <w:rFonts w:hint="eastAsia" w:ascii="宋体" w:hAnsi="宋体" w:eastAsia="宋体" w:cs="宋体"/>
          <w:color w:val="auto"/>
          <w:sz w:val="22"/>
          <w:szCs w:val="22"/>
          <w:vertAlign w:val="baseline"/>
        </w:rPr>
        <w:t>标的交割以现场展示实物现状为准，委托人和拍卖人不保证参考清单重量与现场标的一致，参考清单不作为交割凭据。委托人和拍卖人不保证转让的废旧物资是可用的，不对其安全、质量和技术性能负责。拍卖标的交割时采用不清点、按现状整批出库</w:t>
      </w:r>
      <w:bookmarkEnd w:id="1"/>
      <w:r>
        <w:rPr>
          <w:rFonts w:hint="eastAsia" w:ascii="宋体" w:hAnsi="宋体" w:eastAsia="宋体" w:cs="宋体"/>
          <w:color w:val="auto"/>
          <w:sz w:val="22"/>
          <w:szCs w:val="22"/>
          <w:vertAlign w:val="baseline"/>
        </w:rPr>
        <w:t>，买受人不得因过磅的重量与清单差异拒绝办理交割。</w:t>
      </w:r>
    </w:p>
    <w:p w14:paraId="2D740A6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（二）委托人书面通知买受人交割出库时间、地点及顺序。</w:t>
      </w:r>
    </w:p>
    <w:p w14:paraId="6FDB97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（三）委托人和拍卖人共同检查买受人所持拍卖成交确认书、拍卖成交价款和履约保证金的收款凭证，资料齐全方可交割出库。</w:t>
      </w:r>
    </w:p>
    <w:p w14:paraId="29A158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（四）完成交割出库后，买受人应按委托人要求在《交割确认</w:t>
      </w:r>
      <w:r>
        <w:rPr>
          <w:rFonts w:hint="eastAsia" w:ascii="宋体" w:hAnsi="宋体" w:eastAsia="宋体" w:cs="宋体"/>
          <w:color w:val="auto"/>
          <w:sz w:val="22"/>
          <w:szCs w:val="22"/>
          <w:highlight w:val="none"/>
          <w:vertAlign w:val="baseline"/>
          <w:lang w:val="en-US" w:eastAsia="zh-CN"/>
        </w:rPr>
        <w:t>单</w:t>
      </w:r>
      <w:r>
        <w:rPr>
          <w:rFonts w:hint="eastAsia" w:ascii="宋体" w:hAnsi="宋体" w:eastAsia="宋体" w:cs="宋体"/>
          <w:color w:val="auto"/>
          <w:sz w:val="22"/>
          <w:szCs w:val="22"/>
          <w:highlight w:val="none"/>
          <w:vertAlign w:val="baseline"/>
        </w:rPr>
        <w:t>》上签字盖章后交回委托人。</w:t>
      </w:r>
    </w:p>
    <w:p w14:paraId="48F291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（五）当标的物交割完毕后，标的物灭失风险转移至买受人。</w:t>
      </w:r>
    </w:p>
    <w:p w14:paraId="6BD7315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十三、买受人违约处理</w:t>
      </w:r>
    </w:p>
    <w:p w14:paraId="592AEA6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一）买受人在拍卖会后拒签《拍卖成交确认书》、不按《拍卖成交确认书》约定期限和金额交付成交各项价款的，竞买人恶意串通导致拍卖无效的，其拍卖保证金不予退还。我公司将按《拍卖法》第39条规定：“违约买受人须承担第一次拍卖的买卖双方佣金及再次拍卖与第一次拍卖成交价款的差额”及相关法津、法规的规定追究竞买人违约责任。</w:t>
      </w:r>
    </w:p>
    <w:p w14:paraId="554D5B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（二）买受人逾期支付拍卖成交款、拍卖佣金的，每逾期1日，按应支付而逾期支付款项的1%向委托方、拍卖人支付违约金；</w:t>
      </w:r>
    </w:p>
    <w:p w14:paraId="680305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逾期提取废旧物资的，每逾期1日，向委托方支付合同总价款1%的违约金。</w:t>
      </w:r>
    </w:p>
    <w:p w14:paraId="19469C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不按要求清理装运现场</w:t>
      </w:r>
      <w:r>
        <w:rPr>
          <w:rFonts w:hint="eastAsia" w:ascii="宋体" w:hAnsi="宋体" w:eastAsia="宋体" w:cs="宋体"/>
          <w:color w:val="auto"/>
          <w:sz w:val="22"/>
          <w:szCs w:val="22"/>
          <w:highlight w:val="none"/>
          <w:vertAlign w:val="baseline"/>
        </w:rPr>
        <w:t>的，每延迟1日，向</w:t>
      </w:r>
      <w:r>
        <w:rPr>
          <w:rFonts w:hint="eastAsia" w:ascii="宋体" w:hAnsi="宋体" w:eastAsia="宋体" w:cs="宋体"/>
          <w:color w:val="auto"/>
          <w:sz w:val="22"/>
          <w:szCs w:val="22"/>
          <w:highlight w:val="none"/>
          <w:vertAlign w:val="baseline"/>
          <w:lang w:val="en-US" w:eastAsia="zh-CN"/>
        </w:rPr>
        <w:t>委托方</w:t>
      </w:r>
      <w:r>
        <w:rPr>
          <w:rFonts w:hint="eastAsia" w:ascii="宋体" w:hAnsi="宋体" w:eastAsia="宋体" w:cs="宋体"/>
          <w:color w:val="auto"/>
          <w:sz w:val="22"/>
          <w:szCs w:val="22"/>
          <w:highlight w:val="none"/>
          <w:vertAlign w:val="baseline"/>
        </w:rPr>
        <w:t>支付合同总价款1%的违约金，最高不超过合同总价款的10％</w:t>
      </w:r>
      <w:r>
        <w:rPr>
          <w:rFonts w:hint="eastAsia" w:ascii="宋体" w:hAnsi="宋体" w:eastAsia="宋体" w:cs="宋体"/>
          <w:color w:val="auto"/>
          <w:sz w:val="22"/>
          <w:szCs w:val="22"/>
          <w:highlight w:val="none"/>
          <w:vertAlign w:val="baseline"/>
          <w:lang w:eastAsia="zh-CN"/>
        </w:rPr>
        <w:t>。</w:t>
      </w:r>
    </w:p>
    <w:p w14:paraId="2E4913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四</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rPr>
        <w:t>不按照要求拆解或处置废旧物资的，向</w:t>
      </w:r>
      <w:r>
        <w:rPr>
          <w:rFonts w:hint="eastAsia" w:ascii="宋体" w:hAnsi="宋体" w:eastAsia="宋体" w:cs="宋体"/>
          <w:color w:val="auto"/>
          <w:sz w:val="22"/>
          <w:szCs w:val="22"/>
          <w:highlight w:val="none"/>
          <w:vertAlign w:val="baseline"/>
          <w:lang w:val="en-US" w:eastAsia="zh-CN"/>
        </w:rPr>
        <w:t>委托人</w:t>
      </w:r>
      <w:r>
        <w:rPr>
          <w:rFonts w:hint="eastAsia" w:ascii="宋体" w:hAnsi="宋体" w:eastAsia="宋体" w:cs="宋体"/>
          <w:color w:val="auto"/>
          <w:sz w:val="22"/>
          <w:szCs w:val="22"/>
          <w:highlight w:val="none"/>
          <w:vertAlign w:val="baseline"/>
        </w:rPr>
        <w:t>支付合同总价款15％的违约金</w:t>
      </w:r>
      <w:r>
        <w:rPr>
          <w:rFonts w:hint="eastAsia" w:ascii="宋体" w:hAnsi="宋体" w:eastAsia="宋体" w:cs="宋体"/>
          <w:color w:val="auto"/>
          <w:sz w:val="22"/>
          <w:szCs w:val="22"/>
          <w:highlight w:val="none"/>
          <w:vertAlign w:val="baseline"/>
          <w:lang w:eastAsia="zh-CN"/>
        </w:rPr>
        <w:t>。</w:t>
      </w:r>
    </w:p>
    <w:p w14:paraId="5FDFC5C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（五）违约金不足以弥补守约方损失的，违约方还应对守约方的损失承担赔偿责任（包括但不限于直接经济损失、诉讼费、公证费、律师费等）。</w:t>
      </w:r>
    </w:p>
    <w:p w14:paraId="1FC4027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十四、拍卖人对成交</w:t>
      </w:r>
      <w:r>
        <w:rPr>
          <w:rFonts w:hint="eastAsia" w:ascii="宋体" w:hAnsi="宋体" w:eastAsia="宋体" w:cs="宋体"/>
          <w:color w:val="auto"/>
          <w:sz w:val="22"/>
          <w:szCs w:val="22"/>
          <w:vertAlign w:val="baseline"/>
        </w:rPr>
        <w:t>标的提供拍卖成交确认书及佣金发票。拍卖佣金按标包拍卖成交价的4.</w:t>
      </w:r>
      <w:r>
        <w:rPr>
          <w:rFonts w:hint="eastAsia" w:ascii="宋体" w:hAnsi="宋体" w:eastAsia="宋体" w:cs="宋体"/>
          <w:color w:val="auto"/>
          <w:sz w:val="22"/>
          <w:szCs w:val="22"/>
          <w:vertAlign w:val="baseline"/>
          <w:lang w:val="en-US" w:eastAsia="zh-CN"/>
        </w:rPr>
        <w:t>6</w:t>
      </w:r>
      <w:r>
        <w:rPr>
          <w:rFonts w:hint="eastAsia" w:ascii="宋体" w:hAnsi="宋体" w:eastAsia="宋体" w:cs="宋体"/>
          <w:color w:val="auto"/>
          <w:sz w:val="22"/>
          <w:szCs w:val="22"/>
          <w:vertAlign w:val="baseline"/>
        </w:rPr>
        <w:t>%向买受人收取，买受人须于拍卖成交日起3个工作日内将拍卖佣金付至我公司以下指定账户，户名：南方电网供应链科技（广东）有限公司；开户行：中国建设银行股份有限公司广州南沙湾支行；账号：44050138220100001906）。转账请备注：“</w:t>
      </w:r>
      <w:r>
        <w:rPr>
          <w:rFonts w:hint="eastAsia" w:ascii="宋体" w:hAnsi="宋体" w:eastAsia="宋体" w:cs="宋体"/>
          <w:color w:val="auto"/>
          <w:sz w:val="22"/>
          <w:szCs w:val="22"/>
          <w:highlight w:val="none"/>
          <w:vertAlign w:val="baseline"/>
        </w:rPr>
        <w:t>202</w:t>
      </w:r>
      <w:r>
        <w:rPr>
          <w:rFonts w:hint="eastAsia" w:ascii="宋体" w:hAnsi="宋体" w:eastAsia="宋体" w:cs="宋体"/>
          <w:color w:val="auto"/>
          <w:sz w:val="22"/>
          <w:szCs w:val="22"/>
          <w:highlight w:val="none"/>
          <w:vertAlign w:val="baseline"/>
          <w:lang w:val="en-US" w:eastAsia="zh-CN"/>
        </w:rPr>
        <w:t>665</w:t>
      </w:r>
      <w:r>
        <w:rPr>
          <w:rFonts w:hint="eastAsia" w:ascii="宋体" w:hAnsi="宋体" w:eastAsia="宋体" w:cs="宋体"/>
          <w:color w:val="auto"/>
          <w:sz w:val="22"/>
          <w:szCs w:val="22"/>
          <w:highlight w:val="none"/>
          <w:vertAlign w:val="baseline"/>
        </w:rPr>
        <w:t>期佣金/</w:t>
      </w:r>
      <w:r>
        <w:rPr>
          <w:rFonts w:hint="eastAsia" w:ascii="宋体" w:hAnsi="宋体" w:eastAsia="宋体" w:cs="宋体"/>
          <w:color w:val="auto"/>
          <w:sz w:val="22"/>
          <w:szCs w:val="22"/>
          <w:highlight w:val="none"/>
          <w:vertAlign w:val="baseline"/>
          <w:lang w:val="en-US" w:eastAsia="zh-CN"/>
        </w:rPr>
        <w:t>××</w:t>
      </w:r>
      <w:r>
        <w:rPr>
          <w:rFonts w:hint="eastAsia" w:ascii="宋体" w:hAnsi="宋体" w:eastAsia="宋体" w:cs="宋体"/>
          <w:color w:val="auto"/>
          <w:sz w:val="22"/>
          <w:szCs w:val="22"/>
          <w:highlight w:val="none"/>
          <w:vertAlign w:val="baseline"/>
        </w:rPr>
        <w:t>标包”</w:t>
      </w:r>
      <w:bookmarkStart w:id="2" w:name="_GoBack"/>
      <w:bookmarkEnd w:id="2"/>
      <w:r>
        <w:rPr>
          <w:rFonts w:hint="eastAsia" w:ascii="宋体" w:hAnsi="宋体" w:eastAsia="宋体" w:cs="宋体"/>
          <w:color w:val="auto"/>
          <w:sz w:val="22"/>
          <w:szCs w:val="22"/>
          <w:vertAlign w:val="baseline"/>
        </w:rPr>
        <w:t>。</w:t>
      </w:r>
    </w:p>
    <w:p w14:paraId="51CD38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十五、委托人收到买受人拍卖成交价款后，按照国家法律法规开具增值税专用发票。</w:t>
      </w:r>
    </w:p>
    <w:p w14:paraId="5B3FF7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六、凡参加报废物资处置工作的竞买人必须遵守标的展示和拍卖会现场的公共秩序，服从拍卖人组织安排，不得起哄戏闹、高声喧哗，不得阻挠其他竞买者竞价，不得阻碍拍卖师进行正常拍卖工作等，若一经发现由拍卖人取消其竞买资格，劝请其离场并追究有关法律责任。</w:t>
      </w:r>
    </w:p>
    <w:p w14:paraId="4F5F46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七、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14:paraId="5159CC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八</w:t>
      </w:r>
      <w:r>
        <w:rPr>
          <w:rFonts w:hint="eastAsia" w:ascii="宋体" w:hAnsi="宋体" w:eastAsia="宋体" w:cs="宋体"/>
          <w:color w:val="auto"/>
          <w:sz w:val="22"/>
          <w:szCs w:val="22"/>
          <w:vertAlign w:val="baseline"/>
        </w:rPr>
        <w:t>、特别约定</w:t>
      </w:r>
    </w:p>
    <w:p w14:paraId="68E64EA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本特别约定是对其他条款的补充和修改，如有不一致，以特别约定为准。</w:t>
      </w:r>
    </w:p>
    <w:p w14:paraId="5480C1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一）竞买人注册后的账号及密码由竞买人自行保管。竞买人一旦注册成功，即对参与本次网络竞价的登录账户及密码的安全性负责，登录账户及密码由本竞买人妥善保管。如因竞买人丢失登录账户或密码，由竞买人自行承担后果。</w:t>
      </w:r>
    </w:p>
    <w:p w14:paraId="1EE22C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竞买人对自己的竞价注册账户的安全负责，任何使用竞买人用户名和密码登录进入网络平台或服务器的用户，在该网络平台或服务器上的一切行为均被视为是竞买人的行为，由竞买人负责，我公司不承担与之相关的任何责任。</w:t>
      </w:r>
    </w:p>
    <w:p w14:paraId="6BE577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（三）竞价行为可能获得较高的收益，但同时也存在着较大的投资风险。竞买人应当根据自身的经济实力和心理承受能力认真制定竞价投资策略。如竞买人一经网上应价，不得反悔，否则将承担违约责任。</w:t>
      </w:r>
    </w:p>
    <w:p w14:paraId="74B94E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（四）保证金通过南方电网财务管理系统退回竞买人原汇出账户，竞买人应于南方电网供应商统一服务平台办理供应商注册手续，若未办理注册或信息不符合的，竞买人自行承担保证金未能及时退回的风险。</w:t>
      </w:r>
    </w:p>
    <w:p w14:paraId="44EE45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w:t>
      </w:r>
      <w:r>
        <w:rPr>
          <w:rFonts w:hint="eastAsia" w:ascii="宋体" w:hAnsi="宋体" w:eastAsia="宋体" w:cs="宋体"/>
          <w:color w:val="auto"/>
          <w:sz w:val="22"/>
          <w:szCs w:val="22"/>
          <w:vertAlign w:val="baseline"/>
          <w:lang w:val="en-US" w:eastAsia="zh-CN"/>
        </w:rPr>
        <w:t>五</w:t>
      </w:r>
      <w:r>
        <w:rPr>
          <w:rFonts w:hint="eastAsia" w:ascii="宋体" w:hAnsi="宋体" w:eastAsia="宋体" w:cs="宋体"/>
          <w:color w:val="auto"/>
          <w:sz w:val="22"/>
          <w:szCs w:val="22"/>
          <w:vertAlign w:val="baseline"/>
        </w:rPr>
        <w:t>）下列行为产生的一切后果，我公司不承担任何责任或连带责任：</w:t>
      </w:r>
    </w:p>
    <w:p w14:paraId="3007C0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1.</w:t>
      </w:r>
      <w:r>
        <w:rPr>
          <w:rFonts w:hint="eastAsia" w:ascii="宋体" w:hAnsi="宋体" w:eastAsia="宋体" w:cs="宋体"/>
          <w:color w:val="auto"/>
          <w:sz w:val="22"/>
          <w:szCs w:val="22"/>
          <w:vertAlign w:val="baseline"/>
        </w:rPr>
        <w:t>竞买人未及时关注我公司在网站发布的相关竞价活动信息的；</w:t>
      </w:r>
    </w:p>
    <w:p w14:paraId="2F0FFC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2.</w:t>
      </w:r>
      <w:r>
        <w:rPr>
          <w:rFonts w:hint="eastAsia" w:ascii="宋体" w:hAnsi="宋体" w:eastAsia="宋体" w:cs="宋体"/>
          <w:color w:val="auto"/>
          <w:sz w:val="22"/>
          <w:szCs w:val="22"/>
          <w:vertAlign w:val="baseline"/>
        </w:rPr>
        <w:t>竞买人自身的终端设备或网络异常不能正常竞价的；</w:t>
      </w:r>
    </w:p>
    <w:p w14:paraId="6CCD89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3.</w:t>
      </w:r>
      <w:r>
        <w:rPr>
          <w:rFonts w:hint="eastAsia" w:ascii="宋体" w:hAnsi="宋体" w:eastAsia="宋体" w:cs="宋体"/>
          <w:color w:val="auto"/>
          <w:sz w:val="22"/>
          <w:szCs w:val="22"/>
          <w:vertAlign w:val="baseline"/>
        </w:rPr>
        <w:t>竞价活动的时间以</w:t>
      </w:r>
      <w:r>
        <w:rPr>
          <w:rFonts w:hint="eastAsia" w:ascii="宋体" w:hAnsi="宋体" w:eastAsia="宋体" w:cs="宋体"/>
          <w:color w:val="auto"/>
          <w:sz w:val="22"/>
          <w:szCs w:val="22"/>
          <w:vertAlign w:val="baseline"/>
          <w:lang w:val="en-US" w:eastAsia="zh-CN"/>
        </w:rPr>
        <w:t xml:space="preserve"> 南方电网供应链统一服务平台 </w:t>
      </w:r>
      <w:r>
        <w:rPr>
          <w:rFonts w:hint="eastAsia" w:ascii="宋体" w:hAnsi="宋体" w:eastAsia="宋体" w:cs="宋体"/>
          <w:color w:val="auto"/>
          <w:sz w:val="22"/>
          <w:szCs w:val="22"/>
          <w:vertAlign w:val="baseline"/>
        </w:rPr>
        <w:t>网络竞价系统时间为准，竞买人自身原因或自身终端设备或网络异常导致时间不符而未按时参与竞价的。</w:t>
      </w:r>
    </w:p>
    <w:p w14:paraId="5E9F68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4.</w:t>
      </w:r>
      <w:r>
        <w:rPr>
          <w:rFonts w:hint="eastAsia" w:ascii="宋体" w:hAnsi="宋体" w:eastAsia="宋体" w:cs="宋体"/>
          <w:color w:val="auto"/>
          <w:sz w:val="22"/>
          <w:szCs w:val="22"/>
          <w:vertAlign w:val="baseline"/>
        </w:rPr>
        <w:t>因不可抗力或（和）第三方原因导致网站服务异常、竞价活动中断的。</w:t>
      </w:r>
    </w:p>
    <w:p w14:paraId="5DD75F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九</w:t>
      </w:r>
      <w:r>
        <w:rPr>
          <w:rFonts w:hint="eastAsia" w:ascii="宋体" w:hAnsi="宋体" w:eastAsia="宋体" w:cs="宋体"/>
          <w:color w:val="auto"/>
          <w:sz w:val="22"/>
          <w:szCs w:val="22"/>
          <w:vertAlign w:val="baseline"/>
        </w:rPr>
        <w:t>、竞买须知附录：</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val="en-US" w:eastAsia="zh-CN"/>
        </w:rPr>
        <w:t>废旧物资销售合同</w:t>
      </w:r>
      <w:r>
        <w:rPr>
          <w:rFonts w:hint="eastAsia" w:ascii="宋体" w:hAnsi="宋体" w:eastAsia="宋体" w:cs="宋体"/>
          <w:color w:val="auto"/>
          <w:sz w:val="22"/>
          <w:szCs w:val="22"/>
          <w:highlight w:val="none"/>
          <w:vertAlign w:val="baseline"/>
        </w:rPr>
        <w:t>》。</w:t>
      </w:r>
    </w:p>
    <w:p w14:paraId="069D40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b/>
          <w:color w:val="auto"/>
          <w:sz w:val="24"/>
          <w:szCs w:val="24"/>
          <w:highlight w:val="none"/>
        </w:rPr>
      </w:pPr>
    </w:p>
    <w:p w14:paraId="5620E7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b/>
          <w:color w:val="auto"/>
          <w:sz w:val="24"/>
          <w:szCs w:val="24"/>
          <w:highlight w:val="none"/>
        </w:rPr>
        <w:t>竞买人对以上规则及当期拍卖会标的所有内容（含附件内容）表示认可，对自己的竞买行为负责，承担起相应的法律责任。</w:t>
      </w:r>
    </w:p>
    <w:p w14:paraId="249043A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b w:val="0"/>
          <w:bCs/>
          <w:color w:val="auto"/>
          <w:sz w:val="24"/>
          <w:szCs w:val="24"/>
          <w:highlight w:val="none"/>
        </w:rPr>
      </w:pPr>
    </w:p>
    <w:p w14:paraId="1619B742">
      <w:pPr>
        <w:keepNext w:val="0"/>
        <w:keepLines w:val="0"/>
        <w:pageBreakBefore w:val="0"/>
        <w:widowControl w:val="0"/>
        <w:kinsoku/>
        <w:wordWrap/>
        <w:overflowPunct/>
        <w:topLinePunct w:val="0"/>
        <w:autoSpaceDE/>
        <w:autoSpaceDN/>
        <w:bidi w:val="0"/>
        <w:adjustRightInd/>
        <w:snapToGrid/>
        <w:spacing w:line="360" w:lineRule="auto"/>
        <w:ind w:right="0" w:rightChars="0" w:firstLine="440" w:firstLineChars="200"/>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竞买人</w:t>
      </w:r>
      <w:r>
        <w:rPr>
          <w:rFonts w:hint="eastAsia" w:asciiTheme="minorEastAsia" w:hAnsiTheme="minorEastAsia" w:eastAsiaTheme="minorEastAsia" w:cstheme="minorEastAsia"/>
          <w:b w:val="0"/>
          <w:bCs/>
          <w:color w:val="auto"/>
          <w:sz w:val="22"/>
          <w:szCs w:val="22"/>
          <w:highlight w:val="none"/>
          <w:lang w:eastAsia="zh-CN"/>
        </w:rPr>
        <w:t>（</w:t>
      </w:r>
      <w:r>
        <w:rPr>
          <w:rFonts w:hint="eastAsia" w:asciiTheme="minorEastAsia" w:hAnsiTheme="minorEastAsia" w:eastAsiaTheme="minorEastAsia" w:cstheme="minorEastAsia"/>
          <w:b w:val="0"/>
          <w:bCs/>
          <w:color w:val="auto"/>
          <w:sz w:val="22"/>
          <w:szCs w:val="22"/>
          <w:highlight w:val="none"/>
          <w:lang w:val="en-US" w:eastAsia="zh-CN"/>
        </w:rPr>
        <w:t>盖章）</w:t>
      </w:r>
      <w:r>
        <w:rPr>
          <w:rFonts w:hint="eastAsia" w:asciiTheme="minorEastAsia" w:hAnsiTheme="minorEastAsia" w:eastAsiaTheme="minorEastAsia" w:cstheme="minorEastAsia"/>
          <w:b w:val="0"/>
          <w:bCs/>
          <w:color w:val="auto"/>
          <w:sz w:val="22"/>
          <w:szCs w:val="22"/>
          <w:highlight w:val="none"/>
        </w:rPr>
        <w:t>：</w:t>
      </w:r>
    </w:p>
    <w:p w14:paraId="4D7ED8F0">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法定代表人（或其授权委托人）签字：</w:t>
      </w:r>
    </w:p>
    <w:p w14:paraId="15427286">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联系电话：</w:t>
      </w:r>
    </w:p>
    <w:p w14:paraId="7762DD92">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bCs/>
          <w:i w:val="0"/>
          <w:iCs w:val="0"/>
          <w:caps w:val="0"/>
          <w:color w:val="auto"/>
          <w:spacing w:val="0"/>
          <w:sz w:val="26"/>
          <w:szCs w:val="26"/>
          <w:shd w:val="clear" w:color="auto" w:fill="FFFFFF"/>
          <w:vertAlign w:val="baseline"/>
          <w:lang w:eastAsia="zh-CN"/>
        </w:rPr>
      </w:pPr>
      <w:r>
        <w:rPr>
          <w:rFonts w:hint="eastAsia" w:asciiTheme="minorEastAsia" w:hAnsiTheme="minorEastAsia" w:eastAsiaTheme="minorEastAsia" w:cstheme="minorEastAsia"/>
          <w:b w:val="0"/>
          <w:bCs/>
          <w:color w:val="auto"/>
          <w:sz w:val="22"/>
          <w:szCs w:val="22"/>
          <w:highlight w:val="none"/>
        </w:rPr>
        <w:t>日</w:t>
      </w:r>
      <w:r>
        <w:rPr>
          <w:rFonts w:hint="eastAsia" w:asciiTheme="minorEastAsia" w:hAnsiTheme="minorEastAsia" w:eastAsiaTheme="minorEastAsia" w:cstheme="minorEastAsia"/>
          <w:b w:val="0"/>
          <w:bCs/>
          <w:color w:val="auto"/>
          <w:sz w:val="22"/>
          <w:szCs w:val="22"/>
          <w:highlight w:val="none"/>
          <w:lang w:val="en-US" w:eastAsia="zh-CN"/>
        </w:rPr>
        <w:t xml:space="preserve">    </w:t>
      </w:r>
      <w:r>
        <w:rPr>
          <w:rFonts w:hint="eastAsia" w:asciiTheme="minorEastAsia" w:hAnsiTheme="minorEastAsia" w:eastAsiaTheme="minorEastAsia" w:cstheme="minorEastAsia"/>
          <w:b w:val="0"/>
          <w:bCs/>
          <w:color w:val="auto"/>
          <w:sz w:val="22"/>
          <w:szCs w:val="22"/>
          <w:highlight w:val="none"/>
        </w:rPr>
        <w:t>期：</w:t>
      </w:r>
    </w:p>
    <w:p w14:paraId="1465178A">
      <w:pPr>
        <w:rPr>
          <w:rFonts w:hint="eastAsia" w:eastAsiaTheme="minorEastAsia"/>
          <w:color w:val="auto"/>
          <w:lang w:eastAsia="zh-CN"/>
        </w:rPr>
      </w:pPr>
    </w:p>
    <w:p w14:paraId="693E579A">
      <w:pPr>
        <w:rPr>
          <w:color w:val="auto"/>
        </w:rPr>
      </w:pPr>
    </w:p>
    <w:bookmarkEnd w:id="0"/>
    <w:p w14:paraId="333DC3DC">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050D39"/>
    <w:rsid w:val="04D63A20"/>
    <w:rsid w:val="2662597F"/>
    <w:rsid w:val="29DB2C91"/>
    <w:rsid w:val="2B7F718B"/>
    <w:rsid w:val="31CD6D4C"/>
    <w:rsid w:val="3AD949B1"/>
    <w:rsid w:val="3C6E205C"/>
    <w:rsid w:val="4E050D39"/>
    <w:rsid w:val="546C3B25"/>
    <w:rsid w:val="5C9314E8"/>
    <w:rsid w:val="5E3C4371"/>
    <w:rsid w:val="666F0825"/>
    <w:rsid w:val="689D54CC"/>
    <w:rsid w:val="69230535"/>
    <w:rsid w:val="70571369"/>
    <w:rsid w:val="72C0691E"/>
    <w:rsid w:val="7648430F"/>
    <w:rsid w:val="FB7B0186"/>
    <w:rsid w:val="FC7FBB99"/>
    <w:rsid w:val="FFBD0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300</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2025-07-15T19:01:00Z</dcterms:created>
  <dc:creator>user</dc:creator>
  <cp:lastModifiedBy>XC~xiaojj</cp:lastModifiedBy>
  <cp:lastPrinted>2025-07-16T16:57:00Z</cp:lastPrinted>
  <dcterms:modified xsi:type="dcterms:W3CDTF">2026-09-30T16:03:52Z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F143EE77BB0A8C12A8EAA86A1717AFCD_43</vt:lpwstr>
  </property>
</Properties>
</file>