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ordWrap/>
        <w:overflowPunct/>
        <w:topLinePunct w:val="0"/>
        <w:bidi w:val="0"/>
        <w:spacing w:before="93" w:line="560" w:lineRule="exact"/>
        <w:jc w:val="center"/>
        <w:outlineLvl w:val="9"/>
        <w:rPr>
          <w:rFonts w:hint="eastAsia" w:ascii="方正小标宋_GBK" w:hAnsi="方正小标宋_GBK" w:eastAsia="方正小标宋_GBK" w:cs="方正小标宋_GBK"/>
          <w:color w:val="auto"/>
          <w:spacing w:val="5"/>
          <w:sz w:val="36"/>
          <w:szCs w:val="36"/>
          <w:lang w:val="en-US" w:eastAsia="zh-CN"/>
        </w:rPr>
      </w:pPr>
      <w:r>
        <w:rPr>
          <w:rFonts w:hint="eastAsia" w:ascii="方正小标宋_GBK" w:hAnsi="方正小标宋_GBK" w:eastAsia="方正小标宋_GBK" w:cs="方正小标宋_GBK"/>
          <w:color w:val="auto"/>
          <w:spacing w:val="5"/>
          <w:sz w:val="36"/>
          <w:szCs w:val="36"/>
          <w:lang w:val="en-US" w:eastAsia="zh-CN"/>
        </w:rPr>
        <w:t>中国南方电网有限责任公司</w:t>
      </w:r>
    </w:p>
    <w:p>
      <w:pPr>
        <w:keepNext w:val="0"/>
        <w:keepLines w:val="0"/>
        <w:pageBreakBefore w:val="0"/>
        <w:wordWrap/>
        <w:overflowPunct/>
        <w:topLinePunct w:val="0"/>
        <w:bidi w:val="0"/>
        <w:spacing w:before="93" w:line="560" w:lineRule="exact"/>
        <w:jc w:val="center"/>
        <w:outlineLvl w:val="9"/>
        <w:rPr>
          <w:rFonts w:hint="eastAsia" w:ascii="方正小标宋_GBK" w:hAnsi="方正小标宋_GBK" w:eastAsia="方正小标宋_GBK" w:cs="方正小标宋_GBK"/>
          <w:color w:val="auto"/>
          <w:sz w:val="36"/>
          <w:szCs w:val="36"/>
        </w:rPr>
      </w:pPr>
      <w:r>
        <w:rPr>
          <w:rFonts w:hint="eastAsia" w:ascii="方正小标宋_GBK" w:hAnsi="方正小标宋_GBK" w:eastAsia="方正小标宋_GBK" w:cs="方正小标宋_GBK"/>
          <w:color w:val="auto"/>
          <w:spacing w:val="9"/>
          <w:sz w:val="36"/>
          <w:szCs w:val="36"/>
        </w:rPr>
        <w:t>办公类物资</w:t>
      </w:r>
      <w:r>
        <w:rPr>
          <w:rFonts w:hint="eastAsia" w:ascii="方正小标宋_GBK" w:hAnsi="方正小标宋_GBK" w:eastAsia="方正小标宋_GBK" w:cs="方正小标宋_GBK"/>
          <w:color w:val="auto"/>
          <w:spacing w:val="9"/>
          <w:sz w:val="36"/>
          <w:szCs w:val="36"/>
          <w:lang w:val="en-US" w:eastAsia="zh-CN"/>
        </w:rPr>
        <w:t>及MRO工业品</w:t>
      </w:r>
      <w:r>
        <w:rPr>
          <w:rFonts w:hint="eastAsia" w:ascii="方正小标宋_GBK" w:hAnsi="方正小标宋_GBK" w:eastAsia="方正小标宋_GBK" w:cs="方正小标宋_GBK"/>
          <w:color w:val="auto"/>
          <w:spacing w:val="9"/>
          <w:sz w:val="36"/>
          <w:szCs w:val="36"/>
        </w:rPr>
        <w:t>商品</w:t>
      </w:r>
      <w:r>
        <w:rPr>
          <w:rFonts w:hint="eastAsia" w:ascii="方正小标宋_GBK" w:hAnsi="方正小标宋_GBK" w:eastAsia="方正小标宋_GBK" w:cs="方正小标宋_GBK"/>
          <w:color w:val="auto"/>
          <w:spacing w:val="9"/>
          <w:sz w:val="36"/>
          <w:szCs w:val="36"/>
          <w:lang w:val="en-US" w:eastAsia="zh-CN"/>
        </w:rPr>
        <w:t>出入库</w:t>
      </w:r>
      <w:r>
        <w:rPr>
          <w:rFonts w:hint="eastAsia" w:ascii="方正小标宋_GBK" w:hAnsi="方正小标宋_GBK" w:eastAsia="方正小标宋_GBK" w:cs="方正小标宋_GBK"/>
          <w:color w:val="auto"/>
          <w:spacing w:val="9"/>
          <w:sz w:val="36"/>
          <w:szCs w:val="36"/>
        </w:rPr>
        <w:t>工作指南</w:t>
      </w:r>
    </w:p>
    <w:p>
      <w:pPr>
        <w:keepNext w:val="0"/>
        <w:keepLines w:val="0"/>
        <w:pageBreakBefore w:val="0"/>
        <w:wordWrap/>
        <w:overflowPunct/>
        <w:topLinePunct w:val="0"/>
        <w:bidi w:val="0"/>
        <w:spacing w:line="560" w:lineRule="exact"/>
        <w:jc w:val="center"/>
        <w:rPr>
          <w:rFonts w:hint="eastAsia" w:ascii="楷体_GB2312" w:hAnsi="楷体_GB2312" w:eastAsia="楷体_GB2312" w:cs="楷体_GB2312"/>
          <w:color w:val="auto"/>
          <w:sz w:val="32"/>
          <w:szCs w:val="32"/>
          <w:lang w:eastAsia="zh-CN"/>
        </w:rPr>
      </w:pPr>
      <w:r>
        <w:rPr>
          <w:rFonts w:hint="eastAsia" w:ascii="楷体_GB2312" w:hAnsi="楷体_GB2312" w:eastAsia="楷体_GB2312" w:cs="楷体_GB2312"/>
          <w:color w:val="auto"/>
          <w:sz w:val="32"/>
          <w:szCs w:val="32"/>
          <w:lang w:eastAsia="zh-CN"/>
        </w:rPr>
        <w:t>（</w:t>
      </w:r>
      <w:r>
        <w:rPr>
          <w:rFonts w:hint="eastAsia" w:ascii="楷体_GB2312" w:hAnsi="楷体_GB2312" w:eastAsia="楷体_GB2312" w:cs="楷体_GB2312"/>
          <w:color w:val="auto"/>
          <w:sz w:val="32"/>
          <w:szCs w:val="32"/>
          <w:lang w:val="en-US" w:eastAsia="zh-CN"/>
        </w:rPr>
        <w:t>版本编号：NWGY-2026-01</w:t>
      </w:r>
      <w:r>
        <w:rPr>
          <w:rFonts w:hint="eastAsia" w:ascii="楷体_GB2312" w:hAnsi="楷体_GB2312" w:eastAsia="楷体_GB2312" w:cs="楷体_GB2312"/>
          <w:color w:val="auto"/>
          <w:sz w:val="32"/>
          <w:szCs w:val="32"/>
          <w:lang w:eastAsia="zh-CN"/>
        </w:rPr>
        <w:t>）</w:t>
      </w:r>
    </w:p>
    <w:p>
      <w:pPr>
        <w:pStyle w:val="2"/>
        <w:keepNext w:val="0"/>
        <w:keepLines w:val="0"/>
        <w:pageBreakBefore w:val="0"/>
        <w:widowControl/>
        <w:kinsoku w:val="0"/>
        <w:wordWrap/>
        <w:overflowPunct/>
        <w:topLinePunct w:val="0"/>
        <w:autoSpaceDE w:val="0"/>
        <w:autoSpaceDN w:val="0"/>
        <w:bidi w:val="0"/>
        <w:adjustRightInd w:val="0"/>
        <w:snapToGrid w:val="0"/>
        <w:spacing w:before="196" w:line="560" w:lineRule="exact"/>
        <w:ind w:right="98" w:firstLine="638"/>
        <w:jc w:val="both"/>
        <w:textAlignment w:val="baseline"/>
        <w:rPr>
          <w:color w:val="auto"/>
          <w:spacing w:val="3"/>
          <w:sz w:val="32"/>
          <w:szCs w:val="32"/>
        </w:rPr>
      </w:pPr>
      <w:r>
        <w:rPr>
          <w:rFonts w:hint="eastAsia" w:ascii="仿宋_GB2312" w:hAnsi="仿宋_GB2312" w:eastAsia="仿宋_GB2312" w:cs="仿宋_GB2312"/>
          <w:color w:val="auto"/>
          <w:spacing w:val="3"/>
          <w:sz w:val="32"/>
          <w:szCs w:val="32"/>
        </w:rPr>
        <w:t>为规范中国南方电网公司电子商城内采专区办公通用物资及MRO工业品标准商品库管理工作，明确出入库审核工作内容、标准和流程，加强标准商品的动态管控，强化商城采购风险管控，制定本工作指南。</w:t>
      </w:r>
    </w:p>
    <w:p>
      <w:pPr>
        <w:pStyle w:val="2"/>
        <w:keepNext w:val="0"/>
        <w:keepLines w:val="0"/>
        <w:pageBreakBefore w:val="0"/>
        <w:widowControl/>
        <w:kinsoku w:val="0"/>
        <w:wordWrap/>
        <w:overflowPunct/>
        <w:topLinePunct w:val="0"/>
        <w:autoSpaceDE w:val="0"/>
        <w:autoSpaceDN w:val="0"/>
        <w:bidi w:val="0"/>
        <w:adjustRightInd w:val="0"/>
        <w:snapToGrid w:val="0"/>
        <w:spacing w:before="17" w:line="560" w:lineRule="exact"/>
        <w:ind w:left="652"/>
        <w:textAlignment w:val="baseline"/>
        <w:outlineLvl w:val="0"/>
        <w:rPr>
          <w:rFonts w:hint="default" w:ascii="黑体" w:hAnsi="黑体" w:eastAsia="黑体" w:cs="黑体"/>
          <w:b w:val="0"/>
          <w:bCs w:val="0"/>
          <w:color w:val="auto"/>
          <w:lang w:val="en-US" w:eastAsia="zh-CN"/>
        </w:rPr>
      </w:pPr>
      <w:r>
        <w:rPr>
          <w:rFonts w:hint="eastAsia" w:ascii="黑体" w:hAnsi="黑体" w:eastAsia="黑体" w:cs="黑体"/>
          <w:b w:val="0"/>
          <w:bCs w:val="0"/>
          <w:color w:val="auto"/>
          <w:spacing w:val="-1"/>
        </w:rPr>
        <w:t>一、</w:t>
      </w:r>
      <w:r>
        <w:rPr>
          <w:rFonts w:hint="eastAsia" w:ascii="黑体" w:hAnsi="黑体" w:eastAsia="黑体" w:cs="黑体"/>
          <w:b w:val="0"/>
          <w:bCs w:val="0"/>
          <w:color w:val="auto"/>
          <w:spacing w:val="-1"/>
          <w:lang w:val="en-US" w:eastAsia="zh-CN"/>
        </w:rPr>
        <w:t>管理原则</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right="0" w:firstLine="641"/>
        <w:jc w:val="both"/>
        <w:textAlignment w:val="baseline"/>
        <w:rPr>
          <w:rFonts w:hint="eastAsia" w:ascii="仿宋_GB2312" w:hAnsi="仿宋_GB2312" w:eastAsia="仿宋_GB2312" w:cs="仿宋_GB2312"/>
          <w:color w:val="auto"/>
          <w:spacing w:val="3"/>
          <w:sz w:val="32"/>
          <w:szCs w:val="32"/>
          <w:lang w:val="en-US" w:eastAsia="zh-CN"/>
        </w:rPr>
      </w:pPr>
      <w:r>
        <w:rPr>
          <w:rFonts w:hint="eastAsia" w:ascii="仿宋_GB2312" w:hAnsi="仿宋_GB2312" w:eastAsia="仿宋_GB2312" w:cs="仿宋_GB2312"/>
          <w:color w:val="auto"/>
          <w:spacing w:val="3"/>
          <w:sz w:val="32"/>
          <w:szCs w:val="32"/>
          <w:lang w:val="en-US" w:eastAsia="zh-CN"/>
        </w:rPr>
        <w:t>南网电子商城内采一级专区办公通用物资及MRO工业品实行标准商品库（以下简称“标品库”）管理模式，商品执行“先入库，后上架”、“定期更新、动态管控”的管理机制。标品库原则上纳入“通用性强、低值易耗、标准化程度高”的商品，满足商城用户针对通用性强、规格品种多、计划性不强，且未纳入常规采购批次、不约定具体供应量的品类商品采购需求。</w:t>
      </w:r>
    </w:p>
    <w:p>
      <w:pPr>
        <w:pStyle w:val="2"/>
        <w:keepNext w:val="0"/>
        <w:keepLines w:val="0"/>
        <w:pageBreakBefore w:val="0"/>
        <w:widowControl/>
        <w:numPr>
          <w:ilvl w:val="0"/>
          <w:numId w:val="1"/>
        </w:numPr>
        <w:kinsoku w:val="0"/>
        <w:wordWrap/>
        <w:overflowPunct/>
        <w:topLinePunct w:val="0"/>
        <w:autoSpaceDE w:val="0"/>
        <w:autoSpaceDN w:val="0"/>
        <w:bidi w:val="0"/>
        <w:adjustRightInd w:val="0"/>
        <w:snapToGrid w:val="0"/>
        <w:spacing w:before="17" w:line="560" w:lineRule="exact"/>
        <w:ind w:firstLine="616" w:firstLineChars="200"/>
        <w:textAlignment w:val="baseline"/>
        <w:outlineLvl w:val="0"/>
        <w:rPr>
          <w:rFonts w:hint="eastAsia" w:ascii="黑体" w:hAnsi="黑体" w:eastAsia="黑体" w:cs="黑体"/>
          <w:b w:val="0"/>
          <w:bCs w:val="0"/>
          <w:color w:val="auto"/>
          <w:spacing w:val="-1"/>
          <w:lang w:val="en-US" w:eastAsia="zh-CN"/>
        </w:rPr>
      </w:pPr>
      <w:r>
        <w:rPr>
          <w:rFonts w:hint="eastAsia" w:ascii="黑体" w:hAnsi="黑体" w:eastAsia="黑体" w:cs="黑体"/>
          <w:b w:val="0"/>
          <w:bCs w:val="0"/>
          <w:color w:val="auto"/>
          <w:spacing w:val="-1"/>
          <w:lang w:val="en-US" w:eastAsia="zh-CN"/>
        </w:rPr>
        <w:t>术语和定义</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right="0" w:firstLine="641"/>
        <w:jc w:val="both"/>
        <w:textAlignment w:val="baseline"/>
        <w:rPr>
          <w:rFonts w:hint="default" w:ascii="仿宋_GB2312" w:hAnsi="仿宋_GB2312" w:eastAsia="仿宋_GB2312" w:cs="仿宋_GB2312"/>
          <w:color w:val="auto"/>
          <w:spacing w:val="3"/>
          <w:sz w:val="32"/>
          <w:szCs w:val="32"/>
          <w:lang w:val="en-US" w:eastAsia="zh-CN"/>
        </w:rPr>
      </w:pPr>
      <w:r>
        <w:rPr>
          <w:rFonts w:hint="eastAsia" w:ascii="仿宋_GB2312" w:hAnsi="仿宋_GB2312" w:eastAsia="仿宋_GB2312" w:cs="仿宋_GB2312"/>
          <w:color w:val="auto"/>
          <w:spacing w:val="3"/>
          <w:sz w:val="32"/>
          <w:szCs w:val="32"/>
          <w:lang w:val="en-US" w:eastAsia="zh-CN"/>
        </w:rPr>
        <w:t>详见附件1。</w:t>
      </w:r>
    </w:p>
    <w:p>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before="17" w:line="560" w:lineRule="exact"/>
        <w:ind w:firstLine="616" w:firstLineChars="200"/>
        <w:textAlignment w:val="baseline"/>
        <w:outlineLvl w:val="0"/>
        <w:rPr>
          <w:rFonts w:hint="eastAsia" w:ascii="黑体" w:hAnsi="黑体" w:eastAsia="黑体" w:cs="黑体"/>
          <w:b w:val="0"/>
          <w:bCs w:val="0"/>
          <w:color w:val="auto"/>
          <w:spacing w:val="-1"/>
        </w:rPr>
      </w:pPr>
      <w:r>
        <w:rPr>
          <w:rFonts w:hint="eastAsia" w:ascii="黑体" w:hAnsi="黑体" w:eastAsia="黑体" w:cs="黑体"/>
          <w:b w:val="0"/>
          <w:bCs w:val="0"/>
          <w:color w:val="auto"/>
          <w:spacing w:val="-1"/>
          <w:lang w:val="en-US" w:eastAsia="zh-CN"/>
        </w:rPr>
        <w:t>三、</w:t>
      </w:r>
      <w:r>
        <w:rPr>
          <w:rFonts w:hint="eastAsia" w:ascii="黑体" w:hAnsi="黑体" w:eastAsia="黑体" w:cs="黑体"/>
          <w:b w:val="0"/>
          <w:bCs w:val="0"/>
          <w:color w:val="auto"/>
          <w:spacing w:val="-1"/>
        </w:rPr>
        <w:t>适用范围</w:t>
      </w:r>
    </w:p>
    <w:p>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before="17" w:line="560" w:lineRule="exact"/>
        <w:ind w:firstLine="668" w:firstLineChars="200"/>
        <w:jc w:val="both"/>
        <w:textAlignment w:val="baseline"/>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pacing w:val="7"/>
          <w:sz w:val="32"/>
          <w:szCs w:val="32"/>
          <w:lang w:val="en-US" w:eastAsia="zh-CN"/>
        </w:rPr>
        <w:t>本版指南适用于办公类物资及MRO工业品商品出入库管理工作。</w:t>
      </w:r>
      <w:r>
        <w:rPr>
          <w:rFonts w:hint="eastAsia" w:ascii="仿宋_GB2312" w:hAnsi="仿宋_GB2312" w:eastAsia="仿宋_GB2312" w:cs="仿宋_GB2312"/>
          <w:color w:val="auto"/>
          <w:spacing w:val="3"/>
          <w:sz w:val="32"/>
          <w:szCs w:val="32"/>
          <w:lang w:val="en-US" w:eastAsia="zh-CN"/>
        </w:rPr>
        <w:t>办公通用物资及MRO工业品标准商品库的管理分为</w:t>
      </w:r>
      <w:r>
        <w:rPr>
          <w:rFonts w:hint="eastAsia" w:ascii="仿宋_GB2312" w:hAnsi="仿宋_GB2312" w:eastAsia="仿宋_GB2312" w:cs="仿宋_GB2312"/>
          <w:color w:val="auto"/>
          <w:spacing w:val="3"/>
          <w:sz w:val="32"/>
          <w:szCs w:val="32"/>
          <w:highlight w:val="none"/>
          <w:lang w:val="en-US" w:eastAsia="zh-CN"/>
        </w:rPr>
        <w:t>标准商品入库、标准商品冻结/解冻、标准商品信息更正及标准商品出库管理四部</w:t>
      </w:r>
      <w:r>
        <w:rPr>
          <w:rFonts w:hint="eastAsia" w:ascii="仿宋_GB2312" w:hAnsi="仿宋_GB2312" w:eastAsia="仿宋_GB2312" w:cs="仿宋_GB2312"/>
          <w:color w:val="auto"/>
          <w:spacing w:val="3"/>
          <w:sz w:val="32"/>
          <w:szCs w:val="32"/>
          <w:lang w:val="en-US" w:eastAsia="zh-CN"/>
        </w:rPr>
        <w:t>分。</w:t>
      </w:r>
      <w:r>
        <w:rPr>
          <w:rFonts w:hint="eastAsia" w:ascii="仿宋_GB2312" w:hAnsi="仿宋_GB2312" w:eastAsia="仿宋_GB2312" w:cs="仿宋_GB2312"/>
          <w:color w:val="auto"/>
          <w:sz w:val="32"/>
          <w:szCs w:val="32"/>
          <w:lang w:val="en-US" w:eastAsia="zh-CN"/>
        </w:rPr>
        <w:t>指南根据南网商城管理要求、标品库</w:t>
      </w:r>
      <w:bookmarkStart w:id="5" w:name="_GoBack"/>
      <w:bookmarkEnd w:id="5"/>
      <w:r>
        <w:rPr>
          <w:rFonts w:hint="eastAsia" w:ascii="仿宋_GB2312" w:hAnsi="仿宋_GB2312" w:eastAsia="仿宋_GB2312" w:cs="仿宋_GB2312"/>
          <w:color w:val="auto"/>
          <w:sz w:val="32"/>
          <w:szCs w:val="32"/>
          <w:lang w:val="en-US" w:eastAsia="zh-CN"/>
        </w:rPr>
        <w:t>运营情况滚动更新，在南网电子商城公告后生效。</w:t>
      </w:r>
    </w:p>
    <w:p>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before="17" w:line="560" w:lineRule="exact"/>
        <w:ind w:firstLine="616" w:firstLineChars="200"/>
        <w:textAlignment w:val="baseline"/>
        <w:outlineLvl w:val="0"/>
        <w:rPr>
          <w:rFonts w:hint="default" w:ascii="黑体" w:hAnsi="黑体" w:eastAsia="黑体" w:cs="黑体"/>
          <w:b w:val="0"/>
          <w:bCs w:val="0"/>
          <w:color w:val="auto"/>
          <w:spacing w:val="-1"/>
          <w:lang w:val="en-US" w:eastAsia="zh-CN"/>
        </w:rPr>
      </w:pPr>
      <w:r>
        <w:rPr>
          <w:rFonts w:hint="eastAsia" w:ascii="黑体" w:hAnsi="黑体" w:eastAsia="黑体" w:cs="黑体"/>
          <w:b w:val="0"/>
          <w:bCs w:val="0"/>
          <w:color w:val="auto"/>
          <w:spacing w:val="-1"/>
          <w:lang w:val="en-US" w:eastAsia="zh-CN"/>
        </w:rPr>
        <w:t>四、标准商品入库</w:t>
      </w:r>
    </w:p>
    <w:p>
      <w:pPr>
        <w:pStyle w:val="2"/>
        <w:keepNext w:val="0"/>
        <w:keepLines w:val="0"/>
        <w:pageBreakBefore w:val="0"/>
        <w:kinsoku w:val="0"/>
        <w:wordWrap/>
        <w:overflowPunct/>
        <w:topLinePunct w:val="0"/>
        <w:autoSpaceDE w:val="0"/>
        <w:autoSpaceDN w:val="0"/>
        <w:bidi w:val="0"/>
        <w:adjustRightInd w:val="0"/>
        <w:snapToGrid w:val="0"/>
        <w:spacing w:line="560" w:lineRule="exact"/>
        <w:ind w:firstLine="641"/>
        <w:jc w:val="both"/>
        <w:textAlignment w:val="baseline"/>
        <w:rPr>
          <w:rFonts w:hint="default" w:ascii="仿宋_GB2312" w:hAnsi="仿宋_GB2312" w:eastAsia="仿宋_GB2312" w:cs="仿宋_GB2312"/>
          <w:b w:val="0"/>
          <w:bCs w:val="0"/>
          <w:snapToGrid w:val="0"/>
          <w:color w:val="auto"/>
          <w:spacing w:val="7"/>
          <w:kern w:val="0"/>
          <w:lang w:val="en-US" w:eastAsia="zh-CN"/>
        </w:rPr>
      </w:pPr>
      <w:r>
        <w:rPr>
          <w:rFonts w:hint="eastAsia" w:ascii="仿宋_GB2312" w:hAnsi="仿宋_GB2312" w:eastAsia="仿宋_GB2312" w:cs="仿宋_GB2312"/>
          <w:b w:val="0"/>
          <w:bCs w:val="0"/>
          <w:snapToGrid w:val="0"/>
          <w:color w:val="auto"/>
          <w:spacing w:val="7"/>
          <w:kern w:val="0"/>
          <w:lang w:val="en-US" w:eastAsia="zh-CN"/>
        </w:rPr>
        <w:t>标准商品入库审核分为品牌入库审核和商品入库审核两大部分。具体审核内容如下：</w:t>
      </w:r>
    </w:p>
    <w:p>
      <w:pPr>
        <w:pStyle w:val="2"/>
        <w:keepNext w:val="0"/>
        <w:keepLines w:val="0"/>
        <w:pageBreakBefore w:val="0"/>
        <w:widowControl/>
        <w:kinsoku w:val="0"/>
        <w:wordWrap/>
        <w:overflowPunct/>
        <w:topLinePunct w:val="0"/>
        <w:autoSpaceDE w:val="0"/>
        <w:autoSpaceDN w:val="0"/>
        <w:bidi w:val="0"/>
        <w:adjustRightInd w:val="0"/>
        <w:snapToGrid w:val="0"/>
        <w:spacing w:before="4" w:line="560" w:lineRule="exact"/>
        <w:ind w:left="612"/>
        <w:textAlignment w:val="baseline"/>
        <w:outlineLvl w:val="1"/>
        <w:rPr>
          <w:rFonts w:hint="default" w:ascii="楷体" w:hAnsi="楷体" w:eastAsia="楷体" w:cs="楷体"/>
          <w:b/>
          <w:bCs/>
          <w:color w:val="auto"/>
          <w:spacing w:val="-1"/>
          <w:position w:val="1"/>
          <w:lang w:val="en-US" w:eastAsia="zh-CN"/>
        </w:rPr>
      </w:pPr>
      <w:r>
        <w:rPr>
          <w:rFonts w:hint="eastAsia" w:ascii="楷体" w:hAnsi="楷体" w:eastAsia="楷体" w:cs="楷体"/>
          <w:b/>
          <w:bCs/>
          <w:color w:val="auto"/>
          <w:spacing w:val="-1"/>
          <w:position w:val="1"/>
        </w:rPr>
        <w:t>（一）</w:t>
      </w:r>
      <w:r>
        <w:rPr>
          <w:rFonts w:hint="eastAsia" w:ascii="楷体" w:hAnsi="楷体" w:eastAsia="楷体" w:cs="楷体"/>
          <w:b/>
          <w:bCs/>
          <w:color w:val="auto"/>
          <w:spacing w:val="-1"/>
          <w:position w:val="1"/>
          <w:lang w:val="en-US" w:eastAsia="zh-CN"/>
        </w:rPr>
        <w:t>品牌入库</w:t>
      </w:r>
    </w:p>
    <w:p>
      <w:pPr>
        <w:pStyle w:val="2"/>
        <w:keepNext w:val="0"/>
        <w:keepLines w:val="0"/>
        <w:pageBreakBefore w:val="0"/>
        <w:kinsoku w:val="0"/>
        <w:wordWrap/>
        <w:overflowPunct/>
        <w:topLinePunct w:val="0"/>
        <w:autoSpaceDE w:val="0"/>
        <w:autoSpaceDN w:val="0"/>
        <w:bidi w:val="0"/>
        <w:adjustRightInd w:val="0"/>
        <w:snapToGrid w:val="0"/>
        <w:spacing w:line="560" w:lineRule="exact"/>
        <w:ind w:firstLine="641"/>
        <w:jc w:val="both"/>
        <w:textAlignment w:val="baseline"/>
        <w:rPr>
          <w:rFonts w:hint="default" w:ascii="仿宋_GB2312" w:hAnsi="仿宋_GB2312" w:eastAsia="仿宋_GB2312" w:cs="仿宋_GB2312"/>
          <w:snapToGrid w:val="0"/>
          <w:color w:val="auto"/>
          <w:spacing w:val="7"/>
          <w:kern w:val="0"/>
          <w:sz w:val="32"/>
          <w:szCs w:val="32"/>
          <w:lang w:val="en-US" w:eastAsia="zh-CN"/>
        </w:rPr>
      </w:pPr>
      <w:r>
        <w:rPr>
          <w:rFonts w:hint="eastAsia" w:ascii="仿宋_GB2312" w:hAnsi="仿宋_GB2312" w:eastAsia="仿宋_GB2312" w:cs="仿宋_GB2312"/>
          <w:b w:val="0"/>
          <w:bCs w:val="0"/>
          <w:snapToGrid w:val="0"/>
          <w:color w:val="auto"/>
          <w:spacing w:val="7"/>
          <w:kern w:val="0"/>
          <w:lang w:val="en-US" w:eastAsia="zh-CN"/>
        </w:rPr>
        <w:t>根据品类的品牌属性将品类分为ABC类（附件2）：</w:t>
      </w:r>
      <w:r>
        <w:rPr>
          <w:rFonts w:hint="eastAsia" w:ascii="仿宋_GB2312" w:hAnsi="仿宋_GB2312" w:eastAsia="仿宋_GB2312" w:cs="仿宋_GB2312"/>
          <w:snapToGrid w:val="0"/>
          <w:color w:val="auto"/>
          <w:spacing w:val="7"/>
          <w:kern w:val="0"/>
          <w:sz w:val="32"/>
          <w:szCs w:val="32"/>
          <w:lang w:val="en-US" w:eastAsia="zh-CN"/>
        </w:rPr>
        <w:t>A类的SPU纳入</w:t>
      </w:r>
      <w:r>
        <w:rPr>
          <w:rFonts w:hint="eastAsia" w:ascii="仿宋_GB2312" w:hAnsi="仿宋_GB2312" w:eastAsia="仿宋_GB2312" w:cs="仿宋_GB2312"/>
          <w:b w:val="0"/>
          <w:bCs w:val="0"/>
          <w:snapToGrid w:val="0"/>
          <w:color w:val="auto"/>
          <w:spacing w:val="7"/>
          <w:kern w:val="0"/>
          <w:sz w:val="32"/>
          <w:szCs w:val="32"/>
          <w:lang w:val="en-US" w:eastAsia="zh-CN"/>
        </w:rPr>
        <w:t>通过合规性审查</w:t>
      </w:r>
      <w:r>
        <w:rPr>
          <w:rFonts w:hint="eastAsia" w:ascii="仿宋_GB2312" w:hAnsi="仿宋_GB2312" w:eastAsia="仿宋_GB2312" w:cs="仿宋_GB2312"/>
          <w:b/>
          <w:bCs/>
          <w:snapToGrid w:val="0"/>
          <w:color w:val="auto"/>
          <w:spacing w:val="7"/>
          <w:kern w:val="0"/>
          <w:sz w:val="32"/>
          <w:szCs w:val="32"/>
          <w:lang w:val="en-US" w:eastAsia="zh-CN"/>
        </w:rPr>
        <w:t>且为“I类”的品牌</w:t>
      </w:r>
      <w:r>
        <w:rPr>
          <w:rFonts w:hint="eastAsia" w:ascii="仿宋_GB2312" w:hAnsi="仿宋_GB2312" w:eastAsia="仿宋_GB2312" w:cs="仿宋_GB2312"/>
          <w:snapToGrid w:val="0"/>
          <w:color w:val="auto"/>
          <w:spacing w:val="7"/>
          <w:kern w:val="0"/>
          <w:sz w:val="32"/>
          <w:szCs w:val="32"/>
          <w:lang w:val="en-US" w:eastAsia="zh-CN"/>
        </w:rPr>
        <w:t>；B类SPU纳入</w:t>
      </w:r>
      <w:r>
        <w:rPr>
          <w:rFonts w:hint="eastAsia" w:ascii="仿宋_GB2312" w:hAnsi="仿宋_GB2312" w:eastAsia="仿宋_GB2312" w:cs="仿宋_GB2312"/>
          <w:b w:val="0"/>
          <w:bCs w:val="0"/>
          <w:snapToGrid w:val="0"/>
          <w:color w:val="auto"/>
          <w:spacing w:val="7"/>
          <w:kern w:val="0"/>
          <w:sz w:val="32"/>
          <w:szCs w:val="32"/>
          <w:lang w:val="en-US" w:eastAsia="zh-CN"/>
        </w:rPr>
        <w:t>通过合规性审查</w:t>
      </w:r>
      <w:r>
        <w:rPr>
          <w:rFonts w:hint="eastAsia" w:ascii="仿宋_GB2312" w:hAnsi="仿宋_GB2312" w:eastAsia="仿宋_GB2312" w:cs="仿宋_GB2312"/>
          <w:b/>
          <w:bCs/>
          <w:snapToGrid w:val="0"/>
          <w:color w:val="auto"/>
          <w:spacing w:val="7"/>
          <w:kern w:val="0"/>
          <w:sz w:val="32"/>
          <w:szCs w:val="32"/>
          <w:lang w:val="en-US" w:eastAsia="zh-CN"/>
        </w:rPr>
        <w:t>且为“I类或II类”的品牌</w:t>
      </w:r>
      <w:r>
        <w:rPr>
          <w:rFonts w:hint="eastAsia" w:ascii="仿宋_GB2312" w:hAnsi="仿宋_GB2312" w:eastAsia="仿宋_GB2312" w:cs="仿宋_GB2312"/>
          <w:snapToGrid w:val="0"/>
          <w:color w:val="auto"/>
          <w:spacing w:val="7"/>
          <w:kern w:val="0"/>
          <w:sz w:val="32"/>
          <w:szCs w:val="32"/>
          <w:lang w:val="en-US" w:eastAsia="zh-CN"/>
        </w:rPr>
        <w:t>；C类SPU纳入通过合规性审查的品牌。</w:t>
      </w:r>
    </w:p>
    <w:p>
      <w:pPr>
        <w:pStyle w:val="17"/>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71" w:firstLineChars="200"/>
        <w:textAlignment w:val="auto"/>
        <w:outlineLvl w:val="2"/>
        <w:rPr>
          <w:rFonts w:hint="default" w:ascii="仿宋_GB2312" w:hAnsi="仿宋_GB2312" w:eastAsia="仿宋_GB2312" w:cs="仿宋_GB2312"/>
          <w:b/>
          <w:bCs/>
          <w:snapToGrid w:val="0"/>
          <w:color w:val="auto"/>
          <w:spacing w:val="7"/>
          <w:kern w:val="0"/>
          <w:lang w:val="en-US" w:eastAsia="zh-CN"/>
        </w:rPr>
      </w:pPr>
      <w:r>
        <w:rPr>
          <w:rFonts w:hint="eastAsia" w:ascii="仿宋_GB2312" w:hAnsi="仿宋_GB2312" w:eastAsia="仿宋_GB2312" w:cs="仿宋_GB2312"/>
          <w:b/>
          <w:bCs/>
          <w:snapToGrid w:val="0"/>
          <w:color w:val="auto"/>
          <w:spacing w:val="7"/>
          <w:kern w:val="0"/>
          <w:lang w:val="en-US" w:eastAsia="zh-CN"/>
        </w:rPr>
        <w:t>1.通用审核项（适用ABC全品类）</w:t>
      </w:r>
    </w:p>
    <w:p>
      <w:pPr>
        <w:pStyle w:val="2"/>
        <w:keepNext w:val="0"/>
        <w:keepLines w:val="0"/>
        <w:pageBreakBefore w:val="0"/>
        <w:kinsoku w:val="0"/>
        <w:wordWrap/>
        <w:overflowPunct/>
        <w:topLinePunct w:val="0"/>
        <w:autoSpaceDE w:val="0"/>
        <w:autoSpaceDN w:val="0"/>
        <w:bidi w:val="0"/>
        <w:adjustRightInd w:val="0"/>
        <w:snapToGrid w:val="0"/>
        <w:spacing w:line="560" w:lineRule="exact"/>
        <w:ind w:firstLine="641"/>
        <w:jc w:val="both"/>
        <w:textAlignment w:val="baseline"/>
        <w:rPr>
          <w:rFonts w:hint="eastAsia" w:ascii="仿宋_GB2312" w:hAnsi="仿宋_GB2312" w:eastAsia="仿宋_GB2312" w:cs="仿宋_GB2312"/>
          <w:snapToGrid w:val="0"/>
          <w:color w:val="auto"/>
          <w:spacing w:val="7"/>
          <w:kern w:val="0"/>
          <w:sz w:val="32"/>
          <w:szCs w:val="32"/>
          <w:highlight w:val="none"/>
          <w:lang w:val="en-US" w:eastAsia="zh-CN"/>
        </w:rPr>
      </w:pPr>
      <w:r>
        <w:rPr>
          <w:rFonts w:hint="eastAsia" w:ascii="仿宋_GB2312" w:hAnsi="仿宋_GB2312" w:eastAsia="仿宋_GB2312" w:cs="仿宋_GB2312"/>
          <w:snapToGrid w:val="0"/>
          <w:color w:val="auto"/>
          <w:spacing w:val="7"/>
          <w:kern w:val="0"/>
          <w:sz w:val="32"/>
          <w:szCs w:val="32"/>
          <w:highlight w:val="none"/>
          <w:lang w:val="en-US" w:eastAsia="zh-CN"/>
        </w:rPr>
        <w:t>品牌审核标准如下：</w:t>
      </w:r>
    </w:p>
    <w:tbl>
      <w:tblPr>
        <w:tblStyle w:val="9"/>
        <w:tblpPr w:leftFromText="180" w:rightFromText="180" w:vertAnchor="text" w:horzAnchor="page" w:tblpX="1982" w:tblpY="208"/>
        <w:tblOverlap w:val="never"/>
        <w:tblW w:w="83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11"/>
        <w:gridCol w:w="1913"/>
        <w:gridCol w:w="2189"/>
        <w:gridCol w:w="25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1711" w:type="dxa"/>
            <w:vAlign w:val="center"/>
          </w:tcPr>
          <w:p>
            <w:pPr>
              <w:pStyle w:val="17"/>
              <w:keepNext w:val="0"/>
              <w:keepLines w:val="0"/>
              <w:pageBreakBefore w:val="0"/>
              <w:kinsoku/>
              <w:wordWrap/>
              <w:overflowPunct/>
              <w:topLinePunct w:val="0"/>
              <w:autoSpaceDE/>
              <w:autoSpaceDN/>
              <w:bidi w:val="0"/>
              <w:adjustRightInd/>
              <w:snapToGrid w:val="0"/>
              <w:spacing w:line="240" w:lineRule="auto"/>
              <w:ind w:firstLine="0" w:firstLineChars="0"/>
              <w:jc w:val="center"/>
              <w:rPr>
                <w:rFonts w:hint="eastAsia" w:ascii="宋体" w:hAnsi="宋体" w:eastAsia="宋体" w:cs="宋体"/>
                <w:b/>
                <w:bCs/>
                <w:snapToGrid w:val="0"/>
                <w:color w:val="auto"/>
                <w:kern w:val="0"/>
                <w:sz w:val="24"/>
                <w:szCs w:val="24"/>
                <w:highlight w:val="none"/>
              </w:rPr>
            </w:pPr>
            <w:r>
              <w:rPr>
                <w:rFonts w:hint="eastAsia" w:ascii="宋体" w:hAnsi="宋体" w:eastAsia="宋体" w:cs="宋体"/>
                <w:b/>
                <w:bCs/>
                <w:snapToGrid w:val="0"/>
                <w:color w:val="auto"/>
                <w:kern w:val="0"/>
                <w:sz w:val="24"/>
                <w:szCs w:val="24"/>
                <w:highlight w:val="none"/>
              </w:rPr>
              <w:t>SPU分类</w:t>
            </w:r>
          </w:p>
        </w:tc>
        <w:tc>
          <w:tcPr>
            <w:tcW w:w="1913" w:type="dxa"/>
            <w:vAlign w:val="center"/>
          </w:tcPr>
          <w:p>
            <w:pPr>
              <w:pStyle w:val="17"/>
              <w:keepNext w:val="0"/>
              <w:keepLines w:val="0"/>
              <w:pageBreakBefore w:val="0"/>
              <w:kinsoku/>
              <w:wordWrap/>
              <w:overflowPunct/>
              <w:topLinePunct w:val="0"/>
              <w:autoSpaceDE/>
              <w:autoSpaceDN/>
              <w:bidi w:val="0"/>
              <w:adjustRightInd/>
              <w:snapToGrid w:val="0"/>
              <w:spacing w:line="240" w:lineRule="auto"/>
              <w:ind w:firstLine="0" w:firstLineChars="0"/>
              <w:jc w:val="center"/>
              <w:rPr>
                <w:rFonts w:hint="eastAsia" w:ascii="宋体" w:hAnsi="宋体" w:eastAsia="宋体" w:cs="宋体"/>
                <w:b/>
                <w:bCs/>
                <w:snapToGrid w:val="0"/>
                <w:color w:val="auto"/>
                <w:kern w:val="0"/>
                <w:sz w:val="24"/>
                <w:szCs w:val="24"/>
                <w:highlight w:val="none"/>
              </w:rPr>
            </w:pPr>
            <w:r>
              <w:rPr>
                <w:rFonts w:hint="eastAsia" w:ascii="宋体" w:hAnsi="宋体" w:eastAsia="宋体" w:cs="宋体"/>
                <w:b/>
                <w:bCs/>
                <w:snapToGrid w:val="0"/>
                <w:color w:val="auto"/>
                <w:kern w:val="0"/>
                <w:sz w:val="24"/>
                <w:szCs w:val="24"/>
                <w:highlight w:val="none"/>
              </w:rPr>
              <w:t>A类</w:t>
            </w:r>
          </w:p>
        </w:tc>
        <w:tc>
          <w:tcPr>
            <w:tcW w:w="2189" w:type="dxa"/>
            <w:vAlign w:val="center"/>
          </w:tcPr>
          <w:p>
            <w:pPr>
              <w:pStyle w:val="17"/>
              <w:keepNext w:val="0"/>
              <w:keepLines w:val="0"/>
              <w:pageBreakBefore w:val="0"/>
              <w:kinsoku/>
              <w:wordWrap/>
              <w:overflowPunct/>
              <w:topLinePunct w:val="0"/>
              <w:autoSpaceDE/>
              <w:autoSpaceDN/>
              <w:bidi w:val="0"/>
              <w:adjustRightInd/>
              <w:snapToGrid w:val="0"/>
              <w:spacing w:line="240" w:lineRule="auto"/>
              <w:ind w:firstLine="0" w:firstLineChars="0"/>
              <w:jc w:val="center"/>
              <w:rPr>
                <w:rFonts w:hint="eastAsia" w:ascii="宋体" w:hAnsi="宋体" w:eastAsia="宋体" w:cs="宋体"/>
                <w:b/>
                <w:bCs/>
                <w:snapToGrid w:val="0"/>
                <w:color w:val="auto"/>
                <w:kern w:val="0"/>
                <w:sz w:val="24"/>
                <w:szCs w:val="24"/>
                <w:highlight w:val="none"/>
              </w:rPr>
            </w:pPr>
            <w:r>
              <w:rPr>
                <w:rFonts w:hint="eastAsia" w:ascii="宋体" w:hAnsi="宋体" w:eastAsia="宋体" w:cs="宋体"/>
                <w:b/>
                <w:bCs/>
                <w:snapToGrid w:val="0"/>
                <w:color w:val="auto"/>
                <w:kern w:val="0"/>
                <w:sz w:val="24"/>
                <w:szCs w:val="24"/>
                <w:highlight w:val="none"/>
              </w:rPr>
              <w:t>B类</w:t>
            </w:r>
          </w:p>
        </w:tc>
        <w:tc>
          <w:tcPr>
            <w:tcW w:w="2576" w:type="dxa"/>
            <w:vAlign w:val="center"/>
          </w:tcPr>
          <w:p>
            <w:pPr>
              <w:pStyle w:val="17"/>
              <w:keepNext w:val="0"/>
              <w:keepLines w:val="0"/>
              <w:pageBreakBefore w:val="0"/>
              <w:kinsoku/>
              <w:wordWrap/>
              <w:overflowPunct/>
              <w:topLinePunct w:val="0"/>
              <w:autoSpaceDE/>
              <w:autoSpaceDN/>
              <w:bidi w:val="0"/>
              <w:adjustRightInd/>
              <w:snapToGrid w:val="0"/>
              <w:spacing w:line="240" w:lineRule="auto"/>
              <w:ind w:firstLine="0" w:firstLineChars="0"/>
              <w:jc w:val="center"/>
              <w:rPr>
                <w:rFonts w:hint="eastAsia" w:ascii="宋体" w:hAnsi="宋体" w:eastAsia="宋体" w:cs="宋体"/>
                <w:b/>
                <w:bCs/>
                <w:snapToGrid w:val="0"/>
                <w:color w:val="auto"/>
                <w:kern w:val="0"/>
                <w:sz w:val="24"/>
                <w:szCs w:val="24"/>
                <w:highlight w:val="none"/>
              </w:rPr>
            </w:pPr>
            <w:r>
              <w:rPr>
                <w:rFonts w:hint="eastAsia" w:ascii="宋体" w:hAnsi="宋体" w:eastAsia="宋体" w:cs="宋体"/>
                <w:b/>
                <w:bCs/>
                <w:snapToGrid w:val="0"/>
                <w:color w:val="auto"/>
                <w:kern w:val="0"/>
                <w:sz w:val="24"/>
                <w:szCs w:val="24"/>
                <w:highlight w:val="none"/>
                <w:lang w:val="en-US" w:eastAsia="zh-CN"/>
              </w:rPr>
              <w:t>C</w:t>
            </w:r>
            <w:r>
              <w:rPr>
                <w:rFonts w:hint="eastAsia" w:ascii="宋体" w:hAnsi="宋体" w:eastAsia="宋体" w:cs="宋体"/>
                <w:b/>
                <w:bCs/>
                <w:snapToGrid w:val="0"/>
                <w:color w:val="auto"/>
                <w:kern w:val="0"/>
                <w:sz w:val="24"/>
                <w:szCs w:val="24"/>
                <w:highlight w:val="none"/>
              </w:rPr>
              <w:t>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4" w:hRule="atLeast"/>
        </w:trPr>
        <w:tc>
          <w:tcPr>
            <w:tcW w:w="1711" w:type="dxa"/>
            <w:vAlign w:val="center"/>
          </w:tcPr>
          <w:p>
            <w:pPr>
              <w:pStyle w:val="17"/>
              <w:keepNext w:val="0"/>
              <w:keepLines w:val="0"/>
              <w:pageBreakBefore w:val="0"/>
              <w:kinsoku/>
              <w:wordWrap/>
              <w:overflowPunct/>
              <w:topLinePunct w:val="0"/>
              <w:autoSpaceDE/>
              <w:autoSpaceDN/>
              <w:bidi w:val="0"/>
              <w:adjustRightInd/>
              <w:snapToGrid w:val="0"/>
              <w:spacing w:line="240" w:lineRule="auto"/>
              <w:ind w:firstLine="0" w:firstLineChars="0"/>
              <w:jc w:val="center"/>
              <w:rPr>
                <w:rFonts w:hint="default"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品牌/注册商标合规性审核</w:t>
            </w:r>
          </w:p>
        </w:tc>
        <w:tc>
          <w:tcPr>
            <w:tcW w:w="6678" w:type="dxa"/>
            <w:gridSpan w:val="3"/>
            <w:vAlign w:val="center"/>
          </w:tcPr>
          <w:p>
            <w:pPr>
              <w:pStyle w:val="17"/>
              <w:keepNext w:val="0"/>
              <w:keepLines w:val="0"/>
              <w:pageBreakBefore w:val="0"/>
              <w:kinsoku/>
              <w:wordWrap/>
              <w:overflowPunct/>
              <w:topLinePunct w:val="0"/>
              <w:autoSpaceDE/>
              <w:autoSpaceDN/>
              <w:bidi w:val="0"/>
              <w:adjustRightInd/>
              <w:snapToGrid w:val="0"/>
              <w:spacing w:line="240" w:lineRule="auto"/>
              <w:ind w:firstLine="0" w:firstLineChars="0"/>
              <w:jc w:val="both"/>
              <w:rPr>
                <w:rFonts w:hint="default"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spacing w:val="0"/>
                <w:kern w:val="0"/>
                <w:sz w:val="24"/>
                <w:szCs w:val="24"/>
                <w:highlight w:val="none"/>
                <w:lang w:val="en-US" w:eastAsia="zh-CN" w:bidi="ar-SA"/>
              </w:rPr>
              <w:t>品牌应有国家知识产权局商标局中国商标网注册商标，品牌持有方应具有申请品类对应的商标注册证，品牌申请时需提供品牌名称、申请/注册号。</w:t>
            </w:r>
            <w:r>
              <w:rPr>
                <w:rFonts w:hint="eastAsia" w:ascii="宋体" w:hAnsi="宋体" w:eastAsia="宋体" w:cs="宋体"/>
                <w:b w:val="0"/>
                <w:bCs w:val="0"/>
                <w:snapToGrid w:val="0"/>
                <w:color w:val="auto"/>
                <w:spacing w:val="0"/>
                <w:kern w:val="0"/>
                <w:sz w:val="24"/>
                <w:szCs w:val="24"/>
                <w:highlight w:val="none"/>
                <w:lang w:val="en-US" w:eastAsia="zh-CN" w:bidi="ar-SA"/>
              </w:rPr>
              <w:t>MRO工业品满足品牌商标注册时间及品牌商标持有方成立时间＞1年</w:t>
            </w:r>
            <w:r>
              <w:rPr>
                <w:rFonts w:hint="eastAsia" w:ascii="宋体" w:hAnsi="宋体" w:eastAsia="宋体" w:cs="宋体"/>
                <w:snapToGrid w:val="0"/>
                <w:color w:val="auto"/>
                <w:spacing w:val="0"/>
                <w:kern w:val="0"/>
                <w:sz w:val="24"/>
                <w:szCs w:val="24"/>
                <w:highlight w:val="none"/>
                <w:lang w:val="en-US" w:eastAsia="zh-CN" w:bidi="ar-SA"/>
              </w:rPr>
              <w:t>。电子产品需符合安全可控相关要求。品牌持有方不能为自然人。品牌持有方未被列入南方电网公司“黑名单”供应商。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1711" w:type="dxa"/>
            <w:vAlign w:val="center"/>
          </w:tcPr>
          <w:p>
            <w:pPr>
              <w:pStyle w:val="17"/>
              <w:keepNext w:val="0"/>
              <w:keepLines w:val="0"/>
              <w:pageBreakBefore w:val="0"/>
              <w:kinsoku/>
              <w:wordWrap/>
              <w:overflowPunct/>
              <w:topLinePunct w:val="0"/>
              <w:autoSpaceDE/>
              <w:autoSpaceDN/>
              <w:bidi w:val="0"/>
              <w:adjustRightInd/>
              <w:snapToGrid w:val="0"/>
              <w:spacing w:line="240" w:lineRule="auto"/>
              <w:ind w:firstLine="0" w:firstLineChars="0"/>
              <w:jc w:val="center"/>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品牌类别审核</w:t>
            </w:r>
          </w:p>
        </w:tc>
        <w:tc>
          <w:tcPr>
            <w:tcW w:w="1913" w:type="dxa"/>
            <w:vAlign w:val="center"/>
          </w:tcPr>
          <w:p>
            <w:pPr>
              <w:pStyle w:val="17"/>
              <w:keepNext w:val="0"/>
              <w:keepLines w:val="0"/>
              <w:pageBreakBefore w:val="0"/>
              <w:kinsoku/>
              <w:wordWrap/>
              <w:overflowPunct/>
              <w:topLinePunct w:val="0"/>
              <w:autoSpaceDE/>
              <w:autoSpaceDN/>
              <w:bidi w:val="0"/>
              <w:adjustRightInd/>
              <w:snapToGrid w:val="0"/>
              <w:spacing w:line="240" w:lineRule="auto"/>
              <w:ind w:firstLine="0" w:firstLineChars="0"/>
              <w:jc w:val="center"/>
              <w:rPr>
                <w:rFonts w:hint="default" w:ascii="宋体" w:hAnsi="宋体" w:eastAsia="宋体" w:cs="宋体"/>
                <w:snapToGrid w:val="0"/>
                <w:color w:val="auto"/>
                <w:spacing w:val="0"/>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rPr>
              <w:t>A类：通过合规性审查且为“I类”的品牌</w:t>
            </w:r>
          </w:p>
        </w:tc>
        <w:tc>
          <w:tcPr>
            <w:tcW w:w="2189" w:type="dxa"/>
            <w:vAlign w:val="center"/>
          </w:tcPr>
          <w:p>
            <w:pPr>
              <w:pStyle w:val="17"/>
              <w:keepNext w:val="0"/>
              <w:keepLines w:val="0"/>
              <w:pageBreakBefore w:val="0"/>
              <w:kinsoku/>
              <w:wordWrap/>
              <w:overflowPunct/>
              <w:topLinePunct w:val="0"/>
              <w:autoSpaceDE/>
              <w:autoSpaceDN/>
              <w:bidi w:val="0"/>
              <w:adjustRightInd/>
              <w:snapToGrid w:val="0"/>
              <w:spacing w:line="240" w:lineRule="auto"/>
              <w:ind w:firstLine="0" w:firstLineChars="0"/>
              <w:jc w:val="center"/>
              <w:rPr>
                <w:rFonts w:hint="default" w:ascii="宋体" w:hAnsi="宋体" w:eastAsia="宋体" w:cs="宋体"/>
                <w:snapToGrid w:val="0"/>
                <w:color w:val="auto"/>
                <w:spacing w:val="0"/>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rPr>
              <w:t>B类：通过合规性审查且为“I类或II类”的品牌</w:t>
            </w:r>
          </w:p>
        </w:tc>
        <w:tc>
          <w:tcPr>
            <w:tcW w:w="2576" w:type="dxa"/>
            <w:vAlign w:val="center"/>
          </w:tcPr>
          <w:p>
            <w:pPr>
              <w:pStyle w:val="17"/>
              <w:keepNext w:val="0"/>
              <w:keepLines w:val="0"/>
              <w:pageBreakBefore w:val="0"/>
              <w:kinsoku/>
              <w:wordWrap/>
              <w:overflowPunct/>
              <w:topLinePunct w:val="0"/>
              <w:autoSpaceDE/>
              <w:autoSpaceDN/>
              <w:bidi w:val="0"/>
              <w:adjustRightInd/>
              <w:snapToGrid w:val="0"/>
              <w:spacing w:line="240" w:lineRule="auto"/>
              <w:ind w:firstLine="0" w:firstLineChars="0"/>
              <w:jc w:val="center"/>
              <w:rPr>
                <w:rFonts w:hint="default" w:ascii="宋体" w:hAnsi="宋体" w:eastAsia="宋体" w:cs="宋体"/>
                <w:snapToGrid w:val="0"/>
                <w:color w:val="auto"/>
                <w:spacing w:val="0"/>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rPr>
              <w:t>C类：不限制品牌类别</w:t>
            </w:r>
          </w:p>
        </w:tc>
      </w:tr>
    </w:tbl>
    <w:p>
      <w:pPr>
        <w:rPr>
          <w:rFonts w:hint="eastAsia"/>
          <w:color w:val="auto"/>
          <w:lang w:val="en-US" w:eastAsia="zh-CN"/>
        </w:rPr>
      </w:pPr>
    </w:p>
    <w:p>
      <w:pPr>
        <w:pStyle w:val="17"/>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71" w:firstLineChars="200"/>
        <w:textAlignment w:val="auto"/>
        <w:outlineLvl w:val="2"/>
        <w:rPr>
          <w:rFonts w:hint="default" w:ascii="仿宋_GB2312" w:hAnsi="仿宋_GB2312" w:eastAsia="仿宋_GB2312" w:cs="仿宋_GB2312"/>
          <w:b/>
          <w:bCs/>
          <w:snapToGrid w:val="0"/>
          <w:color w:val="auto"/>
          <w:spacing w:val="7"/>
          <w:kern w:val="0"/>
          <w:lang w:val="en-US" w:eastAsia="zh-CN"/>
        </w:rPr>
      </w:pPr>
      <w:r>
        <w:rPr>
          <w:rFonts w:hint="eastAsia" w:ascii="仿宋_GB2312" w:hAnsi="仿宋_GB2312" w:eastAsia="仿宋_GB2312" w:cs="仿宋_GB2312"/>
          <w:b/>
          <w:bCs/>
          <w:snapToGrid w:val="0"/>
          <w:color w:val="auto"/>
          <w:spacing w:val="7"/>
          <w:kern w:val="0"/>
          <w:lang w:val="en-US" w:eastAsia="zh-CN"/>
        </w:rPr>
        <w:t>2.品牌类别审核（适用A类、B类品类）</w:t>
      </w:r>
    </w:p>
    <w:p>
      <w:pPr>
        <w:pStyle w:val="17"/>
        <w:keepNext w:val="0"/>
        <w:keepLines w:val="0"/>
        <w:pageBreakBefore w:val="0"/>
        <w:kinsoku/>
        <w:wordWrap/>
        <w:overflowPunct/>
        <w:topLinePunct w:val="0"/>
        <w:autoSpaceDE/>
        <w:autoSpaceDN/>
        <w:bidi w:val="0"/>
        <w:adjustRightInd/>
        <w:spacing w:line="560" w:lineRule="exact"/>
        <w:ind w:firstLine="640"/>
        <w:rPr>
          <w:rFonts w:hint="eastAsia" w:ascii="仿宋_GB2312" w:hAnsi="仿宋_GB2312" w:eastAsia="仿宋_GB2312" w:cs="仿宋_GB2312"/>
          <w:b w:val="0"/>
          <w:bCs w:val="0"/>
          <w:color w:val="auto"/>
          <w:lang w:val="en-US" w:eastAsia="zh-CN"/>
        </w:rPr>
      </w:pPr>
      <w:r>
        <w:rPr>
          <w:rFonts w:hint="eastAsia" w:ascii="仿宋_GB2312" w:hAnsi="仿宋_GB2312" w:eastAsia="仿宋_GB2312" w:cs="仿宋_GB2312"/>
          <w:b w:val="0"/>
          <w:bCs w:val="0"/>
          <w:color w:val="auto"/>
          <w:lang w:val="en-US" w:eastAsia="zh-CN"/>
        </w:rPr>
        <w:t>I类品牌</w:t>
      </w:r>
      <w:r>
        <w:rPr>
          <w:rFonts w:hint="eastAsia" w:ascii="仿宋_GB2312" w:hAnsi="仿宋_GB2312" w:eastAsia="仿宋_GB2312" w:cs="仿宋_GB2312"/>
          <w:b w:val="0"/>
          <w:bCs w:val="0"/>
          <w:color w:val="auto"/>
          <w:highlight w:val="none"/>
          <w:lang w:val="en-US" w:eastAsia="zh-CN"/>
        </w:rPr>
        <w:t>（免评品牌）需同时满足以下两个条件：</w:t>
      </w:r>
    </w:p>
    <w:p>
      <w:pPr>
        <w:pStyle w:val="17"/>
        <w:keepNext w:val="0"/>
        <w:keepLines w:val="0"/>
        <w:pageBreakBefore w:val="0"/>
        <w:kinsoku/>
        <w:wordWrap/>
        <w:overflowPunct/>
        <w:topLinePunct w:val="0"/>
        <w:autoSpaceDE/>
        <w:autoSpaceDN/>
        <w:bidi w:val="0"/>
        <w:adjustRightInd/>
        <w:spacing w:line="560" w:lineRule="exact"/>
        <w:ind w:firstLine="640"/>
        <w:rPr>
          <w:rFonts w:hint="eastAsia" w:ascii="仿宋_GB2312" w:hAnsi="仿宋_GB2312" w:eastAsia="仿宋_GB2312" w:cs="仿宋_GB2312"/>
          <w:b w:val="0"/>
          <w:bCs w:val="0"/>
          <w:color w:val="auto"/>
          <w:u w:val="none"/>
          <w:lang w:val="en-US" w:eastAsia="zh-CN"/>
        </w:rPr>
      </w:pPr>
      <w:r>
        <w:rPr>
          <w:rFonts w:hint="eastAsia" w:ascii="仿宋_GB2312" w:hAnsi="仿宋_GB2312" w:eastAsia="仿宋_GB2312" w:cs="仿宋_GB2312"/>
          <w:b w:val="0"/>
          <w:bCs w:val="0"/>
          <w:color w:val="auto"/>
          <w:lang w:val="en-US" w:eastAsia="zh-CN"/>
        </w:rPr>
        <w:t>条件一：办公通用物资</w:t>
      </w:r>
      <w:r>
        <w:rPr>
          <w:rFonts w:hint="eastAsia" w:ascii="仿宋_GB2312" w:hAnsi="仿宋_GB2312" w:eastAsia="仿宋_GB2312" w:cs="仿宋_GB2312"/>
          <w:b w:val="0"/>
          <w:bCs w:val="0"/>
          <w:color w:val="auto"/>
          <w:u w:val="none"/>
          <w:lang w:val="en-US" w:eastAsia="zh-CN"/>
        </w:rPr>
        <w:t>对应品类</w:t>
      </w:r>
      <w:r>
        <w:rPr>
          <w:rFonts w:hint="eastAsia" w:ascii="仿宋_GB2312" w:hAnsi="仿宋_GB2312" w:eastAsia="仿宋_GB2312" w:cs="仿宋_GB2312"/>
          <w:b w:val="0"/>
          <w:bCs w:val="0"/>
          <w:color w:val="auto"/>
          <w:u w:val="none"/>
          <w:vertAlign w:val="superscript"/>
          <w:lang w:val="en-US" w:eastAsia="zh-CN"/>
        </w:rPr>
        <w:footnoteReference w:id="0"/>
      </w:r>
      <w:r>
        <w:rPr>
          <w:rFonts w:hint="eastAsia" w:ascii="仿宋_GB2312" w:hAnsi="仿宋_GB2312" w:eastAsia="仿宋_GB2312" w:cs="仿宋_GB2312"/>
          <w:b w:val="0"/>
          <w:bCs w:val="0"/>
          <w:color w:val="auto"/>
          <w:u w:val="none"/>
          <w:lang w:val="en-US" w:eastAsia="zh-CN"/>
        </w:rPr>
        <w:t>的京东自营店、京东旗舰店或天猫旗舰店的店铺关注人数</w:t>
      </w:r>
      <w:r>
        <w:rPr>
          <w:rFonts w:hint="eastAsia" w:ascii="仿宋_GB2312" w:hAnsi="仿宋_GB2312" w:eastAsia="仿宋_GB2312" w:cs="仿宋_GB2312"/>
          <w:b w:val="0"/>
          <w:bCs w:val="0"/>
          <w:color w:val="auto"/>
          <w:highlight w:val="none"/>
          <w:lang w:val="en-US" w:eastAsia="zh-CN"/>
        </w:rPr>
        <w:t>≥</w:t>
      </w:r>
      <w:r>
        <w:rPr>
          <w:rFonts w:hint="eastAsia" w:ascii="仿宋_GB2312" w:hAnsi="仿宋_GB2312" w:eastAsia="仿宋_GB2312" w:cs="仿宋_GB2312"/>
          <w:b w:val="0"/>
          <w:bCs w:val="0"/>
          <w:color w:val="auto"/>
          <w:u w:val="none"/>
          <w:lang w:val="en-US" w:eastAsia="zh-CN"/>
        </w:rPr>
        <w:t>10万。MRO工业品对应品类的京东自营店、京东旗舰店的店铺关注人数</w:t>
      </w:r>
      <w:r>
        <w:rPr>
          <w:rFonts w:hint="eastAsia" w:ascii="仿宋_GB2312" w:hAnsi="仿宋_GB2312" w:eastAsia="仿宋_GB2312" w:cs="仿宋_GB2312"/>
          <w:b w:val="0"/>
          <w:bCs w:val="0"/>
          <w:color w:val="auto"/>
          <w:highlight w:val="none"/>
          <w:lang w:val="en-US" w:eastAsia="zh-CN"/>
        </w:rPr>
        <w:t>≥</w:t>
      </w:r>
      <w:r>
        <w:rPr>
          <w:rFonts w:hint="eastAsia" w:ascii="仿宋_GB2312" w:hAnsi="仿宋_GB2312" w:eastAsia="仿宋_GB2312" w:cs="仿宋_GB2312"/>
          <w:b w:val="0"/>
          <w:bCs w:val="0"/>
          <w:color w:val="auto"/>
          <w:u w:val="none"/>
          <w:lang w:val="en-US" w:eastAsia="zh-CN"/>
        </w:rPr>
        <w:t>5万。</w:t>
      </w:r>
    </w:p>
    <w:p>
      <w:pPr>
        <w:pStyle w:val="17"/>
        <w:keepNext w:val="0"/>
        <w:keepLines w:val="0"/>
        <w:pageBreakBefore w:val="0"/>
        <w:kinsoku/>
        <w:wordWrap/>
        <w:overflowPunct/>
        <w:topLinePunct w:val="0"/>
        <w:autoSpaceDE/>
        <w:autoSpaceDN/>
        <w:bidi w:val="0"/>
        <w:adjustRightInd/>
        <w:spacing w:line="560" w:lineRule="exact"/>
        <w:ind w:firstLine="640"/>
        <w:rPr>
          <w:rFonts w:hint="default" w:ascii="仿宋_GB2312" w:hAnsi="仿宋_GB2312" w:eastAsia="仿宋_GB2312" w:cs="仿宋_GB2312"/>
          <w:b w:val="0"/>
          <w:bCs w:val="0"/>
          <w:color w:val="auto"/>
          <w:u w:val="none"/>
          <w:lang w:val="en-US" w:eastAsia="zh-CN"/>
        </w:rPr>
      </w:pPr>
      <w:r>
        <w:rPr>
          <w:rFonts w:hint="eastAsia" w:ascii="仿宋_GB2312" w:hAnsi="仿宋_GB2312" w:eastAsia="仿宋_GB2312" w:cs="仿宋_GB2312"/>
          <w:b w:val="0"/>
          <w:bCs w:val="0"/>
          <w:color w:val="auto"/>
          <w:u w:val="none"/>
          <w:lang w:val="en-US" w:eastAsia="zh-CN"/>
        </w:rPr>
        <w:t>条件二：</w:t>
      </w:r>
      <w:bookmarkStart w:id="0" w:name="OLE_LINK1"/>
      <w:r>
        <w:rPr>
          <w:rFonts w:hint="eastAsia" w:ascii="仿宋_GB2312" w:hAnsi="仿宋_GB2312" w:eastAsia="仿宋_GB2312" w:cs="仿宋_GB2312"/>
          <w:b w:val="0"/>
          <w:bCs w:val="0"/>
          <w:color w:val="auto"/>
          <w:u w:val="none"/>
          <w:lang w:val="en-US" w:eastAsia="zh-CN"/>
        </w:rPr>
        <w:t>该品牌存在10件及以上“销量或评价</w:t>
      </w:r>
      <w:r>
        <w:rPr>
          <w:rFonts w:hint="eastAsia" w:ascii="仿宋_GB2312" w:hAnsi="仿宋_GB2312" w:eastAsia="仿宋_GB2312" w:cs="仿宋_GB2312"/>
          <w:b/>
          <w:bCs/>
          <w:color w:val="auto"/>
          <w:highlight w:val="none"/>
          <w:lang w:val="en-US" w:eastAsia="zh-CN"/>
        </w:rPr>
        <w:t>≥</w:t>
      </w:r>
      <w:r>
        <w:rPr>
          <w:rFonts w:hint="eastAsia" w:ascii="仿宋_GB2312" w:hAnsi="仿宋_GB2312" w:eastAsia="仿宋_GB2312" w:cs="仿宋_GB2312"/>
          <w:b w:val="0"/>
          <w:bCs w:val="0"/>
          <w:color w:val="auto"/>
          <w:u w:val="none"/>
          <w:lang w:val="en-US" w:eastAsia="zh-CN"/>
        </w:rPr>
        <w:t>5000的商品链接”</w:t>
      </w:r>
      <w:bookmarkEnd w:id="0"/>
      <w:r>
        <w:rPr>
          <w:rFonts w:hint="eastAsia" w:ascii="仿宋_GB2312" w:hAnsi="仿宋_GB2312" w:eastAsia="仿宋_GB2312" w:cs="仿宋_GB2312"/>
          <w:b w:val="0"/>
          <w:bCs w:val="0"/>
          <w:color w:val="auto"/>
          <w:u w:val="none"/>
          <w:lang w:val="en-US" w:eastAsia="zh-CN"/>
        </w:rPr>
        <w:t>，办公通用物资取京东自营店、京东旗舰店或天猫旗舰店的链接。MRO工业品取京东自营店、京东旗舰店的链接。</w:t>
      </w:r>
    </w:p>
    <w:p>
      <w:pPr>
        <w:pStyle w:val="17"/>
        <w:keepNext w:val="0"/>
        <w:keepLines w:val="0"/>
        <w:pageBreakBefore w:val="0"/>
        <w:kinsoku/>
        <w:wordWrap/>
        <w:overflowPunct/>
        <w:topLinePunct w:val="0"/>
        <w:autoSpaceDE/>
        <w:autoSpaceDN/>
        <w:bidi w:val="0"/>
        <w:adjustRightInd/>
        <w:spacing w:line="560" w:lineRule="exact"/>
        <w:ind w:firstLine="640"/>
        <w:rPr>
          <w:rFonts w:hint="eastAsia" w:ascii="仿宋_GB2312" w:hAnsi="仿宋_GB2312" w:eastAsia="仿宋_GB2312" w:cs="仿宋_GB2312"/>
          <w:b w:val="0"/>
          <w:bCs w:val="0"/>
          <w:color w:val="auto"/>
          <w:lang w:val="en-US" w:eastAsia="zh-CN"/>
        </w:rPr>
      </w:pPr>
      <w:r>
        <w:rPr>
          <w:rFonts w:hint="eastAsia" w:ascii="仿宋_GB2312" w:hAnsi="仿宋_GB2312" w:eastAsia="仿宋_GB2312" w:cs="仿宋_GB2312"/>
          <w:b w:val="0"/>
          <w:bCs w:val="0"/>
          <w:color w:val="auto"/>
          <w:lang w:val="en-US" w:eastAsia="zh-CN"/>
        </w:rPr>
        <w:t>II类品牌</w:t>
      </w:r>
      <w:r>
        <w:rPr>
          <w:rFonts w:hint="eastAsia" w:ascii="仿宋_GB2312" w:hAnsi="仿宋_GB2312" w:eastAsia="仿宋_GB2312" w:cs="仿宋_GB2312"/>
          <w:b w:val="0"/>
          <w:bCs w:val="0"/>
          <w:color w:val="auto"/>
          <w:highlight w:val="none"/>
          <w:lang w:val="en-US" w:eastAsia="zh-CN"/>
        </w:rPr>
        <w:t>（品牌评分≥50）要求</w:t>
      </w:r>
      <w:r>
        <w:rPr>
          <w:rFonts w:hint="eastAsia" w:ascii="仿宋_GB2312" w:hAnsi="仿宋_GB2312" w:eastAsia="仿宋_GB2312" w:cs="仿宋_GB2312"/>
          <w:b w:val="0"/>
          <w:bCs w:val="0"/>
          <w:color w:val="auto"/>
          <w:lang w:val="en-US" w:eastAsia="zh-CN"/>
        </w:rPr>
        <w:t>：</w:t>
      </w:r>
    </w:p>
    <w:p>
      <w:pPr>
        <w:pStyle w:val="17"/>
        <w:keepNext w:val="0"/>
        <w:keepLines w:val="0"/>
        <w:pageBreakBefore w:val="0"/>
        <w:kinsoku/>
        <w:wordWrap/>
        <w:overflowPunct/>
        <w:topLinePunct w:val="0"/>
        <w:autoSpaceDE/>
        <w:autoSpaceDN/>
        <w:bidi w:val="0"/>
        <w:adjustRightInd/>
        <w:spacing w:line="560" w:lineRule="exact"/>
        <w:ind w:firstLine="640"/>
        <w:rPr>
          <w:rFonts w:hint="eastAsia" w:ascii="仿宋_GB2312" w:hAnsi="仿宋_GB2312" w:eastAsia="仿宋_GB2312" w:cs="仿宋_GB2312"/>
          <w:color w:val="auto"/>
          <w:lang w:val="en-US" w:eastAsia="zh-CN"/>
        </w:rPr>
      </w:pPr>
      <w:r>
        <w:rPr>
          <w:rFonts w:hint="eastAsia" w:ascii="仿宋_GB2312" w:hAnsi="仿宋_GB2312" w:eastAsia="仿宋_GB2312" w:cs="仿宋_GB2312"/>
          <w:b w:val="0"/>
          <w:bCs w:val="0"/>
          <w:strike w:val="0"/>
          <w:color w:val="auto"/>
          <w:lang w:val="en-US" w:eastAsia="zh-CN"/>
        </w:rPr>
        <w:t>对于不满足免评条款的品牌开展评审，</w:t>
      </w:r>
      <w:r>
        <w:rPr>
          <w:rFonts w:hint="eastAsia" w:ascii="仿宋_GB2312" w:hAnsi="仿宋_GB2312" w:eastAsia="仿宋_GB2312" w:cs="仿宋_GB2312"/>
          <w:b w:val="0"/>
          <w:bCs w:val="0"/>
          <w:color w:val="auto"/>
          <w:lang w:val="en-US" w:eastAsia="zh-CN"/>
        </w:rPr>
        <w:t>品牌评分</w:t>
      </w:r>
      <w:r>
        <w:rPr>
          <w:rFonts w:hint="eastAsia" w:ascii="仿宋_GB2312" w:hAnsi="仿宋_GB2312" w:eastAsia="仿宋_GB2312" w:cs="仿宋_GB2312"/>
          <w:b w:val="0"/>
          <w:bCs w:val="0"/>
          <w:color w:val="auto"/>
        </w:rPr>
        <w:t>主要从企业基础资</w:t>
      </w:r>
      <w:r>
        <w:rPr>
          <w:rFonts w:hint="eastAsia" w:ascii="仿宋_GB2312" w:hAnsi="仿宋_GB2312" w:eastAsia="仿宋_GB2312" w:cs="仿宋_GB2312"/>
          <w:color w:val="auto"/>
        </w:rPr>
        <w:t>质、电商生态力</w:t>
      </w:r>
      <w:r>
        <w:rPr>
          <w:rFonts w:hint="eastAsia" w:ascii="仿宋_GB2312" w:hAnsi="仿宋_GB2312" w:eastAsia="仿宋_GB2312" w:cs="仿宋_GB2312"/>
          <w:color w:val="auto"/>
          <w:lang w:eastAsia="zh-CN"/>
        </w:rPr>
        <w:t>、</w:t>
      </w:r>
      <w:r>
        <w:rPr>
          <w:rFonts w:hint="eastAsia" w:ascii="仿宋_GB2312" w:hAnsi="仿宋_GB2312" w:eastAsia="仿宋_GB2312" w:cs="仿宋_GB2312"/>
          <w:color w:val="auto"/>
        </w:rPr>
        <w:t>企业管理资质能力、</w:t>
      </w:r>
      <w:r>
        <w:rPr>
          <w:rFonts w:hint="eastAsia" w:ascii="仿宋_GB2312" w:hAnsi="仿宋_GB2312" w:eastAsia="仿宋_GB2312" w:cs="仿宋_GB2312"/>
          <w:color w:val="auto"/>
          <w:lang w:val="en-US" w:eastAsia="zh-CN"/>
        </w:rPr>
        <w:t>品牌成长四</w:t>
      </w:r>
      <w:r>
        <w:rPr>
          <w:rFonts w:hint="eastAsia" w:ascii="仿宋_GB2312" w:hAnsi="仿宋_GB2312" w:eastAsia="仿宋_GB2312" w:cs="仿宋_GB2312"/>
          <w:color w:val="auto"/>
        </w:rPr>
        <w:t>个方面开展评价</w:t>
      </w:r>
      <w:r>
        <w:rPr>
          <w:rFonts w:hint="eastAsia" w:ascii="仿宋_GB2312" w:hAnsi="仿宋_GB2312" w:eastAsia="仿宋_GB2312" w:cs="仿宋_GB2312"/>
          <w:color w:val="auto"/>
          <w:lang w:val="en-US" w:eastAsia="zh-CN"/>
        </w:rPr>
        <w:t>。品牌详细评分条款如下：</w:t>
      </w:r>
    </w:p>
    <w:p>
      <w:pPr>
        <w:pStyle w:val="17"/>
        <w:keepNext w:val="0"/>
        <w:keepLines w:val="0"/>
        <w:pageBreakBefore w:val="0"/>
        <w:kinsoku/>
        <w:wordWrap/>
        <w:overflowPunct/>
        <w:topLinePunct w:val="0"/>
        <w:autoSpaceDE/>
        <w:autoSpaceDN/>
        <w:bidi w:val="0"/>
        <w:adjustRightInd/>
        <w:spacing w:line="560" w:lineRule="exact"/>
        <w:rPr>
          <w:rFonts w:hint="eastAsia" w:ascii="仿宋_GB2312" w:hAnsi="仿宋_GB2312" w:eastAsia="仿宋_GB2312" w:cs="仿宋_GB2312"/>
          <w:color w:val="auto"/>
          <w:lang w:val="en-US" w:eastAsia="zh-CN"/>
        </w:rPr>
      </w:pPr>
    </w:p>
    <w:tbl>
      <w:tblPr>
        <w:tblStyle w:val="9"/>
        <w:tblW w:w="835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43"/>
        <w:gridCol w:w="654"/>
        <w:gridCol w:w="1287"/>
        <w:gridCol w:w="4913"/>
        <w:gridCol w:w="86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7" w:hRule="atLeast"/>
        </w:trPr>
        <w:tc>
          <w:tcPr>
            <w:tcW w:w="64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序号</w:t>
            </w:r>
          </w:p>
        </w:tc>
        <w:tc>
          <w:tcPr>
            <w:tcW w:w="654"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评估维度</w:t>
            </w:r>
          </w:p>
        </w:tc>
        <w:tc>
          <w:tcPr>
            <w:tcW w:w="1287"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评审要素</w:t>
            </w:r>
          </w:p>
        </w:tc>
        <w:tc>
          <w:tcPr>
            <w:tcW w:w="491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default" w:ascii="宋体" w:hAnsi="宋体" w:eastAsia="宋体" w:cs="宋体"/>
                <w:b/>
                <w:bCs/>
                <w:i w:val="0"/>
                <w:iCs w:val="0"/>
                <w:color w:val="auto"/>
                <w:sz w:val="20"/>
                <w:szCs w:val="20"/>
                <w:u w:val="none"/>
                <w:lang w:val="en-US" w:eastAsia="zh-CN"/>
              </w:rPr>
            </w:pPr>
            <w:r>
              <w:rPr>
                <w:rFonts w:hint="eastAsia" w:ascii="宋体" w:hAnsi="宋体" w:eastAsia="宋体" w:cs="宋体"/>
                <w:b/>
                <w:bCs/>
                <w:i w:val="0"/>
                <w:iCs w:val="0"/>
                <w:color w:val="auto"/>
                <w:sz w:val="20"/>
                <w:szCs w:val="20"/>
                <w:u w:val="none"/>
                <w:lang w:val="en-US" w:eastAsia="zh-CN"/>
              </w:rPr>
              <w:t>评分细则</w:t>
            </w:r>
          </w:p>
        </w:tc>
        <w:tc>
          <w:tcPr>
            <w:tcW w:w="86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auto"/>
                <w:sz w:val="20"/>
                <w:szCs w:val="20"/>
                <w:u w:val="none"/>
                <w:lang w:val="en-US" w:eastAsia="zh-CN"/>
              </w:rPr>
            </w:pPr>
            <w:r>
              <w:rPr>
                <w:rFonts w:hint="eastAsia" w:ascii="宋体" w:hAnsi="宋体" w:eastAsia="宋体" w:cs="宋体"/>
                <w:b/>
                <w:bCs/>
                <w:i w:val="0"/>
                <w:iCs w:val="0"/>
                <w:color w:val="auto"/>
                <w:sz w:val="20"/>
                <w:szCs w:val="20"/>
                <w:u w:val="none"/>
                <w:lang w:val="en-US" w:eastAsia="zh-CN"/>
              </w:rPr>
              <w:t>分值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2" w:hRule="atLeast"/>
        </w:trPr>
        <w:tc>
          <w:tcPr>
            <w:tcW w:w="643" w:type="dxa"/>
            <w:vMerge w:val="restart"/>
            <w:tcBorders>
              <w:top w:val="single" w:color="000000" w:sz="4" w:space="0"/>
              <w:left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654"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企业基础资质</w:t>
            </w:r>
          </w:p>
        </w:tc>
        <w:tc>
          <w:tcPr>
            <w:tcW w:w="1287"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实缴资金</w:t>
            </w:r>
          </w:p>
        </w:tc>
        <w:tc>
          <w:tcPr>
            <w:tcW w:w="491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6分：品牌持有方公司实缴资金100万（含）人民币以上</w:t>
            </w:r>
          </w:p>
        </w:tc>
        <w:tc>
          <w:tcPr>
            <w:tcW w:w="86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0" w:hRule="atLeast"/>
        </w:trPr>
        <w:tc>
          <w:tcPr>
            <w:tcW w:w="643" w:type="dxa"/>
            <w:vMerge w:val="continue"/>
            <w:tcBorders>
              <w:left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0"/>
                <w:szCs w:val="20"/>
                <w:u w:val="none"/>
              </w:rPr>
            </w:pPr>
          </w:p>
        </w:tc>
        <w:tc>
          <w:tcPr>
            <w:tcW w:w="654" w:type="dxa"/>
            <w:vMerge w:val="continue"/>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auto"/>
                <w:sz w:val="20"/>
                <w:szCs w:val="20"/>
                <w:u w:val="none"/>
              </w:rPr>
            </w:pPr>
          </w:p>
        </w:tc>
        <w:tc>
          <w:tcPr>
            <w:tcW w:w="1287"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公司社保实缴人数</w:t>
            </w:r>
          </w:p>
        </w:tc>
        <w:tc>
          <w:tcPr>
            <w:tcW w:w="4913" w:type="dxa"/>
            <w:tcBorders>
              <w:top w:val="single" w:color="000000" w:sz="4" w:space="0"/>
              <w:left w:val="single" w:color="000000" w:sz="4" w:space="0"/>
              <w:bottom w:val="single" w:color="000000" w:sz="4" w:space="0"/>
              <w:right w:val="single" w:color="000000" w:sz="4" w:space="0"/>
            </w:tcBorders>
            <w:vAlign w:val="center"/>
          </w:tcPr>
          <w:p>
            <w:pPr>
              <w:keepNext w:val="0"/>
              <w:keepLines w:val="0"/>
              <w:kinsoku/>
              <w:autoSpaceDE/>
              <w:autoSpaceDN/>
              <w:adjustRightInd/>
              <w:snapToGrid/>
              <w:spacing w:line="240" w:lineRule="auto"/>
              <w:textAlignment w:val="center"/>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u w:val="none"/>
                <w:lang w:val="en-US" w:eastAsia="zh-CN" w:bidi="ar"/>
              </w:rPr>
              <w:t>7分：</w:t>
            </w:r>
            <w:r>
              <w:rPr>
                <w:rFonts w:hint="eastAsia" w:ascii="宋体" w:hAnsi="宋体" w:eastAsia="宋体" w:cs="宋体"/>
                <w:i w:val="0"/>
                <w:iCs w:val="0"/>
                <w:color w:val="auto"/>
                <w:kern w:val="0"/>
                <w:sz w:val="20"/>
                <w:szCs w:val="20"/>
                <w:u w:val="none"/>
                <w:lang w:val="en-US" w:eastAsia="zh-CN" w:bidi="ar"/>
              </w:rPr>
              <w:t>品牌持有方</w:t>
            </w:r>
            <w:r>
              <w:rPr>
                <w:rFonts w:hint="eastAsia" w:ascii="宋体" w:hAnsi="宋体" w:eastAsia="宋体" w:cs="宋体"/>
                <w:color w:val="auto"/>
                <w:sz w:val="20"/>
                <w:szCs w:val="20"/>
                <w:u w:val="none"/>
                <w:lang w:val="en-US" w:eastAsia="zh-CN" w:bidi="ar"/>
              </w:rPr>
              <w:t>公司参保人数≥50</w:t>
            </w:r>
          </w:p>
        </w:tc>
        <w:tc>
          <w:tcPr>
            <w:tcW w:w="86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7" w:hRule="atLeast"/>
        </w:trPr>
        <w:tc>
          <w:tcPr>
            <w:tcW w:w="643" w:type="dxa"/>
            <w:vMerge w:val="continue"/>
            <w:tcBorders>
              <w:left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0"/>
                <w:szCs w:val="20"/>
                <w:u w:val="none"/>
              </w:rPr>
            </w:pPr>
          </w:p>
        </w:tc>
        <w:tc>
          <w:tcPr>
            <w:tcW w:w="654" w:type="dxa"/>
            <w:vMerge w:val="continue"/>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auto"/>
                <w:sz w:val="20"/>
                <w:szCs w:val="20"/>
                <w:u w:val="none"/>
              </w:rPr>
            </w:pPr>
          </w:p>
        </w:tc>
        <w:tc>
          <w:tcPr>
            <w:tcW w:w="1287"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企业经营材料</w:t>
            </w:r>
          </w:p>
        </w:tc>
        <w:tc>
          <w:tcPr>
            <w:tcW w:w="491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5分：品牌持有方无经营风险（如行政处罚、经营异常、严重违法等情况）</w:t>
            </w:r>
          </w:p>
        </w:tc>
        <w:tc>
          <w:tcPr>
            <w:tcW w:w="86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7" w:hRule="atLeast"/>
        </w:trPr>
        <w:tc>
          <w:tcPr>
            <w:tcW w:w="643" w:type="dxa"/>
            <w:vMerge w:val="continue"/>
            <w:tcBorders>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0"/>
                <w:szCs w:val="20"/>
                <w:u w:val="none"/>
              </w:rPr>
            </w:pPr>
          </w:p>
        </w:tc>
        <w:tc>
          <w:tcPr>
            <w:tcW w:w="654" w:type="dxa"/>
            <w:vMerge w:val="continue"/>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auto"/>
                <w:sz w:val="20"/>
                <w:szCs w:val="20"/>
                <w:u w:val="none"/>
              </w:rPr>
            </w:pPr>
          </w:p>
        </w:tc>
        <w:tc>
          <w:tcPr>
            <w:tcW w:w="1287"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企业纳税材料</w:t>
            </w:r>
          </w:p>
        </w:tc>
        <w:tc>
          <w:tcPr>
            <w:tcW w:w="491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5分：品牌持有方具备一般纳税人资格得5分</w:t>
            </w:r>
          </w:p>
        </w:tc>
        <w:tc>
          <w:tcPr>
            <w:tcW w:w="86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4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654"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电商生态力</w:t>
            </w:r>
          </w:p>
        </w:tc>
        <w:tc>
          <w:tcPr>
            <w:tcW w:w="1287"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主流电商认证</w:t>
            </w:r>
          </w:p>
        </w:tc>
        <w:tc>
          <w:tcPr>
            <w:tcW w:w="491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color w:val="auto"/>
                <w:sz w:val="20"/>
                <w:szCs w:val="20"/>
                <w:lang w:val="en-US" w:eastAsia="zh-CN"/>
              </w:rPr>
            </w:pPr>
            <w:r>
              <w:rPr>
                <w:rFonts w:hint="eastAsia" w:ascii="宋体" w:hAnsi="宋体" w:eastAsia="宋体" w:cs="宋体"/>
                <w:b/>
                <w:bCs/>
                <w:color w:val="auto"/>
                <w:sz w:val="20"/>
                <w:szCs w:val="20"/>
                <w:lang w:val="en-US" w:eastAsia="zh-CN"/>
              </w:rPr>
              <w:t>办公通用物资</w:t>
            </w:r>
            <w:r>
              <w:rPr>
                <w:rFonts w:hint="eastAsia" w:ascii="宋体" w:hAnsi="宋体" w:eastAsia="宋体" w:cs="宋体"/>
                <w:color w:val="auto"/>
                <w:sz w:val="20"/>
                <w:szCs w:val="20"/>
                <w:lang w:val="en-US" w:eastAsia="zh-CN"/>
              </w:rPr>
              <w:t>：</w:t>
            </w:r>
          </w:p>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40分：京东和天猫都有该品牌旗舰店，且有该SPU上架销售，且任一平台该品类最高销量或评论超5000。</w:t>
            </w:r>
            <w:r>
              <w:rPr>
                <w:rFonts w:hint="eastAsia" w:ascii="宋体" w:hAnsi="宋体" w:eastAsia="宋体" w:cs="宋体"/>
                <w:color w:val="auto"/>
                <w:sz w:val="20"/>
                <w:szCs w:val="20"/>
                <w:lang w:val="en-US" w:eastAsia="zh-CN"/>
              </w:rPr>
              <w:br w:type="textWrapping"/>
            </w:r>
            <w:r>
              <w:rPr>
                <w:rFonts w:hint="eastAsia" w:ascii="宋体" w:hAnsi="宋体" w:eastAsia="宋体" w:cs="宋体"/>
                <w:color w:val="auto"/>
                <w:sz w:val="20"/>
                <w:szCs w:val="20"/>
                <w:lang w:val="en-US" w:eastAsia="zh-CN"/>
              </w:rPr>
              <w:t>30分：京东和天猫都有该品牌旗舰店，且有该SPU上架销售，且任一平台该品类最高销量或评论超1000。</w:t>
            </w:r>
            <w:r>
              <w:rPr>
                <w:rFonts w:hint="eastAsia" w:ascii="宋体" w:hAnsi="宋体" w:eastAsia="宋体" w:cs="宋体"/>
                <w:color w:val="auto"/>
                <w:sz w:val="20"/>
                <w:szCs w:val="20"/>
                <w:lang w:val="en-US" w:eastAsia="zh-CN"/>
              </w:rPr>
              <w:br w:type="textWrapping"/>
            </w:r>
            <w:r>
              <w:rPr>
                <w:rFonts w:hint="eastAsia" w:ascii="宋体" w:hAnsi="宋体" w:eastAsia="宋体" w:cs="宋体"/>
                <w:color w:val="auto"/>
                <w:sz w:val="20"/>
                <w:szCs w:val="20"/>
                <w:lang w:val="en-US" w:eastAsia="zh-CN"/>
              </w:rPr>
              <w:t>20分：京东或天猫有该品牌旗舰店，且有该SPU上架销售，且该品类最高销量或评论超5000。</w:t>
            </w:r>
            <w:r>
              <w:rPr>
                <w:rFonts w:hint="eastAsia" w:ascii="宋体" w:hAnsi="宋体" w:eastAsia="宋体" w:cs="宋体"/>
                <w:color w:val="auto"/>
                <w:sz w:val="20"/>
                <w:szCs w:val="20"/>
                <w:lang w:val="en-US" w:eastAsia="zh-CN"/>
              </w:rPr>
              <w:br w:type="textWrapping"/>
            </w:r>
            <w:r>
              <w:rPr>
                <w:rFonts w:hint="eastAsia" w:ascii="宋体" w:hAnsi="宋体" w:eastAsia="宋体" w:cs="宋体"/>
                <w:color w:val="auto"/>
                <w:sz w:val="20"/>
                <w:szCs w:val="20"/>
                <w:lang w:val="en-US" w:eastAsia="zh-CN"/>
              </w:rPr>
              <w:t>10分：京东或天猫有该品牌旗舰店，且有该SPU上架销售，且该品类最高销量或评论超1000。</w:t>
            </w:r>
          </w:p>
          <w:p>
            <w:pPr>
              <w:keepNext w:val="0"/>
              <w:keepLines w:val="0"/>
              <w:kinsoku/>
              <w:autoSpaceDE/>
              <w:autoSpaceDN/>
              <w:adjustRightInd/>
              <w:snapToGrid/>
              <w:spacing w:line="240" w:lineRule="auto"/>
              <w:textAlignment w:val="center"/>
              <w:rPr>
                <w:rFonts w:hint="eastAsia" w:ascii="宋体" w:hAnsi="宋体" w:eastAsia="宋体" w:cs="宋体"/>
                <w:color w:val="auto"/>
                <w:sz w:val="20"/>
                <w:szCs w:val="20"/>
                <w:lang w:val="en-US" w:eastAsia="zh-CN"/>
              </w:rPr>
            </w:pPr>
            <w:r>
              <w:rPr>
                <w:rFonts w:hint="eastAsia" w:ascii="宋体" w:hAnsi="宋体" w:eastAsia="宋体" w:cs="宋体"/>
                <w:b/>
                <w:bCs/>
                <w:color w:val="auto"/>
                <w:sz w:val="20"/>
                <w:szCs w:val="20"/>
                <w:lang w:val="en-US" w:eastAsia="zh-CN"/>
              </w:rPr>
              <w:t>MRO工业品</w:t>
            </w:r>
            <w:r>
              <w:rPr>
                <w:rFonts w:hint="eastAsia" w:ascii="宋体" w:hAnsi="宋体" w:eastAsia="宋体" w:cs="宋体"/>
                <w:color w:val="auto"/>
                <w:sz w:val="20"/>
                <w:szCs w:val="20"/>
                <w:lang w:val="en-US" w:eastAsia="zh-CN"/>
              </w:rPr>
              <w:t>：</w:t>
            </w:r>
          </w:p>
          <w:p>
            <w:pPr>
              <w:kinsoku/>
              <w:autoSpaceDE/>
              <w:autoSpaceDN/>
              <w:adjustRightInd/>
              <w:snapToGrid/>
              <w:textAlignment w:val="center"/>
              <w:rPr>
                <w:rFonts w:hint="eastAsia" w:ascii="宋体" w:hAnsi="宋体" w:eastAsia="宋体" w:cs="宋体"/>
                <w:color w:val="auto"/>
                <w:sz w:val="20"/>
                <w:szCs w:val="20"/>
                <w:lang w:val="en-US"/>
              </w:rPr>
            </w:pPr>
            <w:r>
              <w:rPr>
                <w:rFonts w:hint="eastAsia" w:ascii="宋体" w:hAnsi="宋体" w:eastAsia="宋体" w:cs="宋体"/>
                <w:i w:val="0"/>
                <w:iCs w:val="0"/>
                <w:color w:val="auto"/>
                <w:kern w:val="0"/>
                <w:sz w:val="20"/>
                <w:szCs w:val="20"/>
                <w:u w:val="none"/>
                <w:lang w:val="en-US" w:eastAsia="zh-CN" w:bidi="ar"/>
              </w:rPr>
              <w:t>40分：</w:t>
            </w:r>
            <w:r>
              <w:rPr>
                <w:rFonts w:hint="eastAsia" w:ascii="宋体" w:hAnsi="宋体" w:eastAsia="宋体" w:cs="宋体"/>
                <w:b w:val="0"/>
                <w:bCs w:val="0"/>
                <w:i w:val="0"/>
                <w:iCs w:val="0"/>
                <w:color w:val="auto"/>
                <w:kern w:val="0"/>
                <w:sz w:val="20"/>
                <w:szCs w:val="20"/>
                <w:u w:val="none"/>
                <w:lang w:val="en-US" w:eastAsia="zh-CN" w:bidi="ar"/>
              </w:rPr>
              <w:t>京东、西域、震坤行3家自营店都有在售该品类商品</w:t>
            </w:r>
            <w:r>
              <w:rPr>
                <w:rFonts w:hint="eastAsia" w:ascii="宋体" w:hAnsi="宋体" w:eastAsia="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20分：</w:t>
            </w:r>
            <w:r>
              <w:rPr>
                <w:rFonts w:hint="eastAsia" w:ascii="宋体" w:hAnsi="宋体" w:eastAsia="宋体" w:cs="宋体"/>
                <w:b w:val="0"/>
                <w:bCs w:val="0"/>
                <w:i w:val="0"/>
                <w:iCs w:val="0"/>
                <w:color w:val="auto"/>
                <w:kern w:val="0"/>
                <w:sz w:val="20"/>
                <w:szCs w:val="20"/>
                <w:u w:val="none"/>
                <w:lang w:val="en-US" w:eastAsia="zh-CN" w:bidi="ar"/>
              </w:rPr>
              <w:t>京东、西域、震坤行3家自营店中有2个平台在售该品类商品</w:t>
            </w:r>
            <w:r>
              <w:rPr>
                <w:rFonts w:hint="eastAsia" w:ascii="宋体" w:hAnsi="宋体" w:eastAsia="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10分：</w:t>
            </w:r>
            <w:r>
              <w:rPr>
                <w:rFonts w:hint="eastAsia" w:ascii="宋体" w:hAnsi="宋体" w:eastAsia="宋体" w:cs="宋体"/>
                <w:b w:val="0"/>
                <w:bCs w:val="0"/>
                <w:i w:val="0"/>
                <w:iCs w:val="0"/>
                <w:color w:val="auto"/>
                <w:kern w:val="0"/>
                <w:sz w:val="20"/>
                <w:szCs w:val="20"/>
                <w:u w:val="none"/>
                <w:lang w:val="en-US" w:eastAsia="zh-CN" w:bidi="ar"/>
              </w:rPr>
              <w:t>京东、西域、震坤行3家自营店中有1个平台在售该品类商品</w:t>
            </w:r>
            <w:r>
              <w:rPr>
                <w:rFonts w:hint="eastAsia" w:ascii="宋体" w:hAnsi="宋体" w:eastAsia="宋体" w:cs="宋体"/>
                <w:i w:val="0"/>
                <w:iCs w:val="0"/>
                <w:color w:val="auto"/>
                <w:kern w:val="0"/>
                <w:sz w:val="20"/>
                <w:szCs w:val="20"/>
                <w:u w:val="none"/>
                <w:lang w:val="en-US" w:eastAsia="zh-CN" w:bidi="ar"/>
              </w:rPr>
              <w:t>。</w:t>
            </w:r>
          </w:p>
        </w:tc>
        <w:tc>
          <w:tcPr>
            <w:tcW w:w="86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kern w:val="0"/>
                <w:sz w:val="20"/>
                <w:szCs w:val="20"/>
                <w:u w:val="none"/>
                <w:lang w:val="en-US" w:eastAsia="zh-CN" w:bidi="ar"/>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6" w:hRule="atLeast"/>
        </w:trPr>
        <w:tc>
          <w:tcPr>
            <w:tcW w:w="643" w:type="dxa"/>
            <w:vMerge w:val="restart"/>
            <w:tcBorders>
              <w:top w:val="single" w:color="000000" w:sz="4" w:space="0"/>
              <w:left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0"/>
                <w:szCs w:val="20"/>
                <w:u w:val="none"/>
                <w:lang w:val="en-US" w:eastAsia="zh-CN"/>
              </w:rPr>
            </w:pPr>
            <w:r>
              <w:rPr>
                <w:rFonts w:hint="eastAsia" w:ascii="宋体" w:hAnsi="宋体" w:eastAsia="宋体" w:cs="宋体"/>
                <w:i w:val="0"/>
                <w:iCs w:val="0"/>
                <w:color w:val="auto"/>
                <w:sz w:val="20"/>
                <w:szCs w:val="20"/>
                <w:u w:val="none"/>
                <w:lang w:val="en-US" w:eastAsia="zh-CN"/>
              </w:rPr>
              <w:t>3</w:t>
            </w:r>
          </w:p>
        </w:tc>
        <w:tc>
          <w:tcPr>
            <w:tcW w:w="654"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企业管理资质能力</w:t>
            </w:r>
          </w:p>
        </w:tc>
        <w:tc>
          <w:tcPr>
            <w:tcW w:w="1287"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质量管理体系证书（ISO 9001）</w:t>
            </w:r>
          </w:p>
        </w:tc>
        <w:tc>
          <w:tcPr>
            <w:tcW w:w="491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3分：具有有效期内的质量管理体系认证证书(证书适用或覆盖范围应包含上架商品) </w:t>
            </w:r>
          </w:p>
        </w:tc>
        <w:tc>
          <w:tcPr>
            <w:tcW w:w="86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7" w:hRule="atLeast"/>
        </w:trPr>
        <w:tc>
          <w:tcPr>
            <w:tcW w:w="643" w:type="dxa"/>
            <w:vMerge w:val="continue"/>
            <w:tcBorders>
              <w:left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0"/>
                <w:szCs w:val="20"/>
                <w:u w:val="none"/>
              </w:rPr>
            </w:pPr>
          </w:p>
        </w:tc>
        <w:tc>
          <w:tcPr>
            <w:tcW w:w="654" w:type="dxa"/>
            <w:vMerge w:val="continue"/>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auto"/>
                <w:sz w:val="20"/>
                <w:szCs w:val="20"/>
                <w:u w:val="none"/>
              </w:rPr>
            </w:pPr>
          </w:p>
        </w:tc>
        <w:tc>
          <w:tcPr>
            <w:tcW w:w="1287"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自愿产品认证证书</w:t>
            </w:r>
          </w:p>
        </w:tc>
        <w:tc>
          <w:tcPr>
            <w:tcW w:w="491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3分：具有有效期内的自愿产品认证证书(证书适用或覆盖范围应包含上架商品)</w:t>
            </w:r>
          </w:p>
        </w:tc>
        <w:tc>
          <w:tcPr>
            <w:tcW w:w="86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6" w:hRule="atLeast"/>
        </w:trPr>
        <w:tc>
          <w:tcPr>
            <w:tcW w:w="643" w:type="dxa"/>
            <w:vMerge w:val="continue"/>
            <w:tcBorders>
              <w:left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0"/>
                <w:szCs w:val="20"/>
                <w:u w:val="none"/>
              </w:rPr>
            </w:pPr>
          </w:p>
        </w:tc>
        <w:tc>
          <w:tcPr>
            <w:tcW w:w="654" w:type="dxa"/>
            <w:vMerge w:val="continue"/>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auto"/>
                <w:sz w:val="20"/>
                <w:szCs w:val="20"/>
                <w:u w:val="none"/>
              </w:rPr>
            </w:pPr>
          </w:p>
        </w:tc>
        <w:tc>
          <w:tcPr>
            <w:tcW w:w="1287"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环境管理体系证书(ISO 14001)</w:t>
            </w:r>
          </w:p>
        </w:tc>
        <w:tc>
          <w:tcPr>
            <w:tcW w:w="491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3分：具有有效期内的环境管理体系认证证书(证书适用或覆盖范围应包含上架商品)</w:t>
            </w:r>
          </w:p>
        </w:tc>
        <w:tc>
          <w:tcPr>
            <w:tcW w:w="86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24" w:hRule="atLeast"/>
        </w:trPr>
        <w:tc>
          <w:tcPr>
            <w:tcW w:w="643" w:type="dxa"/>
            <w:vMerge w:val="continue"/>
            <w:tcBorders>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0"/>
                <w:szCs w:val="20"/>
                <w:u w:val="none"/>
              </w:rPr>
            </w:pPr>
          </w:p>
        </w:tc>
        <w:tc>
          <w:tcPr>
            <w:tcW w:w="654" w:type="dxa"/>
            <w:vMerge w:val="continue"/>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auto"/>
                <w:sz w:val="20"/>
                <w:szCs w:val="20"/>
                <w:u w:val="none"/>
              </w:rPr>
            </w:pPr>
          </w:p>
        </w:tc>
        <w:tc>
          <w:tcPr>
            <w:tcW w:w="1287"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职业健康安全管理体系证书(ISO 45001)</w:t>
            </w:r>
          </w:p>
        </w:tc>
        <w:tc>
          <w:tcPr>
            <w:tcW w:w="491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3分：具有有效期内的职业健康安全管理体系认证证书(证书适用或覆盖范围应包含上架商品) </w:t>
            </w:r>
          </w:p>
        </w:tc>
        <w:tc>
          <w:tcPr>
            <w:tcW w:w="86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6" w:hRule="atLeast"/>
        </w:trPr>
        <w:tc>
          <w:tcPr>
            <w:tcW w:w="64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w:t>
            </w:r>
          </w:p>
        </w:tc>
        <w:tc>
          <w:tcPr>
            <w:tcW w:w="654"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品牌成长力</w:t>
            </w:r>
          </w:p>
        </w:tc>
        <w:tc>
          <w:tcPr>
            <w:tcW w:w="1287"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品牌发展实力（荣誉得分）</w:t>
            </w:r>
          </w:p>
        </w:tc>
        <w:tc>
          <w:tcPr>
            <w:tcW w:w="491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color w:val="auto"/>
              </w:rPr>
            </w:pPr>
            <w:r>
              <w:rPr>
                <w:rFonts w:hint="eastAsia" w:ascii="宋体" w:hAnsi="宋体" w:eastAsia="宋体" w:cs="宋体"/>
                <w:color w:val="auto"/>
                <w:sz w:val="20"/>
                <w:szCs w:val="20"/>
                <w:u w:val="none"/>
                <w:lang w:val="en-US" w:eastAsia="zh-CN" w:bidi="ar"/>
              </w:rPr>
              <w:t>5 分：近三年新获得国家级荣誉&gt;2项</w:t>
            </w:r>
            <w:r>
              <w:rPr>
                <w:rFonts w:hint="eastAsia" w:ascii="宋体" w:hAnsi="宋体" w:eastAsia="宋体" w:cs="宋体"/>
                <w:color w:val="auto"/>
                <w:sz w:val="20"/>
                <w:szCs w:val="20"/>
                <w:u w:val="none"/>
                <w:lang w:val="en-US" w:eastAsia="zh-CN" w:bidi="ar"/>
              </w:rPr>
              <w:br w:type="textWrapping"/>
            </w:r>
            <w:r>
              <w:rPr>
                <w:rFonts w:hint="eastAsia" w:ascii="宋体" w:hAnsi="宋体" w:eastAsia="宋体" w:cs="宋体"/>
                <w:color w:val="auto"/>
                <w:sz w:val="20"/>
                <w:szCs w:val="20"/>
                <w:u w:val="none"/>
                <w:lang w:val="en-US" w:eastAsia="zh-CN" w:bidi="ar"/>
              </w:rPr>
              <w:t>4 分：近三年新获得国家级荣誉1-2项</w:t>
            </w:r>
            <w:r>
              <w:rPr>
                <w:rFonts w:hint="eastAsia" w:ascii="宋体" w:hAnsi="宋体" w:eastAsia="宋体" w:cs="宋体"/>
                <w:color w:val="auto"/>
                <w:sz w:val="20"/>
                <w:szCs w:val="20"/>
                <w:u w:val="none"/>
                <w:lang w:val="en-US" w:eastAsia="zh-CN" w:bidi="ar"/>
              </w:rPr>
              <w:br w:type="textWrapping"/>
            </w:r>
            <w:r>
              <w:rPr>
                <w:rFonts w:hint="eastAsia" w:ascii="宋体" w:hAnsi="宋体" w:eastAsia="宋体" w:cs="宋体"/>
                <w:color w:val="auto"/>
                <w:sz w:val="20"/>
                <w:szCs w:val="20"/>
                <w:u w:val="none"/>
                <w:lang w:val="en-US" w:eastAsia="zh-CN" w:bidi="ar"/>
              </w:rPr>
              <w:t>3 分：近三年新获得省级荣誉&gt;2项</w:t>
            </w:r>
            <w:r>
              <w:rPr>
                <w:rFonts w:hint="eastAsia" w:ascii="宋体" w:hAnsi="宋体" w:eastAsia="宋体" w:cs="宋体"/>
                <w:color w:val="auto"/>
                <w:sz w:val="20"/>
                <w:szCs w:val="20"/>
                <w:u w:val="none"/>
                <w:lang w:val="en-US" w:eastAsia="zh-CN" w:bidi="ar"/>
              </w:rPr>
              <w:br w:type="textWrapping"/>
            </w:r>
            <w:r>
              <w:rPr>
                <w:rFonts w:hint="eastAsia" w:ascii="宋体" w:hAnsi="宋体" w:eastAsia="宋体" w:cs="宋体"/>
                <w:color w:val="auto"/>
                <w:sz w:val="20"/>
                <w:szCs w:val="20"/>
                <w:u w:val="none"/>
                <w:lang w:val="en-US" w:eastAsia="zh-CN" w:bidi="ar"/>
              </w:rPr>
              <w:t>2 分：近三年新获得省级荣誉1-2项</w:t>
            </w:r>
            <w:r>
              <w:rPr>
                <w:rFonts w:hint="eastAsia" w:ascii="宋体" w:hAnsi="宋体" w:eastAsia="宋体" w:cs="宋体"/>
                <w:color w:val="auto"/>
                <w:sz w:val="20"/>
                <w:szCs w:val="20"/>
                <w:u w:val="none"/>
                <w:lang w:val="en-US" w:eastAsia="zh-CN" w:bidi="ar"/>
              </w:rPr>
              <w:br w:type="textWrapping"/>
            </w:r>
            <w:r>
              <w:rPr>
                <w:rFonts w:hint="eastAsia" w:ascii="宋体" w:hAnsi="宋体" w:eastAsia="宋体" w:cs="宋体"/>
                <w:color w:val="auto"/>
                <w:sz w:val="20"/>
                <w:szCs w:val="20"/>
                <w:u w:val="none"/>
                <w:lang w:val="en-US" w:eastAsia="zh-CN" w:bidi="ar"/>
              </w:rPr>
              <w:t>1 分：近三年新获得市级荣誉</w:t>
            </w:r>
          </w:p>
        </w:tc>
        <w:tc>
          <w:tcPr>
            <w:tcW w:w="86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12" w:hRule="atLeast"/>
        </w:trPr>
        <w:tc>
          <w:tcPr>
            <w:tcW w:w="64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c>
          <w:tcPr>
            <w:tcW w:w="654" w:type="dxa"/>
            <w:vMerge w:val="continue"/>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auto"/>
                <w:sz w:val="20"/>
                <w:szCs w:val="20"/>
                <w:u w:val="none"/>
              </w:rPr>
            </w:pPr>
          </w:p>
        </w:tc>
        <w:tc>
          <w:tcPr>
            <w:tcW w:w="1287"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知识产权积累（新增商标）</w:t>
            </w:r>
          </w:p>
        </w:tc>
        <w:tc>
          <w:tcPr>
            <w:tcW w:w="491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 分：近 3 年新增&gt;8个（快速扩张或全品类布局）</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 分：近 3 年新增7-8个（稳步拓展相关领域）</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 分：近 3 年新增5-6个（围绕核心业务延伸）</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 分：近 3 年新增3-4个（小幅补充布局）</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 分：近 3 年新增≤2个（无明显扩张或保护需求）</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注：以注册公告日期为准。近3年指评审当前及前2年，如2025年评审，则近3年指2023年1月1日至评审当日。</w:t>
            </w:r>
          </w:p>
        </w:tc>
        <w:tc>
          <w:tcPr>
            <w:tcW w:w="86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2" w:hRule="atLeast"/>
        </w:trPr>
        <w:tc>
          <w:tcPr>
            <w:tcW w:w="64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c>
          <w:tcPr>
            <w:tcW w:w="654" w:type="dxa"/>
            <w:vMerge w:val="continue"/>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auto"/>
                <w:sz w:val="20"/>
                <w:szCs w:val="20"/>
                <w:u w:val="none"/>
              </w:rPr>
            </w:pPr>
          </w:p>
        </w:tc>
        <w:tc>
          <w:tcPr>
            <w:tcW w:w="1287"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创新能力（新增专利）</w:t>
            </w:r>
          </w:p>
        </w:tc>
        <w:tc>
          <w:tcPr>
            <w:tcW w:w="491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 分：近 3 年新增专利&gt;11项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 分：近 3 年新增专利9-11项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 分：近 3 年新增专利6-8 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 分：近 3 年新增专利3-5 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 分：近 3 年新增专利≤2 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注：以公开（公告）日期为准。近3年指评审当前及前2年，如2025年评审，则近3年指2023年1月1日至评审当日。</w:t>
            </w:r>
          </w:p>
        </w:tc>
        <w:tc>
          <w:tcPr>
            <w:tcW w:w="86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66" w:hRule="atLeast"/>
        </w:trPr>
        <w:tc>
          <w:tcPr>
            <w:tcW w:w="64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w:t>
            </w:r>
          </w:p>
        </w:tc>
        <w:tc>
          <w:tcPr>
            <w:tcW w:w="654" w:type="dxa"/>
            <w:vMerge w:val="continue"/>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auto"/>
                <w:sz w:val="20"/>
                <w:szCs w:val="20"/>
                <w:u w:val="none"/>
              </w:rPr>
            </w:pPr>
          </w:p>
        </w:tc>
        <w:tc>
          <w:tcPr>
            <w:tcW w:w="1287"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行业领先能力（标准信息）</w:t>
            </w:r>
          </w:p>
        </w:tc>
        <w:tc>
          <w:tcPr>
            <w:tcW w:w="491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5分：参与专区上架商品相关的国家标准 1 项及以上</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4分：参与专区上架商品相关的行业标准 1 项及以上</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3分：参与专区上架商品相关的团体标准 1 项及以上</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2分：参与专区上架商品相关的地方标准 1 项及以上</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1分：参与专区上架商品相关的企业标准 1 项及以上</w:t>
            </w:r>
          </w:p>
        </w:tc>
        <w:tc>
          <w:tcPr>
            <w:tcW w:w="86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53" w:hRule="atLeast"/>
        </w:trPr>
        <w:tc>
          <w:tcPr>
            <w:tcW w:w="64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8</w:t>
            </w:r>
          </w:p>
        </w:tc>
        <w:tc>
          <w:tcPr>
            <w:tcW w:w="654" w:type="dxa"/>
            <w:vMerge w:val="continue"/>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auto"/>
                <w:sz w:val="20"/>
                <w:szCs w:val="20"/>
                <w:u w:val="none"/>
              </w:rPr>
            </w:pPr>
          </w:p>
        </w:tc>
        <w:tc>
          <w:tcPr>
            <w:tcW w:w="1287"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历史沉淀（注册时间）</w:t>
            </w:r>
          </w:p>
        </w:tc>
        <w:tc>
          <w:tcPr>
            <w:tcW w:w="491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5分：品牌商标注册时间≥20 年（资深老字号）</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4分：品牌商标注册时间 10-19 年（成熟品牌）</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3分：品牌商标注册时间 5-9 年（成长型品牌）</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2分：品牌商标注册时间 2-4 年（新兴品牌）</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1分：品牌商标注册时间＜2 年（初创品牌）</w:t>
            </w:r>
          </w:p>
        </w:tc>
        <w:tc>
          <w:tcPr>
            <w:tcW w:w="86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r>
    </w:tbl>
    <w:p>
      <w:pPr>
        <w:keepNext w:val="0"/>
        <w:keepLines w:val="0"/>
        <w:pageBreakBefore w:val="0"/>
        <w:widowControl w:val="0"/>
        <w:kinsoku/>
        <w:wordWrap/>
        <w:overflowPunct/>
        <w:topLinePunct w:val="0"/>
        <w:autoSpaceDE/>
        <w:autoSpaceDN/>
        <w:bidi w:val="0"/>
        <w:adjustRightInd/>
        <w:snapToGrid/>
        <w:spacing w:after="0" w:afterLines="100" w:line="240" w:lineRule="auto"/>
        <w:ind w:firstLine="572" w:firstLineChars="200"/>
        <w:textAlignment w:val="auto"/>
        <w:outlineLvl w:val="9"/>
        <w:rPr>
          <w:rFonts w:hint="eastAsia" w:ascii="仿宋_GB2312" w:hAnsi="仿宋_GB2312" w:eastAsia="仿宋_GB2312" w:cs="仿宋_GB2312"/>
          <w:b w:val="0"/>
          <w:bCs w:val="0"/>
          <w:snapToGrid w:val="0"/>
          <w:color w:val="auto"/>
          <w:spacing w:val="7"/>
          <w:kern w:val="0"/>
          <w:sz w:val="28"/>
          <w:szCs w:val="28"/>
          <w:lang w:val="en-US" w:eastAsia="zh-CN" w:bidi="ar-SA"/>
        </w:rPr>
      </w:pPr>
      <w:r>
        <w:rPr>
          <w:rFonts w:hint="eastAsia" w:ascii="仿宋_GB2312" w:hAnsi="仿宋_GB2312" w:eastAsia="仿宋_GB2312" w:cs="仿宋_GB2312"/>
          <w:b w:val="0"/>
          <w:bCs w:val="0"/>
          <w:snapToGrid w:val="0"/>
          <w:color w:val="auto"/>
          <w:spacing w:val="3"/>
          <w:kern w:val="0"/>
          <w:sz w:val="28"/>
          <w:szCs w:val="28"/>
          <w:lang w:val="en-US" w:eastAsia="zh-CN" w:bidi="ar-SA"/>
        </w:rPr>
        <w:t>注：企业管理资质能力、品牌成长力参评主体应为品牌持有方，提供参评资料时需按评审序号命名。</w:t>
      </w:r>
    </w:p>
    <w:p>
      <w:pPr>
        <w:pStyle w:val="17"/>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71" w:firstLineChars="200"/>
        <w:textAlignment w:val="auto"/>
        <w:outlineLvl w:val="2"/>
        <w:rPr>
          <w:rFonts w:hint="default" w:ascii="仿宋_GB2312" w:hAnsi="仿宋_GB2312" w:eastAsia="仿宋_GB2312" w:cs="仿宋_GB2312"/>
          <w:b/>
          <w:bCs/>
          <w:snapToGrid w:val="0"/>
          <w:color w:val="auto"/>
          <w:spacing w:val="7"/>
          <w:kern w:val="0"/>
          <w:lang w:val="en-US" w:eastAsia="zh-CN"/>
        </w:rPr>
      </w:pPr>
      <w:r>
        <w:rPr>
          <w:rFonts w:hint="eastAsia" w:ascii="仿宋_GB2312" w:hAnsi="仿宋_GB2312" w:eastAsia="仿宋_GB2312" w:cs="仿宋_GB2312"/>
          <w:b/>
          <w:bCs/>
          <w:snapToGrid w:val="0"/>
          <w:color w:val="auto"/>
          <w:spacing w:val="7"/>
          <w:kern w:val="0"/>
          <w:lang w:val="en-US" w:eastAsia="zh-CN"/>
        </w:rPr>
        <w:t>3.品牌优选规则（适用A类、B类品类）</w:t>
      </w:r>
    </w:p>
    <w:p>
      <w:pPr>
        <w:keepNext w:val="0"/>
        <w:keepLines w:val="0"/>
        <w:pageBreakBefore w:val="0"/>
        <w:widowControl w:val="0"/>
        <w:numPr>
          <w:ilvl w:val="-1"/>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spacing w:val="7"/>
          <w:sz w:val="32"/>
          <w:szCs w:val="32"/>
          <w:highlight w:val="none"/>
          <w:lang w:val="en-US" w:eastAsia="zh-CN"/>
        </w:rPr>
      </w:pPr>
      <w:r>
        <w:rPr>
          <w:rFonts w:hint="eastAsia" w:ascii="仿宋_GB2312" w:hAnsi="仿宋_GB2312" w:eastAsia="仿宋_GB2312" w:cs="仿宋_GB2312"/>
          <w:b w:val="0"/>
          <w:bCs w:val="0"/>
          <w:color w:val="auto"/>
          <w:kern w:val="0"/>
          <w:sz w:val="32"/>
          <w:szCs w:val="32"/>
          <w:highlight w:val="none"/>
          <w:lang w:val="en-US" w:eastAsia="zh-CN"/>
        </w:rPr>
        <w:t>A类品类：从同批次评审通过的免评品牌中进行遴选，按品牌店铺关注度由高至低排序，择优选取前10个纳入候选。</w:t>
      </w:r>
    </w:p>
    <w:p>
      <w:pPr>
        <w:keepNext w:val="0"/>
        <w:keepLines w:val="0"/>
        <w:widowControl w:val="0"/>
        <w:kinsoku/>
        <w:autoSpaceDE/>
        <w:autoSpaceDN/>
        <w:adjustRightInd/>
        <w:snapToGrid/>
        <w:spacing w:line="560" w:lineRule="exact"/>
        <w:ind w:firstLine="640" w:firstLineChars="200"/>
        <w:jc w:val="both"/>
        <w:textAlignment w:val="auto"/>
        <w:outlineLvl w:val="9"/>
        <w:rPr>
          <w:rFonts w:hint="eastAsia" w:ascii="仿宋_GB2312" w:hAnsi="仿宋_GB2312" w:eastAsia="仿宋_GB2312" w:cs="仿宋_GB2312"/>
          <w:color w:val="auto"/>
          <w:spacing w:val="7"/>
          <w:sz w:val="32"/>
          <w:szCs w:val="32"/>
          <w:highlight w:val="none"/>
          <w:lang w:val="en-US" w:eastAsia="zh-CN"/>
        </w:rPr>
      </w:pPr>
      <w:r>
        <w:rPr>
          <w:rFonts w:hint="eastAsia" w:ascii="仿宋_GB2312" w:hAnsi="仿宋_GB2312" w:eastAsia="仿宋_GB2312" w:cs="仿宋_GB2312"/>
          <w:b w:val="0"/>
          <w:bCs w:val="0"/>
          <w:color w:val="auto"/>
          <w:kern w:val="0"/>
          <w:sz w:val="32"/>
          <w:szCs w:val="32"/>
          <w:highlight w:val="none"/>
          <w:lang w:val="en-US" w:eastAsia="zh-CN"/>
        </w:rPr>
        <w:t>B类品类：兼顾免评品牌与参评评分品牌两类来源：①从同批次评审通过的免评品牌（Ⅰ类品牌）中，按关注度排序择优选取前10个纳入候选；②从同批次评审通过的参评评分品牌（Ⅱ类品牌）中，按评审得分排序择优选取前5个纳入候选；两类品牌合并形成该品类候选品牌池</w:t>
      </w:r>
      <w:r>
        <w:rPr>
          <w:rFonts w:hint="eastAsia" w:ascii="仿宋_GB2312" w:hAnsi="仿宋_GB2312" w:eastAsia="仿宋_GB2312" w:cs="仿宋_GB2312"/>
          <w:color w:val="auto"/>
          <w:spacing w:val="7"/>
          <w:sz w:val="32"/>
          <w:szCs w:val="32"/>
          <w:highlight w:val="none"/>
          <w:lang w:val="en-US" w:eastAsia="zh-CN"/>
        </w:rPr>
        <w:t>。</w:t>
      </w:r>
    </w:p>
    <w:p>
      <w:pPr>
        <w:pStyle w:val="2"/>
        <w:keepNext w:val="0"/>
        <w:keepLines w:val="0"/>
        <w:pageBreakBefore w:val="0"/>
        <w:widowControl/>
        <w:kinsoku w:val="0"/>
        <w:wordWrap/>
        <w:overflowPunct/>
        <w:topLinePunct w:val="0"/>
        <w:autoSpaceDE w:val="0"/>
        <w:autoSpaceDN w:val="0"/>
        <w:bidi w:val="0"/>
        <w:adjustRightInd w:val="0"/>
        <w:snapToGrid w:val="0"/>
        <w:spacing w:before="4" w:line="560" w:lineRule="exact"/>
        <w:ind w:left="0" w:firstLine="668" w:firstLineChars="200"/>
        <w:textAlignment w:val="baseline"/>
        <w:outlineLvl w:val="9"/>
        <w:rPr>
          <w:rFonts w:hint="eastAsia" w:ascii="楷体" w:hAnsi="楷体" w:eastAsia="楷体" w:cs="楷体"/>
          <w:b/>
          <w:bCs/>
          <w:snapToGrid w:val="0"/>
          <w:color w:val="auto"/>
          <w:spacing w:val="-1"/>
          <w:kern w:val="0"/>
          <w:position w:val="1"/>
          <w:sz w:val="31"/>
          <w:szCs w:val="31"/>
          <w:lang w:val="en-US" w:eastAsia="zh-CN" w:bidi="ar-SA"/>
        </w:rPr>
      </w:pPr>
      <w:r>
        <w:rPr>
          <w:rFonts w:hint="eastAsia" w:ascii="仿宋_GB2312" w:hAnsi="仿宋_GB2312" w:eastAsia="仿宋_GB2312" w:cs="仿宋_GB2312"/>
          <w:color w:val="auto"/>
          <w:spacing w:val="7"/>
          <w:sz w:val="32"/>
          <w:szCs w:val="32"/>
          <w:highlight w:val="none"/>
          <w:lang w:val="en-US" w:eastAsia="zh-CN"/>
        </w:rPr>
        <w:t>结合上述遴选规则与数量约束，对优选出来的品牌进行风险核查，对于存在恶意刷评、材料造假等风险品牌进行剔除，确定最终入库品牌名单。</w:t>
      </w:r>
    </w:p>
    <w:p>
      <w:pPr>
        <w:pStyle w:val="2"/>
        <w:keepNext w:val="0"/>
        <w:keepLines w:val="0"/>
        <w:pageBreakBefore w:val="0"/>
        <w:widowControl/>
        <w:kinsoku w:val="0"/>
        <w:wordWrap/>
        <w:overflowPunct/>
        <w:topLinePunct w:val="0"/>
        <w:autoSpaceDE w:val="0"/>
        <w:autoSpaceDN w:val="0"/>
        <w:bidi w:val="0"/>
        <w:adjustRightInd w:val="0"/>
        <w:snapToGrid w:val="0"/>
        <w:spacing w:before="4" w:line="560" w:lineRule="exact"/>
        <w:ind w:left="612"/>
        <w:textAlignment w:val="baseline"/>
        <w:outlineLvl w:val="1"/>
        <w:rPr>
          <w:rFonts w:hint="default" w:ascii="楷体" w:hAnsi="楷体" w:eastAsia="楷体" w:cs="楷体"/>
          <w:b/>
          <w:bCs/>
          <w:snapToGrid w:val="0"/>
          <w:color w:val="auto"/>
          <w:spacing w:val="-1"/>
          <w:kern w:val="0"/>
          <w:position w:val="1"/>
          <w:sz w:val="31"/>
          <w:szCs w:val="31"/>
          <w:lang w:val="en-US" w:eastAsia="zh-CN" w:bidi="ar-SA"/>
        </w:rPr>
      </w:pPr>
      <w:r>
        <w:rPr>
          <w:rFonts w:hint="eastAsia" w:ascii="楷体" w:hAnsi="楷体" w:eastAsia="楷体" w:cs="楷体"/>
          <w:b/>
          <w:bCs/>
          <w:snapToGrid w:val="0"/>
          <w:color w:val="auto"/>
          <w:spacing w:val="-1"/>
          <w:kern w:val="0"/>
          <w:position w:val="1"/>
          <w:sz w:val="31"/>
          <w:szCs w:val="31"/>
          <w:lang w:val="en-US" w:eastAsia="zh-CN" w:bidi="ar-SA"/>
        </w:rPr>
        <w:t>（二）商品</w:t>
      </w:r>
      <w:r>
        <w:rPr>
          <w:rFonts w:hint="eastAsia" w:ascii="楷体" w:hAnsi="楷体" w:eastAsia="楷体" w:cs="楷体"/>
          <w:b/>
          <w:bCs/>
          <w:color w:val="auto"/>
          <w:spacing w:val="-1"/>
          <w:position w:val="1"/>
          <w:lang w:val="en-US" w:eastAsia="zh-CN"/>
        </w:rPr>
        <w:t>入库</w:t>
      </w:r>
    </w:p>
    <w:p>
      <w:pPr>
        <w:keepNext w:val="0"/>
        <w:keepLines w:val="0"/>
        <w:pageBreakBefore w:val="0"/>
        <w:widowControl w:val="0"/>
        <w:kinsoku/>
        <w:wordWrap/>
        <w:overflowPunct/>
        <w:topLinePunct w:val="0"/>
        <w:autoSpaceDE/>
        <w:autoSpaceDN/>
        <w:bidi w:val="0"/>
        <w:adjustRightInd/>
        <w:snapToGrid/>
        <w:spacing w:line="560" w:lineRule="exact"/>
        <w:ind w:firstLine="650" w:firstLineChars="200"/>
        <w:textAlignment w:val="auto"/>
        <w:outlineLvl w:val="2"/>
        <w:rPr>
          <w:rFonts w:hint="default" w:ascii="仿宋_GB2312" w:hAnsi="仿宋_GB2312" w:eastAsia="仿宋_GB2312" w:cs="仿宋_GB2312"/>
          <w:b/>
          <w:bCs/>
          <w:snapToGrid w:val="0"/>
          <w:color w:val="auto"/>
          <w:spacing w:val="7"/>
          <w:kern w:val="0"/>
          <w:sz w:val="31"/>
          <w:szCs w:val="31"/>
          <w:lang w:val="en-US" w:eastAsia="zh-CN" w:bidi="ar-SA"/>
        </w:rPr>
      </w:pPr>
      <w:r>
        <w:rPr>
          <w:rFonts w:hint="eastAsia" w:ascii="仿宋_GB2312" w:hAnsi="仿宋_GB2312" w:eastAsia="仿宋_GB2312" w:cs="仿宋_GB2312"/>
          <w:b/>
          <w:bCs/>
          <w:snapToGrid w:val="0"/>
          <w:color w:val="auto"/>
          <w:spacing w:val="7"/>
          <w:kern w:val="0"/>
          <w:sz w:val="31"/>
          <w:szCs w:val="31"/>
          <w:lang w:val="en-US" w:eastAsia="zh-CN" w:bidi="ar-SA"/>
        </w:rPr>
        <w:t>1.商品合规性审核</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right="0" w:firstLine="641"/>
        <w:jc w:val="both"/>
        <w:textAlignment w:val="baseline"/>
        <w:rPr>
          <w:rFonts w:hint="default" w:ascii="仿宋_GB2312" w:hAnsi="仿宋_GB2312" w:eastAsia="仿宋_GB2312" w:cs="仿宋_GB2312"/>
          <w:b w:val="0"/>
          <w:bCs w:val="0"/>
          <w:color w:val="auto"/>
          <w:spacing w:val="3"/>
          <w:sz w:val="32"/>
          <w:szCs w:val="32"/>
          <w:lang w:val="en-US" w:eastAsia="zh-CN"/>
        </w:rPr>
      </w:pPr>
      <w:r>
        <w:rPr>
          <w:rFonts w:hint="eastAsia" w:ascii="仿宋_GB2312" w:hAnsi="仿宋_GB2312" w:eastAsia="仿宋_GB2312" w:cs="仿宋_GB2312"/>
          <w:b w:val="0"/>
          <w:bCs w:val="0"/>
          <w:color w:val="auto"/>
          <w:spacing w:val="3"/>
          <w:sz w:val="32"/>
          <w:szCs w:val="32"/>
          <w:lang w:val="en-US" w:eastAsia="zh-CN"/>
        </w:rPr>
        <w:t>（1）</w:t>
      </w:r>
      <w:r>
        <w:rPr>
          <w:rFonts w:hint="eastAsia" w:ascii="仿宋_GB2312" w:hAnsi="仿宋_GB2312" w:eastAsia="仿宋_GB2312" w:cs="仿宋_GB2312"/>
          <w:b/>
          <w:bCs/>
          <w:color w:val="auto"/>
          <w:spacing w:val="3"/>
          <w:sz w:val="32"/>
          <w:szCs w:val="32"/>
          <w:lang w:val="en-US" w:eastAsia="zh-CN"/>
        </w:rPr>
        <w:t>品牌审查</w:t>
      </w:r>
      <w:r>
        <w:rPr>
          <w:rFonts w:hint="eastAsia" w:ascii="仿宋_GB2312" w:hAnsi="仿宋_GB2312" w:eastAsia="仿宋_GB2312" w:cs="仿宋_GB2312"/>
          <w:b w:val="0"/>
          <w:bCs w:val="0"/>
          <w:color w:val="auto"/>
          <w:spacing w:val="3"/>
          <w:sz w:val="32"/>
          <w:szCs w:val="32"/>
          <w:lang w:val="en-US" w:eastAsia="zh-CN"/>
        </w:rPr>
        <w:t>：品牌为已通过品牌入库审核的品牌</w:t>
      </w:r>
      <w:r>
        <w:rPr>
          <w:rFonts w:hint="eastAsia" w:ascii="仿宋_GB2312" w:hAnsi="仿宋_GB2312" w:eastAsia="仿宋_GB2312" w:cs="仿宋_GB2312"/>
          <w:color w:val="auto"/>
          <w:spacing w:val="3"/>
          <w:sz w:val="32"/>
          <w:szCs w:val="32"/>
          <w:lang w:val="en-US" w:eastAsia="zh-CN"/>
        </w:rPr>
        <w:t>。</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right="0" w:firstLine="641"/>
        <w:jc w:val="both"/>
        <w:textAlignment w:val="baseline"/>
        <w:rPr>
          <w:rFonts w:hint="default"/>
          <w:color w:val="auto"/>
          <w:sz w:val="32"/>
          <w:szCs w:val="32"/>
          <w:lang w:val="en-US" w:eastAsia="zh-CN"/>
        </w:rPr>
      </w:pPr>
      <w:r>
        <w:rPr>
          <w:rFonts w:hint="eastAsia" w:ascii="仿宋_GB2312" w:hAnsi="仿宋_GB2312" w:eastAsia="仿宋_GB2312" w:cs="仿宋_GB2312"/>
          <w:b w:val="0"/>
          <w:bCs w:val="0"/>
          <w:color w:val="auto"/>
          <w:spacing w:val="3"/>
          <w:sz w:val="32"/>
          <w:szCs w:val="32"/>
          <w:lang w:val="en-US" w:eastAsia="zh-CN"/>
        </w:rPr>
        <w:t>（2）</w:t>
      </w:r>
      <w:r>
        <w:rPr>
          <w:rFonts w:hint="eastAsia" w:ascii="仿宋_GB2312" w:hAnsi="仿宋_GB2312" w:eastAsia="仿宋_GB2312" w:cs="仿宋_GB2312"/>
          <w:b/>
          <w:bCs/>
          <w:color w:val="auto"/>
          <w:spacing w:val="3"/>
          <w:sz w:val="32"/>
          <w:szCs w:val="32"/>
          <w:lang w:val="en-US" w:eastAsia="zh-CN"/>
        </w:rPr>
        <w:t>基础审查</w:t>
      </w:r>
      <w:r>
        <w:rPr>
          <w:rFonts w:hint="eastAsia" w:ascii="仿宋_GB2312" w:hAnsi="仿宋_GB2312" w:eastAsia="仿宋_GB2312" w:cs="仿宋_GB2312"/>
          <w:color w:val="auto"/>
          <w:spacing w:val="3"/>
          <w:sz w:val="32"/>
          <w:szCs w:val="32"/>
          <w:lang w:val="en-US" w:eastAsia="zh-CN"/>
        </w:rPr>
        <w:t>：商品应属于电子商城采购目录范围；无同款商品在库</w:t>
      </w:r>
      <w:r>
        <w:rPr>
          <w:rStyle w:val="13"/>
          <w:rFonts w:hint="eastAsia" w:ascii="仿宋_GB2312" w:hAnsi="仿宋_GB2312" w:eastAsia="仿宋_GB2312" w:cs="仿宋_GB2312"/>
          <w:color w:val="auto"/>
          <w:spacing w:val="3"/>
          <w:sz w:val="32"/>
          <w:szCs w:val="32"/>
          <w:lang w:val="en-US" w:eastAsia="zh-CN"/>
        </w:rPr>
        <w:footnoteReference w:id="1"/>
      </w:r>
      <w:r>
        <w:rPr>
          <w:rFonts w:hint="eastAsia" w:ascii="仿宋_GB2312" w:hAnsi="仿宋_GB2312" w:eastAsia="仿宋_GB2312" w:cs="仿宋_GB2312"/>
          <w:color w:val="auto"/>
          <w:spacing w:val="3"/>
          <w:sz w:val="32"/>
          <w:szCs w:val="32"/>
          <w:lang w:val="en-US" w:eastAsia="zh-CN"/>
        </w:rPr>
        <w:t>；无同款商品已通过入库审核；商品属于品类细分小类或下探核心参数范围；商品具有办公及生产的必要场景。</w:t>
      </w:r>
    </w:p>
    <w:p>
      <w:pPr>
        <w:pStyle w:val="17"/>
        <w:keepNext w:val="0"/>
        <w:keepLines w:val="0"/>
        <w:pageBreakBefore w:val="0"/>
        <w:numPr>
          <w:ilvl w:val="0"/>
          <w:numId w:val="0"/>
        </w:numPr>
        <w:kinsoku/>
        <w:wordWrap/>
        <w:overflowPunct/>
        <w:topLinePunct w:val="0"/>
        <w:autoSpaceDE/>
        <w:autoSpaceDN/>
        <w:bidi w:val="0"/>
        <w:adjustRightInd/>
        <w:spacing w:line="560" w:lineRule="exact"/>
        <w:ind w:firstLine="668" w:firstLineChars="200"/>
        <w:rPr>
          <w:rFonts w:hint="eastAsia" w:ascii="仿宋_GB2312" w:hAnsi="仿宋_GB2312" w:eastAsia="仿宋_GB2312" w:cs="仿宋_GB2312"/>
          <w:snapToGrid w:val="0"/>
          <w:color w:val="auto"/>
          <w:spacing w:val="7"/>
          <w:kern w:val="0"/>
          <w:sz w:val="32"/>
          <w:szCs w:val="32"/>
          <w:lang w:val="en-US" w:eastAsia="zh-CN" w:bidi="ar-SA"/>
        </w:rPr>
      </w:pPr>
      <w:r>
        <w:rPr>
          <w:rFonts w:hint="eastAsia" w:ascii="仿宋_GB2312" w:hAnsi="仿宋_GB2312" w:eastAsia="仿宋_GB2312" w:cs="仿宋_GB2312"/>
          <w:b w:val="0"/>
          <w:bCs w:val="0"/>
          <w:snapToGrid w:val="0"/>
          <w:color w:val="auto"/>
          <w:spacing w:val="7"/>
          <w:kern w:val="0"/>
          <w:sz w:val="32"/>
          <w:szCs w:val="32"/>
          <w:lang w:val="en-US" w:eastAsia="zh-CN" w:bidi="ar-SA"/>
        </w:rPr>
        <w:t>（3）</w:t>
      </w:r>
      <w:r>
        <w:rPr>
          <w:rFonts w:hint="eastAsia" w:ascii="仿宋_GB2312" w:hAnsi="仿宋_GB2312" w:eastAsia="仿宋_GB2312" w:cs="仿宋_GB2312"/>
          <w:b/>
          <w:bCs/>
          <w:snapToGrid w:val="0"/>
          <w:color w:val="auto"/>
          <w:spacing w:val="7"/>
          <w:kern w:val="0"/>
          <w:sz w:val="32"/>
          <w:szCs w:val="32"/>
          <w:lang w:val="en-US" w:eastAsia="zh-CN" w:bidi="ar-SA"/>
        </w:rPr>
        <w:t>黑名单审查</w:t>
      </w:r>
      <w:r>
        <w:rPr>
          <w:rFonts w:hint="eastAsia" w:ascii="仿宋_GB2312" w:hAnsi="仿宋_GB2312" w:eastAsia="仿宋_GB2312" w:cs="仿宋_GB2312"/>
          <w:snapToGrid w:val="0"/>
          <w:color w:val="auto"/>
          <w:spacing w:val="7"/>
          <w:kern w:val="0"/>
          <w:sz w:val="32"/>
          <w:szCs w:val="32"/>
          <w:lang w:val="en-US" w:eastAsia="zh-CN" w:bidi="ar-SA"/>
        </w:rPr>
        <w:t>：品牌持有方未被列入南方电网公司“黑名单”供应商。</w:t>
      </w:r>
    </w:p>
    <w:p>
      <w:pPr>
        <w:pStyle w:val="17"/>
        <w:keepNext w:val="0"/>
        <w:keepLines w:val="0"/>
        <w:pageBreakBefore w:val="0"/>
        <w:numPr>
          <w:ilvl w:val="0"/>
          <w:numId w:val="0"/>
        </w:numPr>
        <w:kinsoku/>
        <w:wordWrap/>
        <w:overflowPunct/>
        <w:topLinePunct w:val="0"/>
        <w:autoSpaceDE/>
        <w:autoSpaceDN/>
        <w:bidi w:val="0"/>
        <w:adjustRightInd/>
        <w:spacing w:line="560" w:lineRule="exact"/>
        <w:ind w:firstLine="668" w:firstLineChars="200"/>
        <w:rPr>
          <w:rFonts w:hint="default" w:ascii="仿宋_GB2312" w:hAnsi="仿宋_GB2312" w:eastAsia="仿宋_GB2312" w:cs="仿宋_GB2312"/>
          <w:snapToGrid w:val="0"/>
          <w:color w:val="auto"/>
          <w:spacing w:val="7"/>
          <w:kern w:val="0"/>
          <w:sz w:val="32"/>
          <w:szCs w:val="32"/>
          <w:lang w:val="en-US" w:eastAsia="zh-CN" w:bidi="ar-SA"/>
        </w:rPr>
      </w:pPr>
      <w:r>
        <w:rPr>
          <w:rFonts w:hint="eastAsia" w:ascii="仿宋_GB2312" w:hAnsi="仿宋_GB2312" w:eastAsia="仿宋_GB2312" w:cs="仿宋_GB2312"/>
          <w:b w:val="0"/>
          <w:bCs w:val="0"/>
          <w:snapToGrid w:val="0"/>
          <w:color w:val="auto"/>
          <w:spacing w:val="7"/>
          <w:kern w:val="0"/>
          <w:sz w:val="32"/>
          <w:szCs w:val="32"/>
          <w:lang w:val="en-US" w:eastAsia="zh-CN" w:bidi="ar-SA"/>
        </w:rPr>
        <w:t>（4）</w:t>
      </w:r>
      <w:r>
        <w:rPr>
          <w:rFonts w:hint="eastAsia" w:ascii="仿宋_GB2312" w:hAnsi="仿宋_GB2312" w:eastAsia="仿宋_GB2312" w:cs="仿宋_GB2312"/>
          <w:b/>
          <w:bCs/>
          <w:snapToGrid w:val="0"/>
          <w:color w:val="auto"/>
          <w:spacing w:val="7"/>
          <w:kern w:val="0"/>
          <w:sz w:val="32"/>
          <w:szCs w:val="32"/>
          <w:lang w:val="en-US" w:eastAsia="zh-CN" w:bidi="ar-SA"/>
        </w:rPr>
        <w:t>价格审查</w:t>
      </w:r>
      <w:r>
        <w:rPr>
          <w:rFonts w:hint="eastAsia" w:ascii="仿宋_GB2312" w:hAnsi="仿宋_GB2312" w:eastAsia="仿宋_GB2312" w:cs="仿宋_GB2312"/>
          <w:snapToGrid w:val="0"/>
          <w:color w:val="auto"/>
          <w:spacing w:val="7"/>
          <w:kern w:val="0"/>
          <w:sz w:val="32"/>
          <w:szCs w:val="32"/>
          <w:lang w:val="en-US" w:eastAsia="zh-CN" w:bidi="ar-SA"/>
        </w:rPr>
        <w:t>：单件商品价格原则上不超过5万元且不高于SPU限价。</w:t>
      </w:r>
    </w:p>
    <w:p>
      <w:pPr>
        <w:keepNext w:val="0"/>
        <w:keepLines w:val="0"/>
        <w:pageBreakBefore w:val="0"/>
        <w:widowControl w:val="0"/>
        <w:kinsoku/>
        <w:wordWrap/>
        <w:overflowPunct/>
        <w:topLinePunct w:val="0"/>
        <w:autoSpaceDE/>
        <w:autoSpaceDN/>
        <w:bidi w:val="0"/>
        <w:adjustRightInd/>
        <w:snapToGrid/>
        <w:spacing w:line="560" w:lineRule="exact"/>
        <w:ind w:firstLine="668" w:firstLineChars="200"/>
        <w:jc w:val="both"/>
        <w:textAlignment w:val="auto"/>
        <w:outlineLvl w:val="9"/>
        <w:rPr>
          <w:rFonts w:hint="eastAsia" w:ascii="仿宋_GB2312" w:hAnsi="仿宋_GB2312" w:eastAsia="仿宋_GB2312" w:cs="仿宋_GB2312"/>
          <w:b w:val="0"/>
          <w:bCs w:val="0"/>
          <w:snapToGrid w:val="0"/>
          <w:color w:val="auto"/>
          <w:spacing w:val="7"/>
          <w:kern w:val="0"/>
          <w:sz w:val="32"/>
          <w:szCs w:val="32"/>
          <w:highlight w:val="none"/>
          <w:lang w:val="en-US" w:eastAsia="zh-CN" w:bidi="ar-SA"/>
        </w:rPr>
      </w:pPr>
      <w:r>
        <w:rPr>
          <w:rFonts w:hint="eastAsia" w:ascii="仿宋_GB2312" w:hAnsi="仿宋_GB2312" w:eastAsia="仿宋_GB2312" w:cs="仿宋_GB2312"/>
          <w:b w:val="0"/>
          <w:bCs w:val="0"/>
          <w:snapToGrid w:val="0"/>
          <w:color w:val="auto"/>
          <w:spacing w:val="7"/>
          <w:kern w:val="0"/>
          <w:sz w:val="32"/>
          <w:szCs w:val="32"/>
          <w:lang w:val="en-US" w:eastAsia="zh-CN" w:bidi="ar-SA"/>
        </w:rPr>
        <w:t>（5）</w:t>
      </w:r>
      <w:r>
        <w:rPr>
          <w:rFonts w:hint="eastAsia" w:ascii="仿宋_GB2312" w:hAnsi="仿宋_GB2312" w:eastAsia="仿宋_GB2312" w:cs="仿宋_GB2312"/>
          <w:b/>
          <w:bCs/>
          <w:snapToGrid w:val="0"/>
          <w:color w:val="auto"/>
          <w:spacing w:val="7"/>
          <w:kern w:val="0"/>
          <w:sz w:val="32"/>
          <w:szCs w:val="32"/>
          <w:lang w:val="en-US" w:eastAsia="zh-CN" w:bidi="ar-SA"/>
        </w:rPr>
        <w:t>参考链接有效性审查</w:t>
      </w:r>
      <w:r>
        <w:rPr>
          <w:rFonts w:hint="eastAsia" w:ascii="仿宋_GB2312" w:hAnsi="仿宋_GB2312" w:eastAsia="仿宋_GB2312" w:cs="仿宋_GB2312"/>
          <w:snapToGrid w:val="0"/>
          <w:color w:val="auto"/>
          <w:spacing w:val="7"/>
          <w:kern w:val="0"/>
          <w:sz w:val="32"/>
          <w:szCs w:val="32"/>
          <w:lang w:val="en-US" w:eastAsia="zh-CN" w:bidi="ar-SA"/>
        </w:rPr>
        <w:t>：链接显示已失效、链接相应页面显示“商品已下架”、链接商品无法在相应电商平台搜索入口查询、京东自营商品无相应的自营店铺，均视为无效链接。在标准库合规性审查、专业评审、公示等不同时间节点的外部链接状态不一致时，以最新状态为准。提报的链接仅供入库审核参考，在库商品价格指数参考链接按照电</w:t>
      </w:r>
      <w:r>
        <w:rPr>
          <w:rFonts w:hint="eastAsia" w:ascii="仿宋_GB2312" w:hAnsi="仿宋_GB2312" w:eastAsia="仿宋_GB2312" w:cs="仿宋_GB2312"/>
          <w:b w:val="0"/>
          <w:bCs w:val="0"/>
          <w:snapToGrid w:val="0"/>
          <w:color w:val="auto"/>
          <w:spacing w:val="7"/>
          <w:kern w:val="0"/>
          <w:sz w:val="32"/>
          <w:szCs w:val="32"/>
          <w:highlight w:val="none"/>
          <w:lang w:val="en-US" w:eastAsia="zh-CN" w:bidi="ar-SA"/>
        </w:rPr>
        <w:t>子商城运营单位价格指数管理规定执行。参考链接选取平台和店铺要求如下：</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9"/>
        <w:gridCol w:w="1350"/>
        <w:gridCol w:w="2150"/>
        <w:gridCol w:w="1355"/>
        <w:gridCol w:w="25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9"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default" w:ascii="宋体" w:hAnsi="宋体" w:eastAsia="宋体" w:cs="宋体"/>
                <w:b/>
                <w:bCs/>
                <w:snapToGrid w:val="0"/>
                <w:color w:val="auto"/>
                <w:spacing w:val="7"/>
                <w:kern w:val="0"/>
                <w:sz w:val="21"/>
                <w:szCs w:val="21"/>
                <w:highlight w:val="none"/>
                <w:vertAlign w:val="baseline"/>
                <w:lang w:val="en-US" w:eastAsia="zh-CN" w:bidi="ar-SA"/>
              </w:rPr>
            </w:pPr>
            <w:r>
              <w:rPr>
                <w:rFonts w:hint="eastAsia" w:ascii="宋体" w:hAnsi="宋体" w:eastAsia="宋体" w:cs="宋体"/>
                <w:b/>
                <w:bCs/>
                <w:snapToGrid w:val="0"/>
                <w:color w:val="auto"/>
                <w:spacing w:val="7"/>
                <w:kern w:val="0"/>
                <w:sz w:val="21"/>
                <w:szCs w:val="21"/>
                <w:highlight w:val="none"/>
                <w:vertAlign w:val="baseline"/>
                <w:lang w:val="en-US" w:eastAsia="zh-CN" w:bidi="ar-SA"/>
              </w:rPr>
              <w:t>专区类型</w:t>
            </w:r>
          </w:p>
        </w:tc>
        <w:tc>
          <w:tcPr>
            <w:tcW w:w="1350"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default" w:ascii="宋体" w:hAnsi="宋体" w:eastAsia="宋体" w:cs="宋体"/>
                <w:b/>
                <w:bCs/>
                <w:snapToGrid w:val="0"/>
                <w:color w:val="auto"/>
                <w:spacing w:val="7"/>
                <w:kern w:val="0"/>
                <w:sz w:val="21"/>
                <w:szCs w:val="21"/>
                <w:highlight w:val="none"/>
                <w:vertAlign w:val="baseline"/>
                <w:lang w:val="en-US" w:eastAsia="zh-CN" w:bidi="ar-SA"/>
              </w:rPr>
            </w:pPr>
            <w:r>
              <w:rPr>
                <w:rFonts w:hint="eastAsia" w:ascii="宋体" w:hAnsi="宋体" w:eastAsia="宋体" w:cs="宋体"/>
                <w:b/>
                <w:bCs/>
                <w:snapToGrid w:val="0"/>
                <w:color w:val="auto"/>
                <w:spacing w:val="7"/>
                <w:kern w:val="0"/>
                <w:sz w:val="21"/>
                <w:szCs w:val="21"/>
                <w:highlight w:val="none"/>
                <w:vertAlign w:val="baseline"/>
                <w:lang w:val="en-US" w:eastAsia="zh-CN" w:bidi="ar-SA"/>
              </w:rPr>
              <w:t>参考链接平台</w:t>
            </w:r>
          </w:p>
        </w:tc>
        <w:tc>
          <w:tcPr>
            <w:tcW w:w="2150"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bCs/>
                <w:snapToGrid w:val="0"/>
                <w:color w:val="auto"/>
                <w:spacing w:val="7"/>
                <w:kern w:val="0"/>
                <w:sz w:val="21"/>
                <w:szCs w:val="21"/>
                <w:highlight w:val="none"/>
                <w:vertAlign w:val="baseline"/>
                <w:lang w:val="en-US" w:eastAsia="zh-CN" w:bidi="ar-SA"/>
              </w:rPr>
            </w:pPr>
            <w:r>
              <w:rPr>
                <w:rFonts w:hint="eastAsia" w:ascii="宋体" w:hAnsi="宋体" w:eastAsia="宋体" w:cs="宋体"/>
                <w:b/>
                <w:bCs/>
                <w:snapToGrid w:val="0"/>
                <w:color w:val="auto"/>
                <w:spacing w:val="7"/>
                <w:kern w:val="0"/>
                <w:sz w:val="21"/>
                <w:szCs w:val="21"/>
                <w:highlight w:val="none"/>
                <w:vertAlign w:val="baseline"/>
                <w:lang w:val="en-US" w:eastAsia="zh-CN" w:bidi="ar-SA"/>
              </w:rPr>
              <w:t>参考链接店铺类型</w:t>
            </w:r>
          </w:p>
        </w:tc>
        <w:tc>
          <w:tcPr>
            <w:tcW w:w="1355"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default" w:ascii="宋体" w:hAnsi="宋体" w:eastAsia="宋体" w:cs="宋体"/>
                <w:b/>
                <w:bCs/>
                <w:snapToGrid w:val="0"/>
                <w:color w:val="auto"/>
                <w:spacing w:val="7"/>
                <w:kern w:val="0"/>
                <w:sz w:val="21"/>
                <w:szCs w:val="21"/>
                <w:highlight w:val="none"/>
                <w:vertAlign w:val="baseline"/>
                <w:lang w:val="en-US" w:eastAsia="zh-CN" w:bidi="ar-SA"/>
              </w:rPr>
            </w:pPr>
            <w:r>
              <w:rPr>
                <w:rFonts w:hint="eastAsia" w:ascii="宋体" w:hAnsi="宋体" w:eastAsia="宋体" w:cs="宋体"/>
                <w:b/>
                <w:bCs/>
                <w:snapToGrid w:val="0"/>
                <w:color w:val="auto"/>
                <w:spacing w:val="7"/>
                <w:kern w:val="0"/>
                <w:sz w:val="21"/>
                <w:szCs w:val="21"/>
                <w:highlight w:val="none"/>
                <w:vertAlign w:val="baseline"/>
                <w:lang w:val="en-US" w:eastAsia="zh-CN" w:bidi="ar-SA"/>
              </w:rPr>
              <w:t>条件</w:t>
            </w:r>
          </w:p>
        </w:tc>
        <w:tc>
          <w:tcPr>
            <w:tcW w:w="257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bCs/>
                <w:snapToGrid w:val="0"/>
                <w:color w:val="auto"/>
                <w:spacing w:val="7"/>
                <w:kern w:val="0"/>
                <w:sz w:val="21"/>
                <w:szCs w:val="21"/>
                <w:highlight w:val="none"/>
                <w:vertAlign w:val="baseline"/>
                <w:lang w:val="en-US" w:eastAsia="zh-CN" w:bidi="ar-SA"/>
              </w:rPr>
            </w:pPr>
            <w:r>
              <w:rPr>
                <w:rFonts w:hint="eastAsia" w:ascii="宋体" w:hAnsi="宋体" w:eastAsia="宋体" w:cs="宋体"/>
                <w:b/>
                <w:bCs/>
                <w:snapToGrid w:val="0"/>
                <w:color w:val="auto"/>
                <w:spacing w:val="7"/>
                <w:kern w:val="0"/>
                <w:sz w:val="21"/>
                <w:szCs w:val="21"/>
                <w:highlight w:val="none"/>
                <w:vertAlign w:val="baseline"/>
                <w:lang w:val="en-US" w:eastAsia="zh-CN" w:bidi="ar-S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trPr>
        <w:tc>
          <w:tcPr>
            <w:tcW w:w="1119"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val="0"/>
                <w:bCs w:val="0"/>
                <w:snapToGrid w:val="0"/>
                <w:color w:val="auto"/>
                <w:spacing w:val="7"/>
                <w:kern w:val="0"/>
                <w:sz w:val="21"/>
                <w:szCs w:val="21"/>
                <w:highlight w:val="none"/>
                <w:vertAlign w:val="baseline"/>
                <w:lang w:val="en-US" w:eastAsia="zh-CN" w:bidi="ar-SA"/>
              </w:rPr>
            </w:pPr>
            <w:r>
              <w:rPr>
                <w:rFonts w:hint="eastAsia" w:ascii="宋体" w:hAnsi="宋体" w:eastAsia="宋体" w:cs="宋体"/>
                <w:b w:val="0"/>
                <w:bCs w:val="0"/>
                <w:snapToGrid w:val="0"/>
                <w:color w:val="auto"/>
                <w:spacing w:val="7"/>
                <w:kern w:val="0"/>
                <w:sz w:val="21"/>
                <w:szCs w:val="21"/>
                <w:highlight w:val="none"/>
                <w:vertAlign w:val="baseline"/>
                <w:lang w:val="en-US" w:eastAsia="zh-CN" w:bidi="ar-SA"/>
              </w:rPr>
              <w:t>办公通用物资</w:t>
            </w:r>
          </w:p>
        </w:tc>
        <w:tc>
          <w:tcPr>
            <w:tcW w:w="1350"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default" w:ascii="宋体" w:hAnsi="宋体" w:eastAsia="宋体" w:cs="宋体"/>
                <w:b w:val="0"/>
                <w:bCs w:val="0"/>
                <w:snapToGrid w:val="0"/>
                <w:color w:val="auto"/>
                <w:spacing w:val="7"/>
                <w:kern w:val="0"/>
                <w:sz w:val="21"/>
                <w:szCs w:val="21"/>
                <w:highlight w:val="none"/>
                <w:vertAlign w:val="baseline"/>
                <w:lang w:val="en-US" w:eastAsia="zh-CN" w:bidi="ar-SA"/>
              </w:rPr>
            </w:pPr>
            <w:r>
              <w:rPr>
                <w:rFonts w:hint="eastAsia" w:ascii="宋体" w:hAnsi="宋体" w:eastAsia="宋体" w:cs="宋体"/>
                <w:b w:val="0"/>
                <w:bCs w:val="0"/>
                <w:snapToGrid w:val="0"/>
                <w:color w:val="auto"/>
                <w:spacing w:val="7"/>
                <w:kern w:val="0"/>
                <w:sz w:val="21"/>
                <w:szCs w:val="21"/>
                <w:highlight w:val="none"/>
                <w:vertAlign w:val="baseline"/>
                <w:lang w:val="en-US" w:eastAsia="zh-CN" w:bidi="ar-SA"/>
              </w:rPr>
              <w:t>京东</w:t>
            </w:r>
          </w:p>
        </w:tc>
        <w:tc>
          <w:tcPr>
            <w:tcW w:w="2150"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default" w:ascii="宋体" w:hAnsi="宋体" w:eastAsia="宋体" w:cs="宋体"/>
                <w:b w:val="0"/>
                <w:bCs w:val="0"/>
                <w:snapToGrid w:val="0"/>
                <w:color w:val="auto"/>
                <w:spacing w:val="7"/>
                <w:kern w:val="0"/>
                <w:sz w:val="21"/>
                <w:szCs w:val="21"/>
                <w:highlight w:val="none"/>
                <w:vertAlign w:val="baseline"/>
                <w:lang w:val="en-US" w:eastAsia="zh-CN" w:bidi="ar-SA"/>
              </w:rPr>
            </w:pPr>
            <w:r>
              <w:rPr>
                <w:rFonts w:hint="eastAsia" w:ascii="宋体" w:hAnsi="宋体" w:eastAsia="宋体" w:cs="宋体"/>
                <w:b w:val="0"/>
                <w:bCs w:val="0"/>
                <w:snapToGrid w:val="0"/>
                <w:color w:val="auto"/>
                <w:spacing w:val="7"/>
                <w:kern w:val="0"/>
                <w:sz w:val="21"/>
                <w:szCs w:val="21"/>
                <w:highlight w:val="none"/>
                <w:vertAlign w:val="baseline"/>
                <w:lang w:val="en-US" w:eastAsia="zh-CN" w:bidi="ar-SA"/>
              </w:rPr>
              <w:t>自营店、旗舰店、专卖店</w:t>
            </w:r>
          </w:p>
        </w:tc>
        <w:tc>
          <w:tcPr>
            <w:tcW w:w="1355" w:type="dxa"/>
            <w:vMerge w:val="restart"/>
            <w:vAlign w:val="center"/>
          </w:tcPr>
          <w:p>
            <w:pPr>
              <w:keepNext w:val="0"/>
              <w:keepLines w:val="0"/>
              <w:pageBreakBefore w:val="0"/>
              <w:widowControl w:val="0"/>
              <w:kinsoku/>
              <w:wordWrap/>
              <w:overflowPunct/>
              <w:topLinePunct w:val="0"/>
              <w:autoSpaceDE/>
              <w:autoSpaceDN/>
              <w:bidi w:val="0"/>
              <w:adjustRightInd/>
              <w:snapToGrid/>
              <w:spacing w:line="300" w:lineRule="auto"/>
              <w:jc w:val="both"/>
              <w:textAlignment w:val="auto"/>
              <w:outlineLvl w:val="9"/>
              <w:rPr>
                <w:rFonts w:hint="default" w:ascii="宋体" w:hAnsi="宋体" w:eastAsia="宋体" w:cs="宋体"/>
                <w:b w:val="0"/>
                <w:bCs w:val="0"/>
                <w:snapToGrid w:val="0"/>
                <w:color w:val="auto"/>
                <w:spacing w:val="7"/>
                <w:kern w:val="0"/>
                <w:sz w:val="21"/>
                <w:szCs w:val="21"/>
                <w:highlight w:val="none"/>
                <w:vertAlign w:val="baseline"/>
                <w:lang w:val="en-US" w:eastAsia="zh-CN" w:bidi="ar-SA"/>
              </w:rPr>
            </w:pPr>
            <w:r>
              <w:rPr>
                <w:rFonts w:hint="eastAsia" w:ascii="宋体" w:hAnsi="宋体" w:eastAsia="宋体" w:cs="宋体"/>
                <w:b w:val="0"/>
                <w:bCs w:val="0"/>
                <w:snapToGrid w:val="0"/>
                <w:color w:val="auto"/>
                <w:spacing w:val="7"/>
                <w:kern w:val="0"/>
                <w:sz w:val="21"/>
                <w:szCs w:val="21"/>
                <w:highlight w:val="none"/>
                <w:vertAlign w:val="baseline"/>
                <w:lang w:val="en-US" w:eastAsia="zh-CN" w:bidi="ar-SA"/>
              </w:rPr>
              <w:t>至少包含1条自营店或旗舰店参考链接。</w:t>
            </w:r>
          </w:p>
        </w:tc>
        <w:tc>
          <w:tcPr>
            <w:tcW w:w="2578" w:type="dxa"/>
            <w:vMerge w:val="restart"/>
            <w:vAlign w:val="center"/>
          </w:tcPr>
          <w:p>
            <w:pPr>
              <w:keepNext w:val="0"/>
              <w:keepLines w:val="0"/>
              <w:pageBreakBefore w:val="0"/>
              <w:widowControl w:val="0"/>
              <w:kinsoku/>
              <w:wordWrap/>
              <w:overflowPunct/>
              <w:topLinePunct w:val="0"/>
              <w:autoSpaceDE/>
              <w:autoSpaceDN/>
              <w:bidi w:val="0"/>
              <w:adjustRightInd/>
              <w:snapToGrid/>
              <w:spacing w:line="300" w:lineRule="auto"/>
              <w:jc w:val="both"/>
              <w:textAlignment w:val="auto"/>
              <w:outlineLvl w:val="9"/>
              <w:rPr>
                <w:rFonts w:hint="eastAsia" w:ascii="宋体" w:hAnsi="宋体" w:eastAsia="宋体" w:cs="宋体"/>
                <w:b w:val="0"/>
                <w:bCs w:val="0"/>
                <w:snapToGrid w:val="0"/>
                <w:color w:val="auto"/>
                <w:spacing w:val="7"/>
                <w:kern w:val="0"/>
                <w:sz w:val="21"/>
                <w:szCs w:val="21"/>
                <w:highlight w:val="none"/>
                <w:vertAlign w:val="baseline"/>
                <w:lang w:val="en-US" w:eastAsia="zh-CN" w:bidi="ar-SA"/>
              </w:rPr>
            </w:pPr>
            <w:r>
              <w:rPr>
                <w:rFonts w:hint="eastAsia" w:ascii="宋体" w:hAnsi="宋体" w:eastAsia="宋体" w:cs="宋体"/>
                <w:b w:val="0"/>
                <w:bCs w:val="0"/>
                <w:snapToGrid w:val="0"/>
                <w:color w:val="auto"/>
                <w:spacing w:val="7"/>
                <w:kern w:val="0"/>
                <w:sz w:val="21"/>
                <w:szCs w:val="21"/>
                <w:highlight w:val="none"/>
                <w:vertAlign w:val="baseline"/>
                <w:lang w:val="en-US" w:eastAsia="zh-CN" w:bidi="ar-SA"/>
              </w:rPr>
              <w:t>自营店指平台方自有店铺。旗舰店是指店铺名称为“品牌+（品类，非必填）+旗舰店”的店铺。专卖店是指店铺名称为“品牌+（品类，非必填）+专卖店”的店铺。全国企业采购交易询价系统</w:t>
            </w:r>
          </w:p>
          <w:p>
            <w:pPr>
              <w:keepNext w:val="0"/>
              <w:keepLines w:val="0"/>
              <w:pageBreakBefore w:val="0"/>
              <w:widowControl w:val="0"/>
              <w:kinsoku/>
              <w:wordWrap/>
              <w:overflowPunct/>
              <w:topLinePunct w:val="0"/>
              <w:autoSpaceDE/>
              <w:autoSpaceDN/>
              <w:bidi w:val="0"/>
              <w:adjustRightInd/>
              <w:snapToGrid/>
              <w:spacing w:line="300" w:lineRule="auto"/>
              <w:jc w:val="both"/>
              <w:textAlignment w:val="auto"/>
              <w:outlineLvl w:val="9"/>
              <w:rPr>
                <w:rFonts w:hint="default" w:ascii="宋体" w:hAnsi="宋体" w:eastAsia="宋体" w:cs="宋体"/>
                <w:b w:val="0"/>
                <w:bCs w:val="0"/>
                <w:snapToGrid w:val="0"/>
                <w:color w:val="auto"/>
                <w:spacing w:val="7"/>
                <w:kern w:val="0"/>
                <w:sz w:val="21"/>
                <w:szCs w:val="21"/>
                <w:highlight w:val="none"/>
                <w:vertAlign w:val="baseline"/>
                <w:lang w:val="en-US" w:eastAsia="zh-CN" w:bidi="ar-SA"/>
              </w:rPr>
            </w:pPr>
            <w:r>
              <w:rPr>
                <w:rFonts w:hint="eastAsia" w:ascii="宋体" w:hAnsi="宋体" w:eastAsia="宋体" w:cs="宋体"/>
                <w:b w:val="0"/>
                <w:bCs w:val="0"/>
                <w:snapToGrid w:val="0"/>
                <w:color w:val="auto"/>
                <w:spacing w:val="7"/>
                <w:kern w:val="0"/>
                <w:sz w:val="21"/>
                <w:szCs w:val="21"/>
                <w:highlight w:val="none"/>
                <w:vertAlign w:val="baseline"/>
                <w:lang w:val="en-US" w:eastAsia="zh-CN" w:bidi="ar-SA"/>
              </w:rPr>
              <w:t>(https://www.cneptp.com/index)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1119"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val="0"/>
                <w:bCs w:val="0"/>
                <w:snapToGrid w:val="0"/>
                <w:color w:val="auto"/>
                <w:spacing w:val="7"/>
                <w:kern w:val="0"/>
                <w:sz w:val="21"/>
                <w:szCs w:val="21"/>
                <w:highlight w:val="none"/>
                <w:vertAlign w:val="baseline"/>
                <w:lang w:val="en-US" w:eastAsia="zh-CN" w:bidi="ar-SA"/>
              </w:rPr>
            </w:pPr>
            <w:r>
              <w:rPr>
                <w:rFonts w:hint="eastAsia" w:ascii="宋体" w:hAnsi="宋体" w:eastAsia="宋体" w:cs="宋体"/>
                <w:b w:val="0"/>
                <w:bCs w:val="0"/>
                <w:snapToGrid w:val="0"/>
                <w:color w:val="auto"/>
                <w:spacing w:val="7"/>
                <w:kern w:val="0"/>
                <w:sz w:val="21"/>
                <w:szCs w:val="21"/>
                <w:highlight w:val="none"/>
                <w:vertAlign w:val="baseline"/>
                <w:lang w:val="en-US" w:eastAsia="zh-CN" w:bidi="ar-SA"/>
              </w:rPr>
              <w:t>办公通用物资</w:t>
            </w:r>
          </w:p>
        </w:tc>
        <w:tc>
          <w:tcPr>
            <w:tcW w:w="1350"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val="0"/>
                <w:bCs w:val="0"/>
                <w:snapToGrid w:val="0"/>
                <w:color w:val="auto"/>
                <w:spacing w:val="7"/>
                <w:kern w:val="0"/>
                <w:sz w:val="21"/>
                <w:szCs w:val="21"/>
                <w:highlight w:val="none"/>
                <w:vertAlign w:val="baseline"/>
                <w:lang w:val="en-US" w:eastAsia="zh-CN" w:bidi="ar-SA"/>
              </w:rPr>
            </w:pPr>
            <w:r>
              <w:rPr>
                <w:rFonts w:hint="eastAsia" w:ascii="宋体" w:hAnsi="宋体" w:eastAsia="宋体" w:cs="宋体"/>
                <w:b w:val="0"/>
                <w:bCs w:val="0"/>
                <w:snapToGrid w:val="0"/>
                <w:color w:val="auto"/>
                <w:spacing w:val="7"/>
                <w:kern w:val="0"/>
                <w:sz w:val="21"/>
                <w:szCs w:val="21"/>
                <w:highlight w:val="none"/>
                <w:vertAlign w:val="baseline"/>
                <w:lang w:val="en-US" w:eastAsia="zh-CN" w:bidi="ar-SA"/>
              </w:rPr>
              <w:t>天猫</w:t>
            </w:r>
          </w:p>
        </w:tc>
        <w:tc>
          <w:tcPr>
            <w:tcW w:w="2150"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val="0"/>
                <w:bCs w:val="0"/>
                <w:snapToGrid w:val="0"/>
                <w:color w:val="auto"/>
                <w:spacing w:val="7"/>
                <w:kern w:val="0"/>
                <w:sz w:val="21"/>
                <w:szCs w:val="21"/>
                <w:highlight w:val="none"/>
                <w:vertAlign w:val="baseline"/>
                <w:lang w:val="en-US" w:eastAsia="zh-CN" w:bidi="ar-SA"/>
              </w:rPr>
            </w:pPr>
            <w:r>
              <w:rPr>
                <w:rFonts w:hint="eastAsia" w:ascii="宋体" w:hAnsi="宋体" w:eastAsia="宋体" w:cs="宋体"/>
                <w:b w:val="0"/>
                <w:bCs w:val="0"/>
                <w:snapToGrid w:val="0"/>
                <w:color w:val="auto"/>
                <w:spacing w:val="7"/>
                <w:kern w:val="0"/>
                <w:sz w:val="21"/>
                <w:szCs w:val="21"/>
                <w:highlight w:val="none"/>
                <w:vertAlign w:val="baseline"/>
                <w:lang w:val="en-US" w:eastAsia="zh-CN" w:bidi="ar-SA"/>
              </w:rPr>
              <w:t>旗舰店、专卖店</w:t>
            </w:r>
          </w:p>
        </w:tc>
        <w:tc>
          <w:tcPr>
            <w:tcW w:w="1355" w:type="dxa"/>
            <w:vMerge w:val="continue"/>
            <w:vAlign w:val="center"/>
          </w:tcPr>
          <w:p>
            <w:pPr>
              <w:keepNext w:val="0"/>
              <w:keepLines w:val="0"/>
              <w:pageBreakBefore w:val="0"/>
              <w:widowControl w:val="0"/>
              <w:kinsoku/>
              <w:wordWrap/>
              <w:overflowPunct/>
              <w:topLinePunct w:val="0"/>
              <w:autoSpaceDE/>
              <w:autoSpaceDN/>
              <w:bidi w:val="0"/>
              <w:adjustRightInd/>
              <w:snapToGrid/>
              <w:spacing w:line="300" w:lineRule="auto"/>
              <w:jc w:val="both"/>
              <w:textAlignment w:val="auto"/>
              <w:outlineLvl w:val="9"/>
              <w:rPr>
                <w:rFonts w:hint="eastAsia" w:ascii="宋体" w:hAnsi="宋体" w:eastAsia="宋体" w:cs="宋体"/>
                <w:b w:val="0"/>
                <w:bCs w:val="0"/>
                <w:snapToGrid w:val="0"/>
                <w:color w:val="auto"/>
                <w:spacing w:val="7"/>
                <w:kern w:val="0"/>
                <w:sz w:val="21"/>
                <w:szCs w:val="21"/>
                <w:highlight w:val="none"/>
                <w:vertAlign w:val="baseline"/>
                <w:lang w:val="en-US" w:eastAsia="zh-CN" w:bidi="ar-SA"/>
              </w:rPr>
            </w:pPr>
          </w:p>
        </w:tc>
        <w:tc>
          <w:tcPr>
            <w:tcW w:w="2578" w:type="dxa"/>
            <w:vMerge w:val="continue"/>
            <w:vAlign w:val="center"/>
          </w:tcPr>
          <w:p>
            <w:pPr>
              <w:keepNext w:val="0"/>
              <w:keepLines w:val="0"/>
              <w:pageBreakBefore w:val="0"/>
              <w:widowControl w:val="0"/>
              <w:kinsoku/>
              <w:wordWrap/>
              <w:overflowPunct/>
              <w:topLinePunct w:val="0"/>
              <w:autoSpaceDE/>
              <w:autoSpaceDN/>
              <w:bidi w:val="0"/>
              <w:adjustRightInd/>
              <w:snapToGrid/>
              <w:spacing w:line="300" w:lineRule="auto"/>
              <w:jc w:val="both"/>
              <w:textAlignment w:val="auto"/>
              <w:outlineLvl w:val="9"/>
              <w:rPr>
                <w:rFonts w:hint="eastAsia" w:ascii="宋体" w:hAnsi="宋体" w:eastAsia="宋体" w:cs="宋体"/>
                <w:b w:val="0"/>
                <w:bCs w:val="0"/>
                <w:snapToGrid w:val="0"/>
                <w:color w:val="auto"/>
                <w:spacing w:val="7"/>
                <w:kern w:val="0"/>
                <w:sz w:val="21"/>
                <w:szCs w:val="21"/>
                <w:highlight w:val="none"/>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trPr>
        <w:tc>
          <w:tcPr>
            <w:tcW w:w="1119"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val="0"/>
                <w:bCs w:val="0"/>
                <w:snapToGrid w:val="0"/>
                <w:color w:val="auto"/>
                <w:spacing w:val="7"/>
                <w:kern w:val="0"/>
                <w:sz w:val="21"/>
                <w:szCs w:val="21"/>
                <w:highlight w:val="none"/>
                <w:vertAlign w:val="baseline"/>
                <w:lang w:val="en-US" w:eastAsia="zh-CN" w:bidi="ar-SA"/>
              </w:rPr>
            </w:pPr>
            <w:r>
              <w:rPr>
                <w:rFonts w:hint="eastAsia" w:ascii="宋体" w:hAnsi="宋体" w:eastAsia="宋体" w:cs="宋体"/>
                <w:b w:val="0"/>
                <w:bCs w:val="0"/>
                <w:snapToGrid w:val="0"/>
                <w:color w:val="auto"/>
                <w:spacing w:val="7"/>
                <w:kern w:val="0"/>
                <w:sz w:val="21"/>
                <w:szCs w:val="21"/>
                <w:highlight w:val="none"/>
                <w:vertAlign w:val="baseline"/>
                <w:lang w:val="en-US" w:eastAsia="zh-CN" w:bidi="ar-SA"/>
              </w:rPr>
              <w:t>办公通用物资</w:t>
            </w:r>
          </w:p>
        </w:tc>
        <w:tc>
          <w:tcPr>
            <w:tcW w:w="1350"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val="0"/>
                <w:bCs w:val="0"/>
                <w:snapToGrid w:val="0"/>
                <w:color w:val="auto"/>
                <w:spacing w:val="7"/>
                <w:kern w:val="0"/>
                <w:sz w:val="21"/>
                <w:szCs w:val="21"/>
                <w:highlight w:val="none"/>
                <w:vertAlign w:val="baseline"/>
                <w:lang w:val="en-US" w:eastAsia="zh-CN" w:bidi="ar-SA"/>
              </w:rPr>
            </w:pPr>
            <w:r>
              <w:rPr>
                <w:rFonts w:hint="eastAsia" w:ascii="宋体" w:hAnsi="宋体" w:eastAsia="宋体" w:cs="宋体"/>
                <w:b w:val="0"/>
                <w:bCs w:val="0"/>
                <w:snapToGrid w:val="0"/>
                <w:color w:val="auto"/>
                <w:spacing w:val="7"/>
                <w:kern w:val="0"/>
                <w:sz w:val="21"/>
                <w:szCs w:val="21"/>
                <w:highlight w:val="none"/>
                <w:vertAlign w:val="baseline"/>
                <w:lang w:val="en-US" w:eastAsia="zh-CN" w:bidi="ar-SA"/>
              </w:rPr>
              <w:t>全国企业采购交易询价系统</w:t>
            </w:r>
          </w:p>
        </w:tc>
        <w:tc>
          <w:tcPr>
            <w:tcW w:w="2150"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default" w:ascii="宋体" w:hAnsi="宋体" w:eastAsia="宋体" w:cs="宋体"/>
                <w:b w:val="0"/>
                <w:bCs w:val="0"/>
                <w:snapToGrid w:val="0"/>
                <w:color w:val="auto"/>
                <w:spacing w:val="7"/>
                <w:kern w:val="0"/>
                <w:sz w:val="21"/>
                <w:szCs w:val="21"/>
                <w:highlight w:val="none"/>
                <w:vertAlign w:val="baseline"/>
                <w:lang w:val="en-US" w:eastAsia="zh-CN" w:bidi="ar-SA"/>
              </w:rPr>
            </w:pPr>
            <w:r>
              <w:rPr>
                <w:rFonts w:hint="eastAsia" w:ascii="宋体" w:hAnsi="宋体" w:eastAsia="宋体" w:cs="宋体"/>
                <w:b w:val="0"/>
                <w:bCs w:val="0"/>
                <w:snapToGrid w:val="0"/>
                <w:color w:val="auto"/>
                <w:spacing w:val="7"/>
                <w:kern w:val="0"/>
                <w:sz w:val="21"/>
                <w:szCs w:val="21"/>
                <w:highlight w:val="none"/>
                <w:vertAlign w:val="baseline"/>
                <w:lang w:val="en-US" w:eastAsia="zh-CN" w:bidi="ar-SA"/>
              </w:rPr>
              <w:t>/</w:t>
            </w:r>
          </w:p>
        </w:tc>
        <w:tc>
          <w:tcPr>
            <w:tcW w:w="1355" w:type="dxa"/>
            <w:vMerge w:val="continue"/>
            <w:vAlign w:val="center"/>
          </w:tcPr>
          <w:p>
            <w:pPr>
              <w:keepNext w:val="0"/>
              <w:keepLines w:val="0"/>
              <w:pageBreakBefore w:val="0"/>
              <w:widowControl w:val="0"/>
              <w:kinsoku/>
              <w:wordWrap/>
              <w:overflowPunct/>
              <w:topLinePunct w:val="0"/>
              <w:autoSpaceDE/>
              <w:autoSpaceDN/>
              <w:bidi w:val="0"/>
              <w:adjustRightInd/>
              <w:snapToGrid/>
              <w:spacing w:line="300" w:lineRule="auto"/>
              <w:jc w:val="both"/>
              <w:textAlignment w:val="auto"/>
              <w:outlineLvl w:val="9"/>
              <w:rPr>
                <w:rFonts w:hint="eastAsia" w:ascii="宋体" w:hAnsi="宋体" w:eastAsia="宋体" w:cs="宋体"/>
                <w:b w:val="0"/>
                <w:bCs w:val="0"/>
                <w:snapToGrid w:val="0"/>
                <w:color w:val="auto"/>
                <w:spacing w:val="7"/>
                <w:kern w:val="0"/>
                <w:sz w:val="21"/>
                <w:szCs w:val="21"/>
                <w:highlight w:val="none"/>
                <w:vertAlign w:val="baseline"/>
                <w:lang w:val="en-US" w:eastAsia="zh-CN" w:bidi="ar-SA"/>
              </w:rPr>
            </w:pPr>
          </w:p>
        </w:tc>
        <w:tc>
          <w:tcPr>
            <w:tcW w:w="2578" w:type="dxa"/>
            <w:vMerge w:val="continue"/>
            <w:vAlign w:val="center"/>
          </w:tcPr>
          <w:p>
            <w:pPr>
              <w:keepNext w:val="0"/>
              <w:keepLines w:val="0"/>
              <w:pageBreakBefore w:val="0"/>
              <w:widowControl w:val="0"/>
              <w:kinsoku/>
              <w:wordWrap/>
              <w:overflowPunct/>
              <w:topLinePunct w:val="0"/>
              <w:autoSpaceDE/>
              <w:autoSpaceDN/>
              <w:bidi w:val="0"/>
              <w:adjustRightInd/>
              <w:snapToGrid/>
              <w:spacing w:line="300" w:lineRule="auto"/>
              <w:jc w:val="both"/>
              <w:textAlignment w:val="auto"/>
              <w:outlineLvl w:val="9"/>
              <w:rPr>
                <w:rFonts w:hint="eastAsia" w:ascii="宋体" w:hAnsi="宋体" w:eastAsia="宋体" w:cs="宋体"/>
                <w:b w:val="0"/>
                <w:bCs w:val="0"/>
                <w:snapToGrid w:val="0"/>
                <w:color w:val="auto"/>
                <w:spacing w:val="7"/>
                <w:kern w:val="0"/>
                <w:sz w:val="21"/>
                <w:szCs w:val="21"/>
                <w:highlight w:val="none"/>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rPr>
        <w:tc>
          <w:tcPr>
            <w:tcW w:w="1119"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val="0"/>
                <w:bCs w:val="0"/>
                <w:snapToGrid w:val="0"/>
                <w:color w:val="auto"/>
                <w:spacing w:val="7"/>
                <w:kern w:val="0"/>
                <w:sz w:val="21"/>
                <w:szCs w:val="21"/>
                <w:highlight w:val="none"/>
                <w:vertAlign w:val="baseline"/>
                <w:lang w:val="en-US" w:eastAsia="zh-CN" w:bidi="ar-SA"/>
              </w:rPr>
            </w:pPr>
            <w:r>
              <w:rPr>
                <w:rFonts w:hint="eastAsia" w:ascii="宋体" w:hAnsi="宋体" w:eastAsia="宋体" w:cs="宋体"/>
                <w:b w:val="0"/>
                <w:bCs w:val="0"/>
                <w:snapToGrid w:val="0"/>
                <w:color w:val="auto"/>
                <w:spacing w:val="7"/>
                <w:kern w:val="0"/>
                <w:sz w:val="21"/>
                <w:szCs w:val="21"/>
                <w:highlight w:val="none"/>
                <w:vertAlign w:val="baseline"/>
                <w:lang w:val="en-US" w:eastAsia="zh-CN" w:bidi="ar-SA"/>
              </w:rPr>
              <w:t>MRO工业品</w:t>
            </w:r>
          </w:p>
        </w:tc>
        <w:tc>
          <w:tcPr>
            <w:tcW w:w="1350"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default" w:ascii="宋体" w:hAnsi="宋体" w:eastAsia="宋体" w:cs="宋体"/>
                <w:b w:val="0"/>
                <w:bCs w:val="0"/>
                <w:snapToGrid w:val="0"/>
                <w:color w:val="auto"/>
                <w:spacing w:val="7"/>
                <w:kern w:val="0"/>
                <w:sz w:val="21"/>
                <w:szCs w:val="21"/>
                <w:highlight w:val="none"/>
                <w:vertAlign w:val="baseline"/>
                <w:lang w:val="en-US" w:eastAsia="zh-CN" w:bidi="ar-SA"/>
              </w:rPr>
            </w:pPr>
            <w:r>
              <w:rPr>
                <w:rFonts w:hint="eastAsia" w:ascii="宋体" w:hAnsi="宋体" w:eastAsia="宋体" w:cs="宋体"/>
                <w:b w:val="0"/>
                <w:bCs w:val="0"/>
                <w:snapToGrid w:val="0"/>
                <w:color w:val="auto"/>
                <w:spacing w:val="7"/>
                <w:kern w:val="0"/>
                <w:sz w:val="21"/>
                <w:szCs w:val="21"/>
                <w:highlight w:val="none"/>
                <w:vertAlign w:val="baseline"/>
                <w:lang w:val="en-US" w:eastAsia="zh-CN" w:bidi="ar-SA"/>
              </w:rPr>
              <w:t>京东</w:t>
            </w:r>
          </w:p>
        </w:tc>
        <w:tc>
          <w:tcPr>
            <w:tcW w:w="2150"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default" w:ascii="宋体" w:hAnsi="宋体" w:eastAsia="宋体" w:cs="宋体"/>
                <w:b w:val="0"/>
                <w:bCs w:val="0"/>
                <w:snapToGrid w:val="0"/>
                <w:color w:val="auto"/>
                <w:spacing w:val="7"/>
                <w:kern w:val="0"/>
                <w:sz w:val="21"/>
                <w:szCs w:val="21"/>
                <w:highlight w:val="none"/>
                <w:vertAlign w:val="baseline"/>
                <w:lang w:val="en-US" w:eastAsia="zh-CN" w:bidi="ar-SA"/>
              </w:rPr>
            </w:pPr>
            <w:r>
              <w:rPr>
                <w:rFonts w:hint="eastAsia" w:ascii="宋体" w:hAnsi="宋体" w:eastAsia="宋体" w:cs="宋体"/>
                <w:b w:val="0"/>
                <w:bCs w:val="0"/>
                <w:snapToGrid w:val="0"/>
                <w:color w:val="auto"/>
                <w:spacing w:val="7"/>
                <w:kern w:val="0"/>
                <w:sz w:val="21"/>
                <w:szCs w:val="21"/>
                <w:highlight w:val="none"/>
                <w:vertAlign w:val="baseline"/>
                <w:lang w:val="en-US" w:eastAsia="zh-CN" w:bidi="ar-SA"/>
              </w:rPr>
              <w:t>自营店、旗舰店、专卖店</w:t>
            </w:r>
          </w:p>
        </w:tc>
        <w:tc>
          <w:tcPr>
            <w:tcW w:w="1355"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val="0"/>
                <w:bCs w:val="0"/>
                <w:snapToGrid w:val="0"/>
                <w:color w:val="auto"/>
                <w:spacing w:val="7"/>
                <w:kern w:val="0"/>
                <w:sz w:val="21"/>
                <w:szCs w:val="21"/>
                <w:highlight w:val="none"/>
                <w:vertAlign w:val="baseline"/>
                <w:lang w:val="en-US" w:eastAsia="zh-CN" w:bidi="ar-SA"/>
              </w:rPr>
            </w:pPr>
            <w:r>
              <w:rPr>
                <w:rFonts w:hint="eastAsia" w:ascii="宋体" w:hAnsi="宋体" w:eastAsia="宋体" w:cs="宋体"/>
                <w:b w:val="0"/>
                <w:bCs w:val="0"/>
                <w:snapToGrid w:val="0"/>
                <w:color w:val="auto"/>
                <w:spacing w:val="7"/>
                <w:kern w:val="0"/>
                <w:sz w:val="21"/>
                <w:szCs w:val="21"/>
                <w:highlight w:val="none"/>
                <w:vertAlign w:val="baseline"/>
                <w:lang w:val="en-US" w:eastAsia="zh-CN" w:bidi="ar-SA"/>
              </w:rPr>
              <w:t>至少包含1条自营店（含西域和震坤行）或旗舰店参考链接。</w:t>
            </w:r>
          </w:p>
        </w:tc>
        <w:tc>
          <w:tcPr>
            <w:tcW w:w="2578"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val="0"/>
                <w:bCs w:val="0"/>
                <w:snapToGrid w:val="0"/>
                <w:color w:val="auto"/>
                <w:spacing w:val="7"/>
                <w:kern w:val="0"/>
                <w:sz w:val="21"/>
                <w:szCs w:val="21"/>
                <w:highlight w:val="none"/>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1119"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val="0"/>
                <w:bCs w:val="0"/>
                <w:snapToGrid w:val="0"/>
                <w:color w:val="auto"/>
                <w:spacing w:val="7"/>
                <w:kern w:val="0"/>
                <w:sz w:val="21"/>
                <w:szCs w:val="21"/>
                <w:highlight w:val="none"/>
                <w:vertAlign w:val="baseline"/>
                <w:lang w:val="en-US" w:eastAsia="zh-CN" w:bidi="ar-SA"/>
              </w:rPr>
            </w:pPr>
            <w:r>
              <w:rPr>
                <w:rFonts w:hint="eastAsia" w:ascii="宋体" w:hAnsi="宋体" w:eastAsia="宋体" w:cs="宋体"/>
                <w:b w:val="0"/>
                <w:bCs w:val="0"/>
                <w:snapToGrid w:val="0"/>
                <w:color w:val="auto"/>
                <w:spacing w:val="7"/>
                <w:kern w:val="0"/>
                <w:sz w:val="21"/>
                <w:szCs w:val="21"/>
                <w:highlight w:val="none"/>
                <w:vertAlign w:val="baseline"/>
                <w:lang w:val="en-US" w:eastAsia="zh-CN" w:bidi="ar-SA"/>
              </w:rPr>
              <w:t>MRO工业品</w:t>
            </w:r>
          </w:p>
        </w:tc>
        <w:tc>
          <w:tcPr>
            <w:tcW w:w="1350"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val="0"/>
                <w:bCs w:val="0"/>
                <w:snapToGrid w:val="0"/>
                <w:color w:val="auto"/>
                <w:spacing w:val="7"/>
                <w:kern w:val="0"/>
                <w:sz w:val="21"/>
                <w:szCs w:val="21"/>
                <w:highlight w:val="none"/>
                <w:vertAlign w:val="baseline"/>
                <w:lang w:val="en-US" w:eastAsia="zh-CN" w:bidi="ar-SA"/>
              </w:rPr>
            </w:pPr>
            <w:r>
              <w:rPr>
                <w:rFonts w:hint="eastAsia" w:ascii="宋体" w:hAnsi="宋体" w:eastAsia="宋体" w:cs="宋体"/>
                <w:b w:val="0"/>
                <w:bCs w:val="0"/>
                <w:snapToGrid w:val="0"/>
                <w:color w:val="auto"/>
                <w:spacing w:val="7"/>
                <w:kern w:val="0"/>
                <w:sz w:val="21"/>
                <w:szCs w:val="21"/>
                <w:highlight w:val="none"/>
                <w:vertAlign w:val="baseline"/>
                <w:lang w:val="en-US" w:eastAsia="zh-CN" w:bidi="ar-SA"/>
              </w:rPr>
              <w:t>西域</w:t>
            </w:r>
          </w:p>
        </w:tc>
        <w:tc>
          <w:tcPr>
            <w:tcW w:w="2150"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default" w:ascii="宋体" w:hAnsi="宋体" w:eastAsia="宋体" w:cs="宋体"/>
                <w:b w:val="0"/>
                <w:bCs w:val="0"/>
                <w:snapToGrid w:val="0"/>
                <w:color w:val="auto"/>
                <w:spacing w:val="7"/>
                <w:kern w:val="0"/>
                <w:sz w:val="21"/>
                <w:szCs w:val="21"/>
                <w:highlight w:val="none"/>
                <w:vertAlign w:val="baseline"/>
                <w:lang w:val="en-US" w:eastAsia="zh-CN" w:bidi="ar-SA"/>
              </w:rPr>
            </w:pPr>
            <w:r>
              <w:rPr>
                <w:rFonts w:hint="eastAsia" w:ascii="宋体" w:hAnsi="宋体" w:eastAsia="宋体" w:cs="宋体"/>
                <w:b w:val="0"/>
                <w:bCs w:val="0"/>
                <w:snapToGrid w:val="0"/>
                <w:color w:val="auto"/>
                <w:spacing w:val="7"/>
                <w:kern w:val="0"/>
                <w:sz w:val="21"/>
                <w:szCs w:val="21"/>
                <w:highlight w:val="none"/>
                <w:vertAlign w:val="baseline"/>
                <w:lang w:val="en-US" w:eastAsia="zh-CN" w:bidi="ar-SA"/>
              </w:rPr>
              <w:t>/</w:t>
            </w:r>
          </w:p>
        </w:tc>
        <w:tc>
          <w:tcPr>
            <w:tcW w:w="1355"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val="0"/>
                <w:bCs w:val="0"/>
                <w:snapToGrid w:val="0"/>
                <w:color w:val="auto"/>
                <w:spacing w:val="7"/>
                <w:kern w:val="0"/>
                <w:sz w:val="21"/>
                <w:szCs w:val="21"/>
                <w:highlight w:val="none"/>
                <w:vertAlign w:val="baseline"/>
                <w:lang w:val="en-US" w:eastAsia="zh-CN" w:bidi="ar-SA"/>
              </w:rPr>
            </w:pPr>
          </w:p>
        </w:tc>
        <w:tc>
          <w:tcPr>
            <w:tcW w:w="2578"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val="0"/>
                <w:bCs w:val="0"/>
                <w:snapToGrid w:val="0"/>
                <w:color w:val="auto"/>
                <w:spacing w:val="7"/>
                <w:kern w:val="0"/>
                <w:sz w:val="21"/>
                <w:szCs w:val="21"/>
                <w:highlight w:val="none"/>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1119"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val="0"/>
                <w:bCs w:val="0"/>
                <w:snapToGrid w:val="0"/>
                <w:color w:val="auto"/>
                <w:spacing w:val="7"/>
                <w:kern w:val="0"/>
                <w:sz w:val="21"/>
                <w:szCs w:val="21"/>
                <w:highlight w:val="none"/>
                <w:vertAlign w:val="baseline"/>
                <w:lang w:val="en-US" w:eastAsia="zh-CN" w:bidi="ar-SA"/>
              </w:rPr>
            </w:pPr>
            <w:r>
              <w:rPr>
                <w:rFonts w:hint="eastAsia" w:ascii="宋体" w:hAnsi="宋体" w:eastAsia="宋体" w:cs="宋体"/>
                <w:b w:val="0"/>
                <w:bCs w:val="0"/>
                <w:snapToGrid w:val="0"/>
                <w:color w:val="auto"/>
                <w:spacing w:val="7"/>
                <w:kern w:val="0"/>
                <w:sz w:val="21"/>
                <w:szCs w:val="21"/>
                <w:highlight w:val="none"/>
                <w:vertAlign w:val="baseline"/>
                <w:lang w:val="en-US" w:eastAsia="zh-CN" w:bidi="ar-SA"/>
              </w:rPr>
              <w:t>MRO工业品</w:t>
            </w:r>
          </w:p>
        </w:tc>
        <w:tc>
          <w:tcPr>
            <w:tcW w:w="1350"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val="0"/>
                <w:bCs w:val="0"/>
                <w:snapToGrid w:val="0"/>
                <w:color w:val="auto"/>
                <w:spacing w:val="7"/>
                <w:kern w:val="0"/>
                <w:sz w:val="21"/>
                <w:szCs w:val="21"/>
                <w:highlight w:val="none"/>
                <w:vertAlign w:val="baseline"/>
                <w:lang w:val="en-US" w:eastAsia="zh-CN" w:bidi="ar-SA"/>
              </w:rPr>
            </w:pPr>
            <w:r>
              <w:rPr>
                <w:rFonts w:hint="eastAsia" w:ascii="宋体" w:hAnsi="宋体" w:eastAsia="宋体" w:cs="宋体"/>
                <w:b w:val="0"/>
                <w:bCs w:val="0"/>
                <w:snapToGrid w:val="0"/>
                <w:color w:val="auto"/>
                <w:spacing w:val="7"/>
                <w:kern w:val="0"/>
                <w:sz w:val="21"/>
                <w:szCs w:val="21"/>
                <w:highlight w:val="none"/>
                <w:vertAlign w:val="baseline"/>
                <w:lang w:val="en-US" w:eastAsia="zh-CN" w:bidi="ar-SA"/>
              </w:rPr>
              <w:t>震坤行</w:t>
            </w:r>
          </w:p>
        </w:tc>
        <w:tc>
          <w:tcPr>
            <w:tcW w:w="2150"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default" w:ascii="宋体" w:hAnsi="宋体" w:eastAsia="宋体" w:cs="宋体"/>
                <w:b w:val="0"/>
                <w:bCs w:val="0"/>
                <w:snapToGrid w:val="0"/>
                <w:color w:val="auto"/>
                <w:spacing w:val="7"/>
                <w:kern w:val="0"/>
                <w:sz w:val="21"/>
                <w:szCs w:val="21"/>
                <w:highlight w:val="none"/>
                <w:vertAlign w:val="baseline"/>
                <w:lang w:val="en-US" w:eastAsia="zh-CN" w:bidi="ar-SA"/>
              </w:rPr>
            </w:pPr>
            <w:r>
              <w:rPr>
                <w:rFonts w:hint="eastAsia" w:ascii="宋体" w:hAnsi="宋体" w:eastAsia="宋体" w:cs="宋体"/>
                <w:b w:val="0"/>
                <w:bCs w:val="0"/>
                <w:snapToGrid w:val="0"/>
                <w:color w:val="auto"/>
                <w:spacing w:val="7"/>
                <w:kern w:val="0"/>
                <w:sz w:val="21"/>
                <w:szCs w:val="21"/>
                <w:highlight w:val="none"/>
                <w:vertAlign w:val="baseline"/>
                <w:lang w:val="en-US" w:eastAsia="zh-CN" w:bidi="ar-SA"/>
              </w:rPr>
              <w:t>/</w:t>
            </w:r>
          </w:p>
        </w:tc>
        <w:tc>
          <w:tcPr>
            <w:tcW w:w="1355"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val="0"/>
                <w:bCs w:val="0"/>
                <w:snapToGrid w:val="0"/>
                <w:color w:val="auto"/>
                <w:spacing w:val="7"/>
                <w:kern w:val="0"/>
                <w:sz w:val="21"/>
                <w:szCs w:val="21"/>
                <w:highlight w:val="none"/>
                <w:vertAlign w:val="baseline"/>
                <w:lang w:val="en-US" w:eastAsia="zh-CN" w:bidi="ar-SA"/>
              </w:rPr>
            </w:pPr>
          </w:p>
        </w:tc>
        <w:tc>
          <w:tcPr>
            <w:tcW w:w="2578"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val="0"/>
                <w:bCs w:val="0"/>
                <w:snapToGrid w:val="0"/>
                <w:color w:val="auto"/>
                <w:spacing w:val="7"/>
                <w:kern w:val="0"/>
                <w:sz w:val="21"/>
                <w:szCs w:val="21"/>
                <w:highlight w:val="none"/>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1119"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val="0"/>
                <w:bCs w:val="0"/>
                <w:snapToGrid w:val="0"/>
                <w:color w:val="auto"/>
                <w:spacing w:val="7"/>
                <w:kern w:val="0"/>
                <w:sz w:val="21"/>
                <w:szCs w:val="21"/>
                <w:highlight w:val="none"/>
                <w:vertAlign w:val="baseline"/>
                <w:lang w:val="en-US" w:eastAsia="zh-CN" w:bidi="ar-SA"/>
              </w:rPr>
            </w:pPr>
            <w:r>
              <w:rPr>
                <w:rFonts w:hint="eastAsia" w:ascii="宋体" w:hAnsi="宋体" w:eastAsia="宋体" w:cs="宋体"/>
                <w:b w:val="0"/>
                <w:bCs w:val="0"/>
                <w:snapToGrid w:val="0"/>
                <w:color w:val="auto"/>
                <w:spacing w:val="7"/>
                <w:kern w:val="0"/>
                <w:sz w:val="21"/>
                <w:szCs w:val="21"/>
                <w:highlight w:val="none"/>
                <w:vertAlign w:val="baseline"/>
                <w:lang w:val="en-US" w:eastAsia="zh-CN" w:bidi="ar-SA"/>
              </w:rPr>
              <w:t>MRO工业品</w:t>
            </w:r>
          </w:p>
        </w:tc>
        <w:tc>
          <w:tcPr>
            <w:tcW w:w="1350"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val="0"/>
                <w:bCs w:val="0"/>
                <w:snapToGrid w:val="0"/>
                <w:color w:val="auto"/>
                <w:spacing w:val="7"/>
                <w:kern w:val="0"/>
                <w:sz w:val="21"/>
                <w:szCs w:val="21"/>
                <w:highlight w:val="none"/>
                <w:vertAlign w:val="baseline"/>
                <w:lang w:val="en-US" w:eastAsia="zh-CN" w:bidi="ar-SA"/>
              </w:rPr>
            </w:pPr>
            <w:r>
              <w:rPr>
                <w:rFonts w:hint="eastAsia" w:ascii="宋体" w:hAnsi="宋体" w:eastAsia="宋体" w:cs="宋体"/>
                <w:b w:val="0"/>
                <w:bCs w:val="0"/>
                <w:snapToGrid w:val="0"/>
                <w:color w:val="auto"/>
                <w:spacing w:val="7"/>
                <w:kern w:val="0"/>
                <w:sz w:val="21"/>
                <w:szCs w:val="21"/>
                <w:highlight w:val="none"/>
                <w:vertAlign w:val="baseline"/>
                <w:lang w:val="en-US" w:eastAsia="zh-CN" w:bidi="ar-SA"/>
              </w:rPr>
              <w:t>天猫</w:t>
            </w:r>
          </w:p>
        </w:tc>
        <w:tc>
          <w:tcPr>
            <w:tcW w:w="2150"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val="0"/>
                <w:bCs w:val="0"/>
                <w:snapToGrid w:val="0"/>
                <w:color w:val="auto"/>
                <w:spacing w:val="7"/>
                <w:kern w:val="0"/>
                <w:sz w:val="21"/>
                <w:szCs w:val="21"/>
                <w:highlight w:val="none"/>
                <w:vertAlign w:val="baseline"/>
                <w:lang w:val="en-US" w:eastAsia="zh-CN" w:bidi="ar-SA"/>
              </w:rPr>
            </w:pPr>
            <w:r>
              <w:rPr>
                <w:rFonts w:hint="eastAsia" w:ascii="宋体" w:hAnsi="宋体" w:eastAsia="宋体" w:cs="宋体"/>
                <w:b w:val="0"/>
                <w:bCs w:val="0"/>
                <w:snapToGrid w:val="0"/>
                <w:color w:val="auto"/>
                <w:spacing w:val="7"/>
                <w:kern w:val="0"/>
                <w:sz w:val="21"/>
                <w:szCs w:val="21"/>
                <w:highlight w:val="none"/>
                <w:vertAlign w:val="baseline"/>
                <w:lang w:val="en-US" w:eastAsia="zh-CN" w:bidi="ar-SA"/>
              </w:rPr>
              <w:t>旗舰店、专卖店</w:t>
            </w:r>
          </w:p>
        </w:tc>
        <w:tc>
          <w:tcPr>
            <w:tcW w:w="1355"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val="0"/>
                <w:bCs w:val="0"/>
                <w:snapToGrid w:val="0"/>
                <w:color w:val="auto"/>
                <w:spacing w:val="7"/>
                <w:kern w:val="0"/>
                <w:sz w:val="21"/>
                <w:szCs w:val="21"/>
                <w:highlight w:val="none"/>
                <w:vertAlign w:val="baseline"/>
                <w:lang w:val="en-US" w:eastAsia="zh-CN" w:bidi="ar-SA"/>
              </w:rPr>
            </w:pPr>
          </w:p>
        </w:tc>
        <w:tc>
          <w:tcPr>
            <w:tcW w:w="2578"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val="0"/>
                <w:bCs w:val="0"/>
                <w:snapToGrid w:val="0"/>
                <w:color w:val="auto"/>
                <w:spacing w:val="7"/>
                <w:kern w:val="0"/>
                <w:sz w:val="21"/>
                <w:szCs w:val="21"/>
                <w:highlight w:val="none"/>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9"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val="0"/>
                <w:bCs w:val="0"/>
                <w:snapToGrid w:val="0"/>
                <w:color w:val="auto"/>
                <w:spacing w:val="7"/>
                <w:kern w:val="0"/>
                <w:sz w:val="21"/>
                <w:szCs w:val="21"/>
                <w:highlight w:val="none"/>
                <w:vertAlign w:val="baseline"/>
                <w:lang w:val="en-US" w:eastAsia="zh-CN" w:bidi="ar-SA"/>
              </w:rPr>
            </w:pPr>
            <w:r>
              <w:rPr>
                <w:rFonts w:hint="eastAsia" w:ascii="宋体" w:hAnsi="宋体" w:eastAsia="宋体" w:cs="宋体"/>
                <w:b w:val="0"/>
                <w:bCs w:val="0"/>
                <w:snapToGrid w:val="0"/>
                <w:color w:val="auto"/>
                <w:spacing w:val="7"/>
                <w:kern w:val="0"/>
                <w:sz w:val="21"/>
                <w:szCs w:val="21"/>
                <w:highlight w:val="none"/>
                <w:vertAlign w:val="baseline"/>
                <w:lang w:val="en-US" w:eastAsia="zh-CN" w:bidi="ar-SA"/>
              </w:rPr>
              <w:t>MRO工业品</w:t>
            </w:r>
          </w:p>
        </w:tc>
        <w:tc>
          <w:tcPr>
            <w:tcW w:w="1350"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val="0"/>
                <w:bCs w:val="0"/>
                <w:snapToGrid w:val="0"/>
                <w:color w:val="auto"/>
                <w:spacing w:val="7"/>
                <w:kern w:val="0"/>
                <w:sz w:val="21"/>
                <w:szCs w:val="21"/>
                <w:highlight w:val="none"/>
                <w:vertAlign w:val="baseline"/>
                <w:lang w:val="en-US" w:eastAsia="zh-CN" w:bidi="ar-SA"/>
              </w:rPr>
            </w:pPr>
            <w:r>
              <w:rPr>
                <w:rFonts w:hint="eastAsia" w:ascii="宋体" w:hAnsi="宋体" w:eastAsia="宋体" w:cs="宋体"/>
                <w:b w:val="0"/>
                <w:bCs w:val="0"/>
                <w:snapToGrid w:val="0"/>
                <w:color w:val="auto"/>
                <w:spacing w:val="7"/>
                <w:kern w:val="0"/>
                <w:sz w:val="21"/>
                <w:szCs w:val="21"/>
                <w:highlight w:val="none"/>
                <w:vertAlign w:val="baseline"/>
                <w:lang w:val="en-US" w:eastAsia="zh-CN" w:bidi="ar-SA"/>
              </w:rPr>
              <w:t>全国企业采购交易询价系统</w:t>
            </w:r>
          </w:p>
        </w:tc>
        <w:tc>
          <w:tcPr>
            <w:tcW w:w="2150"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default" w:ascii="宋体" w:hAnsi="宋体" w:eastAsia="宋体" w:cs="宋体"/>
                <w:b w:val="0"/>
                <w:bCs w:val="0"/>
                <w:snapToGrid w:val="0"/>
                <w:color w:val="auto"/>
                <w:spacing w:val="7"/>
                <w:kern w:val="0"/>
                <w:sz w:val="21"/>
                <w:szCs w:val="21"/>
                <w:highlight w:val="none"/>
                <w:vertAlign w:val="baseline"/>
                <w:lang w:val="en-US" w:eastAsia="zh-CN" w:bidi="ar-SA"/>
              </w:rPr>
            </w:pPr>
            <w:r>
              <w:rPr>
                <w:rFonts w:hint="eastAsia" w:ascii="宋体" w:hAnsi="宋体" w:eastAsia="宋体" w:cs="宋体"/>
                <w:b w:val="0"/>
                <w:bCs w:val="0"/>
                <w:snapToGrid w:val="0"/>
                <w:color w:val="auto"/>
                <w:spacing w:val="7"/>
                <w:kern w:val="0"/>
                <w:sz w:val="21"/>
                <w:szCs w:val="21"/>
                <w:highlight w:val="none"/>
                <w:vertAlign w:val="baseline"/>
                <w:lang w:val="en-US" w:eastAsia="zh-CN" w:bidi="ar-SA"/>
              </w:rPr>
              <w:t>/</w:t>
            </w:r>
          </w:p>
        </w:tc>
        <w:tc>
          <w:tcPr>
            <w:tcW w:w="1355"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val="0"/>
                <w:bCs w:val="0"/>
                <w:snapToGrid w:val="0"/>
                <w:color w:val="auto"/>
                <w:spacing w:val="7"/>
                <w:kern w:val="0"/>
                <w:sz w:val="21"/>
                <w:szCs w:val="21"/>
                <w:highlight w:val="none"/>
                <w:vertAlign w:val="baseline"/>
                <w:lang w:val="en-US" w:eastAsia="zh-CN" w:bidi="ar-SA"/>
              </w:rPr>
            </w:pPr>
          </w:p>
        </w:tc>
        <w:tc>
          <w:tcPr>
            <w:tcW w:w="2578"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val="0"/>
                <w:bCs w:val="0"/>
                <w:snapToGrid w:val="0"/>
                <w:color w:val="auto"/>
                <w:spacing w:val="7"/>
                <w:kern w:val="0"/>
                <w:sz w:val="21"/>
                <w:szCs w:val="21"/>
                <w:highlight w:val="none"/>
                <w:vertAlign w:val="baseline"/>
                <w:lang w:val="en-US" w:eastAsia="zh-CN" w:bidi="ar-SA"/>
              </w:rPr>
            </w:pPr>
          </w:p>
        </w:tc>
      </w:tr>
    </w:tbl>
    <w:p>
      <w:pPr>
        <w:keepNext w:val="0"/>
        <w:keepLines w:val="0"/>
        <w:pageBreakBefore w:val="0"/>
        <w:widowControl w:val="0"/>
        <w:kinsoku/>
        <w:wordWrap/>
        <w:overflowPunct/>
        <w:topLinePunct w:val="0"/>
        <w:autoSpaceDE/>
        <w:autoSpaceDN/>
        <w:bidi w:val="0"/>
        <w:adjustRightInd/>
        <w:snapToGrid/>
        <w:spacing w:line="560" w:lineRule="exact"/>
        <w:ind w:firstLine="668" w:firstLineChars="200"/>
        <w:jc w:val="both"/>
        <w:textAlignment w:val="auto"/>
        <w:outlineLvl w:val="9"/>
        <w:rPr>
          <w:rFonts w:hint="default" w:ascii="仿宋_GB2312" w:hAnsi="仿宋_GB2312" w:eastAsia="仿宋_GB2312" w:cs="仿宋_GB2312"/>
          <w:b w:val="0"/>
          <w:bCs w:val="0"/>
          <w:snapToGrid w:val="0"/>
          <w:color w:val="auto"/>
          <w:spacing w:val="7"/>
          <w:kern w:val="0"/>
          <w:sz w:val="32"/>
          <w:szCs w:val="32"/>
          <w:highlight w:val="none"/>
          <w:lang w:val="en-US" w:eastAsia="zh-CN" w:bidi="ar-SA"/>
        </w:rPr>
      </w:pPr>
      <w:r>
        <w:rPr>
          <w:rFonts w:hint="eastAsia" w:ascii="仿宋_GB2312" w:hAnsi="仿宋_GB2312" w:eastAsia="仿宋_GB2312" w:cs="仿宋_GB2312"/>
          <w:b w:val="0"/>
          <w:bCs w:val="0"/>
          <w:snapToGrid w:val="0"/>
          <w:color w:val="auto"/>
          <w:spacing w:val="7"/>
          <w:kern w:val="0"/>
          <w:sz w:val="32"/>
          <w:szCs w:val="32"/>
          <w:highlight w:val="none"/>
          <w:lang w:val="en-US" w:eastAsia="zh-CN" w:bidi="ar-SA"/>
        </w:rPr>
        <w:t>针对MRO试点品类中C端属性强的品类，商品参考链接仅有一条且该链接不展示销量/评价数的商品不予采纳。</w:t>
      </w:r>
    </w:p>
    <w:p>
      <w:pPr>
        <w:keepNext w:val="0"/>
        <w:keepLines w:val="0"/>
        <w:pageBreakBefore w:val="0"/>
        <w:widowControl w:val="0"/>
        <w:kinsoku/>
        <w:wordWrap/>
        <w:overflowPunct/>
        <w:topLinePunct w:val="0"/>
        <w:autoSpaceDE/>
        <w:autoSpaceDN/>
        <w:bidi w:val="0"/>
        <w:adjustRightInd/>
        <w:snapToGrid/>
        <w:spacing w:line="560" w:lineRule="exact"/>
        <w:ind w:firstLine="671" w:firstLineChars="200"/>
        <w:jc w:val="both"/>
        <w:textAlignment w:val="auto"/>
        <w:outlineLvl w:val="9"/>
        <w:rPr>
          <w:rFonts w:hint="eastAsia" w:ascii="宋体" w:hAnsi="宋体" w:eastAsia="宋体" w:cs="宋体"/>
          <w:b/>
          <w:bCs/>
          <w:snapToGrid w:val="0"/>
          <w:color w:val="FF0000"/>
          <w:spacing w:val="0"/>
          <w:kern w:val="0"/>
          <w:sz w:val="24"/>
          <w:szCs w:val="24"/>
          <w:highlight w:val="yellow"/>
          <w:lang w:val="en-US" w:eastAsia="zh-CN" w:bidi="ar-SA"/>
        </w:rPr>
      </w:pPr>
      <w:r>
        <w:rPr>
          <w:rFonts w:hint="eastAsia" w:ascii="仿宋_GB2312" w:hAnsi="仿宋_GB2312" w:eastAsia="仿宋_GB2312" w:cs="仿宋_GB2312"/>
          <w:b/>
          <w:bCs/>
          <w:snapToGrid w:val="0"/>
          <w:color w:val="auto"/>
          <w:spacing w:val="7"/>
          <w:kern w:val="0"/>
          <w:sz w:val="32"/>
          <w:szCs w:val="32"/>
          <w:lang w:val="en-US" w:eastAsia="zh-CN" w:bidi="ar-SA"/>
        </w:rPr>
        <w:t>（6）参考链接评价数审查（办公用品类）</w:t>
      </w:r>
      <w:r>
        <w:rPr>
          <w:rFonts w:hint="eastAsia" w:ascii="仿宋_GB2312" w:hAnsi="仿宋_GB2312" w:eastAsia="仿宋_GB2312" w:cs="仿宋_GB2312"/>
          <w:snapToGrid w:val="0"/>
          <w:color w:val="auto"/>
          <w:spacing w:val="7"/>
          <w:kern w:val="0"/>
          <w:sz w:val="32"/>
          <w:szCs w:val="32"/>
          <w:lang w:val="en-US" w:eastAsia="zh-CN" w:bidi="ar-SA"/>
        </w:rPr>
        <w:t>：商品参考链接应满足商品评价数量要求。对于京东平台的参考链接，取商品链接中的“当前商品”好评数作为商品评价数量；对于天猫平台的参考链接，取商品链接下仅有一个商品的链接评价作为商品评价数量，具有子母链接的商品不采纳。</w:t>
      </w:r>
    </w:p>
    <w:p>
      <w:pPr>
        <w:keepNext w:val="0"/>
        <w:keepLines w:val="0"/>
        <w:pageBreakBefore w:val="0"/>
        <w:widowControl w:val="0"/>
        <w:kinsoku/>
        <w:wordWrap/>
        <w:overflowPunct/>
        <w:topLinePunct w:val="0"/>
        <w:autoSpaceDE/>
        <w:autoSpaceDN/>
        <w:bidi w:val="0"/>
        <w:adjustRightInd/>
        <w:snapToGrid/>
        <w:spacing w:line="560" w:lineRule="exact"/>
        <w:ind w:firstLine="650" w:firstLineChars="200"/>
        <w:textAlignment w:val="auto"/>
        <w:outlineLvl w:val="2"/>
        <w:rPr>
          <w:rFonts w:hint="default" w:ascii="仿宋_GB2312" w:hAnsi="仿宋_GB2312" w:eastAsia="仿宋_GB2312" w:cs="仿宋_GB2312"/>
          <w:b/>
          <w:bCs/>
          <w:snapToGrid w:val="0"/>
          <w:color w:val="auto"/>
          <w:spacing w:val="7"/>
          <w:kern w:val="0"/>
          <w:sz w:val="31"/>
          <w:szCs w:val="31"/>
          <w:lang w:val="en-US" w:eastAsia="zh-CN" w:bidi="ar-SA"/>
        </w:rPr>
      </w:pPr>
      <w:r>
        <w:rPr>
          <w:rFonts w:hint="eastAsia" w:ascii="仿宋_GB2312" w:hAnsi="仿宋_GB2312" w:eastAsia="仿宋_GB2312" w:cs="仿宋_GB2312"/>
          <w:b/>
          <w:bCs/>
          <w:snapToGrid w:val="0"/>
          <w:color w:val="auto"/>
          <w:spacing w:val="7"/>
          <w:kern w:val="0"/>
          <w:sz w:val="31"/>
          <w:szCs w:val="31"/>
          <w:lang w:val="en-US" w:eastAsia="zh-CN" w:bidi="ar-SA"/>
        </w:rPr>
        <w:t>2.商品审核及优选规则</w:t>
      </w:r>
    </w:p>
    <w:p>
      <w:pPr>
        <w:keepNext w:val="0"/>
        <w:keepLines w:val="0"/>
        <w:pageBreakBefore w:val="0"/>
        <w:widowControl w:val="0"/>
        <w:kinsoku/>
        <w:wordWrap/>
        <w:overflowPunct/>
        <w:topLinePunct w:val="0"/>
        <w:autoSpaceDE/>
        <w:autoSpaceDN/>
        <w:bidi w:val="0"/>
        <w:adjustRightInd/>
        <w:snapToGrid/>
        <w:spacing w:after="0" w:afterLines="50" w:line="560" w:lineRule="exact"/>
        <w:ind w:firstLine="668" w:firstLineChars="200"/>
        <w:jc w:val="both"/>
        <w:textAlignment w:val="auto"/>
        <w:outlineLvl w:val="9"/>
        <w:rPr>
          <w:rFonts w:hint="eastAsia" w:ascii="仿宋_GB2312" w:hAnsi="仿宋_GB2312" w:eastAsia="仿宋_GB2312" w:cs="仿宋_GB2312"/>
          <w:snapToGrid w:val="0"/>
          <w:color w:val="auto"/>
          <w:spacing w:val="7"/>
          <w:kern w:val="0"/>
          <w:sz w:val="32"/>
          <w:szCs w:val="32"/>
          <w:lang w:val="en-US" w:eastAsia="zh-CN" w:bidi="ar-SA"/>
        </w:rPr>
      </w:pPr>
      <w:r>
        <w:rPr>
          <w:rFonts w:hint="eastAsia" w:ascii="仿宋_GB2312" w:hAnsi="仿宋_GB2312" w:eastAsia="仿宋_GB2312" w:cs="仿宋_GB2312"/>
          <w:snapToGrid w:val="0"/>
          <w:color w:val="auto"/>
          <w:spacing w:val="7"/>
          <w:kern w:val="0"/>
          <w:sz w:val="32"/>
          <w:szCs w:val="32"/>
          <w:lang w:val="en-US" w:eastAsia="zh-CN" w:bidi="ar-SA"/>
        </w:rPr>
        <w:t>通过商品评审的商品进入选品环节，选品规则如下：</w:t>
      </w:r>
    </w:p>
    <w:tbl>
      <w:tblPr>
        <w:tblStyle w:val="9"/>
        <w:tblW w:w="936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74"/>
        <w:gridCol w:w="641"/>
        <w:gridCol w:w="1269"/>
        <w:gridCol w:w="1485"/>
        <w:gridCol w:w="2513"/>
        <w:gridCol w:w="268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7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专区</w:t>
            </w:r>
          </w:p>
        </w:tc>
        <w:tc>
          <w:tcPr>
            <w:tcW w:w="6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品类分类</w:t>
            </w:r>
          </w:p>
        </w:tc>
        <w:tc>
          <w:tcPr>
            <w:tcW w:w="275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品牌管理</w:t>
            </w:r>
          </w:p>
        </w:tc>
        <w:tc>
          <w:tcPr>
            <w:tcW w:w="51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商品管理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2"/>
                <w:szCs w:val="22"/>
                <w:u w:val="none"/>
              </w:rPr>
            </w:pPr>
          </w:p>
        </w:tc>
        <w:tc>
          <w:tcPr>
            <w:tcW w:w="6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2"/>
                <w:szCs w:val="22"/>
                <w:u w:val="none"/>
              </w:rPr>
            </w:pPr>
          </w:p>
        </w:tc>
        <w:tc>
          <w:tcPr>
            <w:tcW w:w="12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品牌来源</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品牌审核</w:t>
            </w:r>
          </w:p>
        </w:tc>
        <w:tc>
          <w:tcPr>
            <w:tcW w:w="25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商品来源</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商品审核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774"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办公</w:t>
            </w:r>
          </w:p>
        </w:tc>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A类</w:t>
            </w:r>
          </w:p>
        </w:tc>
        <w:tc>
          <w:tcPr>
            <w:tcW w:w="126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按品类定期开放窗口：</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1.商城平台运营单位推荐；</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2.中标集货商推荐；</w:t>
            </w:r>
            <w:r>
              <w:rPr>
                <w:rFonts w:hint="eastAsia" w:ascii="宋体" w:hAnsi="宋体" w:eastAsia="宋体" w:cs="宋体"/>
                <w:i w:val="0"/>
                <w:iCs w:val="0"/>
                <w:snapToGrid w:val="0"/>
                <w:color w:val="000000"/>
                <w:kern w:val="0"/>
                <w:sz w:val="22"/>
                <w:szCs w:val="22"/>
                <w:u w:val="none"/>
                <w:lang w:val="en-US" w:eastAsia="zh-CN" w:bidi="ar"/>
              </w:rPr>
              <w:br w:type="textWrapping"/>
            </w:r>
            <w:r>
              <w:rPr>
                <w:rStyle w:val="19"/>
                <w:snapToGrid w:val="0"/>
                <w:color w:val="000000"/>
                <w:lang w:val="en-US" w:eastAsia="zh-CN" w:bidi="ar"/>
              </w:rPr>
              <w:t>3.</w:t>
            </w:r>
            <w:r>
              <w:rPr>
                <w:rStyle w:val="19"/>
                <w:snapToGrid w:val="0"/>
                <w:color w:val="auto"/>
                <w:lang w:val="en-US" w:eastAsia="zh-CN" w:bidi="ar"/>
              </w:rPr>
              <w:t>品牌方补充提报（如需）</w:t>
            </w:r>
            <w:r>
              <w:rPr>
                <w:rStyle w:val="19"/>
                <w:snapToGrid w:val="0"/>
                <w:color w:val="000000"/>
                <w:lang w:val="en-US" w:eastAsia="zh-CN" w:bidi="ar"/>
              </w:rPr>
              <w:t>。</w:t>
            </w:r>
          </w:p>
        </w:tc>
        <w:tc>
          <w:tcPr>
            <w:tcW w:w="14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1.品牌合规性审核；</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2.品牌评审；</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3.品牌优选；</w:t>
            </w:r>
          </w:p>
        </w:tc>
        <w:tc>
          <w:tcPr>
            <w:tcW w:w="251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1.商城平台运营单位根据外部热销情况自建为主；</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2.推荐商品不足的情况由中标集货商补充推荐；</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3.南网用户根据实际需求提出新增。</w:t>
            </w:r>
          </w:p>
        </w:tc>
        <w:tc>
          <w:tcPr>
            <w:tcW w:w="2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1.商品合规性审核；</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2.商品优选：南网商城平台运营单位自建的商品全纳入；集货商补充推荐的按好评数进行排序，每个细分小类优选3个商品。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79" w:hRule="atLeast"/>
        </w:trPr>
        <w:tc>
          <w:tcPr>
            <w:tcW w:w="774"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B类</w:t>
            </w:r>
          </w:p>
        </w:tc>
        <w:tc>
          <w:tcPr>
            <w:tcW w:w="12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000000"/>
                <w:sz w:val="22"/>
                <w:szCs w:val="22"/>
                <w:u w:val="none"/>
              </w:rPr>
            </w:pPr>
          </w:p>
        </w:tc>
        <w:tc>
          <w:tcPr>
            <w:tcW w:w="14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000000"/>
                <w:sz w:val="22"/>
                <w:szCs w:val="22"/>
                <w:u w:val="none"/>
              </w:rPr>
            </w:pPr>
          </w:p>
        </w:tc>
        <w:tc>
          <w:tcPr>
            <w:tcW w:w="25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000000"/>
                <w:sz w:val="22"/>
                <w:szCs w:val="22"/>
                <w:u w:val="none"/>
              </w:rPr>
            </w:pPr>
          </w:p>
        </w:tc>
        <w:tc>
          <w:tcPr>
            <w:tcW w:w="2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774"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MRO工业品</w:t>
            </w:r>
          </w:p>
        </w:tc>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A类</w:t>
            </w:r>
          </w:p>
        </w:tc>
        <w:tc>
          <w:tcPr>
            <w:tcW w:w="12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000000"/>
                <w:sz w:val="22"/>
                <w:szCs w:val="22"/>
                <w:u w:val="none"/>
              </w:rPr>
            </w:pPr>
          </w:p>
        </w:tc>
        <w:tc>
          <w:tcPr>
            <w:tcW w:w="14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000000"/>
                <w:sz w:val="22"/>
                <w:szCs w:val="22"/>
                <w:u w:val="none"/>
              </w:rPr>
            </w:pPr>
          </w:p>
        </w:tc>
        <w:tc>
          <w:tcPr>
            <w:tcW w:w="2513"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1.商城平台运营单位和中标集货商协同推荐；</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2.南网用户根据实际需求提出新增。</w:t>
            </w:r>
          </w:p>
        </w:tc>
        <w:tc>
          <w:tcPr>
            <w:tcW w:w="2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1.商品合规性审核；</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2.商品优选：按照商品充分竞争的原则，该细分小类通过审核的商品应入尽入。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9" w:hRule="atLeast"/>
        </w:trPr>
        <w:tc>
          <w:tcPr>
            <w:tcW w:w="774"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B类</w:t>
            </w:r>
          </w:p>
        </w:tc>
        <w:tc>
          <w:tcPr>
            <w:tcW w:w="12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000000"/>
                <w:sz w:val="22"/>
                <w:szCs w:val="22"/>
                <w:u w:val="none"/>
              </w:rPr>
            </w:pPr>
          </w:p>
        </w:tc>
        <w:tc>
          <w:tcPr>
            <w:tcW w:w="14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000000"/>
                <w:sz w:val="22"/>
                <w:szCs w:val="22"/>
                <w:u w:val="none"/>
              </w:rPr>
            </w:pPr>
          </w:p>
        </w:tc>
        <w:tc>
          <w:tcPr>
            <w:tcW w:w="2513" w:type="dxa"/>
            <w:vMerge w:val="continue"/>
            <w:tcBorders>
              <w:top w:val="single" w:color="000000" w:sz="4" w:space="0"/>
              <w:left w:val="single" w:color="000000" w:sz="4" w:space="0"/>
              <w:bottom w:val="nil"/>
              <w:right w:val="single" w:color="000000" w:sz="4" w:space="0"/>
            </w:tcBorders>
            <w:shd w:val="clear" w:color="auto" w:fill="auto"/>
            <w:vAlign w:val="center"/>
          </w:tcPr>
          <w:p>
            <w:pPr>
              <w:jc w:val="both"/>
              <w:rPr>
                <w:rFonts w:hint="eastAsia" w:ascii="宋体" w:hAnsi="宋体" w:eastAsia="宋体" w:cs="宋体"/>
                <w:i w:val="0"/>
                <w:iCs w:val="0"/>
                <w:color w:val="000000"/>
                <w:sz w:val="22"/>
                <w:szCs w:val="22"/>
                <w:u w:val="none"/>
              </w:rPr>
            </w:pPr>
          </w:p>
        </w:tc>
        <w:tc>
          <w:tcPr>
            <w:tcW w:w="2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44" w:hRule="atLeast"/>
        </w:trPr>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办公/MRO</w:t>
            </w:r>
          </w:p>
        </w:tc>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C类</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注：随商品提报品牌。</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品牌合规性审核；</w:t>
            </w:r>
          </w:p>
        </w:tc>
        <w:tc>
          <w:tcPr>
            <w:tcW w:w="25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snapToGrid w:val="0"/>
                <w:color w:val="000000"/>
                <w:kern w:val="0"/>
                <w:sz w:val="22"/>
                <w:szCs w:val="22"/>
                <w:u w:val="none"/>
                <w:lang w:val="en-US" w:eastAsia="zh-CN" w:bidi="ar"/>
              </w:rPr>
            </w:pPr>
            <w:r>
              <w:rPr>
                <w:rFonts w:hint="eastAsia" w:ascii="宋体" w:hAnsi="宋体" w:eastAsia="宋体" w:cs="宋体"/>
                <w:i w:val="0"/>
                <w:iCs w:val="0"/>
                <w:snapToGrid w:val="0"/>
                <w:color w:val="000000"/>
                <w:kern w:val="0"/>
                <w:sz w:val="22"/>
                <w:szCs w:val="22"/>
                <w:u w:val="none"/>
                <w:lang w:val="en-US" w:eastAsia="zh-CN" w:bidi="ar"/>
              </w:rPr>
              <w:t>1.商城平台运营单位根据商品在架情况提出新增；</w:t>
            </w:r>
          </w:p>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2.南网用户根据实际需求提出新增。</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商品合规性审核</w:t>
            </w:r>
          </w:p>
        </w:tc>
      </w:tr>
    </w:tbl>
    <w:p>
      <w:pPr>
        <w:keepNext w:val="0"/>
        <w:keepLines w:val="0"/>
        <w:pageBreakBefore w:val="0"/>
        <w:widowControl w:val="0"/>
        <w:kinsoku/>
        <w:wordWrap/>
        <w:overflowPunct/>
        <w:topLinePunct w:val="0"/>
        <w:autoSpaceDE/>
        <w:autoSpaceDN/>
        <w:bidi w:val="0"/>
        <w:adjustRightInd/>
        <w:snapToGrid/>
        <w:spacing w:line="560" w:lineRule="exact"/>
        <w:ind w:firstLine="650" w:firstLineChars="200"/>
        <w:textAlignment w:val="auto"/>
        <w:outlineLvl w:val="2"/>
        <w:rPr>
          <w:rFonts w:hint="eastAsia" w:ascii="仿宋_GB2312" w:hAnsi="仿宋_GB2312" w:eastAsia="仿宋_GB2312" w:cs="仿宋_GB2312"/>
          <w:b/>
          <w:bCs/>
          <w:snapToGrid w:val="0"/>
          <w:color w:val="auto"/>
          <w:spacing w:val="7"/>
          <w:kern w:val="0"/>
          <w:sz w:val="31"/>
          <w:szCs w:val="31"/>
          <w:lang w:val="en-US" w:eastAsia="zh-CN" w:bidi="ar-SA"/>
        </w:rPr>
      </w:pPr>
      <w:r>
        <w:rPr>
          <w:rFonts w:hint="eastAsia" w:ascii="仿宋_GB2312" w:hAnsi="仿宋_GB2312" w:eastAsia="仿宋_GB2312" w:cs="仿宋_GB2312"/>
          <w:b/>
          <w:bCs/>
          <w:snapToGrid w:val="0"/>
          <w:color w:val="auto"/>
          <w:spacing w:val="7"/>
          <w:kern w:val="0"/>
          <w:sz w:val="31"/>
          <w:szCs w:val="31"/>
          <w:lang w:val="en-US" w:eastAsia="zh-CN" w:bidi="ar-SA"/>
        </w:rPr>
        <w:t>3.公示、公告</w:t>
      </w:r>
    </w:p>
    <w:p>
      <w:pPr>
        <w:keepNext w:val="0"/>
        <w:keepLines w:val="0"/>
        <w:pageBreakBefore w:val="0"/>
        <w:widowControl w:val="0"/>
        <w:kinsoku/>
        <w:wordWrap/>
        <w:overflowPunct/>
        <w:topLinePunct w:val="0"/>
        <w:autoSpaceDE/>
        <w:autoSpaceDN/>
        <w:bidi w:val="0"/>
        <w:adjustRightInd/>
        <w:snapToGrid/>
        <w:spacing w:line="560" w:lineRule="exact"/>
        <w:ind w:firstLine="668" w:firstLineChars="200"/>
        <w:jc w:val="both"/>
        <w:textAlignment w:val="auto"/>
        <w:outlineLvl w:val="9"/>
        <w:rPr>
          <w:rFonts w:hint="eastAsia" w:ascii="仿宋_GB2312" w:hAnsi="仿宋_GB2312" w:eastAsia="仿宋_GB2312" w:cs="仿宋_GB2312"/>
          <w:snapToGrid w:val="0"/>
          <w:color w:val="auto"/>
          <w:spacing w:val="7"/>
          <w:kern w:val="0"/>
          <w:sz w:val="32"/>
          <w:szCs w:val="32"/>
          <w:lang w:val="en-US" w:eastAsia="zh-CN" w:bidi="ar-SA"/>
        </w:rPr>
      </w:pPr>
      <w:r>
        <w:rPr>
          <w:rFonts w:hint="eastAsia" w:ascii="仿宋_GB2312" w:hAnsi="仿宋_GB2312" w:eastAsia="仿宋_GB2312" w:cs="仿宋_GB2312"/>
          <w:strike w:val="0"/>
          <w:dstrike w:val="0"/>
          <w:snapToGrid w:val="0"/>
          <w:color w:val="auto"/>
          <w:spacing w:val="7"/>
          <w:kern w:val="0"/>
          <w:sz w:val="32"/>
          <w:szCs w:val="32"/>
          <w:lang w:val="en-US" w:eastAsia="zh-CN" w:bidi="ar-SA"/>
        </w:rPr>
        <w:t>审核结果在中国南方电网供应链统一服务平台（https://www.bidding.csg.cn/）公示3日，核实公示期内反馈意见后，在供应链统一服务平台、电子商城发布公告，组织入库。</w:t>
      </w:r>
    </w:p>
    <w:p>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before="17" w:line="560" w:lineRule="exact"/>
        <w:ind w:firstLine="616" w:firstLineChars="200"/>
        <w:textAlignment w:val="baseline"/>
        <w:outlineLvl w:val="0"/>
        <w:rPr>
          <w:rFonts w:hint="default" w:ascii="黑体" w:hAnsi="黑体" w:eastAsia="黑体" w:cs="黑体"/>
          <w:b w:val="0"/>
          <w:bCs w:val="0"/>
          <w:color w:val="auto"/>
          <w:spacing w:val="-1"/>
          <w:lang w:val="en-US" w:eastAsia="zh-CN"/>
        </w:rPr>
      </w:pPr>
      <w:r>
        <w:rPr>
          <w:rFonts w:hint="eastAsia" w:ascii="黑体" w:hAnsi="黑体" w:eastAsia="黑体" w:cs="黑体"/>
          <w:b w:val="0"/>
          <w:bCs w:val="0"/>
          <w:color w:val="auto"/>
          <w:spacing w:val="-1"/>
          <w:lang w:val="en-US" w:eastAsia="zh-CN"/>
        </w:rPr>
        <w:t>五、标准商品冻结与解冻</w:t>
      </w:r>
    </w:p>
    <w:p>
      <w:pPr>
        <w:pStyle w:val="17"/>
        <w:keepNext w:val="0"/>
        <w:keepLines w:val="0"/>
        <w:pageBreakBefore w:val="0"/>
        <w:numPr>
          <w:ilvl w:val="0"/>
          <w:numId w:val="0"/>
        </w:numPr>
        <w:kinsoku/>
        <w:wordWrap/>
        <w:overflowPunct/>
        <w:topLinePunct w:val="0"/>
        <w:autoSpaceDE/>
        <w:autoSpaceDN/>
        <w:bidi w:val="0"/>
        <w:adjustRightInd/>
        <w:spacing w:line="560" w:lineRule="exact"/>
        <w:ind w:firstLine="640" w:firstLineChars="200"/>
        <w:rPr>
          <w:rFonts w:hint="default" w:ascii="仿宋_GB2312" w:hAnsi="仿宋_GB2312" w:eastAsia="仿宋_GB2312" w:cs="仿宋_GB2312"/>
          <w:b w:val="0"/>
          <w:bCs w:val="0"/>
          <w:i w:val="0"/>
          <w:snapToGrid/>
          <w:color w:val="auto"/>
          <w:kern w:val="0"/>
          <w:sz w:val="32"/>
          <w:szCs w:val="32"/>
          <w:highlight w:val="none"/>
          <w:u w:val="none"/>
          <w:lang w:val="en-US" w:eastAsia="zh-CN" w:bidi="ar"/>
        </w:rPr>
      </w:pPr>
      <w:r>
        <w:rPr>
          <w:rFonts w:hint="eastAsia" w:ascii="仿宋_GB2312" w:hAnsi="仿宋_GB2312" w:eastAsia="仿宋_GB2312" w:cs="仿宋_GB2312"/>
          <w:b w:val="0"/>
          <w:bCs w:val="0"/>
          <w:i w:val="0"/>
          <w:snapToGrid/>
          <w:color w:val="auto"/>
          <w:kern w:val="0"/>
          <w:sz w:val="32"/>
          <w:szCs w:val="32"/>
          <w:highlight w:val="none"/>
          <w:u w:val="none"/>
          <w:lang w:val="en-US" w:eastAsia="zh-CN" w:bidi="ar"/>
        </w:rPr>
        <w:t>在库标准商品信息实行动态管理，存在</w:t>
      </w:r>
      <w:r>
        <w:rPr>
          <w:rFonts w:hint="eastAsia" w:ascii="仿宋_GB2312" w:hAnsi="仿宋_GB2312" w:eastAsia="仿宋_GB2312" w:cs="仿宋_GB2312"/>
          <w:snapToGrid w:val="0"/>
          <w:color w:val="auto"/>
          <w:spacing w:val="7"/>
          <w:kern w:val="0"/>
          <w:sz w:val="32"/>
          <w:szCs w:val="32"/>
          <w:lang w:val="en-US" w:eastAsia="zh-CN" w:bidi="ar-SA"/>
        </w:rPr>
        <w:t>商品</w:t>
      </w:r>
      <w:r>
        <w:rPr>
          <w:rFonts w:hint="eastAsia" w:ascii="仿宋_GB2312" w:hAnsi="仿宋_GB2312" w:eastAsia="仿宋_GB2312" w:cs="仿宋_GB2312"/>
          <w:b w:val="0"/>
          <w:bCs w:val="0"/>
          <w:i w:val="0"/>
          <w:snapToGrid/>
          <w:color w:val="auto"/>
          <w:kern w:val="0"/>
          <w:sz w:val="32"/>
          <w:szCs w:val="32"/>
          <w:highlight w:val="none"/>
          <w:u w:val="none"/>
          <w:lang w:val="en-US" w:eastAsia="zh-CN" w:bidi="ar"/>
        </w:rPr>
        <w:t>外部链接失效、价格不符合要求或价格异动、商品质量检测不合格、图文资质信息不满足要求、不符合国家强制性认证产品要求、</w:t>
      </w:r>
      <w:r>
        <w:rPr>
          <w:rFonts w:hint="eastAsia" w:ascii="仿宋_GB2312" w:hAnsi="仿宋_GB2312" w:eastAsia="仿宋_GB2312" w:cs="仿宋_GB2312"/>
          <w:b w:val="0"/>
          <w:bCs w:val="0"/>
          <w:snapToGrid w:val="0"/>
          <w:color w:val="auto"/>
          <w:spacing w:val="7"/>
          <w:kern w:val="0"/>
          <w:sz w:val="32"/>
          <w:szCs w:val="32"/>
          <w:highlight w:val="none"/>
          <w:lang w:val="en-US" w:eastAsia="zh-CN" w:bidi="ar-SA"/>
        </w:rPr>
        <w:t>SPU</w:t>
      </w:r>
      <w:r>
        <w:rPr>
          <w:rFonts w:hint="eastAsia" w:ascii="仿宋_GB2312" w:hAnsi="仿宋_GB2312" w:eastAsia="仿宋_GB2312" w:cs="仿宋_GB2312"/>
          <w:b w:val="0"/>
          <w:bCs w:val="0"/>
          <w:i w:val="0"/>
          <w:snapToGrid/>
          <w:color w:val="auto"/>
          <w:kern w:val="0"/>
          <w:sz w:val="32"/>
          <w:szCs w:val="32"/>
          <w:highlight w:val="none"/>
          <w:u w:val="none"/>
          <w:lang w:val="en-US" w:eastAsia="zh-CN" w:bidi="ar"/>
        </w:rPr>
        <w:t>下仅有1个品牌在架、涉及违法违规等情形的，平台运营单位将实施商品冻结，并反馈集货商。冻结商品满足解冻条件的，由相关方提出商品解冻申请，提供相关佐证材料，核实解冻。</w:t>
      </w:r>
    </w:p>
    <w:p>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before="17" w:line="560" w:lineRule="exact"/>
        <w:ind w:firstLine="616" w:firstLineChars="200"/>
        <w:textAlignment w:val="baseline"/>
        <w:outlineLvl w:val="0"/>
        <w:rPr>
          <w:rFonts w:hint="eastAsia" w:ascii="黑体" w:hAnsi="黑体" w:eastAsia="黑体" w:cs="黑体"/>
          <w:b w:val="0"/>
          <w:bCs w:val="0"/>
          <w:color w:val="auto"/>
          <w:spacing w:val="-1"/>
          <w:lang w:val="en-US" w:eastAsia="zh-CN"/>
        </w:rPr>
      </w:pPr>
      <w:r>
        <w:rPr>
          <w:rFonts w:hint="eastAsia" w:ascii="黑体" w:hAnsi="黑体" w:eastAsia="黑体" w:cs="黑体"/>
          <w:b w:val="0"/>
          <w:bCs w:val="0"/>
          <w:color w:val="auto"/>
          <w:spacing w:val="-1"/>
          <w:lang w:val="en-US" w:eastAsia="zh-CN"/>
        </w:rPr>
        <w:t>六、标准商品信息变更</w:t>
      </w:r>
    </w:p>
    <w:p>
      <w:pPr>
        <w:widowControl w:val="0"/>
        <w:kinsoku/>
        <w:autoSpaceDE/>
        <w:autoSpaceDN/>
        <w:adjustRightInd/>
        <w:snapToGrid/>
        <w:spacing w:line="560" w:lineRule="exact"/>
        <w:ind w:firstLine="640" w:firstLineChars="200"/>
        <w:jc w:val="both"/>
        <w:textAlignment w:val="auto"/>
        <w:outlineLvl w:val="9"/>
        <w:rPr>
          <w:rFonts w:hint="eastAsia" w:ascii="仿宋_GB2312" w:hAnsi="仿宋_GB2312" w:eastAsia="仿宋_GB2312" w:cs="仿宋_GB2312"/>
          <w:i w:val="0"/>
          <w:snapToGrid/>
          <w:color w:val="auto"/>
          <w:kern w:val="0"/>
          <w:sz w:val="32"/>
          <w:szCs w:val="32"/>
          <w:highlight w:val="none"/>
          <w:u w:val="none"/>
          <w:lang w:val="en-US" w:eastAsia="zh-CN" w:bidi="ar"/>
        </w:rPr>
      </w:pPr>
      <w:r>
        <w:rPr>
          <w:rFonts w:hint="eastAsia" w:ascii="仿宋_GB2312" w:hAnsi="仿宋_GB2312" w:eastAsia="仿宋_GB2312" w:cs="仿宋_GB2312"/>
          <w:i w:val="0"/>
          <w:snapToGrid/>
          <w:color w:val="auto"/>
          <w:kern w:val="0"/>
          <w:sz w:val="32"/>
          <w:szCs w:val="32"/>
          <w:highlight w:val="none"/>
          <w:u w:val="none"/>
          <w:lang w:val="en-US" w:eastAsia="zh-CN" w:bidi="ar"/>
        </w:rPr>
        <w:t>标准商品库维护单位定期梳理平台运营单位、用户、集货商等反馈的标准商品库需变更信息的商品清单，经内部审批流程通过后。在供应链统一服务平台发布公示及公告后，在系统完成标准商品库信息变更。</w:t>
      </w:r>
    </w:p>
    <w:p>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before="17" w:line="560" w:lineRule="exact"/>
        <w:ind w:firstLine="616" w:firstLineChars="200"/>
        <w:textAlignment w:val="baseline"/>
        <w:outlineLvl w:val="0"/>
        <w:rPr>
          <w:rFonts w:hint="eastAsia" w:ascii="黑体" w:hAnsi="黑体" w:eastAsia="黑体" w:cs="黑体"/>
          <w:b w:val="0"/>
          <w:bCs w:val="0"/>
          <w:color w:val="auto"/>
          <w:spacing w:val="-1"/>
          <w:lang w:val="en-US" w:eastAsia="zh-CN"/>
        </w:rPr>
      </w:pPr>
      <w:r>
        <w:rPr>
          <w:rFonts w:hint="eastAsia" w:ascii="黑体" w:hAnsi="黑体" w:eastAsia="黑体" w:cs="黑体"/>
          <w:b w:val="0"/>
          <w:bCs w:val="0"/>
          <w:color w:val="auto"/>
          <w:spacing w:val="-1"/>
          <w:lang w:val="en-US" w:eastAsia="zh-CN"/>
        </w:rPr>
        <w:t>七、标准商品出库管理</w:t>
      </w:r>
    </w:p>
    <w:p>
      <w:pPr>
        <w:keepNext w:val="0"/>
        <w:keepLines w:val="0"/>
        <w:pageBreakBefore w:val="0"/>
        <w:widowControl w:val="0"/>
        <w:kinsoku/>
        <w:wordWrap/>
        <w:overflowPunct/>
        <w:topLinePunct w:val="0"/>
        <w:autoSpaceDE/>
        <w:autoSpaceDN/>
        <w:bidi w:val="0"/>
        <w:adjustRightInd/>
        <w:snapToGrid/>
        <w:spacing w:line="560" w:lineRule="exact"/>
        <w:ind w:firstLine="650" w:firstLineChars="200"/>
        <w:textAlignment w:val="auto"/>
        <w:outlineLvl w:val="2"/>
        <w:rPr>
          <w:rFonts w:hint="default" w:ascii="仿宋_GB2312" w:hAnsi="仿宋_GB2312" w:eastAsia="仿宋_GB2312" w:cs="仿宋_GB2312"/>
          <w:b/>
          <w:bCs/>
          <w:snapToGrid w:val="0"/>
          <w:color w:val="auto"/>
          <w:spacing w:val="7"/>
          <w:kern w:val="0"/>
          <w:sz w:val="31"/>
          <w:szCs w:val="31"/>
          <w:lang w:val="en-US" w:eastAsia="zh-CN" w:bidi="ar-SA"/>
        </w:rPr>
      </w:pPr>
      <w:r>
        <w:rPr>
          <w:rFonts w:hint="eastAsia" w:ascii="仿宋_GB2312" w:hAnsi="仿宋_GB2312" w:eastAsia="仿宋_GB2312" w:cs="仿宋_GB2312"/>
          <w:b/>
          <w:bCs/>
          <w:snapToGrid w:val="0"/>
          <w:color w:val="auto"/>
          <w:spacing w:val="7"/>
          <w:kern w:val="0"/>
          <w:sz w:val="31"/>
          <w:szCs w:val="31"/>
          <w:lang w:val="en-US" w:eastAsia="zh-CN" w:bidi="ar-SA"/>
        </w:rPr>
        <w:t>1.出库情形</w:t>
      </w:r>
    </w:p>
    <w:p>
      <w:pPr>
        <w:keepNext w:val="0"/>
        <w:keepLines w:val="0"/>
        <w:pageBreakBefore w:val="0"/>
        <w:widowControl w:val="0"/>
        <w:kinsoku/>
        <w:wordWrap/>
        <w:overflowPunct/>
        <w:topLinePunct w:val="0"/>
        <w:autoSpaceDE/>
        <w:autoSpaceDN/>
        <w:bidi w:val="0"/>
        <w:adjustRightInd/>
        <w:snapToGrid/>
        <w:spacing w:line="560" w:lineRule="exact"/>
        <w:ind w:firstLine="668" w:firstLineChars="200"/>
        <w:jc w:val="both"/>
        <w:textAlignment w:val="auto"/>
        <w:outlineLvl w:val="9"/>
        <w:rPr>
          <w:rFonts w:hint="eastAsia" w:ascii="仿宋_GB2312" w:hAnsi="仿宋_GB2312" w:eastAsia="仿宋_GB2312" w:cs="仿宋_GB2312"/>
          <w:snapToGrid w:val="0"/>
          <w:color w:val="auto"/>
          <w:spacing w:val="7"/>
          <w:kern w:val="0"/>
          <w:sz w:val="32"/>
          <w:szCs w:val="32"/>
          <w:lang w:val="en-US" w:eastAsia="zh-CN" w:bidi="ar-SA"/>
        </w:rPr>
      </w:pPr>
      <w:r>
        <w:rPr>
          <w:rFonts w:hint="eastAsia" w:ascii="仿宋_GB2312" w:hAnsi="仿宋_GB2312" w:eastAsia="仿宋_GB2312" w:cs="仿宋_GB2312"/>
          <w:snapToGrid w:val="0"/>
          <w:color w:val="auto"/>
          <w:spacing w:val="7"/>
          <w:kern w:val="0"/>
          <w:sz w:val="32"/>
          <w:szCs w:val="32"/>
          <w:lang w:val="en-US" w:eastAsia="zh-CN" w:bidi="ar-SA"/>
        </w:rPr>
        <w:t>在库商品信息进行动态管理，如商品存在以下情形，及时办理冻结、核实、出库审查等工作。</w:t>
      </w:r>
    </w:p>
    <w:p>
      <w:pPr>
        <w:keepNext w:val="0"/>
        <w:keepLines w:val="0"/>
        <w:pageBreakBefore w:val="0"/>
        <w:widowControl w:val="0"/>
        <w:kinsoku/>
        <w:wordWrap/>
        <w:overflowPunct/>
        <w:topLinePunct w:val="0"/>
        <w:autoSpaceDE/>
        <w:autoSpaceDN/>
        <w:bidi w:val="0"/>
        <w:adjustRightInd/>
        <w:snapToGrid/>
        <w:spacing w:line="560" w:lineRule="exact"/>
        <w:ind w:firstLine="668" w:firstLineChars="200"/>
        <w:jc w:val="both"/>
        <w:textAlignment w:val="auto"/>
        <w:outlineLvl w:val="9"/>
        <w:rPr>
          <w:rFonts w:hint="eastAsia" w:ascii="仿宋_GB2312" w:hAnsi="仿宋_GB2312" w:eastAsia="仿宋_GB2312" w:cs="仿宋_GB2312"/>
          <w:b w:val="0"/>
          <w:bCs w:val="0"/>
          <w:snapToGrid w:val="0"/>
          <w:color w:val="auto"/>
          <w:spacing w:val="7"/>
          <w:kern w:val="0"/>
          <w:sz w:val="32"/>
          <w:szCs w:val="32"/>
          <w:lang w:val="en-US" w:eastAsia="zh-CN" w:bidi="ar-SA"/>
        </w:rPr>
      </w:pPr>
      <w:r>
        <w:rPr>
          <w:rFonts w:hint="eastAsia" w:ascii="仿宋_GB2312" w:hAnsi="仿宋_GB2312" w:eastAsia="仿宋_GB2312" w:cs="仿宋_GB2312"/>
          <w:b w:val="0"/>
          <w:bCs w:val="0"/>
          <w:snapToGrid w:val="0"/>
          <w:color w:val="auto"/>
          <w:spacing w:val="7"/>
          <w:kern w:val="0"/>
          <w:sz w:val="32"/>
          <w:szCs w:val="32"/>
          <w:lang w:val="en-US" w:eastAsia="zh-CN" w:bidi="ar-SA"/>
        </w:rPr>
        <w:t>（1）商品存在重大质量问题</w:t>
      </w:r>
    </w:p>
    <w:p>
      <w:pPr>
        <w:keepNext w:val="0"/>
        <w:keepLines w:val="0"/>
        <w:pageBreakBefore w:val="0"/>
        <w:widowControl w:val="0"/>
        <w:kinsoku/>
        <w:wordWrap/>
        <w:overflowPunct/>
        <w:topLinePunct w:val="0"/>
        <w:autoSpaceDE/>
        <w:autoSpaceDN/>
        <w:bidi w:val="0"/>
        <w:adjustRightInd/>
        <w:snapToGrid/>
        <w:spacing w:line="560" w:lineRule="exact"/>
        <w:ind w:firstLine="668" w:firstLineChars="200"/>
        <w:jc w:val="both"/>
        <w:textAlignment w:val="auto"/>
        <w:outlineLvl w:val="9"/>
        <w:rPr>
          <w:rFonts w:hint="eastAsia" w:ascii="仿宋_GB2312" w:hAnsi="仿宋_GB2312" w:eastAsia="仿宋_GB2312" w:cs="仿宋_GB2312"/>
          <w:snapToGrid w:val="0"/>
          <w:color w:val="auto"/>
          <w:spacing w:val="7"/>
          <w:kern w:val="0"/>
          <w:sz w:val="32"/>
          <w:szCs w:val="32"/>
          <w:lang w:val="en-US" w:eastAsia="zh-CN" w:bidi="ar-SA"/>
        </w:rPr>
      </w:pPr>
      <w:r>
        <w:rPr>
          <w:rFonts w:hint="eastAsia" w:ascii="仿宋_GB2312" w:hAnsi="仿宋_GB2312" w:eastAsia="仿宋_GB2312" w:cs="仿宋_GB2312"/>
          <w:snapToGrid w:val="0"/>
          <w:color w:val="auto"/>
          <w:spacing w:val="7"/>
          <w:kern w:val="0"/>
          <w:sz w:val="32"/>
          <w:szCs w:val="32"/>
          <w:lang w:val="en-US" w:eastAsia="zh-CN" w:bidi="ar-SA"/>
        </w:rPr>
        <w:t>①商品在到货验收等环节发现商品存在质量问题或者售后问题质量抽检结果不合格、供应商拒不整改或者经整改后质量抽检仍然不合格的；</w:t>
      </w:r>
    </w:p>
    <w:p>
      <w:pPr>
        <w:keepNext w:val="0"/>
        <w:keepLines w:val="0"/>
        <w:pageBreakBefore w:val="0"/>
        <w:widowControl w:val="0"/>
        <w:kinsoku/>
        <w:wordWrap/>
        <w:overflowPunct/>
        <w:topLinePunct w:val="0"/>
        <w:autoSpaceDE/>
        <w:autoSpaceDN/>
        <w:bidi w:val="0"/>
        <w:adjustRightInd/>
        <w:snapToGrid/>
        <w:spacing w:line="560" w:lineRule="exact"/>
        <w:ind w:firstLine="668" w:firstLineChars="200"/>
        <w:jc w:val="both"/>
        <w:textAlignment w:val="auto"/>
        <w:outlineLvl w:val="9"/>
        <w:rPr>
          <w:rFonts w:hint="eastAsia" w:ascii="仿宋_GB2312" w:hAnsi="仿宋_GB2312" w:eastAsia="仿宋_GB2312" w:cs="仿宋_GB2312"/>
          <w:snapToGrid w:val="0"/>
          <w:color w:val="auto"/>
          <w:spacing w:val="7"/>
          <w:kern w:val="0"/>
          <w:sz w:val="32"/>
          <w:szCs w:val="32"/>
          <w:lang w:val="en-US" w:eastAsia="zh-CN" w:bidi="ar-SA"/>
        </w:rPr>
      </w:pPr>
      <w:r>
        <w:rPr>
          <w:rFonts w:hint="eastAsia" w:ascii="仿宋_GB2312" w:hAnsi="仿宋_GB2312" w:eastAsia="仿宋_GB2312" w:cs="仿宋_GB2312"/>
          <w:snapToGrid w:val="0"/>
          <w:color w:val="auto"/>
          <w:spacing w:val="7"/>
          <w:kern w:val="0"/>
          <w:sz w:val="32"/>
          <w:szCs w:val="32"/>
          <w:lang w:val="en-US" w:eastAsia="zh-CN" w:bidi="ar-SA"/>
        </w:rPr>
        <w:t>②商品库日常运营中发现库内商品的品牌持有方属于南方电网公司“黑名单”供应商的；</w:t>
      </w:r>
    </w:p>
    <w:p>
      <w:pPr>
        <w:keepNext w:val="0"/>
        <w:keepLines w:val="0"/>
        <w:pageBreakBefore w:val="0"/>
        <w:widowControl w:val="0"/>
        <w:kinsoku/>
        <w:wordWrap/>
        <w:overflowPunct/>
        <w:topLinePunct w:val="0"/>
        <w:autoSpaceDE/>
        <w:autoSpaceDN/>
        <w:bidi w:val="0"/>
        <w:adjustRightInd/>
        <w:snapToGrid/>
        <w:spacing w:line="560" w:lineRule="exact"/>
        <w:ind w:firstLine="668" w:firstLineChars="200"/>
        <w:jc w:val="both"/>
        <w:textAlignment w:val="auto"/>
        <w:outlineLvl w:val="9"/>
        <w:rPr>
          <w:rFonts w:hint="eastAsia" w:ascii="仿宋_GB2312" w:hAnsi="仿宋_GB2312" w:eastAsia="仿宋_GB2312" w:cs="仿宋_GB2312"/>
          <w:snapToGrid w:val="0"/>
          <w:color w:val="auto"/>
          <w:spacing w:val="7"/>
          <w:kern w:val="0"/>
          <w:sz w:val="32"/>
          <w:szCs w:val="32"/>
          <w:lang w:val="en-US" w:eastAsia="zh-CN" w:bidi="ar-SA"/>
        </w:rPr>
      </w:pPr>
      <w:r>
        <w:rPr>
          <w:rFonts w:hint="eastAsia" w:ascii="仿宋_GB2312" w:hAnsi="仿宋_GB2312" w:eastAsia="仿宋_GB2312" w:cs="仿宋_GB2312"/>
          <w:snapToGrid w:val="0"/>
          <w:color w:val="auto"/>
          <w:spacing w:val="7"/>
          <w:kern w:val="0"/>
          <w:sz w:val="32"/>
          <w:szCs w:val="32"/>
          <w:lang w:val="en-US" w:eastAsia="zh-CN" w:bidi="ar-SA"/>
        </w:rPr>
        <w:t>③商品经国家认可的质量检测机构鉴定后认定商品不符合质量标准的，或者经国家认可的质量检测机构鉴定后认定商品为假冒伪劣产品或者侵犯知识产权的，或者商品违反国家网络安全审查标准的；</w:t>
      </w:r>
    </w:p>
    <w:p>
      <w:pPr>
        <w:keepNext w:val="0"/>
        <w:keepLines w:val="0"/>
        <w:pageBreakBefore w:val="0"/>
        <w:widowControl w:val="0"/>
        <w:kinsoku/>
        <w:wordWrap/>
        <w:overflowPunct/>
        <w:topLinePunct w:val="0"/>
        <w:autoSpaceDE/>
        <w:autoSpaceDN/>
        <w:bidi w:val="0"/>
        <w:adjustRightInd/>
        <w:snapToGrid/>
        <w:spacing w:line="560" w:lineRule="exact"/>
        <w:ind w:firstLine="668" w:firstLineChars="200"/>
        <w:jc w:val="both"/>
        <w:textAlignment w:val="auto"/>
        <w:outlineLvl w:val="9"/>
        <w:rPr>
          <w:rFonts w:hint="eastAsia" w:ascii="仿宋_GB2312" w:hAnsi="仿宋_GB2312" w:eastAsia="仿宋_GB2312" w:cs="仿宋_GB2312"/>
          <w:snapToGrid w:val="0"/>
          <w:color w:val="auto"/>
          <w:spacing w:val="7"/>
          <w:kern w:val="0"/>
          <w:sz w:val="32"/>
          <w:szCs w:val="32"/>
          <w:lang w:val="en-US" w:eastAsia="zh-CN" w:bidi="ar-SA"/>
        </w:rPr>
      </w:pPr>
      <w:r>
        <w:rPr>
          <w:rFonts w:hint="eastAsia" w:ascii="仿宋_GB2312" w:hAnsi="仿宋_GB2312" w:eastAsia="仿宋_GB2312" w:cs="仿宋_GB2312"/>
          <w:snapToGrid w:val="0"/>
          <w:color w:val="auto"/>
          <w:spacing w:val="7"/>
          <w:kern w:val="0"/>
          <w:sz w:val="32"/>
          <w:szCs w:val="32"/>
          <w:lang w:val="en-US" w:eastAsia="zh-CN" w:bidi="ar-SA"/>
        </w:rPr>
        <w:t>④被国家行政管理机关、部门通报、曝光的假冒伪劣产品或者存在质量缺陷的商品，或者明令禁止采购的商品。</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仿宋_GB2312" w:hAnsi="仿宋_GB2312" w:eastAsia="仿宋_GB2312" w:cs="仿宋_GB2312"/>
          <w:b/>
          <w:bCs/>
          <w:snapToGrid w:val="0"/>
          <w:color w:val="auto"/>
          <w:spacing w:val="7"/>
          <w:kern w:val="0"/>
          <w:sz w:val="32"/>
          <w:szCs w:val="32"/>
          <w:lang w:val="en-US" w:eastAsia="zh-CN" w:bidi="ar-SA"/>
        </w:rPr>
      </w:pPr>
      <w:r>
        <w:rPr>
          <w:rFonts w:hint="eastAsia" w:ascii="仿宋_GB2312" w:hAnsi="仿宋_GB2312" w:eastAsia="仿宋_GB2312" w:cs="仿宋_GB2312"/>
          <w:b w:val="0"/>
          <w:bCs w:val="0"/>
          <w:i w:val="0"/>
          <w:snapToGrid/>
          <w:color w:val="auto"/>
          <w:kern w:val="0"/>
          <w:sz w:val="32"/>
          <w:szCs w:val="32"/>
          <w:highlight w:val="none"/>
          <w:u w:val="none"/>
          <w:lang w:val="en-US" w:eastAsia="zh-CN" w:bidi="ar"/>
        </w:rPr>
        <w:t>⑤不符合国家强制性认证产品要求。</w:t>
      </w:r>
    </w:p>
    <w:p>
      <w:pPr>
        <w:keepNext w:val="0"/>
        <w:keepLines w:val="0"/>
        <w:pageBreakBefore w:val="0"/>
        <w:widowControl w:val="0"/>
        <w:kinsoku/>
        <w:wordWrap/>
        <w:overflowPunct/>
        <w:topLinePunct w:val="0"/>
        <w:autoSpaceDE/>
        <w:autoSpaceDN/>
        <w:bidi w:val="0"/>
        <w:adjustRightInd/>
        <w:snapToGrid/>
        <w:spacing w:line="560" w:lineRule="exact"/>
        <w:ind w:firstLine="668" w:firstLineChars="200"/>
        <w:jc w:val="both"/>
        <w:textAlignment w:val="auto"/>
        <w:outlineLvl w:val="9"/>
        <w:rPr>
          <w:rFonts w:hint="eastAsia" w:ascii="仿宋_GB2312" w:hAnsi="仿宋_GB2312" w:eastAsia="仿宋_GB2312" w:cs="仿宋_GB2312"/>
          <w:snapToGrid w:val="0"/>
          <w:color w:val="auto"/>
          <w:spacing w:val="7"/>
          <w:kern w:val="0"/>
          <w:sz w:val="32"/>
          <w:szCs w:val="32"/>
          <w:lang w:val="en-US" w:eastAsia="zh-CN" w:bidi="ar-SA"/>
        </w:rPr>
      </w:pPr>
      <w:r>
        <w:rPr>
          <w:rFonts w:hint="eastAsia" w:ascii="仿宋_GB2312" w:hAnsi="仿宋_GB2312" w:eastAsia="仿宋_GB2312" w:cs="仿宋_GB2312"/>
          <w:b w:val="0"/>
          <w:bCs w:val="0"/>
          <w:snapToGrid w:val="0"/>
          <w:color w:val="auto"/>
          <w:spacing w:val="7"/>
          <w:kern w:val="0"/>
          <w:sz w:val="32"/>
          <w:szCs w:val="32"/>
          <w:lang w:val="en-US" w:eastAsia="zh-CN" w:bidi="ar-SA"/>
        </w:rPr>
        <w:t>（2）商品出现供应问题：</w:t>
      </w:r>
      <w:r>
        <w:rPr>
          <w:rFonts w:hint="eastAsia" w:ascii="仿宋_GB2312" w:hAnsi="仿宋_GB2312" w:eastAsia="仿宋_GB2312" w:cs="仿宋_GB2312"/>
          <w:snapToGrid w:val="0"/>
          <w:color w:val="auto"/>
          <w:spacing w:val="7"/>
          <w:kern w:val="0"/>
          <w:sz w:val="32"/>
          <w:szCs w:val="32"/>
          <w:lang w:val="en-US" w:eastAsia="zh-CN" w:bidi="ar-SA"/>
        </w:rPr>
        <w:t>品牌方已明确停止生产、销售的商品，或者已无法提供正常售后服务、维修保养等服务的商品。</w:t>
      </w:r>
    </w:p>
    <w:p>
      <w:pPr>
        <w:keepNext w:val="0"/>
        <w:keepLines w:val="0"/>
        <w:pageBreakBefore w:val="0"/>
        <w:widowControl w:val="0"/>
        <w:kinsoku/>
        <w:wordWrap/>
        <w:overflowPunct/>
        <w:topLinePunct w:val="0"/>
        <w:autoSpaceDE/>
        <w:autoSpaceDN/>
        <w:bidi w:val="0"/>
        <w:adjustRightInd/>
        <w:snapToGrid/>
        <w:spacing w:line="560" w:lineRule="exact"/>
        <w:ind w:firstLine="648" w:firstLineChars="200"/>
        <w:textAlignment w:val="auto"/>
        <w:outlineLvl w:val="9"/>
        <w:rPr>
          <w:rFonts w:hint="default" w:ascii="仿宋_GB2312" w:hAnsi="仿宋_GB2312" w:eastAsia="仿宋_GB2312" w:cs="仿宋_GB2312"/>
          <w:b w:val="0"/>
          <w:bCs w:val="0"/>
          <w:snapToGrid w:val="0"/>
          <w:color w:val="auto"/>
          <w:spacing w:val="7"/>
          <w:kern w:val="0"/>
          <w:sz w:val="31"/>
          <w:szCs w:val="31"/>
          <w:lang w:val="en-US" w:eastAsia="zh-CN" w:bidi="ar-SA"/>
        </w:rPr>
      </w:pPr>
      <w:r>
        <w:rPr>
          <w:rFonts w:hint="eastAsia" w:ascii="仿宋_GB2312" w:hAnsi="仿宋_GB2312" w:eastAsia="仿宋_GB2312" w:cs="仿宋_GB2312"/>
          <w:b w:val="0"/>
          <w:bCs w:val="0"/>
          <w:snapToGrid w:val="0"/>
          <w:color w:val="auto"/>
          <w:spacing w:val="7"/>
          <w:kern w:val="0"/>
          <w:sz w:val="31"/>
          <w:szCs w:val="31"/>
          <w:lang w:val="en-US" w:eastAsia="zh-CN" w:bidi="ar-SA"/>
        </w:rPr>
        <w:t>（3）其他如商品重复、标准商品库优化、精简商品等情形进行出库。</w:t>
      </w:r>
    </w:p>
    <w:p>
      <w:pPr>
        <w:keepNext w:val="0"/>
        <w:keepLines w:val="0"/>
        <w:pageBreakBefore w:val="0"/>
        <w:widowControl w:val="0"/>
        <w:kinsoku/>
        <w:wordWrap/>
        <w:overflowPunct/>
        <w:topLinePunct w:val="0"/>
        <w:autoSpaceDE/>
        <w:autoSpaceDN/>
        <w:bidi w:val="0"/>
        <w:adjustRightInd/>
        <w:snapToGrid/>
        <w:spacing w:line="560" w:lineRule="exact"/>
        <w:ind w:firstLine="650" w:firstLineChars="200"/>
        <w:textAlignment w:val="auto"/>
        <w:outlineLvl w:val="2"/>
        <w:rPr>
          <w:rFonts w:hint="default" w:ascii="仿宋_GB2312" w:hAnsi="仿宋_GB2312" w:eastAsia="仿宋_GB2312" w:cs="仿宋_GB2312"/>
          <w:b/>
          <w:bCs/>
          <w:snapToGrid w:val="0"/>
          <w:color w:val="auto"/>
          <w:spacing w:val="7"/>
          <w:kern w:val="0"/>
          <w:sz w:val="31"/>
          <w:szCs w:val="31"/>
          <w:lang w:val="en-US" w:eastAsia="zh-CN" w:bidi="ar-SA"/>
        </w:rPr>
      </w:pPr>
      <w:r>
        <w:rPr>
          <w:rFonts w:hint="eastAsia" w:ascii="仿宋_GB2312" w:hAnsi="仿宋_GB2312" w:eastAsia="仿宋_GB2312" w:cs="仿宋_GB2312"/>
          <w:b/>
          <w:bCs/>
          <w:snapToGrid w:val="0"/>
          <w:color w:val="auto"/>
          <w:spacing w:val="7"/>
          <w:kern w:val="0"/>
          <w:sz w:val="31"/>
          <w:szCs w:val="31"/>
          <w:lang w:val="en-US" w:eastAsia="zh-CN" w:bidi="ar-SA"/>
        </w:rPr>
        <w:t>2.出库公告</w:t>
      </w:r>
    </w:p>
    <w:p>
      <w:pPr>
        <w:keepNext w:val="0"/>
        <w:keepLines w:val="0"/>
        <w:pageBreakBefore w:val="0"/>
        <w:widowControl w:val="0"/>
        <w:kinsoku/>
        <w:wordWrap/>
        <w:overflowPunct/>
        <w:topLinePunct w:val="0"/>
        <w:autoSpaceDE/>
        <w:autoSpaceDN/>
        <w:bidi w:val="0"/>
        <w:adjustRightInd/>
        <w:snapToGrid/>
        <w:spacing w:line="560" w:lineRule="exact"/>
        <w:ind w:firstLine="668" w:firstLineChars="200"/>
        <w:textAlignment w:val="auto"/>
        <w:outlineLvl w:val="9"/>
        <w:rPr>
          <w:rFonts w:hint="eastAsia"/>
          <w:lang w:val="en-US" w:eastAsia="zh-CN"/>
        </w:rPr>
      </w:pPr>
      <w:r>
        <w:rPr>
          <w:rFonts w:hint="eastAsia" w:ascii="仿宋_GB2312" w:hAnsi="仿宋_GB2312" w:eastAsia="仿宋_GB2312" w:cs="仿宋_GB2312"/>
          <w:snapToGrid w:val="0"/>
          <w:color w:val="auto"/>
          <w:spacing w:val="7"/>
          <w:kern w:val="0"/>
          <w:sz w:val="32"/>
          <w:szCs w:val="32"/>
          <w:lang w:val="en-US" w:eastAsia="zh-CN" w:bidi="ar-SA"/>
        </w:rPr>
        <w:t>标准商品库维护单位定期梳理待出库商品清单，履行审批流程后，在南网商城进行公告后执行出库。</w:t>
      </w:r>
    </w:p>
    <w:p>
      <w:pPr>
        <w:rPr>
          <w:rFonts w:hint="eastAsia" w:ascii="仿宋_GB2312" w:hAnsi="仿宋_GB2312" w:eastAsia="仿宋_GB2312" w:cs="仿宋_GB2312"/>
          <w:color w:val="auto"/>
          <w:spacing w:val="6"/>
          <w:lang w:val="en-US" w:eastAsia="zh-CN"/>
        </w:rPr>
      </w:pPr>
      <w:r>
        <w:rPr>
          <w:rFonts w:hint="eastAsia" w:ascii="仿宋_GB2312" w:hAnsi="仿宋_GB2312" w:eastAsia="仿宋_GB2312" w:cs="仿宋_GB2312"/>
          <w:color w:val="auto"/>
          <w:spacing w:val="6"/>
          <w:lang w:val="en-US" w:eastAsia="zh-CN"/>
        </w:rPr>
        <w:br w:type="page"/>
      </w:r>
    </w:p>
    <w:p>
      <w:pPr>
        <w:pStyle w:val="2"/>
        <w:keepNext w:val="0"/>
        <w:keepLines w:val="0"/>
        <w:pageBreakBefore w:val="0"/>
        <w:wordWrap/>
        <w:overflowPunct/>
        <w:topLinePunct w:val="0"/>
        <w:bidi w:val="0"/>
        <w:spacing w:before="164" w:line="560" w:lineRule="exact"/>
        <w:ind w:left="438"/>
        <w:outlineLvl w:val="0"/>
        <w:rPr>
          <w:rFonts w:hint="eastAsia" w:ascii="仿宋_GB2312" w:hAnsi="仿宋_GB2312" w:eastAsia="仿宋_GB2312" w:cs="仿宋_GB2312"/>
          <w:color w:val="auto"/>
          <w:spacing w:val="6"/>
          <w:lang w:val="en-US" w:eastAsia="zh-CN"/>
        </w:rPr>
      </w:pPr>
      <w:r>
        <w:rPr>
          <w:rFonts w:hint="eastAsia" w:ascii="仿宋_GB2312" w:hAnsi="仿宋_GB2312" w:eastAsia="仿宋_GB2312" w:cs="仿宋_GB2312"/>
          <w:color w:val="auto"/>
          <w:spacing w:val="6"/>
          <w:lang w:val="en-US" w:eastAsia="zh-CN"/>
        </w:rPr>
        <w:t>附件1: 术语和定义</w:t>
      </w:r>
    </w:p>
    <w:tbl>
      <w:tblPr>
        <w:tblStyle w:val="9"/>
        <w:tblW w:w="8520"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62"/>
        <w:gridCol w:w="69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exact"/>
        </w:trPr>
        <w:tc>
          <w:tcPr>
            <w:tcW w:w="1562" w:type="dxa"/>
            <w:vAlign w:val="center"/>
          </w:tcPr>
          <w:p>
            <w:pPr>
              <w:pStyle w:val="2"/>
              <w:keepNext w:val="0"/>
              <w:keepLines w:val="0"/>
              <w:pageBreakBefore w:val="0"/>
              <w:widowControl w:val="0"/>
              <w:kinsoku/>
              <w:wordWrap/>
              <w:overflowPunct/>
              <w:topLinePunct w:val="0"/>
              <w:autoSpaceDE/>
              <w:autoSpaceDN/>
              <w:bidi w:val="0"/>
              <w:adjustRightInd w:val="0"/>
              <w:snapToGrid w:val="0"/>
              <w:spacing w:before="0" w:after="0" w:line="560" w:lineRule="exact"/>
              <w:jc w:val="center"/>
              <w:textAlignment w:val="auto"/>
              <w:outlineLvl w:val="9"/>
              <w:rPr>
                <w:rFonts w:hint="eastAsia" w:ascii="宋体" w:hAnsi="宋体" w:eastAsia="宋体" w:cs="宋体"/>
                <w:b/>
                <w:bCs/>
                <w:color w:val="auto"/>
                <w:sz w:val="21"/>
                <w:szCs w:val="21"/>
                <w:highlight w:val="none"/>
                <w:lang w:eastAsia="zh-CN"/>
              </w:rPr>
            </w:pPr>
            <w:bookmarkStart w:id="1" w:name="_Toc8542"/>
            <w:bookmarkStart w:id="2" w:name="_Toc23846"/>
            <w:r>
              <w:rPr>
                <w:rFonts w:hint="eastAsia" w:ascii="宋体" w:hAnsi="宋体" w:eastAsia="宋体" w:cs="宋体"/>
                <w:b/>
                <w:bCs/>
                <w:color w:val="auto"/>
                <w:sz w:val="21"/>
                <w:szCs w:val="21"/>
                <w:highlight w:val="none"/>
                <w:lang w:eastAsia="zh-CN"/>
              </w:rPr>
              <w:t>术语</w:t>
            </w:r>
            <w:bookmarkEnd w:id="1"/>
            <w:bookmarkEnd w:id="2"/>
          </w:p>
        </w:tc>
        <w:tc>
          <w:tcPr>
            <w:tcW w:w="6958" w:type="dxa"/>
            <w:vAlign w:val="center"/>
          </w:tcPr>
          <w:p>
            <w:pPr>
              <w:pStyle w:val="2"/>
              <w:keepNext w:val="0"/>
              <w:keepLines w:val="0"/>
              <w:pageBreakBefore w:val="0"/>
              <w:widowControl w:val="0"/>
              <w:kinsoku/>
              <w:wordWrap/>
              <w:overflowPunct/>
              <w:topLinePunct w:val="0"/>
              <w:autoSpaceDE/>
              <w:autoSpaceDN/>
              <w:bidi w:val="0"/>
              <w:adjustRightInd w:val="0"/>
              <w:snapToGrid w:val="0"/>
              <w:spacing w:before="0" w:after="0" w:line="560" w:lineRule="exact"/>
              <w:jc w:val="center"/>
              <w:textAlignment w:val="auto"/>
              <w:outlineLvl w:val="9"/>
              <w:rPr>
                <w:rFonts w:hint="eastAsia" w:ascii="宋体" w:hAnsi="宋体" w:eastAsia="宋体" w:cs="宋体"/>
                <w:b/>
                <w:bCs/>
                <w:color w:val="auto"/>
                <w:sz w:val="21"/>
                <w:szCs w:val="21"/>
                <w:highlight w:val="none"/>
                <w:lang w:eastAsia="zh-CN"/>
              </w:rPr>
            </w:pPr>
            <w:bookmarkStart w:id="3" w:name="_Toc14815"/>
            <w:bookmarkStart w:id="4" w:name="_Toc17893"/>
            <w:r>
              <w:rPr>
                <w:rFonts w:hint="eastAsia" w:ascii="宋体" w:hAnsi="宋体" w:eastAsia="宋体" w:cs="宋体"/>
                <w:b/>
                <w:bCs/>
                <w:color w:val="auto"/>
                <w:sz w:val="21"/>
                <w:szCs w:val="21"/>
                <w:highlight w:val="none"/>
                <w:lang w:eastAsia="zh-CN"/>
              </w:rPr>
              <w:t>定义</w:t>
            </w:r>
            <w:bookmarkEnd w:id="3"/>
            <w:bookmarkEnd w:id="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6" w:hRule="exact"/>
        </w:trPr>
        <w:tc>
          <w:tcPr>
            <w:tcW w:w="1562" w:type="dxa"/>
            <w:vAlign w:val="center"/>
          </w:tcPr>
          <w:p>
            <w:pPr>
              <w:pStyle w:val="16"/>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hint="default" w:ascii="宋体" w:hAnsi="宋体" w:eastAsia="宋体" w:cs="宋体"/>
                <w:b w:val="0"/>
                <w:bCs/>
                <w:color w:val="auto"/>
                <w:highlight w:val="none"/>
                <w:lang w:val="en-US" w:eastAsia="zh-CN"/>
              </w:rPr>
            </w:pPr>
            <w:r>
              <w:rPr>
                <w:rFonts w:hint="eastAsia" w:ascii="宋体" w:hAnsi="宋体" w:eastAsia="宋体" w:cs="宋体"/>
                <w:b w:val="0"/>
                <w:bCs/>
                <w:color w:val="auto"/>
                <w:highlight w:val="none"/>
                <w:lang w:val="en-US" w:eastAsia="zh-CN"/>
              </w:rPr>
              <w:t>标准商品库</w:t>
            </w:r>
          </w:p>
        </w:tc>
        <w:tc>
          <w:tcPr>
            <w:tcW w:w="6958" w:type="dxa"/>
            <w:vAlign w:val="center"/>
          </w:tcPr>
          <w:p>
            <w:pPr>
              <w:pStyle w:val="16"/>
              <w:keepNext w:val="0"/>
              <w:keepLines w:val="0"/>
              <w:pageBreakBefore w:val="0"/>
              <w:widowControl w:val="0"/>
              <w:kinsoku/>
              <w:wordWrap/>
              <w:overflowPunct/>
              <w:topLinePunct w:val="0"/>
              <w:autoSpaceDE/>
              <w:autoSpaceDN/>
              <w:bidi w:val="0"/>
              <w:adjustRightInd w:val="0"/>
              <w:snapToGrid w:val="0"/>
              <w:spacing w:line="560" w:lineRule="exact"/>
              <w:jc w:val="both"/>
              <w:textAlignment w:val="auto"/>
              <w:rPr>
                <w:rFonts w:hint="default" w:ascii="宋体" w:hAnsi="宋体" w:cs="宋体"/>
                <w:b w:val="0"/>
                <w:bCs/>
                <w:color w:val="auto"/>
                <w:highlight w:val="none"/>
                <w:lang w:val="en-US" w:eastAsia="zh-CN"/>
              </w:rPr>
            </w:pPr>
            <w:r>
              <w:rPr>
                <w:rFonts w:hint="eastAsia" w:ascii="宋体" w:hAnsi="宋体" w:cs="宋体"/>
                <w:b w:val="0"/>
                <w:bCs/>
                <w:color w:val="auto"/>
                <w:highlight w:val="none"/>
                <w:lang w:val="en-US" w:eastAsia="zh-CN"/>
              </w:rPr>
              <w:t>标准商品库是南网电子商城内采专区的核心组成部分，它为在线销售的商品提供了一个集中化和标准化的管理方式。通过统一管理、动态更新、信息标准化结构化，确保商品信息的一致性和准确性。通过“先入库，后上架”管理模式，精准界定商城上架商品范围，降低运营风险。基于标准商品库建立价格指数，进行自动化的价格监测和管理，可以有效保障商品价格的竞争力。</w:t>
            </w:r>
          </w:p>
          <w:p>
            <w:pPr>
              <w:pStyle w:val="16"/>
              <w:keepNext w:val="0"/>
              <w:keepLines w:val="0"/>
              <w:pageBreakBefore w:val="0"/>
              <w:widowControl w:val="0"/>
              <w:kinsoku/>
              <w:wordWrap/>
              <w:overflowPunct/>
              <w:topLinePunct w:val="0"/>
              <w:autoSpaceDE/>
              <w:autoSpaceDN/>
              <w:bidi w:val="0"/>
              <w:adjustRightInd w:val="0"/>
              <w:snapToGrid w:val="0"/>
              <w:spacing w:line="560" w:lineRule="exact"/>
              <w:jc w:val="both"/>
              <w:textAlignment w:val="auto"/>
              <w:rPr>
                <w:rFonts w:hint="default" w:ascii="宋体" w:hAnsi="宋体" w:eastAsia="宋体" w:cs="宋体"/>
                <w:b w:val="0"/>
                <w:bCs/>
                <w:color w:val="auto"/>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0" w:hRule="exact"/>
        </w:trPr>
        <w:tc>
          <w:tcPr>
            <w:tcW w:w="1562" w:type="dxa"/>
            <w:vAlign w:val="center"/>
          </w:tcPr>
          <w:p>
            <w:pPr>
              <w:pStyle w:val="16"/>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hint="default" w:ascii="宋体" w:hAnsi="宋体" w:eastAsia="宋体" w:cs="宋体"/>
                <w:b w:val="0"/>
                <w:bCs/>
                <w:color w:val="auto"/>
                <w:highlight w:val="none"/>
                <w:lang w:val="en-US" w:eastAsia="zh-CN"/>
              </w:rPr>
            </w:pPr>
            <w:r>
              <w:rPr>
                <w:rFonts w:hint="eastAsia" w:ascii="宋体" w:hAnsi="宋体" w:cs="宋体"/>
                <w:b w:val="0"/>
                <w:bCs/>
                <w:color w:val="auto"/>
                <w:highlight w:val="none"/>
                <w:lang w:val="en-US" w:eastAsia="zh-CN"/>
              </w:rPr>
              <w:t>物资名称SPU</w:t>
            </w:r>
          </w:p>
        </w:tc>
        <w:tc>
          <w:tcPr>
            <w:tcW w:w="6958" w:type="dxa"/>
            <w:vAlign w:val="center"/>
          </w:tcPr>
          <w:p>
            <w:pPr>
              <w:pStyle w:val="16"/>
              <w:keepNext w:val="0"/>
              <w:keepLines w:val="0"/>
              <w:pageBreakBefore w:val="0"/>
              <w:widowControl w:val="0"/>
              <w:kinsoku/>
              <w:wordWrap/>
              <w:overflowPunct/>
              <w:topLinePunct w:val="0"/>
              <w:autoSpaceDE/>
              <w:autoSpaceDN/>
              <w:bidi w:val="0"/>
              <w:adjustRightInd w:val="0"/>
              <w:snapToGrid w:val="0"/>
              <w:spacing w:line="560" w:lineRule="exact"/>
              <w:jc w:val="both"/>
              <w:textAlignment w:val="auto"/>
              <w:rPr>
                <w:rFonts w:ascii="宋体" w:hAnsi="宋体" w:cs="宋体"/>
                <w:b w:val="0"/>
                <w:bCs/>
                <w:color w:val="auto"/>
                <w:highlight w:val="none"/>
              </w:rPr>
            </w:pPr>
            <w:r>
              <w:rPr>
                <w:rFonts w:hint="eastAsia" w:ascii="宋体" w:hAnsi="宋体" w:cs="宋体"/>
                <w:b w:val="0"/>
                <w:bCs/>
                <w:color w:val="auto"/>
                <w:highlight w:val="none"/>
                <w:lang w:val="en-US" w:eastAsia="zh-CN"/>
              </w:rPr>
              <w:t>SPU是“Standard Product Unit”的缩写，是指“标准产品单位”。SPU是电子商城采购目录的最小层级，</w:t>
            </w:r>
            <w:r>
              <w:rPr>
                <w:rFonts w:hint="eastAsia" w:ascii="宋体" w:hAnsi="宋体" w:cs="宋体"/>
                <w:b w:val="0"/>
                <w:bCs/>
                <w:color w:val="auto"/>
                <w:highlight w:val="none"/>
              </w:rPr>
              <w:t>是一组</w:t>
            </w:r>
            <w:r>
              <w:rPr>
                <w:rFonts w:hint="eastAsia" w:ascii="宋体" w:hAnsi="宋体" w:cs="宋体"/>
                <w:b w:val="0"/>
                <w:bCs/>
                <w:color w:val="auto"/>
                <w:highlight w:val="none"/>
                <w:lang w:val="en-US" w:eastAsia="zh-CN"/>
              </w:rPr>
              <w:t>可以</w:t>
            </w:r>
            <w:r>
              <w:rPr>
                <w:rFonts w:hint="eastAsia" w:ascii="宋体" w:hAnsi="宋体" w:cs="宋体"/>
                <w:b w:val="0"/>
                <w:bCs/>
                <w:color w:val="auto"/>
                <w:highlight w:val="none"/>
              </w:rPr>
              <w:t>复用、易检索的标准化信息的集合，该集合描述了一个产品的特性，属性值、特性</w:t>
            </w:r>
            <w:r>
              <w:rPr>
                <w:rFonts w:hint="eastAsia" w:ascii="宋体" w:hAnsi="宋体" w:cs="宋体"/>
                <w:b w:val="0"/>
                <w:bCs/>
                <w:color w:val="auto"/>
                <w:highlight w:val="none"/>
                <w:lang w:val="en-US" w:eastAsia="zh-CN"/>
              </w:rPr>
              <w:t>和功能</w:t>
            </w:r>
            <w:r>
              <w:rPr>
                <w:rFonts w:hint="eastAsia" w:ascii="宋体" w:hAnsi="宋体" w:cs="宋体"/>
                <w:b w:val="0"/>
                <w:bCs/>
                <w:color w:val="auto"/>
                <w:highlight w:val="none"/>
              </w:rPr>
              <w:t>相同的</w:t>
            </w:r>
            <w:r>
              <w:rPr>
                <w:rFonts w:hint="eastAsia" w:ascii="宋体" w:hAnsi="宋体" w:cs="宋体"/>
                <w:b w:val="0"/>
                <w:bCs/>
                <w:color w:val="auto"/>
                <w:highlight w:val="none"/>
                <w:lang w:val="en-US" w:eastAsia="zh-CN"/>
              </w:rPr>
              <w:t>标准</w:t>
            </w:r>
            <w:r>
              <w:rPr>
                <w:rFonts w:hint="eastAsia" w:ascii="宋体" w:hAnsi="宋体" w:cs="宋体"/>
                <w:b w:val="0"/>
                <w:bCs/>
                <w:color w:val="auto"/>
                <w:highlight w:val="none"/>
              </w:rPr>
              <w:t>商品称为一个SPU。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0" w:hRule="exact"/>
        </w:trPr>
        <w:tc>
          <w:tcPr>
            <w:tcW w:w="1562" w:type="dxa"/>
            <w:vAlign w:val="center"/>
          </w:tcPr>
          <w:p>
            <w:pPr>
              <w:pStyle w:val="16"/>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default" w:ascii="宋体" w:hAnsi="宋体" w:cs="宋体"/>
                <w:b w:val="0"/>
                <w:bCs/>
                <w:color w:val="auto"/>
                <w:highlight w:val="none"/>
                <w:lang w:val="en-US" w:eastAsia="zh-CN"/>
              </w:rPr>
            </w:pPr>
            <w:r>
              <w:rPr>
                <w:rFonts w:hint="eastAsia" w:ascii="宋体" w:hAnsi="宋体" w:cs="宋体"/>
                <w:b w:val="0"/>
                <w:bCs/>
                <w:color w:val="auto"/>
                <w:highlight w:val="none"/>
                <w:lang w:val="en-US" w:eastAsia="zh-CN"/>
              </w:rPr>
              <w:t>标准商品SKU</w:t>
            </w:r>
          </w:p>
        </w:tc>
        <w:tc>
          <w:tcPr>
            <w:tcW w:w="6958" w:type="dxa"/>
            <w:vAlign w:val="center"/>
          </w:tcPr>
          <w:p>
            <w:pPr>
              <w:pStyle w:val="16"/>
              <w:keepNext w:val="0"/>
              <w:keepLines w:val="0"/>
              <w:pageBreakBefore w:val="0"/>
              <w:widowControl w:val="0"/>
              <w:kinsoku/>
              <w:wordWrap/>
              <w:overflowPunct/>
              <w:topLinePunct w:val="0"/>
              <w:autoSpaceDE/>
              <w:autoSpaceDN/>
              <w:bidi w:val="0"/>
              <w:adjustRightInd w:val="0"/>
              <w:snapToGrid w:val="0"/>
              <w:spacing w:line="560" w:lineRule="exact"/>
              <w:jc w:val="both"/>
              <w:textAlignment w:val="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val="en-US" w:eastAsia="zh-CN"/>
              </w:rPr>
              <w:t>SKU是“Stock Keeping Unit”的缩写，是指“最小库存单位”。SKU是基于SPU下细化了品牌、参数、规格型号等信息唯一商品标识，它的目的在于跟踪和管理产品的库存水平、定价和销售信息。</w:t>
            </w:r>
          </w:p>
        </w:tc>
      </w:tr>
    </w:tbl>
    <w:p>
      <w:pPr>
        <w:outlineLvl w:val="9"/>
        <w:rPr>
          <w:rFonts w:hint="eastAsia"/>
          <w:color w:val="auto"/>
          <w:lang w:val="en-US" w:eastAsia="zh-CN"/>
        </w:rPr>
      </w:pPr>
    </w:p>
    <w:p>
      <w:pPr>
        <w:rPr>
          <w:rFonts w:hint="eastAsia"/>
          <w:color w:val="auto"/>
          <w:lang w:val="en-US" w:eastAsia="zh-CN"/>
        </w:rPr>
      </w:pPr>
    </w:p>
    <w:p>
      <w:pPr>
        <w:rPr>
          <w:rFonts w:hint="eastAsia" w:ascii="仿宋_GB2312" w:hAnsi="仿宋_GB2312" w:eastAsia="仿宋_GB2312" w:cs="仿宋_GB2312"/>
          <w:color w:val="0000FF"/>
          <w:sz w:val="32"/>
          <w:szCs w:val="32"/>
          <w:highlight w:val="none"/>
          <w:lang w:val="en-US" w:eastAsia="zh-CN"/>
        </w:rPr>
      </w:pPr>
      <w:r>
        <w:rPr>
          <w:rFonts w:hint="eastAsia" w:ascii="仿宋_GB2312" w:hAnsi="仿宋_GB2312" w:eastAsia="仿宋_GB2312" w:cs="仿宋_GB2312"/>
          <w:color w:val="0000FF"/>
          <w:sz w:val="32"/>
          <w:szCs w:val="32"/>
          <w:highlight w:val="none"/>
          <w:lang w:val="en-US" w:eastAsia="zh-CN"/>
        </w:rPr>
        <w:br w:type="page"/>
      </w:r>
    </w:p>
    <w:p>
      <w:pPr>
        <w:pStyle w:val="2"/>
        <w:keepNext w:val="0"/>
        <w:keepLines w:val="0"/>
        <w:pageBreakBefore w:val="0"/>
        <w:wordWrap/>
        <w:overflowPunct/>
        <w:topLinePunct w:val="0"/>
        <w:bidi w:val="0"/>
        <w:spacing w:before="164" w:line="560" w:lineRule="exact"/>
        <w:ind w:left="438"/>
        <w:outlineLvl w:val="0"/>
        <w:rPr>
          <w:rFonts w:hint="default" w:ascii="仿宋_GB2312" w:hAnsi="仿宋_GB2312" w:eastAsia="仿宋_GB2312" w:cs="仿宋_GB2312"/>
          <w:color w:val="auto"/>
          <w:spacing w:val="6"/>
          <w:lang w:val="en-US" w:eastAsia="zh-CN"/>
        </w:rPr>
      </w:pPr>
      <w:r>
        <w:rPr>
          <w:rFonts w:hint="eastAsia" w:ascii="仿宋_GB2312" w:hAnsi="仿宋_GB2312" w:eastAsia="仿宋_GB2312" w:cs="仿宋_GB2312"/>
          <w:color w:val="auto"/>
          <w:spacing w:val="6"/>
          <w:lang w:val="en-US" w:eastAsia="zh-CN"/>
        </w:rPr>
        <w:t>附件2：品类管控表（动态更新）</w:t>
      </w:r>
    </w:p>
    <w:sectPr>
      <w:headerReference r:id="rId5" w:type="default"/>
      <w:footerReference r:id="rId6" w:type="default"/>
      <w:pgSz w:w="11906" w:h="16839"/>
      <w:pgMar w:top="1431" w:right="1785" w:bottom="1152" w:left="1785" w:header="0" w:footer="987"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方正小标宋_GBK">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83"/>
      <w:rPr>
        <w:rFonts w:ascii="Calibri" w:hAnsi="Calibri" w:eastAsia="Calibri" w:cs="Calibri"/>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13</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4">
    <w:p>
      <w:pPr>
        <w:spacing w:line="240" w:lineRule="auto"/>
      </w:pPr>
      <w:r>
        <w:separator/>
      </w:r>
    </w:p>
  </w:footnote>
  <w:footnote w:type="continuationSeparator" w:id="5">
    <w:p>
      <w:pPr>
        <w:spacing w:line="240" w:lineRule="auto"/>
      </w:pPr>
      <w:r>
        <w:continuationSeparator/>
      </w:r>
    </w:p>
  </w:footnote>
  <w:footnote w:id="0">
    <w:p>
      <w:pPr>
        <w:pStyle w:val="8"/>
        <w:snapToGrid w:val="0"/>
        <w:rPr>
          <w:rFonts w:hint="default" w:eastAsia="宋体"/>
          <w:lang w:val="en-US" w:eastAsia="zh-CN"/>
        </w:rPr>
      </w:pPr>
      <w:r>
        <w:rPr>
          <w:rStyle w:val="13"/>
        </w:rPr>
        <w:footnoteRef/>
      </w:r>
      <w:r>
        <w:t xml:space="preserve"> </w:t>
      </w:r>
      <w:r>
        <w:rPr>
          <w:rFonts w:hint="eastAsia"/>
          <w:lang w:val="en-US" w:eastAsia="zh-CN"/>
        </w:rPr>
        <w:t>判断标准：该店铺里面有相应品类的商品</w:t>
      </w:r>
    </w:p>
  </w:footnote>
  <w:footnote w:id="1">
    <w:p>
      <w:pPr>
        <w:pStyle w:val="8"/>
        <w:snapToGrid w:val="0"/>
        <w:rPr>
          <w:rFonts w:hint="default" w:eastAsia="宋体"/>
          <w:lang w:val="en-US" w:eastAsia="zh-CN"/>
        </w:rPr>
      </w:pPr>
      <w:r>
        <w:rPr>
          <w:rStyle w:val="13"/>
        </w:rPr>
        <w:footnoteRef/>
      </w:r>
      <w:r>
        <w:t xml:space="preserve"> </w:t>
      </w:r>
      <w:r>
        <w:rPr>
          <w:rFonts w:hint="eastAsia" w:eastAsia="宋体"/>
          <w:lang w:val="en-US" w:eastAsia="zh-CN"/>
        </w:rPr>
        <w:t>该品类在库商品集中全量更新时不审核此项。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p>
    <w:pPr>
      <w:keepNext w:val="0"/>
      <w:keepLines w:val="0"/>
      <w:widowControl/>
      <w:suppressLineNumbers w:val="0"/>
      <w:jc w:val="right"/>
      <w:rPr>
        <w:rFonts w:hint="eastAsia" w:ascii="宋体" w:hAnsi="宋体" w:eastAsia="宋体" w:cs="宋体"/>
        <w:color w:val="000000"/>
        <w:kern w:val="0"/>
        <w:sz w:val="22"/>
        <w:szCs w:val="22"/>
        <w:lang w:val="en-US" w:eastAsia="zh-CN" w:bidi="ar"/>
      </w:rPr>
    </w:pPr>
  </w:p>
  <w:p>
    <w:pPr>
      <w:keepNext w:val="0"/>
      <w:keepLines w:val="0"/>
      <w:widowControl/>
      <w:suppressLineNumbers w:val="0"/>
      <w:jc w:val="right"/>
      <w:rPr>
        <w:rFonts w:hint="eastAsia" w:ascii="宋体" w:hAnsi="宋体" w:eastAsia="宋体" w:cs="宋体"/>
        <w:color w:val="000000"/>
        <w:kern w:val="0"/>
        <w:sz w:val="22"/>
        <w:szCs w:val="22"/>
        <w:lang w:val="en-US" w:eastAsia="zh-CN" w:bidi="ar"/>
      </w:rPr>
    </w:pPr>
  </w:p>
  <w:p>
    <w:pPr>
      <w:keepNext w:val="0"/>
      <w:keepLines w:val="0"/>
      <w:widowControl/>
      <w:suppressLineNumbers w:val="0"/>
      <w:jc w:val="right"/>
      <w:rPr>
        <w:rFonts w:hint="default"/>
        <w:lang w:val="en-US"/>
      </w:rPr>
    </w:pPr>
    <w:r>
      <w:rPr>
        <w:rFonts w:hint="eastAsia" w:ascii="宋体" w:hAnsi="宋体" w:eastAsia="宋体" w:cs="宋体"/>
        <w:color w:val="000000"/>
        <w:kern w:val="0"/>
        <w:sz w:val="22"/>
        <w:szCs w:val="22"/>
        <w:lang w:val="en-US" w:eastAsia="zh-CN" w:bidi="ar"/>
      </w:rPr>
      <w:t>版本编号：NWGY-2026-01</w:t>
    </w:r>
  </w:p>
  <w:p>
    <w:pPr>
      <w:pStyle w:val="7"/>
      <w:rPr>
        <w:rFonts w:hint="default"/>
        <w:lang w:val="en-US"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ECDF133"/>
    <w:multiLevelType w:val="singleLevel"/>
    <w:tmpl w:val="AECDF133"/>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3"/>
  <w:doNotDisplayPageBoundaries w:val="1"/>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4"/>
    <w:footnote w:id="5"/>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rsids>
    <w:rsidRoot w:val="00000000"/>
    <w:rsid w:val="001C054B"/>
    <w:rsid w:val="00476767"/>
    <w:rsid w:val="00727A7E"/>
    <w:rsid w:val="00937981"/>
    <w:rsid w:val="00A4569D"/>
    <w:rsid w:val="00A6531D"/>
    <w:rsid w:val="00D269DD"/>
    <w:rsid w:val="00FE40CE"/>
    <w:rsid w:val="01F20D71"/>
    <w:rsid w:val="02256A93"/>
    <w:rsid w:val="022E3D73"/>
    <w:rsid w:val="02416D93"/>
    <w:rsid w:val="02975ACD"/>
    <w:rsid w:val="02AC5429"/>
    <w:rsid w:val="02B90B7A"/>
    <w:rsid w:val="02B90FED"/>
    <w:rsid w:val="02DB45E0"/>
    <w:rsid w:val="02EF77E1"/>
    <w:rsid w:val="02FF754F"/>
    <w:rsid w:val="034D4E02"/>
    <w:rsid w:val="03CE13CD"/>
    <w:rsid w:val="04074A2A"/>
    <w:rsid w:val="040A1D3B"/>
    <w:rsid w:val="0429156C"/>
    <w:rsid w:val="044A0997"/>
    <w:rsid w:val="04556C57"/>
    <w:rsid w:val="04655B3A"/>
    <w:rsid w:val="04690D5E"/>
    <w:rsid w:val="04D2121D"/>
    <w:rsid w:val="04E54452"/>
    <w:rsid w:val="05043648"/>
    <w:rsid w:val="05330A64"/>
    <w:rsid w:val="05C057F4"/>
    <w:rsid w:val="05D21B3E"/>
    <w:rsid w:val="05EA3215"/>
    <w:rsid w:val="05ED0FE4"/>
    <w:rsid w:val="064957C2"/>
    <w:rsid w:val="06983539"/>
    <w:rsid w:val="069872E2"/>
    <w:rsid w:val="06B653CC"/>
    <w:rsid w:val="06F96615"/>
    <w:rsid w:val="071137D1"/>
    <w:rsid w:val="07557695"/>
    <w:rsid w:val="07867E64"/>
    <w:rsid w:val="078759FA"/>
    <w:rsid w:val="07903FF7"/>
    <w:rsid w:val="07983601"/>
    <w:rsid w:val="07B25830"/>
    <w:rsid w:val="07C702AF"/>
    <w:rsid w:val="07D32EE5"/>
    <w:rsid w:val="08154499"/>
    <w:rsid w:val="08162AB1"/>
    <w:rsid w:val="08A15138"/>
    <w:rsid w:val="08B24456"/>
    <w:rsid w:val="08C7059E"/>
    <w:rsid w:val="08C76272"/>
    <w:rsid w:val="08CB4B52"/>
    <w:rsid w:val="08E8202A"/>
    <w:rsid w:val="090D69E6"/>
    <w:rsid w:val="09105748"/>
    <w:rsid w:val="0924660B"/>
    <w:rsid w:val="092B5F96"/>
    <w:rsid w:val="0955045F"/>
    <w:rsid w:val="09575B61"/>
    <w:rsid w:val="095B7DEA"/>
    <w:rsid w:val="096351F6"/>
    <w:rsid w:val="096F0CDA"/>
    <w:rsid w:val="098F75B8"/>
    <w:rsid w:val="0A1614E5"/>
    <w:rsid w:val="0A547974"/>
    <w:rsid w:val="0A883CD4"/>
    <w:rsid w:val="0AA44133"/>
    <w:rsid w:val="0ACE7750"/>
    <w:rsid w:val="0AFD1714"/>
    <w:rsid w:val="0B125FF3"/>
    <w:rsid w:val="0B5026EC"/>
    <w:rsid w:val="0B6409E9"/>
    <w:rsid w:val="0B770892"/>
    <w:rsid w:val="0B8E5780"/>
    <w:rsid w:val="0BF51CAC"/>
    <w:rsid w:val="0BFF2CEB"/>
    <w:rsid w:val="0C1945F1"/>
    <w:rsid w:val="0C39369B"/>
    <w:rsid w:val="0C3B574C"/>
    <w:rsid w:val="0C3C341D"/>
    <w:rsid w:val="0C724AF9"/>
    <w:rsid w:val="0CA244C0"/>
    <w:rsid w:val="0CA6179B"/>
    <w:rsid w:val="0CB775F4"/>
    <w:rsid w:val="0CDB31C5"/>
    <w:rsid w:val="0D091A3B"/>
    <w:rsid w:val="0D0D2E02"/>
    <w:rsid w:val="0D257E20"/>
    <w:rsid w:val="0D3B2BC7"/>
    <w:rsid w:val="0D4C5AE1"/>
    <w:rsid w:val="0D7978AA"/>
    <w:rsid w:val="0DC444A6"/>
    <w:rsid w:val="0DC66E0C"/>
    <w:rsid w:val="0E7C238C"/>
    <w:rsid w:val="0E885FCA"/>
    <w:rsid w:val="0EB053A8"/>
    <w:rsid w:val="0EB329C7"/>
    <w:rsid w:val="0EB50BC5"/>
    <w:rsid w:val="0EB63A2E"/>
    <w:rsid w:val="0EB84DF2"/>
    <w:rsid w:val="0ECA7618"/>
    <w:rsid w:val="0ED3587E"/>
    <w:rsid w:val="0EE427E7"/>
    <w:rsid w:val="0F2F4472"/>
    <w:rsid w:val="0F454D80"/>
    <w:rsid w:val="0F5B4B91"/>
    <w:rsid w:val="0F6A005A"/>
    <w:rsid w:val="0F8501FF"/>
    <w:rsid w:val="0F9B02C1"/>
    <w:rsid w:val="0FB33E36"/>
    <w:rsid w:val="0FEE24C0"/>
    <w:rsid w:val="0FF137B6"/>
    <w:rsid w:val="0FF14ACA"/>
    <w:rsid w:val="10ED1C84"/>
    <w:rsid w:val="11156904"/>
    <w:rsid w:val="11186A37"/>
    <w:rsid w:val="112160A6"/>
    <w:rsid w:val="112428AE"/>
    <w:rsid w:val="11254AAD"/>
    <w:rsid w:val="11483D68"/>
    <w:rsid w:val="115F7210"/>
    <w:rsid w:val="1160140E"/>
    <w:rsid w:val="11670D99"/>
    <w:rsid w:val="116E6670"/>
    <w:rsid w:val="11736E20"/>
    <w:rsid w:val="118C07BD"/>
    <w:rsid w:val="11CB2733"/>
    <w:rsid w:val="11CB3AC2"/>
    <w:rsid w:val="11DA7D54"/>
    <w:rsid w:val="11DC5FC8"/>
    <w:rsid w:val="11F42600"/>
    <w:rsid w:val="120410B5"/>
    <w:rsid w:val="122218DF"/>
    <w:rsid w:val="126F3326"/>
    <w:rsid w:val="12B11C8F"/>
    <w:rsid w:val="12F7602D"/>
    <w:rsid w:val="13072953"/>
    <w:rsid w:val="130D494D"/>
    <w:rsid w:val="132E26D3"/>
    <w:rsid w:val="13471F15"/>
    <w:rsid w:val="14111FFD"/>
    <w:rsid w:val="14322531"/>
    <w:rsid w:val="144F4060"/>
    <w:rsid w:val="147A37A2"/>
    <w:rsid w:val="148F28CB"/>
    <w:rsid w:val="14985759"/>
    <w:rsid w:val="14B14FFE"/>
    <w:rsid w:val="14B66F07"/>
    <w:rsid w:val="14F23096"/>
    <w:rsid w:val="1504630C"/>
    <w:rsid w:val="15052509"/>
    <w:rsid w:val="151964F3"/>
    <w:rsid w:val="15647DAC"/>
    <w:rsid w:val="1565427A"/>
    <w:rsid w:val="157D6357"/>
    <w:rsid w:val="157F21D3"/>
    <w:rsid w:val="158353F5"/>
    <w:rsid w:val="159D7523"/>
    <w:rsid w:val="15E056F0"/>
    <w:rsid w:val="15F14E49"/>
    <w:rsid w:val="163B4438"/>
    <w:rsid w:val="163D0008"/>
    <w:rsid w:val="16840CA4"/>
    <w:rsid w:val="170743A3"/>
    <w:rsid w:val="175039E8"/>
    <w:rsid w:val="177E5785"/>
    <w:rsid w:val="17E106B9"/>
    <w:rsid w:val="1839468E"/>
    <w:rsid w:val="18577949"/>
    <w:rsid w:val="187B08B7"/>
    <w:rsid w:val="18806715"/>
    <w:rsid w:val="188E5991"/>
    <w:rsid w:val="18C14207"/>
    <w:rsid w:val="18C953AF"/>
    <w:rsid w:val="1938653B"/>
    <w:rsid w:val="19467C35"/>
    <w:rsid w:val="196F2136"/>
    <w:rsid w:val="199B6790"/>
    <w:rsid w:val="19B76DD6"/>
    <w:rsid w:val="19BE1321"/>
    <w:rsid w:val="19D652F0"/>
    <w:rsid w:val="1A031D64"/>
    <w:rsid w:val="1A327298"/>
    <w:rsid w:val="1A4C65B4"/>
    <w:rsid w:val="1A8C0106"/>
    <w:rsid w:val="1A992E30"/>
    <w:rsid w:val="1ACE27C5"/>
    <w:rsid w:val="1AD67E20"/>
    <w:rsid w:val="1B1E690C"/>
    <w:rsid w:val="1B2C48B1"/>
    <w:rsid w:val="1B2C5C22"/>
    <w:rsid w:val="1B394FA6"/>
    <w:rsid w:val="1B8A1E0D"/>
    <w:rsid w:val="1B9C55B4"/>
    <w:rsid w:val="1BAF48D6"/>
    <w:rsid w:val="1BF862DD"/>
    <w:rsid w:val="1C0C6595"/>
    <w:rsid w:val="1C0F3C96"/>
    <w:rsid w:val="1C216D59"/>
    <w:rsid w:val="1C503119"/>
    <w:rsid w:val="1C515A75"/>
    <w:rsid w:val="1C705992"/>
    <w:rsid w:val="1C7217BC"/>
    <w:rsid w:val="1C831A57"/>
    <w:rsid w:val="1CB15A1E"/>
    <w:rsid w:val="1CCA26BA"/>
    <w:rsid w:val="1D0667AD"/>
    <w:rsid w:val="1D1012BA"/>
    <w:rsid w:val="1D253EFC"/>
    <w:rsid w:val="1D2E40EE"/>
    <w:rsid w:val="1D7B6EC1"/>
    <w:rsid w:val="1D827349"/>
    <w:rsid w:val="1D87261B"/>
    <w:rsid w:val="1D8C4487"/>
    <w:rsid w:val="1DE56C4B"/>
    <w:rsid w:val="1E3C2FA6"/>
    <w:rsid w:val="1E51379E"/>
    <w:rsid w:val="1EC758A9"/>
    <w:rsid w:val="1F4B0BE5"/>
    <w:rsid w:val="1F4D1EEA"/>
    <w:rsid w:val="1FB55E1C"/>
    <w:rsid w:val="1FCF6A18"/>
    <w:rsid w:val="1FD06C40"/>
    <w:rsid w:val="1FE91D68"/>
    <w:rsid w:val="202C1558"/>
    <w:rsid w:val="204C5CDE"/>
    <w:rsid w:val="20BB6867"/>
    <w:rsid w:val="20D9319F"/>
    <w:rsid w:val="2107261C"/>
    <w:rsid w:val="21792885"/>
    <w:rsid w:val="21814E6E"/>
    <w:rsid w:val="218C2747"/>
    <w:rsid w:val="21B7220C"/>
    <w:rsid w:val="21DC5A1B"/>
    <w:rsid w:val="21F27BBF"/>
    <w:rsid w:val="220849DB"/>
    <w:rsid w:val="220D693F"/>
    <w:rsid w:val="2220194A"/>
    <w:rsid w:val="22310E88"/>
    <w:rsid w:val="22332576"/>
    <w:rsid w:val="22522A97"/>
    <w:rsid w:val="22632A56"/>
    <w:rsid w:val="22734C95"/>
    <w:rsid w:val="22826A62"/>
    <w:rsid w:val="228F2B25"/>
    <w:rsid w:val="22A40302"/>
    <w:rsid w:val="22D03052"/>
    <w:rsid w:val="230D5D8D"/>
    <w:rsid w:val="234939F4"/>
    <w:rsid w:val="23653850"/>
    <w:rsid w:val="23667637"/>
    <w:rsid w:val="236C180A"/>
    <w:rsid w:val="23925A44"/>
    <w:rsid w:val="239B658D"/>
    <w:rsid w:val="23B37820"/>
    <w:rsid w:val="23FD325B"/>
    <w:rsid w:val="24013A35"/>
    <w:rsid w:val="244253D9"/>
    <w:rsid w:val="246D02D3"/>
    <w:rsid w:val="24726959"/>
    <w:rsid w:val="247477D5"/>
    <w:rsid w:val="2483511E"/>
    <w:rsid w:val="24992B83"/>
    <w:rsid w:val="24AC6AA7"/>
    <w:rsid w:val="24D30978"/>
    <w:rsid w:val="25006D74"/>
    <w:rsid w:val="250E682C"/>
    <w:rsid w:val="254002AB"/>
    <w:rsid w:val="25513603"/>
    <w:rsid w:val="25835BD3"/>
    <w:rsid w:val="25D971A5"/>
    <w:rsid w:val="25FE3067"/>
    <w:rsid w:val="2616700A"/>
    <w:rsid w:val="261C4796"/>
    <w:rsid w:val="26421153"/>
    <w:rsid w:val="264D0F5A"/>
    <w:rsid w:val="26847E04"/>
    <w:rsid w:val="268550BF"/>
    <w:rsid w:val="26967EB4"/>
    <w:rsid w:val="26A81E0E"/>
    <w:rsid w:val="26D51B65"/>
    <w:rsid w:val="26F215DE"/>
    <w:rsid w:val="27BD063F"/>
    <w:rsid w:val="27CA19A3"/>
    <w:rsid w:val="27CE635B"/>
    <w:rsid w:val="28533A85"/>
    <w:rsid w:val="288552EF"/>
    <w:rsid w:val="289E0FB2"/>
    <w:rsid w:val="28A563BE"/>
    <w:rsid w:val="28D4554A"/>
    <w:rsid w:val="293D25A4"/>
    <w:rsid w:val="29547C66"/>
    <w:rsid w:val="29692159"/>
    <w:rsid w:val="299B2660"/>
    <w:rsid w:val="299E2475"/>
    <w:rsid w:val="29B1622F"/>
    <w:rsid w:val="29B60188"/>
    <w:rsid w:val="2A4547E5"/>
    <w:rsid w:val="2A6D5451"/>
    <w:rsid w:val="2A78006F"/>
    <w:rsid w:val="2A8F1762"/>
    <w:rsid w:val="2AA73585"/>
    <w:rsid w:val="2AB66182"/>
    <w:rsid w:val="2AC179B2"/>
    <w:rsid w:val="2B152059"/>
    <w:rsid w:val="2B2B3B24"/>
    <w:rsid w:val="2B2E545E"/>
    <w:rsid w:val="2B5E5693"/>
    <w:rsid w:val="2B653350"/>
    <w:rsid w:val="2B6E0DD0"/>
    <w:rsid w:val="2B9F73A1"/>
    <w:rsid w:val="2BCA5C66"/>
    <w:rsid w:val="2BCA6932"/>
    <w:rsid w:val="2C031C22"/>
    <w:rsid w:val="2C380499"/>
    <w:rsid w:val="2C74067E"/>
    <w:rsid w:val="2C7A6F87"/>
    <w:rsid w:val="2C7F15F4"/>
    <w:rsid w:val="2CD31D86"/>
    <w:rsid w:val="2CF36271"/>
    <w:rsid w:val="2D0C5AF5"/>
    <w:rsid w:val="2D8A23C4"/>
    <w:rsid w:val="2DF14383"/>
    <w:rsid w:val="2DF66BD3"/>
    <w:rsid w:val="2E051C5F"/>
    <w:rsid w:val="2E5770E9"/>
    <w:rsid w:val="2E826345"/>
    <w:rsid w:val="2E9D3027"/>
    <w:rsid w:val="2EA077B7"/>
    <w:rsid w:val="2EB10CDE"/>
    <w:rsid w:val="2ED72029"/>
    <w:rsid w:val="2F241835"/>
    <w:rsid w:val="2F4511E1"/>
    <w:rsid w:val="2F6D7F4D"/>
    <w:rsid w:val="2F6E768A"/>
    <w:rsid w:val="2F77571A"/>
    <w:rsid w:val="2F866987"/>
    <w:rsid w:val="2F981831"/>
    <w:rsid w:val="2FB63F10"/>
    <w:rsid w:val="30033F6D"/>
    <w:rsid w:val="306D22D8"/>
    <w:rsid w:val="309C64CF"/>
    <w:rsid w:val="30A87D63"/>
    <w:rsid w:val="314531B2"/>
    <w:rsid w:val="314D2A6F"/>
    <w:rsid w:val="314D62F2"/>
    <w:rsid w:val="3172742B"/>
    <w:rsid w:val="3174661E"/>
    <w:rsid w:val="31800F82"/>
    <w:rsid w:val="318513CE"/>
    <w:rsid w:val="31862941"/>
    <w:rsid w:val="318F16E7"/>
    <w:rsid w:val="319152F0"/>
    <w:rsid w:val="31B43718"/>
    <w:rsid w:val="31B520F6"/>
    <w:rsid w:val="31BF532C"/>
    <w:rsid w:val="325B00F2"/>
    <w:rsid w:val="32990513"/>
    <w:rsid w:val="32C4034C"/>
    <w:rsid w:val="33225C4A"/>
    <w:rsid w:val="33316147"/>
    <w:rsid w:val="337D6587"/>
    <w:rsid w:val="33837581"/>
    <w:rsid w:val="338556DC"/>
    <w:rsid w:val="33955AD7"/>
    <w:rsid w:val="33AA0147"/>
    <w:rsid w:val="33CE30FF"/>
    <w:rsid w:val="33D43EF9"/>
    <w:rsid w:val="34170F4E"/>
    <w:rsid w:val="349A34DB"/>
    <w:rsid w:val="350062A4"/>
    <w:rsid w:val="35183DAA"/>
    <w:rsid w:val="3525555A"/>
    <w:rsid w:val="353942DE"/>
    <w:rsid w:val="356308C3"/>
    <w:rsid w:val="35687150"/>
    <w:rsid w:val="356B6221"/>
    <w:rsid w:val="35711A16"/>
    <w:rsid w:val="35A2048B"/>
    <w:rsid w:val="35F9471D"/>
    <w:rsid w:val="36562DED"/>
    <w:rsid w:val="36740E26"/>
    <w:rsid w:val="36CF347B"/>
    <w:rsid w:val="374C0B26"/>
    <w:rsid w:val="374C1754"/>
    <w:rsid w:val="37A441F9"/>
    <w:rsid w:val="37B101EB"/>
    <w:rsid w:val="37DB1B36"/>
    <w:rsid w:val="37F50F33"/>
    <w:rsid w:val="381051E0"/>
    <w:rsid w:val="38186D54"/>
    <w:rsid w:val="38277D06"/>
    <w:rsid w:val="387A56B5"/>
    <w:rsid w:val="388D52AC"/>
    <w:rsid w:val="38A05342"/>
    <w:rsid w:val="38CE7A0F"/>
    <w:rsid w:val="38D006A0"/>
    <w:rsid w:val="38D94A42"/>
    <w:rsid w:val="39014694"/>
    <w:rsid w:val="391C1085"/>
    <w:rsid w:val="39493C2A"/>
    <w:rsid w:val="394D193A"/>
    <w:rsid w:val="396B7257"/>
    <w:rsid w:val="3972056A"/>
    <w:rsid w:val="397F4F63"/>
    <w:rsid w:val="398C5118"/>
    <w:rsid w:val="398D4A17"/>
    <w:rsid w:val="39903CCF"/>
    <w:rsid w:val="39B13910"/>
    <w:rsid w:val="39B51BBA"/>
    <w:rsid w:val="39BD2849"/>
    <w:rsid w:val="39BF3E64"/>
    <w:rsid w:val="39C656D7"/>
    <w:rsid w:val="39DC6059"/>
    <w:rsid w:val="39EF3CA5"/>
    <w:rsid w:val="3A48594E"/>
    <w:rsid w:val="3A736AF5"/>
    <w:rsid w:val="3AAA76BA"/>
    <w:rsid w:val="3AB151EE"/>
    <w:rsid w:val="3AB17063"/>
    <w:rsid w:val="3AC807E9"/>
    <w:rsid w:val="3B3E74C2"/>
    <w:rsid w:val="3B551F80"/>
    <w:rsid w:val="3B667382"/>
    <w:rsid w:val="3B893F22"/>
    <w:rsid w:val="3BB4167F"/>
    <w:rsid w:val="3BE84243"/>
    <w:rsid w:val="3BF97BF5"/>
    <w:rsid w:val="3C10781A"/>
    <w:rsid w:val="3C326368"/>
    <w:rsid w:val="3C3F2AFB"/>
    <w:rsid w:val="3CC054B6"/>
    <w:rsid w:val="3D4C2FA5"/>
    <w:rsid w:val="3D623944"/>
    <w:rsid w:val="3D713A94"/>
    <w:rsid w:val="3D986FCD"/>
    <w:rsid w:val="3D9F37A9"/>
    <w:rsid w:val="3DA43295"/>
    <w:rsid w:val="3DB85712"/>
    <w:rsid w:val="3DC448E2"/>
    <w:rsid w:val="3DCA7500"/>
    <w:rsid w:val="3DE31781"/>
    <w:rsid w:val="3E183853"/>
    <w:rsid w:val="3E1A4B24"/>
    <w:rsid w:val="3E5D15DE"/>
    <w:rsid w:val="3ECC4C5D"/>
    <w:rsid w:val="3F2E4ADC"/>
    <w:rsid w:val="3FC75B4C"/>
    <w:rsid w:val="3FD020C9"/>
    <w:rsid w:val="3FF61A6C"/>
    <w:rsid w:val="401E14D8"/>
    <w:rsid w:val="4068304B"/>
    <w:rsid w:val="408234E1"/>
    <w:rsid w:val="40900279"/>
    <w:rsid w:val="40965A05"/>
    <w:rsid w:val="40B67606"/>
    <w:rsid w:val="40BA692C"/>
    <w:rsid w:val="40F07398"/>
    <w:rsid w:val="41557271"/>
    <w:rsid w:val="41582240"/>
    <w:rsid w:val="41CA1039"/>
    <w:rsid w:val="4265497C"/>
    <w:rsid w:val="428D00BE"/>
    <w:rsid w:val="428D2E2F"/>
    <w:rsid w:val="42932E0A"/>
    <w:rsid w:val="4302227B"/>
    <w:rsid w:val="43087BB3"/>
    <w:rsid w:val="43873B5A"/>
    <w:rsid w:val="43E72937"/>
    <w:rsid w:val="441D624B"/>
    <w:rsid w:val="441E7550"/>
    <w:rsid w:val="442510D9"/>
    <w:rsid w:val="443F5506"/>
    <w:rsid w:val="44496BC8"/>
    <w:rsid w:val="44764150"/>
    <w:rsid w:val="44963CF1"/>
    <w:rsid w:val="44E51517"/>
    <w:rsid w:val="44EF08B2"/>
    <w:rsid w:val="4511089B"/>
    <w:rsid w:val="45205E79"/>
    <w:rsid w:val="453F1DE7"/>
    <w:rsid w:val="45464AF0"/>
    <w:rsid w:val="45D959B9"/>
    <w:rsid w:val="45EB6847"/>
    <w:rsid w:val="4622569C"/>
    <w:rsid w:val="46323D4A"/>
    <w:rsid w:val="464809A2"/>
    <w:rsid w:val="46B87A73"/>
    <w:rsid w:val="46E22257"/>
    <w:rsid w:val="477A5D62"/>
    <w:rsid w:val="47AC51A3"/>
    <w:rsid w:val="47C118C5"/>
    <w:rsid w:val="47ED7C17"/>
    <w:rsid w:val="47F44954"/>
    <w:rsid w:val="48273F97"/>
    <w:rsid w:val="484978B7"/>
    <w:rsid w:val="484C5BE0"/>
    <w:rsid w:val="489A439E"/>
    <w:rsid w:val="48DD1BC6"/>
    <w:rsid w:val="48F63EC0"/>
    <w:rsid w:val="49316623"/>
    <w:rsid w:val="496845D0"/>
    <w:rsid w:val="49820C82"/>
    <w:rsid w:val="499F726E"/>
    <w:rsid w:val="49AE4D9E"/>
    <w:rsid w:val="4A780B39"/>
    <w:rsid w:val="4A9061E0"/>
    <w:rsid w:val="4A9A27AA"/>
    <w:rsid w:val="4AB2329C"/>
    <w:rsid w:val="4AF149CF"/>
    <w:rsid w:val="4B2201D1"/>
    <w:rsid w:val="4B3A3A22"/>
    <w:rsid w:val="4B416906"/>
    <w:rsid w:val="4B4A3340"/>
    <w:rsid w:val="4B80068C"/>
    <w:rsid w:val="4BA076A2"/>
    <w:rsid w:val="4BAF5D17"/>
    <w:rsid w:val="4BB53E11"/>
    <w:rsid w:val="4BED3F1E"/>
    <w:rsid w:val="4C294708"/>
    <w:rsid w:val="4C6C28E0"/>
    <w:rsid w:val="4C8F7A4C"/>
    <w:rsid w:val="4CB23F05"/>
    <w:rsid w:val="4CCF7D94"/>
    <w:rsid w:val="4CD21707"/>
    <w:rsid w:val="4CD448F6"/>
    <w:rsid w:val="4D021BEE"/>
    <w:rsid w:val="4D840619"/>
    <w:rsid w:val="4D94087D"/>
    <w:rsid w:val="4DA76875"/>
    <w:rsid w:val="4DD3633D"/>
    <w:rsid w:val="4DEA38DB"/>
    <w:rsid w:val="4DF75E0A"/>
    <w:rsid w:val="4E0E741B"/>
    <w:rsid w:val="4E244C9C"/>
    <w:rsid w:val="4E306A42"/>
    <w:rsid w:val="4E52248E"/>
    <w:rsid w:val="4E872A13"/>
    <w:rsid w:val="4EA03174"/>
    <w:rsid w:val="4ECF74D9"/>
    <w:rsid w:val="4F214D1F"/>
    <w:rsid w:val="4F691C56"/>
    <w:rsid w:val="4F9260F6"/>
    <w:rsid w:val="4F952368"/>
    <w:rsid w:val="4FC56BAA"/>
    <w:rsid w:val="4FE75DA8"/>
    <w:rsid w:val="509748C6"/>
    <w:rsid w:val="50D84EB1"/>
    <w:rsid w:val="50EF74D3"/>
    <w:rsid w:val="50FB5E65"/>
    <w:rsid w:val="51095668"/>
    <w:rsid w:val="5111350A"/>
    <w:rsid w:val="514F4E6E"/>
    <w:rsid w:val="515B1A65"/>
    <w:rsid w:val="5162107A"/>
    <w:rsid w:val="51FE5112"/>
    <w:rsid w:val="52003D8A"/>
    <w:rsid w:val="521605BB"/>
    <w:rsid w:val="521A11BF"/>
    <w:rsid w:val="52463308"/>
    <w:rsid w:val="526E5618"/>
    <w:rsid w:val="528D2471"/>
    <w:rsid w:val="529D3D17"/>
    <w:rsid w:val="52AA73EB"/>
    <w:rsid w:val="52AF74B4"/>
    <w:rsid w:val="52F417D2"/>
    <w:rsid w:val="531940D3"/>
    <w:rsid w:val="53194965"/>
    <w:rsid w:val="535242DF"/>
    <w:rsid w:val="53AE4E59"/>
    <w:rsid w:val="53D23F5E"/>
    <w:rsid w:val="53DB4A23"/>
    <w:rsid w:val="540C1A63"/>
    <w:rsid w:val="5414739B"/>
    <w:rsid w:val="54167D00"/>
    <w:rsid w:val="541D1685"/>
    <w:rsid w:val="544D3FAE"/>
    <w:rsid w:val="547263F4"/>
    <w:rsid w:val="547E0425"/>
    <w:rsid w:val="54B53110"/>
    <w:rsid w:val="55447E18"/>
    <w:rsid w:val="55887308"/>
    <w:rsid w:val="559C64A6"/>
    <w:rsid w:val="55DA66E7"/>
    <w:rsid w:val="55E53CA9"/>
    <w:rsid w:val="56070F5D"/>
    <w:rsid w:val="560B64B1"/>
    <w:rsid w:val="56913CF1"/>
    <w:rsid w:val="56925E96"/>
    <w:rsid w:val="576D72DB"/>
    <w:rsid w:val="577D4B9A"/>
    <w:rsid w:val="57C2742B"/>
    <w:rsid w:val="57CA05CB"/>
    <w:rsid w:val="57CC4919"/>
    <w:rsid w:val="57E96A49"/>
    <w:rsid w:val="57FB5468"/>
    <w:rsid w:val="580759F7"/>
    <w:rsid w:val="580F0885"/>
    <w:rsid w:val="5815278F"/>
    <w:rsid w:val="584C6DBF"/>
    <w:rsid w:val="5855178F"/>
    <w:rsid w:val="58664B17"/>
    <w:rsid w:val="589939CD"/>
    <w:rsid w:val="58BC4221"/>
    <w:rsid w:val="58C064AB"/>
    <w:rsid w:val="58FA3F1D"/>
    <w:rsid w:val="59384E70"/>
    <w:rsid w:val="5940227C"/>
    <w:rsid w:val="59467CD1"/>
    <w:rsid w:val="59780CDB"/>
    <w:rsid w:val="59C36FD2"/>
    <w:rsid w:val="59F15148"/>
    <w:rsid w:val="59F96AFC"/>
    <w:rsid w:val="5A20045A"/>
    <w:rsid w:val="5A4717AA"/>
    <w:rsid w:val="5A563010"/>
    <w:rsid w:val="5AAD7B4D"/>
    <w:rsid w:val="5AB752E1"/>
    <w:rsid w:val="5AD03C8C"/>
    <w:rsid w:val="5ADB7A9F"/>
    <w:rsid w:val="5AEB22B8"/>
    <w:rsid w:val="5B0E2DD5"/>
    <w:rsid w:val="5B12148F"/>
    <w:rsid w:val="5B3224B0"/>
    <w:rsid w:val="5B47134C"/>
    <w:rsid w:val="5B783BA2"/>
    <w:rsid w:val="5B7A10C3"/>
    <w:rsid w:val="5B8759B9"/>
    <w:rsid w:val="5B915BF3"/>
    <w:rsid w:val="5BD80C3B"/>
    <w:rsid w:val="5BF27267"/>
    <w:rsid w:val="5C3735EB"/>
    <w:rsid w:val="5C522B03"/>
    <w:rsid w:val="5C7C3CB1"/>
    <w:rsid w:val="5C8D358B"/>
    <w:rsid w:val="5CBE34B8"/>
    <w:rsid w:val="5D1D5C03"/>
    <w:rsid w:val="5D4F795C"/>
    <w:rsid w:val="5D7054D9"/>
    <w:rsid w:val="5D8D744A"/>
    <w:rsid w:val="5DAC403A"/>
    <w:rsid w:val="5DDB4B89"/>
    <w:rsid w:val="5DEA337F"/>
    <w:rsid w:val="5DF66A37"/>
    <w:rsid w:val="5E0943D3"/>
    <w:rsid w:val="5E2344C0"/>
    <w:rsid w:val="5E7F7895"/>
    <w:rsid w:val="5ED00919"/>
    <w:rsid w:val="5EE2793A"/>
    <w:rsid w:val="5F0E1A83"/>
    <w:rsid w:val="5F1F569B"/>
    <w:rsid w:val="5F2F716C"/>
    <w:rsid w:val="5F495694"/>
    <w:rsid w:val="5F737D3B"/>
    <w:rsid w:val="5F7E0234"/>
    <w:rsid w:val="5F8116DF"/>
    <w:rsid w:val="5F9F7EDB"/>
    <w:rsid w:val="5FEC366F"/>
    <w:rsid w:val="5FF40A7C"/>
    <w:rsid w:val="6043627C"/>
    <w:rsid w:val="60472A84"/>
    <w:rsid w:val="604D05E5"/>
    <w:rsid w:val="605F3BF2"/>
    <w:rsid w:val="60837687"/>
    <w:rsid w:val="60A3109B"/>
    <w:rsid w:val="60A652C2"/>
    <w:rsid w:val="60F37E1C"/>
    <w:rsid w:val="61054577"/>
    <w:rsid w:val="613E3956"/>
    <w:rsid w:val="613E3F16"/>
    <w:rsid w:val="616A1901"/>
    <w:rsid w:val="61830BFA"/>
    <w:rsid w:val="61935975"/>
    <w:rsid w:val="619758A9"/>
    <w:rsid w:val="61B20E1B"/>
    <w:rsid w:val="61C52EF5"/>
    <w:rsid w:val="61FE6777"/>
    <w:rsid w:val="6200643D"/>
    <w:rsid w:val="624C7A0B"/>
    <w:rsid w:val="627252D3"/>
    <w:rsid w:val="62940BEC"/>
    <w:rsid w:val="62F03969"/>
    <w:rsid w:val="63483071"/>
    <w:rsid w:val="63672094"/>
    <w:rsid w:val="63901267"/>
    <w:rsid w:val="63931323"/>
    <w:rsid w:val="63AB50B3"/>
    <w:rsid w:val="63D11CD0"/>
    <w:rsid w:val="640B2DAF"/>
    <w:rsid w:val="64282A33"/>
    <w:rsid w:val="642968EB"/>
    <w:rsid w:val="644D6CAB"/>
    <w:rsid w:val="64596999"/>
    <w:rsid w:val="64642182"/>
    <w:rsid w:val="64C50A0A"/>
    <w:rsid w:val="64D400E5"/>
    <w:rsid w:val="64FA2A38"/>
    <w:rsid w:val="658A0895"/>
    <w:rsid w:val="65BE0B0B"/>
    <w:rsid w:val="66161F0A"/>
    <w:rsid w:val="66A44309"/>
    <w:rsid w:val="66AB23FE"/>
    <w:rsid w:val="66CB0734"/>
    <w:rsid w:val="66D51044"/>
    <w:rsid w:val="671A6581"/>
    <w:rsid w:val="672E222A"/>
    <w:rsid w:val="6751640F"/>
    <w:rsid w:val="675C2222"/>
    <w:rsid w:val="676A27C9"/>
    <w:rsid w:val="68024591"/>
    <w:rsid w:val="683B21FE"/>
    <w:rsid w:val="683E01D5"/>
    <w:rsid w:val="68845596"/>
    <w:rsid w:val="689E69B8"/>
    <w:rsid w:val="68C535DF"/>
    <w:rsid w:val="68C5725A"/>
    <w:rsid w:val="68DC26A5"/>
    <w:rsid w:val="68F74697"/>
    <w:rsid w:val="695C2380"/>
    <w:rsid w:val="69721491"/>
    <w:rsid w:val="69AF3970"/>
    <w:rsid w:val="69E718CB"/>
    <w:rsid w:val="6A062767"/>
    <w:rsid w:val="6A075683"/>
    <w:rsid w:val="6A226246"/>
    <w:rsid w:val="6A423BFF"/>
    <w:rsid w:val="6A6F3F78"/>
    <w:rsid w:val="6A775937"/>
    <w:rsid w:val="6A9B4112"/>
    <w:rsid w:val="6AA319DC"/>
    <w:rsid w:val="6AC22533"/>
    <w:rsid w:val="6AEE3EE8"/>
    <w:rsid w:val="6AFE4916"/>
    <w:rsid w:val="6B1113B9"/>
    <w:rsid w:val="6B470926"/>
    <w:rsid w:val="6B9E0334"/>
    <w:rsid w:val="6BF306A7"/>
    <w:rsid w:val="6BF44366"/>
    <w:rsid w:val="6BFE68E7"/>
    <w:rsid w:val="6C1001D9"/>
    <w:rsid w:val="6C404029"/>
    <w:rsid w:val="6C4B45B8"/>
    <w:rsid w:val="6C734478"/>
    <w:rsid w:val="6CC920D0"/>
    <w:rsid w:val="6CF34E8B"/>
    <w:rsid w:val="6CFA3457"/>
    <w:rsid w:val="6CFB0ED9"/>
    <w:rsid w:val="6CFB5C25"/>
    <w:rsid w:val="6CFE56E1"/>
    <w:rsid w:val="6D093541"/>
    <w:rsid w:val="6D1253AB"/>
    <w:rsid w:val="6D523E98"/>
    <w:rsid w:val="6D6D695C"/>
    <w:rsid w:val="6D914BEF"/>
    <w:rsid w:val="6DAF376B"/>
    <w:rsid w:val="6DFB373A"/>
    <w:rsid w:val="6E10666E"/>
    <w:rsid w:val="6E3D05EC"/>
    <w:rsid w:val="6E6A5FB7"/>
    <w:rsid w:val="6E737441"/>
    <w:rsid w:val="6E762038"/>
    <w:rsid w:val="6E7F02FD"/>
    <w:rsid w:val="6EA97D2F"/>
    <w:rsid w:val="6EF417ED"/>
    <w:rsid w:val="6F094805"/>
    <w:rsid w:val="6F5E6D24"/>
    <w:rsid w:val="6F6E41E1"/>
    <w:rsid w:val="6FBC64DE"/>
    <w:rsid w:val="6FDA5A8E"/>
    <w:rsid w:val="6FDB6D93"/>
    <w:rsid w:val="6FE412CF"/>
    <w:rsid w:val="6FFC72C8"/>
    <w:rsid w:val="70302076"/>
    <w:rsid w:val="70A67440"/>
    <w:rsid w:val="713A21D2"/>
    <w:rsid w:val="71400858"/>
    <w:rsid w:val="71A053FA"/>
    <w:rsid w:val="71BE6D71"/>
    <w:rsid w:val="71E01896"/>
    <w:rsid w:val="71EB0C4D"/>
    <w:rsid w:val="720C252B"/>
    <w:rsid w:val="72111779"/>
    <w:rsid w:val="7246140B"/>
    <w:rsid w:val="72490B8D"/>
    <w:rsid w:val="728F1D1B"/>
    <w:rsid w:val="72954A0D"/>
    <w:rsid w:val="72B13D23"/>
    <w:rsid w:val="72BC104A"/>
    <w:rsid w:val="72D2576C"/>
    <w:rsid w:val="72DC3AFD"/>
    <w:rsid w:val="72EE509C"/>
    <w:rsid w:val="732F1BFB"/>
    <w:rsid w:val="735525DB"/>
    <w:rsid w:val="735F1ED8"/>
    <w:rsid w:val="736309AA"/>
    <w:rsid w:val="737465FA"/>
    <w:rsid w:val="737E18B7"/>
    <w:rsid w:val="739C06B8"/>
    <w:rsid w:val="73A67A3D"/>
    <w:rsid w:val="73C4458D"/>
    <w:rsid w:val="73F72FC9"/>
    <w:rsid w:val="743C6043"/>
    <w:rsid w:val="744B2DDA"/>
    <w:rsid w:val="745122FA"/>
    <w:rsid w:val="74755503"/>
    <w:rsid w:val="74DB35C2"/>
    <w:rsid w:val="74FB45E1"/>
    <w:rsid w:val="7510601B"/>
    <w:rsid w:val="75171229"/>
    <w:rsid w:val="753D199C"/>
    <w:rsid w:val="755F4EA1"/>
    <w:rsid w:val="756E1177"/>
    <w:rsid w:val="75735A9C"/>
    <w:rsid w:val="757415C3"/>
    <w:rsid w:val="759B5BFF"/>
    <w:rsid w:val="75CA4550"/>
    <w:rsid w:val="75DD1EEC"/>
    <w:rsid w:val="75E70156"/>
    <w:rsid w:val="76473B19"/>
    <w:rsid w:val="767422F1"/>
    <w:rsid w:val="76761A07"/>
    <w:rsid w:val="7679760E"/>
    <w:rsid w:val="76DE2D93"/>
    <w:rsid w:val="7742155A"/>
    <w:rsid w:val="77430539"/>
    <w:rsid w:val="78016E32"/>
    <w:rsid w:val="7819008A"/>
    <w:rsid w:val="78317A37"/>
    <w:rsid w:val="785E6707"/>
    <w:rsid w:val="78646412"/>
    <w:rsid w:val="78833817"/>
    <w:rsid w:val="78D677BE"/>
    <w:rsid w:val="78F26F7B"/>
    <w:rsid w:val="79093BFB"/>
    <w:rsid w:val="792E135E"/>
    <w:rsid w:val="7949798A"/>
    <w:rsid w:val="79616024"/>
    <w:rsid w:val="79811F0E"/>
    <w:rsid w:val="79D90CBF"/>
    <w:rsid w:val="7A0266EC"/>
    <w:rsid w:val="7A27752A"/>
    <w:rsid w:val="7A3A0065"/>
    <w:rsid w:val="7A6540D5"/>
    <w:rsid w:val="7A8F2AF1"/>
    <w:rsid w:val="7AC53928"/>
    <w:rsid w:val="7AFA7350"/>
    <w:rsid w:val="7B2D75A0"/>
    <w:rsid w:val="7B602C51"/>
    <w:rsid w:val="7B787B72"/>
    <w:rsid w:val="7B8557BC"/>
    <w:rsid w:val="7B885AF5"/>
    <w:rsid w:val="7B9265CA"/>
    <w:rsid w:val="7B9C6959"/>
    <w:rsid w:val="7BCA509C"/>
    <w:rsid w:val="7C1B07B3"/>
    <w:rsid w:val="7C204784"/>
    <w:rsid w:val="7C2B7B49"/>
    <w:rsid w:val="7C5A7FF3"/>
    <w:rsid w:val="7CA21C8A"/>
    <w:rsid w:val="7D032FA8"/>
    <w:rsid w:val="7D090E05"/>
    <w:rsid w:val="7D180DE9"/>
    <w:rsid w:val="7D3F0362"/>
    <w:rsid w:val="7D4177EF"/>
    <w:rsid w:val="7D4D7C1C"/>
    <w:rsid w:val="7D916896"/>
    <w:rsid w:val="7D975F9A"/>
    <w:rsid w:val="7DBE36DC"/>
    <w:rsid w:val="7DC66DA3"/>
    <w:rsid w:val="7DD16AF9"/>
    <w:rsid w:val="7DF369FE"/>
    <w:rsid w:val="7E4200B1"/>
    <w:rsid w:val="7E4F6308"/>
    <w:rsid w:val="7E5F1BE0"/>
    <w:rsid w:val="7E607DD2"/>
    <w:rsid w:val="7E757607"/>
    <w:rsid w:val="7F12031F"/>
    <w:rsid w:val="7F433A1C"/>
    <w:rsid w:val="7F4D7202"/>
    <w:rsid w:val="7F8C718F"/>
    <w:rsid w:val="7F982BE1"/>
    <w:rsid w:val="7FA72A2A"/>
    <w:rsid w:val="7FBE46D3"/>
    <w:rsid w:val="7FC62848"/>
    <w:rsid w:val="7FCC59B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4">
    <w:name w:val="heading 2"/>
    <w:basedOn w:val="1"/>
    <w:next w:val="1"/>
    <w:qFormat/>
    <w:uiPriority w:val="9"/>
    <w:pPr>
      <w:keepNext/>
      <w:keepLines/>
      <w:spacing w:before="260" w:after="260" w:line="416" w:lineRule="auto"/>
      <w:outlineLvl w:val="1"/>
    </w:pPr>
    <w:rPr>
      <w:rFonts w:ascii="@仿宋_GB2312" w:hAnsi="@仿宋_GB2312"/>
      <w:b/>
      <w:bCs/>
      <w:kern w:val="0"/>
      <w:sz w:val="32"/>
      <w:szCs w:val="32"/>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basedOn w:val="1"/>
    <w:next w:val="3"/>
    <w:semiHidden/>
    <w:qFormat/>
    <w:uiPriority w:val="0"/>
    <w:rPr>
      <w:rFonts w:ascii="仿宋" w:hAnsi="仿宋" w:eastAsia="仿宋" w:cs="仿宋"/>
      <w:sz w:val="31"/>
      <w:szCs w:val="31"/>
      <w:lang w:val="en-US" w:eastAsia="en-US" w:bidi="ar-SA"/>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5">
    <w:name w:val="annotation text"/>
    <w:basedOn w:val="1"/>
    <w:qFormat/>
    <w:uiPriority w:val="0"/>
    <w:pPr>
      <w:jc w:val="left"/>
    </w:pPr>
  </w:style>
  <w:style w:type="paragraph" w:styleId="6">
    <w:name w:val="footer"/>
    <w:basedOn w:val="1"/>
    <w:qFormat/>
    <w:uiPriority w:val="0"/>
    <w:pPr>
      <w:tabs>
        <w:tab w:val="center" w:pos="4153"/>
        <w:tab w:val="right" w:pos="8306"/>
      </w:tabs>
      <w:snapToGrid w:val="0"/>
      <w:jc w:val="left"/>
    </w:pPr>
    <w:rPr>
      <w:sz w:val="18"/>
      <w:szCs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footnote text"/>
    <w:basedOn w:val="1"/>
    <w:qFormat/>
    <w:uiPriority w:val="0"/>
    <w:pPr>
      <w:snapToGrid w:val="0"/>
      <w:jc w:val="left"/>
    </w:pPr>
    <w:rPr>
      <w:sz w:val="18"/>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Hyperlink"/>
    <w:basedOn w:val="11"/>
    <w:qFormat/>
    <w:uiPriority w:val="0"/>
    <w:rPr>
      <w:color w:val="0000FF"/>
      <w:u w:val="single"/>
    </w:rPr>
  </w:style>
  <w:style w:type="character" w:styleId="13">
    <w:name w:val="footnote reference"/>
    <w:basedOn w:val="11"/>
    <w:qFormat/>
    <w:uiPriority w:val="0"/>
    <w:rPr>
      <w:vertAlign w:val="superscript"/>
    </w:rPr>
  </w:style>
  <w:style w:type="table" w:customStyle="1" w:styleId="14">
    <w:name w:val="Table Normal"/>
    <w:semiHidden/>
    <w:unhideWhenUsed/>
    <w:qFormat/>
    <w:uiPriority w:val="0"/>
    <w:tblPr>
      <w:tblCellMar>
        <w:top w:w="0" w:type="dxa"/>
        <w:left w:w="0" w:type="dxa"/>
        <w:bottom w:w="0" w:type="dxa"/>
        <w:right w:w="0" w:type="dxa"/>
      </w:tblCellMar>
    </w:tblPr>
  </w:style>
  <w:style w:type="paragraph" w:customStyle="1" w:styleId="15">
    <w:name w:val="Table Text"/>
    <w:basedOn w:val="1"/>
    <w:semiHidden/>
    <w:qFormat/>
    <w:uiPriority w:val="0"/>
    <w:rPr>
      <w:rFonts w:ascii="宋体" w:hAnsi="宋体" w:eastAsia="宋体" w:cs="宋体"/>
      <w:sz w:val="24"/>
      <w:szCs w:val="24"/>
      <w:lang w:val="en-US" w:eastAsia="en-US" w:bidi="ar-SA"/>
    </w:rPr>
  </w:style>
  <w:style w:type="paragraph" w:customStyle="1" w:styleId="16">
    <w:name w:val="表格标题粗体_制度头表格"/>
    <w:qFormat/>
    <w:uiPriority w:val="0"/>
    <w:pPr>
      <w:jc w:val="center"/>
    </w:pPr>
    <w:rPr>
      <w:rFonts w:ascii="Calibri" w:hAnsi="Calibri" w:eastAsia="宋体" w:cs="Times New Roman"/>
      <w:b/>
      <w:sz w:val="21"/>
      <w:szCs w:val="21"/>
      <w:lang w:val="en-US" w:eastAsia="zh-CN" w:bidi="ar-SA"/>
    </w:rPr>
  </w:style>
  <w:style w:type="paragraph" w:customStyle="1" w:styleId="17">
    <w:name w:val="南网正文"/>
    <w:qFormat/>
    <w:uiPriority w:val="0"/>
    <w:pPr>
      <w:spacing w:line="560" w:lineRule="exact"/>
      <w:ind w:firstLine="200" w:firstLineChars="200"/>
      <w:jc w:val="both"/>
    </w:pPr>
    <w:rPr>
      <w:rFonts w:ascii="仿宋" w:hAnsi="仿宋" w:eastAsia="仿宋" w:cs="Times New Roman"/>
      <w:kern w:val="2"/>
      <w:sz w:val="32"/>
      <w:szCs w:val="32"/>
      <w:lang w:val="en-US" w:eastAsia="zh-CN" w:bidi="ar-SA"/>
    </w:rPr>
  </w:style>
  <w:style w:type="character" w:customStyle="1" w:styleId="18">
    <w:name w:val="font41"/>
    <w:basedOn w:val="11"/>
    <w:qFormat/>
    <w:uiPriority w:val="0"/>
    <w:rPr>
      <w:rFonts w:hint="eastAsia" w:ascii="等线" w:hAnsi="等线" w:eastAsia="等线" w:cs="等线"/>
      <w:color w:val="000000"/>
      <w:sz w:val="22"/>
      <w:szCs w:val="22"/>
      <w:u w:val="none"/>
    </w:rPr>
  </w:style>
  <w:style w:type="character" w:customStyle="1" w:styleId="19">
    <w:name w:val="font31"/>
    <w:basedOn w:val="11"/>
    <w:qFormat/>
    <w:uiPriority w:val="0"/>
    <w:rPr>
      <w:rFonts w:hint="eastAsia" w:ascii="宋体" w:hAnsi="宋体" w:eastAsia="宋体" w:cs="宋体"/>
      <w:color w:val="FF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11</Pages>
  <Words>4182</Words>
  <Characters>4406</Characters>
  <TotalTime>8</TotalTime>
  <ScaleCrop>false</ScaleCrop>
  <LinksUpToDate>false</LinksUpToDate>
  <CharactersWithSpaces>4473</CharactersWithSpaces>
  <Application>WPS Office_11.8.2.12309_F1E327BC-269C-435d-A152-05C5408002CA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2024-07-24T08:48:00Z</dcterms:created>
  <dc:creator>NFS</dc:creator>
  <cp:lastModifiedBy>赵欢</cp:lastModifiedBy>
  <dcterms:modified xsi:type="dcterms:W3CDTF">2026-10-13T07:19:18Z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wqlLaW5nc29mdCBQREYgdG8gV1BTIDExMA</vt:lpwstr>
  </property>
  <property fmtid="{D5CDD505-2E9C-101B-9397-08002B2CF9AE}" pid="3" name="Created">
    <vt:filetime>2025-07-14T15:08:43Z</vt:filetime>
  </property>
  <property fmtid="{D5CDD505-2E9C-101B-9397-08002B2CF9AE}" pid="4" name="KSOProductBuildVer">
    <vt:lpwstr>2052-11.8.2.12309</vt:lpwstr>
  </property>
  <property fmtid="{D5CDD505-2E9C-101B-9397-08002B2CF9AE}" pid="5" name="ICV">
    <vt:lpwstr>BE88930093334949A3020D05775FF0F0</vt:lpwstr>
  </property>
  <property fmtid="{D5CDD505-2E9C-101B-9397-08002B2CF9AE}" pid="6" name="KSOTemplateDocerSaveRecord">
    <vt:lpwstr>eyJoZGlkIjoiYzcyZDI4Y2U0OWM1ODdhY2E2NWM5MWIwMDRiMTczYzAiLCJ1c2VySWQiOiIxMDA3OTY2OTI4In0=</vt:lpwstr>
  </property>
</Properties>
</file>