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b w:val="0"/>
          <w:bCs w:val="0"/>
          <w:color w:val="auto"/>
          <w:sz w:val="32"/>
          <w:szCs w:val="32"/>
          <w:highlight w:val="none"/>
          <w:vertAlign w:val="baseli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南方电网数字电网集团有限公司2026年第四季度采购计划</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方正小标宋_GBK" w:hAnsi="方正小标宋_GBK" w:eastAsia="方正小标宋_GBK" w:cs="方正小标宋_GBK"/>
          <w:b w:val="0"/>
          <w:bCs w:val="0"/>
          <w:sz w:val="44"/>
          <w:szCs w:val="4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default" w:asciiTheme="minorEastAsia" w:hAnsiTheme="minorEastAsia" w:cstheme="minorEastAsia"/>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现发布南方电网数字电网集团有限公司2026年第四季度货物、服务、工程采购计划。具体内容如下：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一、主要资格条件</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楷体_GB2312" w:hAnsi="楷体_GB2312" w:eastAsia="楷体_GB2312" w:cs="楷体_GB2312"/>
          <w:b w:val="0"/>
          <w:bCs w:val="0"/>
          <w:color w:val="auto"/>
          <w:sz w:val="32"/>
          <w:szCs w:val="32"/>
          <w:vertAlign w:val="baseline"/>
          <w:lang w:val="en-US" w:eastAsia="zh-CN"/>
        </w:rPr>
      </w:pPr>
      <w:r>
        <w:rPr>
          <w:rFonts w:hint="eastAsia" w:ascii="楷体_GB2312" w:hAnsi="楷体_GB2312" w:eastAsia="楷体_GB2312" w:cs="楷体_GB2312"/>
          <w:b w:val="0"/>
          <w:bCs w:val="0"/>
          <w:color w:val="auto"/>
          <w:sz w:val="32"/>
          <w:szCs w:val="32"/>
          <w:vertAlign w:val="baseline"/>
          <w:lang w:val="en-US" w:eastAsia="zh-CN"/>
        </w:rPr>
        <w:t>（一）货物类</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通用资格：（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2）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 注： 1.企业财务报告至少应当包括：资产负债表、利润表、所有者权益/股东权益变动表（执行小企业会计准则的除外）、现金流量表、附注。 2.执行企业会计准则的事业单位财务报表至少应当包括：资产负债表、收入支出表、现金流量表和报表附注。 3.执行政府会计准则的事业单位财务报表至少应当包括：资产负债表、收入费用表和报表附注。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（3）不接受联合体参与。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（4）</w:t>
      </w:r>
      <w:r>
        <w:rPr>
          <w:rFonts w:hint="default" w:ascii="仿宋_GB2312" w:hAnsi="仿宋_GB2312" w:eastAsia="仿宋_GB2312" w:cs="仿宋_GB2312"/>
          <w:b w:val="0"/>
          <w:bCs w:val="0"/>
          <w:color w:val="auto"/>
          <w:sz w:val="32"/>
          <w:szCs w:val="32"/>
          <w:highlight w:val="none"/>
          <w:vertAlign w:val="baseline"/>
          <w:lang w:val="en-US" w:eastAsia="zh-CN"/>
        </w:rPr>
        <w:t>1.对于国内生产的产品，由产品制造商参与采购活动的，采购成交后必须由该制造商签订合同；由制造商授权的唯一合法代理商/经销商参与采购活动的（制造商和代理商/经销商不能同时投同一标的），必须提供制造商出具的针对该项目的唯一授权投标函，被授权的代理商/经销商不得将所获授权权限转让给他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default" w:ascii="仿宋_GB2312" w:hAnsi="仿宋_GB2312" w:eastAsia="仿宋_GB2312" w:cs="仿宋_GB2312"/>
          <w:b w:val="0"/>
          <w:bCs w:val="0"/>
          <w:color w:val="auto"/>
          <w:sz w:val="32"/>
          <w:szCs w:val="32"/>
          <w:highlight w:val="none"/>
          <w:vertAlign w:val="baseline"/>
          <w:lang w:val="en-US" w:eastAsia="zh-CN"/>
        </w:rPr>
        <w:t>2.凡属进口产品，接受产品制造商在国内注册成立的最高办事机构或授权代理商/经销商参与采购活动，代理商/经销商必须提供制造商出具的针对该项目的唯一授权投标函，被授权的代理商/经销商不得将所获授权权限转让给他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主要专用资格：满足国家强制性资格要求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楷体_GB2312" w:hAnsi="楷体_GB2312" w:eastAsia="楷体_GB2312" w:cs="楷体_GB2312"/>
          <w:b w:val="0"/>
          <w:bCs w:val="0"/>
          <w:color w:val="auto"/>
          <w:sz w:val="32"/>
          <w:szCs w:val="32"/>
          <w:vertAlign w:val="baseline"/>
          <w:lang w:val="en-US" w:eastAsia="zh-CN"/>
        </w:rPr>
      </w:pPr>
      <w:r>
        <w:rPr>
          <w:rFonts w:hint="eastAsia" w:ascii="楷体_GB2312" w:hAnsi="楷体_GB2312" w:eastAsia="楷体_GB2312" w:cs="楷体_GB2312"/>
          <w:b w:val="0"/>
          <w:bCs w:val="0"/>
          <w:color w:val="auto"/>
          <w:sz w:val="32"/>
          <w:szCs w:val="32"/>
          <w:vertAlign w:val="baseline"/>
          <w:lang w:val="en-US" w:eastAsia="zh-CN"/>
        </w:rPr>
        <w:t>（二）服务类</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通用资格：（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2）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 注： 1.企业财务报告至少应当包括：资产负债表、利润表、所有者权益/股东权益变动表（执行小企业会计准则的除外）、现金流量表、附注。 2.执行企业会计准则的事业单位财务报表至少应当包括：资产负债表、收入支出表、现金流量表和报表附注。 3.执行政府会计准则的事业单位财务报表至少应当包括：资产负债表、收入费用表和报表附注。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（3）不接受联合体参与。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主要专用资格：满足国家强制性资格要求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楷体_GB2312" w:hAnsi="楷体_GB2312" w:eastAsia="楷体_GB2312" w:cs="楷体_GB2312"/>
          <w:b w:val="0"/>
          <w:bCs w:val="0"/>
          <w:color w:val="auto"/>
          <w:sz w:val="32"/>
          <w:szCs w:val="32"/>
          <w:vertAlign w:val="baseline"/>
          <w:lang w:val="en-US" w:eastAsia="zh-CN"/>
        </w:rPr>
      </w:pPr>
      <w:r>
        <w:rPr>
          <w:rFonts w:hint="eastAsia" w:ascii="楷体_GB2312" w:hAnsi="楷体_GB2312" w:eastAsia="楷体_GB2312" w:cs="楷体_GB2312"/>
          <w:b w:val="0"/>
          <w:bCs w:val="0"/>
          <w:color w:val="auto"/>
          <w:sz w:val="32"/>
          <w:szCs w:val="32"/>
          <w:vertAlign w:val="baseline"/>
          <w:lang w:val="en-US" w:eastAsia="zh-CN"/>
        </w:rPr>
        <w:t>（三）工程类</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通用资格：（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2）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 注： 1.企业财务报告至少应当包括：资产负债表、利润表、所有者权益/股东权益变动表（执行小企业会计准则的除外）、现金流量表、附注。 2.执行企业会计准则的事业单位财务报表至少应当包括：资产负债表、收入支出表、现金流量表和报表附注。 3.执行政府会计准则的事业单位财务报表至少应当包括：资产负债表、收入费用表和报表附注。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center"/>
        <w:rPr>
          <w:rFonts w:hint="default" w:ascii="仿宋_GB2312" w:hAnsi="仿宋_GB2312" w:eastAsia="仿宋_GB2312" w:cs="仿宋_GB2312"/>
          <w:b w:val="0"/>
          <w:bCs w:val="0"/>
          <w:color w:val="auto"/>
          <w:sz w:val="32"/>
          <w:szCs w:val="32"/>
          <w:highlight w:val="none"/>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（3）不接受联合体参与。</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center"/>
        <w:rPr>
          <w:rFonts w:hint="default" w:asciiTheme="minorEastAsia" w:hAnsiTheme="minorEastAsia" w:cstheme="minorEastAsia"/>
          <w:b/>
          <w:bCs/>
          <w:color w:val="auto"/>
          <w:sz w:val="28"/>
          <w:szCs w:val="28"/>
          <w:vertAlign w:val="baseline"/>
          <w:lang w:val="en-US" w:eastAsia="zh-CN"/>
        </w:rPr>
      </w:pPr>
      <w:r>
        <w:rPr>
          <w:rFonts w:hint="eastAsia" w:ascii="仿宋_GB2312" w:hAnsi="仿宋_GB2312" w:eastAsia="仿宋_GB2312" w:cs="仿宋_GB2312"/>
          <w:b w:val="0"/>
          <w:bCs w:val="0"/>
          <w:color w:val="auto"/>
          <w:sz w:val="32"/>
          <w:szCs w:val="32"/>
          <w:highlight w:val="none"/>
          <w:vertAlign w:val="baseline"/>
          <w:lang w:val="en-US" w:eastAsia="zh-CN"/>
        </w:rPr>
        <w:t>主要专用资格：满足国家强制性资格要求。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center"/>
        <w:rPr>
          <w:rFonts w:hint="eastAsia"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二、采购计划内容</w:t>
      </w:r>
    </w:p>
    <w:tbl>
      <w:tblPr>
        <w:tblStyle w:val="11"/>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457"/>
        <w:gridCol w:w="606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627" w:type="dxa"/>
            <w:gridSpan w:val="4"/>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auto"/>
                <w:kern w:val="0"/>
                <w:sz w:val="28"/>
                <w:szCs w:val="28"/>
                <w:u w:val="none"/>
                <w:lang w:val="en-US" w:eastAsia="zh-CN" w:bidi="ar"/>
              </w:rPr>
            </w:pPr>
            <w:r>
              <w:rPr>
                <w:rFonts w:hint="eastAsia" w:ascii="仿宋_GB2312" w:hAnsi="宋体" w:eastAsia="仿宋_GB2312" w:cs="仿宋_GB2312"/>
                <w:b/>
                <w:bCs/>
                <w:i w:val="0"/>
                <w:iCs w:val="0"/>
                <w:color w:val="000000"/>
                <w:kern w:val="0"/>
                <w:sz w:val="28"/>
                <w:szCs w:val="28"/>
                <w:u w:val="none"/>
                <w:lang w:val="en-US" w:eastAsia="zh-CN" w:bidi="ar"/>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8"/>
                <w:szCs w:val="28"/>
                <w:vertAlign w:val="baseline"/>
              </w:rPr>
            </w:pPr>
            <w:r>
              <w:rPr>
                <w:rFonts w:hint="eastAsia" w:ascii="仿宋_GB2312" w:hAnsi="宋体" w:eastAsia="仿宋_GB2312" w:cs="仿宋_GB2312"/>
                <w:b/>
                <w:bCs/>
                <w:i w:val="0"/>
                <w:iCs w:val="0"/>
                <w:color w:val="000000"/>
                <w:kern w:val="0"/>
                <w:sz w:val="28"/>
                <w:szCs w:val="28"/>
                <w:u w:val="none"/>
                <w:lang w:val="en-US" w:eastAsia="zh-CN" w:bidi="ar"/>
              </w:rPr>
              <w:t>序号</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8"/>
                <w:szCs w:val="28"/>
                <w:vertAlign w:val="baseline"/>
              </w:rPr>
            </w:pPr>
            <w:r>
              <w:rPr>
                <w:rFonts w:hint="eastAsia" w:ascii="仿宋_GB2312" w:hAnsi="宋体" w:eastAsia="仿宋_GB2312" w:cs="仿宋_GB2312"/>
                <w:b/>
                <w:bCs/>
                <w:i w:val="0"/>
                <w:iCs w:val="0"/>
                <w:color w:val="000000"/>
                <w:kern w:val="0"/>
                <w:sz w:val="28"/>
                <w:szCs w:val="28"/>
                <w:u w:val="none"/>
                <w:lang w:val="en-US" w:eastAsia="zh-CN" w:bidi="ar"/>
              </w:rPr>
              <w:t>采购品类</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8"/>
                <w:szCs w:val="28"/>
                <w:vertAlign w:val="baseline"/>
              </w:rPr>
            </w:pPr>
            <w:r>
              <w:rPr>
                <w:rFonts w:hint="eastAsia" w:ascii="仿宋_GB2312" w:hAnsi="宋体" w:eastAsia="仿宋_GB2312" w:cs="仿宋_GB2312"/>
                <w:b/>
                <w:bCs/>
                <w:i w:val="0"/>
                <w:iCs w:val="0"/>
                <w:color w:val="000000"/>
                <w:kern w:val="0"/>
                <w:sz w:val="28"/>
                <w:szCs w:val="28"/>
                <w:u w:val="none"/>
                <w:lang w:val="en-US" w:eastAsia="zh-CN" w:bidi="ar"/>
              </w:rPr>
              <w:t>项目概况</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8"/>
                <w:szCs w:val="28"/>
                <w:vertAlign w:val="baseline"/>
              </w:rPr>
            </w:pPr>
            <w:r>
              <w:rPr>
                <w:rFonts w:hint="eastAsia" w:ascii="仿宋_GB2312" w:hAnsi="宋体" w:eastAsia="仿宋_GB2312" w:cs="仿宋_GB2312"/>
                <w:b/>
                <w:bCs/>
                <w:i w:val="0"/>
                <w:iCs w:val="0"/>
                <w:color w:val="000000"/>
                <w:kern w:val="0"/>
                <w:sz w:val="28"/>
                <w:szCs w:val="28"/>
                <w:u w:val="none"/>
                <w:lang w:val="en-US" w:eastAsia="zh-CN" w:bidi="ar"/>
              </w:rPr>
              <w:t>预计公告发布时间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数据公司隔离一体机设备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拟采购高性能“2+1”架构隔离一体机设备</w:t>
            </w:r>
          </w:p>
        </w:tc>
        <w:tc>
          <w:tcPr>
            <w:tcW w:w="1398"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2</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信通公司运维类设备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采购一批机房运维设备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3</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信通公司通信类设备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采购一批无线通信设备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4</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信通公司运维类设备</w:t>
            </w:r>
          </w:p>
        </w:tc>
        <w:tc>
          <w:tcPr>
            <w:tcW w:w="6068"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采购一批通信检测设备、用电监测设备、开关监测设备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5</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广东公司工具授权许可</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自动化工具、安全工具</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6</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广东公司网络安全设备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流量汇聚设备、网关</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7</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广东公司终端设备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计算机、工作站</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8</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数字运营公司中间件</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框架采购一批应用服务器中间件。</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9</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数字运营公司中间件</w:t>
            </w:r>
          </w:p>
        </w:tc>
        <w:tc>
          <w:tcPr>
            <w:tcW w:w="6068" w:type="dxa"/>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采购微服务平台授权许可、通用组件平台授权许可。</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10</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数字运营公司中间件</w:t>
            </w:r>
          </w:p>
        </w:tc>
        <w:tc>
          <w:tcPr>
            <w:tcW w:w="6068" w:type="dxa"/>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采购一批通用组件数据同步组件授权许可、国产化缓存中间件授权许可、国产化消息队列中间件授权许可、国产化负载均衡中间件授权许可。</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11</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数字运营公司软件套件</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移动终端安全管控平台套件一套</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12</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数字运营公司软件采购</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拟采购能力开发组件、小程序业务巡检组件2套组件，同步提供系统适配、培训等配套技术服务。</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13</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数字运营公司软件租赁</w:t>
            </w:r>
          </w:p>
        </w:tc>
        <w:tc>
          <w:tcPr>
            <w:tcW w:w="6068" w:type="dxa"/>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拟租赁CDN组件，以缓解网络拥塞，加速南网在线相关资源传输速率，提升响应水平</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14</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数网科技公司操作系统</w:t>
            </w:r>
          </w:p>
        </w:tc>
        <w:tc>
          <w:tcPr>
            <w:tcW w:w="6068" w:type="dxa"/>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拟采购部署终端数据防泄漏模块、网络安全检查工具，同步购置虚拟化套件及国产化操作系统。</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15</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数网科技公司AI算力服务器（训练）</w:t>
            </w:r>
          </w:p>
        </w:tc>
        <w:tc>
          <w:tcPr>
            <w:tcW w:w="6068" w:type="dxa"/>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本次建设主要围绕增补高端智算资源开展，目标搭建小型数字生产智算基础支撑平台。建设核心工作为新增并部署AI芯片类装置，补齐现有算力短板。</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16</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数网科技公司全景仿真实验管理系统</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全景仿真实验管理系统</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17</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数网科技公司配用电综合实验室设备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配用电综合实验室设备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18</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数网科技公司无线设备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采购一批wapi设备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19</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数网科技公司自动化设备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采购一批远程运维终端</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20</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数网科技公司端子箱类设备</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采购一批多模态物联网汇聚箱</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21</w:t>
            </w:r>
          </w:p>
        </w:tc>
        <w:tc>
          <w:tcPr>
            <w:tcW w:w="2457"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数网科技公司在线监测装置</w:t>
            </w:r>
          </w:p>
        </w:tc>
        <w:tc>
          <w:tcPr>
            <w:tcW w:w="606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采购一批在线监测设备</w:t>
            </w:r>
          </w:p>
        </w:tc>
        <w:tc>
          <w:tcPr>
            <w:tcW w:w="1398" w:type="dxa"/>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第四季度</w:t>
            </w:r>
          </w:p>
        </w:tc>
      </w:tr>
    </w:tbl>
    <w:p>
      <w:pPr>
        <w:ind w:firstLine="643" w:firstLineChars="200"/>
        <w:rPr>
          <w:rFonts w:hint="eastAsia" w:ascii="仿宋_GB2312" w:hAnsi="仿宋_GB2312" w:eastAsia="仿宋_GB2312" w:cs="仿宋_GB2312"/>
          <w:b/>
          <w:bCs/>
          <w:i w:val="0"/>
          <w:iCs w:val="0"/>
          <w:color w:val="auto"/>
          <w:kern w:val="0"/>
          <w:sz w:val="32"/>
          <w:szCs w:val="32"/>
          <w:u w:val="none"/>
          <w:lang w:val="en-US" w:eastAsia="zh-CN" w:bidi="ar"/>
        </w:rPr>
        <w:sectPr>
          <w:footerReference r:id="rId3" w:type="default"/>
          <w:pgSz w:w="11906" w:h="16838"/>
          <w:pgMar w:top="1440" w:right="1800" w:bottom="1440" w:left="1800" w:header="851" w:footer="992" w:gutter="0"/>
          <w:pgNumType w:fmt="decimal"/>
          <w:cols w:space="425" w:num="1"/>
          <w:docGrid w:type="lines" w:linePitch="312" w:charSpace="0"/>
        </w:sectPr>
      </w:pPr>
    </w:p>
    <w:tbl>
      <w:tblPr>
        <w:tblStyle w:val="10"/>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0"/>
        <w:gridCol w:w="2056"/>
        <w:gridCol w:w="5969"/>
        <w:gridCol w:w="17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063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序号</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采购品类</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项目概况</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预计公告发布时间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7"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1</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kern w:val="0"/>
                <w:sz w:val="28"/>
                <w:szCs w:val="28"/>
                <w:u w:val="none"/>
                <w:lang w:val="en-US" w:eastAsia="zh-CN" w:bidi="ar"/>
              </w:rPr>
              <w:t>南网数字集团</w:t>
            </w:r>
            <w:r>
              <w:rPr>
                <w:rFonts w:hint="eastAsia" w:ascii="仿宋_GB2312" w:hAnsi="宋体" w:eastAsia="仿宋_GB2312" w:cs="仿宋_GB2312"/>
                <w:i w:val="0"/>
                <w:iCs w:val="0"/>
                <w:color w:val="000000"/>
                <w:sz w:val="28"/>
                <w:szCs w:val="28"/>
                <w:u w:val="none"/>
                <w:lang w:val="en-US" w:eastAsia="zh-CN"/>
              </w:rPr>
              <w:t>劳务服务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lang w:eastAsia="zh-CN"/>
              </w:rPr>
            </w:pPr>
            <w:r>
              <w:rPr>
                <w:rFonts w:hint="eastAsia" w:ascii="仿宋_GB2312" w:hAnsi="宋体" w:eastAsia="仿宋_GB2312" w:cs="仿宋_GB2312"/>
                <w:i w:val="0"/>
                <w:iCs w:val="0"/>
                <w:color w:val="000000"/>
                <w:sz w:val="28"/>
                <w:szCs w:val="28"/>
                <w:u w:val="none"/>
              </w:rPr>
              <w:t>为适应广西博联信息通信技术有限责任公司业务发展需要，现通过框架采购的方式开展广西公司2026年计时计件制劳务服务框架采购</w:t>
            </w:r>
            <w:r>
              <w:rPr>
                <w:rFonts w:hint="eastAsia" w:ascii="仿宋_GB2312" w:hAnsi="宋体" w:eastAsia="仿宋_GB2312" w:cs="仿宋_GB2312"/>
                <w:i w:val="0"/>
                <w:iCs w:val="0"/>
                <w:color w:val="000000"/>
                <w:sz w:val="28"/>
                <w:szCs w:val="28"/>
                <w:u w:val="none"/>
                <w:lang w:eastAsia="zh-CN"/>
              </w:rPr>
              <w:t>。</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2</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kern w:val="0"/>
                <w:sz w:val="28"/>
                <w:szCs w:val="28"/>
                <w:u w:val="none"/>
                <w:lang w:val="en-US" w:eastAsia="zh-CN" w:bidi="ar"/>
              </w:rPr>
              <w:t>南网数字集团</w:t>
            </w:r>
            <w:r>
              <w:rPr>
                <w:rFonts w:hint="eastAsia" w:ascii="仿宋_GB2312" w:hAnsi="宋体" w:eastAsia="仿宋_GB2312" w:cs="仿宋_GB2312"/>
                <w:i w:val="0"/>
                <w:iCs w:val="0"/>
                <w:color w:val="000000"/>
                <w:sz w:val="28"/>
                <w:szCs w:val="28"/>
                <w:u w:val="none"/>
                <w:lang w:val="en-US" w:eastAsia="zh-CN"/>
              </w:rPr>
              <w:t>劳务服务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lang w:eastAsia="zh-CN"/>
              </w:rPr>
            </w:pPr>
            <w:r>
              <w:rPr>
                <w:rFonts w:hint="eastAsia" w:ascii="仿宋_GB2312" w:hAnsi="宋体" w:eastAsia="仿宋_GB2312" w:cs="仿宋_GB2312"/>
                <w:i w:val="0"/>
                <w:iCs w:val="0"/>
                <w:color w:val="000000"/>
                <w:sz w:val="28"/>
                <w:szCs w:val="28"/>
                <w:u w:val="none"/>
              </w:rPr>
              <w:t>为满足南方电网电算科技数字工程（广东）有限公司及其管理的项目公司业务开展需要，现通过框架采购的方式开展上述公司2026年劳务服务框架采购</w:t>
            </w:r>
            <w:r>
              <w:rPr>
                <w:rFonts w:hint="eastAsia" w:ascii="仿宋_GB2312" w:hAnsi="宋体" w:eastAsia="仿宋_GB2312" w:cs="仿宋_GB2312"/>
                <w:i w:val="0"/>
                <w:iCs w:val="0"/>
                <w:color w:val="000000"/>
                <w:sz w:val="28"/>
                <w:szCs w:val="28"/>
                <w:u w:val="none"/>
                <w:lang w:eastAsia="zh-CN"/>
              </w:rPr>
              <w:t>。</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3</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kern w:val="0"/>
                <w:sz w:val="28"/>
                <w:szCs w:val="28"/>
                <w:u w:val="none"/>
                <w:lang w:val="en-US" w:eastAsia="zh-CN" w:bidi="ar"/>
              </w:rPr>
              <w:t>南网数字集团样机试制服务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拟对2026-2027年样机</w:t>
            </w:r>
            <w:bookmarkStart w:id="0" w:name="_GoBack"/>
            <w:bookmarkEnd w:id="0"/>
            <w:r>
              <w:rPr>
                <w:rFonts w:hint="eastAsia" w:ascii="仿宋_GB2312" w:hAnsi="宋体" w:eastAsia="仿宋_GB2312" w:cs="仿宋_GB2312"/>
                <w:i w:val="0"/>
                <w:iCs w:val="0"/>
                <w:color w:val="000000"/>
                <w:kern w:val="0"/>
                <w:sz w:val="28"/>
                <w:szCs w:val="28"/>
                <w:u w:val="none"/>
                <w:lang w:val="en-US" w:eastAsia="zh-CN" w:bidi="ar"/>
              </w:rPr>
              <w:t>试制服务开展框架入围招标。本项目入围单位可参与招标人及其下属公司后续第二阶段采购，采购内容包括硬件试制及试验服务，涵盖PCB制板、贴插焊接、元器件配套、结构件加工、整机装配、工装开发及试验服务等。</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4"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4</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数据公司开发服务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本项目主要开展网络安全技术支持服务，及时发现信息系统网络安全风险，根据等级保护管理、安全风险评估等要求，开展网络安全技术支持服务，为系统提供安全值守保障服务、社工钓鱼测试服务、敏感信息排查、漏洞扫描服务、弱口令检查服务、基线检查服务、渗透测试服务、攻防演练评估服务、数据安全评估服务、应急响应服务、代码安全检测、网络安全管理体系建设、安全培训服务等。</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4"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4</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数据公司技术服务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本项目的研究内容包括：历史授权数据建模与存储优化技术研究、权限变更数据实时捕获与追踪、历史权限数据高性能查询技术研究、历史权限风险分析技术研究、历史授权状态复原技术研究；开展抗量子计算密码基础密码算法及协议模块深度优化技术服务采购；开展自主可控管理过程中的自主可控问题、自主可控目标计划、自主可控考核评估业务领域工作。</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4"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5</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数据公司技术服务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本项目为研究形成一套科学、先进、可行的技术方案来指导构建高质量数据集；建立首个针对结构化高质量数据集的数据标准与标注规范；探索构建一批高质量数据集支持高价值场景；创建一种共建共享的高质量数据集建设与运营新模式。</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6</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数据公司科技研究</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本项目主要研究两项数据治理智能体，探索智能化数据管控能力。一是客商主数据智能体，集成多模态文档解析能力，可自动完成主数据智能甄别、数据冲突实时检测，探索客商主数据的智能化识别和分级能力。二是账卡协同数据质量智能体，基于智能体实现业务需求智能转译，实现将业务语言转化成数据质量脚本，并支持问题数据稽核、智能问题溯源分析，持续提升数据治理智能化水平。</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7</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数据公司技术服务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本项目为开展2025-2026年数据中心数据同步技术支持工作，内容包括：分节点数据采集、网省数据同步、数据供给配置、数据应用建设支持等</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8</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数据公司咨询服务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auto"/>
                <w:kern w:val="0"/>
                <w:sz w:val="28"/>
                <w:szCs w:val="28"/>
                <w:u w:val="none"/>
                <w:lang w:val="en-US" w:eastAsia="zh-CN" w:bidi="ar"/>
              </w:rPr>
              <w:t>本项目针对大数据计算任务处理效率与成本问题，研究大数据计算任务智能调度与优化技术，构建多模态数据特征提取与融合架构，实现计算资源的高效配置与数据的深度整合；同时，探索大数据计算资源成本评估与动态优化技术，结合任务运行特征构建资源消耗成本评估体系，并构建智能化识别与自动优化技术，动态调配资源以降低处理成本。解决当前大数据平台在任务调度智能化水平不足、资源利用率低下以及计算资源成本评估体系不完善等问题，为公司数据中心构建起一套完备的数据计算服务体系。</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9</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传感公司法律顾问服务及内控合规第三方核查服务</w:t>
            </w:r>
          </w:p>
        </w:tc>
        <w:tc>
          <w:tcPr>
            <w:tcW w:w="5969"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1.2026-2027年法律顾问服务项目：采购常年法律顾问服务，包括法律顾问服务和专项法律服务；</w:t>
            </w:r>
            <w:r>
              <w:rPr>
                <w:rFonts w:hint="eastAsia" w:ascii="仿宋_GB2312" w:hAnsi="宋体" w:eastAsia="仿宋_GB2312" w:cs="仿宋_GB2312"/>
                <w:i w:val="0"/>
                <w:iCs w:val="0"/>
                <w:color w:val="000000"/>
                <w:kern w:val="0"/>
                <w:sz w:val="28"/>
                <w:szCs w:val="28"/>
                <w:u w:val="none"/>
                <w:lang w:val="en-US" w:eastAsia="zh-CN" w:bidi="ar"/>
              </w:rPr>
              <w:br w:type="textWrapping"/>
            </w:r>
            <w:r>
              <w:rPr>
                <w:rFonts w:hint="eastAsia" w:ascii="仿宋_GB2312" w:hAnsi="宋体" w:eastAsia="仿宋_GB2312" w:cs="仿宋_GB2312"/>
                <w:i w:val="0"/>
                <w:iCs w:val="0"/>
                <w:color w:val="000000"/>
                <w:kern w:val="0"/>
                <w:sz w:val="28"/>
                <w:szCs w:val="28"/>
                <w:u w:val="none"/>
                <w:lang w:val="en-US" w:eastAsia="zh-CN" w:bidi="ar"/>
              </w:rPr>
              <w:t>2.2026-2027年内控合规第三方核查服务：协助开展2026、2027年度内控合规体系有效性核查，查摆内控缺陷、风险和合规问题，促进公司不断优化内控合规体系，加快实现公司高质量发展。</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4"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10</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贵州公司三网合一物联网月流量套餐</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采购一批在贵州省内使用的三网合一物联网卡、三网合一物联网卡流量套餐、物联网通信配套服务及现场技术服务支持，用来支撑相关视频终端访问业务系统的通信服务。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11</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广西公司开发实施/技术服务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2026-2027年软件开发实施技术服务框架项目，涉及信息系统开发实施、集成部署和技术服务工作。</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12</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信通公司系统开发</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网管开发集成与部署实施。</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13</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信通公司系统开发</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系统开发集成与部署实施。</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14</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信通公司系统开发</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智能体应用开发集成与部署实施</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15</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信通公司专线租赁</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租赁一批境外专线通道传输服务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16</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广东公司架构管控助手及技术匹配智能体应用研究技术服务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智能体技术研究及系统开发技术服务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17</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广东公司科技研究、运营咨询服务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标准及体系制定咨询服务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18</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人工智能公司通信风险联控基础功能开发</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通信风险联控基础功能开发</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19</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数字运营公司技术服务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采购统一、自动化、高性能、易用且满足信创要求的IT报表组件，支撑业务系统的报表和分析需求，降低组件使用成本，提升跨域协同效率，支持业务创新。</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20</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数字运营公司开发实施</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本项目基于公司业务要求，开展数字化、信息化系统各类功能开发实施服务。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21</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数字运营公司技术服务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通过进度控制、质量控制、成本控制、合同管理、信息管理、安全管理、组织协调等监理措施，为数字后勤集成项目合规实施提供保障。</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22</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center" w:pos="1180"/>
                <w:tab w:val="right" w:pos="2241"/>
              </w:tabs>
              <w:jc w:val="left"/>
              <w:textAlignment w:val="center"/>
              <w:rPr>
                <w:rFonts w:hint="eastAsia" w:ascii="仿宋_GB2312" w:hAnsi="宋体"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数字运营公司租赁服务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kern w:val="0"/>
                <w:sz w:val="28"/>
                <w:szCs w:val="28"/>
                <w:u w:val="none"/>
                <w:lang w:val="en-US" w:eastAsia="zh-CN" w:bidi="ar"/>
              </w:rPr>
              <w:t>本项目基于多模态识别的数智岗评系统:聚焦电力行业实操培训与考评痛点，研发多模态融合的智能考评一体化平台，构建 “训 - 评 - 练 - 提”全流程数字化人才培养闭环背景，开展租赁考评一体机，实现对电网、职教等多场景室内外作业考评的标准化、一体化支持。基于AI技术的智慧岗评考评一体机租赁项目。目前项目需要完成硬件设施建设，为满足网络运行稳定性要求，本项目租赁考评一体机1台。</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auto"/>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23</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低压智能开关电气物联模组、地质灾害监测装置、变电智能网关委托代工生产</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24</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新能源网关、远程巡检接入单元委托代工生产</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25</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SZDWKJ-CJ001～003芯片委托代工生产（框架）服务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26</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SZDWKJ-AB001装置组装委托代工生产（框架）服务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27</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拟采购SZDWKJ-AN001装置委托代工生产（框架）服务。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28</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拟采购SZDWKJ-AC004、SZDWKJ-AC003、SZDWKJ-CI001等装置委托代工生产（框架）服务。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29</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数网科技公司代工生产服务</w:t>
            </w:r>
          </w:p>
        </w:tc>
        <w:tc>
          <w:tcPr>
            <w:tcW w:w="596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委托代工生产物联网安全网关。</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2"/>
                <w:sz w:val="28"/>
                <w:szCs w:val="28"/>
                <w:u w:val="none"/>
                <w:lang w:val="en-US" w:eastAsia="zh-CN" w:bidi="ar-SA"/>
              </w:rPr>
            </w:pPr>
            <w:r>
              <w:rPr>
                <w:rFonts w:hint="eastAsia" w:ascii="仿宋_GB2312" w:hAnsi="宋体" w:eastAsia="仿宋_GB2312" w:cs="仿宋_GB2312"/>
                <w:i w:val="0"/>
                <w:iCs w:val="0"/>
                <w:color w:val="000000"/>
                <w:kern w:val="0"/>
                <w:sz w:val="28"/>
                <w:szCs w:val="28"/>
                <w:u w:val="none"/>
                <w:lang w:val="en-US" w:eastAsia="zh-CN" w:bidi="ar"/>
              </w:rPr>
              <w:t>30</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人工智能公司代工生产服务</w:t>
            </w:r>
          </w:p>
        </w:tc>
        <w:tc>
          <w:tcPr>
            <w:tcW w:w="596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计划以代工生产的方式，生产人工智能公司AI服务器及存储服务器等设备，并提供配套接入设备等。</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宋体" w:eastAsia="仿宋_GB2312" w:cs="仿宋_GB2312"/>
                <w:i w:val="0"/>
                <w:iCs w:val="0"/>
                <w:color w:val="000000"/>
                <w:sz w:val="28"/>
                <w:szCs w:val="28"/>
                <w:u w:val="none"/>
                <w:lang w:val="en-US" w:eastAsia="zh-CN"/>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31</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深圳公司应用系统技术服务</w:t>
            </w:r>
          </w:p>
        </w:tc>
        <w:tc>
          <w:tcPr>
            <w:tcW w:w="5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采购财务系统实施与技术支持服务。</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sz w:val="28"/>
                <w:szCs w:val="28"/>
                <w:u w:val="none"/>
                <w:lang w:val="en-US" w:eastAsia="zh-CN"/>
              </w:rPr>
              <w:t>第四季度</w:t>
            </w:r>
          </w:p>
        </w:tc>
      </w:tr>
    </w:tbl>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p>
      <w:pPr>
        <w:rPr>
          <w:rFonts w:hint="eastAsia" w:ascii="仿宋_GB2312" w:hAnsi="仿宋_GB2312" w:eastAsia="仿宋_GB2312" w:cs="仿宋_GB2312"/>
          <w:b/>
          <w:bCs/>
          <w:i w:val="0"/>
          <w:iCs w:val="0"/>
          <w:color w:val="auto"/>
          <w:kern w:val="0"/>
          <w:sz w:val="32"/>
          <w:szCs w:val="32"/>
          <w:u w:val="none"/>
          <w:lang w:val="en-US" w:eastAsia="zh-CN" w:bidi="ar"/>
        </w:rPr>
      </w:pPr>
    </w:p>
    <w:tbl>
      <w:tblPr>
        <w:tblStyle w:val="10"/>
        <w:tblW w:w="10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1476"/>
        <w:gridCol w:w="779"/>
        <w:gridCol w:w="2552"/>
        <w:gridCol w:w="2429"/>
        <w:gridCol w:w="843"/>
        <w:gridCol w:w="1196"/>
        <w:gridCol w:w="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jc w:val="center"/>
        </w:trPr>
        <w:tc>
          <w:tcPr>
            <w:tcW w:w="1074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工程类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9" w:hRule="atLeast"/>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序号</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采购项目名称</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核准（备案）文号（如有）</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项目概况</w:t>
            </w:r>
          </w:p>
        </w:tc>
        <w:tc>
          <w:tcPr>
            <w:tcW w:w="2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招标内容</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招标项目建设地点</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预估发包价（万元）</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u w:val="none"/>
              </w:rPr>
            </w:pPr>
            <w:r>
              <w:rPr>
                <w:rFonts w:hint="eastAsia" w:ascii="仿宋_GB2312" w:hAnsi="宋体" w:eastAsia="仿宋_GB2312" w:cs="仿宋_GB2312"/>
                <w:b/>
                <w:bCs/>
                <w:i w:val="0"/>
                <w:iCs w:val="0"/>
                <w:color w:val="000000"/>
                <w:kern w:val="0"/>
                <w:sz w:val="28"/>
                <w:szCs w:val="28"/>
                <w:u w:val="none"/>
                <w:lang w:val="en-US" w:eastAsia="zh-CN" w:bidi="ar"/>
              </w:rPr>
              <w:t>预计公告发布时间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7" w:hRule="atLeast"/>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广西博联信息通信技术有限责任公司2026年至2027年信息通信集成专业、劳务分包框架项目公开招标采购项目</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无</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通信类、计量类装置等设备安装；机柜安装及相关线缆敷设；配电类屏柜设备安装；电缆沟制作、土方开挖、机房改造、消防新风、标牌标识安装等实施工作。</w:t>
            </w:r>
          </w:p>
        </w:tc>
        <w:tc>
          <w:tcPr>
            <w:tcW w:w="2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施工</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广西区内</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1480</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0" w:hRule="atLeast"/>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信通公司综合基地建设项目</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无</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计划建设信通公司综合基地</w:t>
            </w:r>
          </w:p>
        </w:tc>
        <w:tc>
          <w:tcPr>
            <w:tcW w:w="2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勘察设计、集成工程</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广东区内</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900</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第四季度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0" w:hRule="atLeast"/>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lang w:val="en-US" w:eastAsia="zh-CN"/>
              </w:rPr>
            </w:pPr>
            <w:r>
              <w:rPr>
                <w:rFonts w:hint="eastAsia" w:ascii="仿宋_GB2312" w:hAnsi="宋体" w:eastAsia="仿宋_GB2312" w:cs="仿宋_GB2312"/>
                <w:i w:val="0"/>
                <w:iCs w:val="0"/>
                <w:color w:val="000000"/>
                <w:sz w:val="28"/>
                <w:szCs w:val="28"/>
                <w:u w:val="none"/>
                <w:lang w:val="en-US" w:eastAsia="zh-CN"/>
              </w:rPr>
              <w:t>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2026-2027年南网电算工程公司施工劳务框架招标</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无</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2026-2027年南网电算工程公司施工劳务框架招标</w:t>
            </w:r>
          </w:p>
        </w:tc>
        <w:tc>
          <w:tcPr>
            <w:tcW w:w="2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2026-2027年南网电算工程公司施工劳务框架招标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广东区内</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lang w:val="en-US"/>
              </w:rPr>
            </w:pPr>
            <w:r>
              <w:rPr>
                <w:rFonts w:hint="eastAsia" w:ascii="仿宋_GB2312" w:hAnsi="宋体" w:eastAsia="仿宋_GB2312" w:cs="仿宋_GB2312"/>
                <w:i w:val="0"/>
                <w:iCs w:val="0"/>
                <w:color w:val="000000"/>
                <w:kern w:val="0"/>
                <w:sz w:val="28"/>
                <w:szCs w:val="28"/>
                <w:u w:val="none"/>
                <w:lang w:val="en-US" w:eastAsia="zh-CN" w:bidi="ar"/>
              </w:rPr>
              <w:t>2150</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第四季度</w:t>
            </w:r>
          </w:p>
        </w:tc>
      </w:tr>
    </w:tbl>
    <w:p>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center"/>
        <w:rPr>
          <w:b/>
          <w:bCs/>
        </w:rPr>
      </w:pPr>
      <w:r>
        <w:rPr>
          <w:rFonts w:hint="eastAsia" w:ascii="仿宋_GB2312" w:hAnsi="仿宋_GB2312" w:eastAsia="仿宋_GB2312" w:cs="仿宋_GB2312"/>
          <w:b/>
          <w:bCs/>
          <w:color w:val="auto"/>
          <w:sz w:val="32"/>
          <w:szCs w:val="32"/>
          <w:highlight w:val="none"/>
          <w:vertAlign w:val="baseline"/>
          <w:lang w:val="en-US" w:eastAsia="zh-CN"/>
        </w:rPr>
        <w:t>采购项目的项目概况、资格条件、公告发布时间等内容以具体项目实际发布为准。</w:t>
      </w:r>
    </w:p>
    <w:sectPr>
      <w:footerReference r:id="rId4" w:type="default"/>
      <w:pgSz w:w="11906" w:h="16838"/>
      <w:pgMar w:top="1440" w:right="1800" w:bottom="1440" w:left="1800"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000A78"/>
    <w:rsid w:val="00041031"/>
    <w:rsid w:val="00AF27D9"/>
    <w:rsid w:val="01A67F38"/>
    <w:rsid w:val="028A411D"/>
    <w:rsid w:val="02A52864"/>
    <w:rsid w:val="02D21A38"/>
    <w:rsid w:val="03B010E0"/>
    <w:rsid w:val="041F0541"/>
    <w:rsid w:val="04700FA4"/>
    <w:rsid w:val="049479D7"/>
    <w:rsid w:val="04A6582D"/>
    <w:rsid w:val="055E207F"/>
    <w:rsid w:val="05EC412A"/>
    <w:rsid w:val="061919DB"/>
    <w:rsid w:val="06580040"/>
    <w:rsid w:val="076E27BD"/>
    <w:rsid w:val="07B52643"/>
    <w:rsid w:val="07B57B35"/>
    <w:rsid w:val="08645747"/>
    <w:rsid w:val="088973EA"/>
    <w:rsid w:val="08B8359A"/>
    <w:rsid w:val="09497B95"/>
    <w:rsid w:val="09CF2E08"/>
    <w:rsid w:val="09D57792"/>
    <w:rsid w:val="0A3424A5"/>
    <w:rsid w:val="0A360F66"/>
    <w:rsid w:val="0AF17534"/>
    <w:rsid w:val="0BEC1A2C"/>
    <w:rsid w:val="0C2D6DE5"/>
    <w:rsid w:val="0CA95E6D"/>
    <w:rsid w:val="0CBA48F8"/>
    <w:rsid w:val="0D8552D9"/>
    <w:rsid w:val="0E271FB2"/>
    <w:rsid w:val="0E5E10AE"/>
    <w:rsid w:val="0E916C96"/>
    <w:rsid w:val="0EF81545"/>
    <w:rsid w:val="0F2962EB"/>
    <w:rsid w:val="0F3D33F8"/>
    <w:rsid w:val="100B305B"/>
    <w:rsid w:val="10504C7C"/>
    <w:rsid w:val="106F2A57"/>
    <w:rsid w:val="11BA02F7"/>
    <w:rsid w:val="136662E0"/>
    <w:rsid w:val="13780CFE"/>
    <w:rsid w:val="146E45B8"/>
    <w:rsid w:val="147A0A73"/>
    <w:rsid w:val="14DC6B9A"/>
    <w:rsid w:val="14EA2EF2"/>
    <w:rsid w:val="14F1123C"/>
    <w:rsid w:val="167F35DA"/>
    <w:rsid w:val="16A23214"/>
    <w:rsid w:val="17956563"/>
    <w:rsid w:val="182036B8"/>
    <w:rsid w:val="187C29E6"/>
    <w:rsid w:val="195A307B"/>
    <w:rsid w:val="19B15B59"/>
    <w:rsid w:val="19E47757"/>
    <w:rsid w:val="1A2972F9"/>
    <w:rsid w:val="1A3439E6"/>
    <w:rsid w:val="1A524B69"/>
    <w:rsid w:val="1A604723"/>
    <w:rsid w:val="1A682668"/>
    <w:rsid w:val="1A991B7D"/>
    <w:rsid w:val="1B161B38"/>
    <w:rsid w:val="1B213295"/>
    <w:rsid w:val="1B8671C9"/>
    <w:rsid w:val="1B9C0582"/>
    <w:rsid w:val="1BC87DA7"/>
    <w:rsid w:val="1C0774FB"/>
    <w:rsid w:val="1C20312B"/>
    <w:rsid w:val="1CE02562"/>
    <w:rsid w:val="1D02397A"/>
    <w:rsid w:val="1D337F0A"/>
    <w:rsid w:val="1D876996"/>
    <w:rsid w:val="1E3F44EB"/>
    <w:rsid w:val="1EB63FDF"/>
    <w:rsid w:val="1ED225D7"/>
    <w:rsid w:val="1FB82A1C"/>
    <w:rsid w:val="20454954"/>
    <w:rsid w:val="20F14799"/>
    <w:rsid w:val="20F7667B"/>
    <w:rsid w:val="21003BB0"/>
    <w:rsid w:val="210143CB"/>
    <w:rsid w:val="216C0276"/>
    <w:rsid w:val="21934BC3"/>
    <w:rsid w:val="21B2327A"/>
    <w:rsid w:val="21F372B0"/>
    <w:rsid w:val="2216297C"/>
    <w:rsid w:val="22180CCB"/>
    <w:rsid w:val="222E6DCB"/>
    <w:rsid w:val="23021EBB"/>
    <w:rsid w:val="231B03BF"/>
    <w:rsid w:val="233F385D"/>
    <w:rsid w:val="236D6376"/>
    <w:rsid w:val="237B4932"/>
    <w:rsid w:val="23AE4D50"/>
    <w:rsid w:val="23FB2F39"/>
    <w:rsid w:val="240544ED"/>
    <w:rsid w:val="24282B8C"/>
    <w:rsid w:val="2490159C"/>
    <w:rsid w:val="24CD3244"/>
    <w:rsid w:val="24D735D3"/>
    <w:rsid w:val="25304D9A"/>
    <w:rsid w:val="25697A2B"/>
    <w:rsid w:val="25DF1958"/>
    <w:rsid w:val="25ED23DB"/>
    <w:rsid w:val="260E011B"/>
    <w:rsid w:val="262B522E"/>
    <w:rsid w:val="26527ACB"/>
    <w:rsid w:val="2663055B"/>
    <w:rsid w:val="268373A3"/>
    <w:rsid w:val="268B455A"/>
    <w:rsid w:val="27456B96"/>
    <w:rsid w:val="27897759"/>
    <w:rsid w:val="278B08A6"/>
    <w:rsid w:val="28186EDD"/>
    <w:rsid w:val="283D7354"/>
    <w:rsid w:val="28A20096"/>
    <w:rsid w:val="28D03112"/>
    <w:rsid w:val="28EB14B0"/>
    <w:rsid w:val="29306DF4"/>
    <w:rsid w:val="297A0F7C"/>
    <w:rsid w:val="29D34A65"/>
    <w:rsid w:val="29D531A3"/>
    <w:rsid w:val="2A770F5E"/>
    <w:rsid w:val="2B0405F8"/>
    <w:rsid w:val="2B662E02"/>
    <w:rsid w:val="2BBB5F3A"/>
    <w:rsid w:val="2BF11C7F"/>
    <w:rsid w:val="2C1258B2"/>
    <w:rsid w:val="2D7332E1"/>
    <w:rsid w:val="2F0A7DFC"/>
    <w:rsid w:val="2F326A4F"/>
    <w:rsid w:val="2F983CD3"/>
    <w:rsid w:val="2FC11355"/>
    <w:rsid w:val="2FE66836"/>
    <w:rsid w:val="30251260"/>
    <w:rsid w:val="308954A3"/>
    <w:rsid w:val="30A74896"/>
    <w:rsid w:val="30DE6619"/>
    <w:rsid w:val="30FF3142"/>
    <w:rsid w:val="313A1850"/>
    <w:rsid w:val="31892511"/>
    <w:rsid w:val="31CD6560"/>
    <w:rsid w:val="31EC5643"/>
    <w:rsid w:val="327B5B92"/>
    <w:rsid w:val="328E324B"/>
    <w:rsid w:val="32991B7F"/>
    <w:rsid w:val="33315AE4"/>
    <w:rsid w:val="333306C2"/>
    <w:rsid w:val="334D1BFD"/>
    <w:rsid w:val="33882539"/>
    <w:rsid w:val="33D732A1"/>
    <w:rsid w:val="33E77614"/>
    <w:rsid w:val="3451465F"/>
    <w:rsid w:val="34AF6265"/>
    <w:rsid w:val="350C5783"/>
    <w:rsid w:val="35A21E27"/>
    <w:rsid w:val="35AF1AD8"/>
    <w:rsid w:val="35AF32FA"/>
    <w:rsid w:val="35B10B9B"/>
    <w:rsid w:val="3618394C"/>
    <w:rsid w:val="362F47F4"/>
    <w:rsid w:val="368F6A53"/>
    <w:rsid w:val="36AA7BE8"/>
    <w:rsid w:val="37274052"/>
    <w:rsid w:val="37DF229E"/>
    <w:rsid w:val="385D0E15"/>
    <w:rsid w:val="388A1953"/>
    <w:rsid w:val="38AD5F77"/>
    <w:rsid w:val="38C81C67"/>
    <w:rsid w:val="38CF73F6"/>
    <w:rsid w:val="38EA3A18"/>
    <w:rsid w:val="39A70816"/>
    <w:rsid w:val="39C81FC9"/>
    <w:rsid w:val="39F35F08"/>
    <w:rsid w:val="3A007EF8"/>
    <w:rsid w:val="3A334967"/>
    <w:rsid w:val="3A5B6C4C"/>
    <w:rsid w:val="3A76402A"/>
    <w:rsid w:val="3AB86811"/>
    <w:rsid w:val="3B11210A"/>
    <w:rsid w:val="3B4D08F5"/>
    <w:rsid w:val="3B7C1AE3"/>
    <w:rsid w:val="3BD12F9B"/>
    <w:rsid w:val="3BFB56AE"/>
    <w:rsid w:val="3C0B0A50"/>
    <w:rsid w:val="3C304DED"/>
    <w:rsid w:val="3C6E6500"/>
    <w:rsid w:val="3DDD7429"/>
    <w:rsid w:val="3E6F6A1B"/>
    <w:rsid w:val="3F336DFB"/>
    <w:rsid w:val="3F5E26D2"/>
    <w:rsid w:val="3F62192A"/>
    <w:rsid w:val="3F62238A"/>
    <w:rsid w:val="3F8B62A5"/>
    <w:rsid w:val="3F8C08CF"/>
    <w:rsid w:val="3FA62879"/>
    <w:rsid w:val="3FB32D13"/>
    <w:rsid w:val="3FF33CD2"/>
    <w:rsid w:val="40136497"/>
    <w:rsid w:val="402C0359"/>
    <w:rsid w:val="405B78B1"/>
    <w:rsid w:val="409D5A9A"/>
    <w:rsid w:val="40FE738E"/>
    <w:rsid w:val="41296590"/>
    <w:rsid w:val="41581DC0"/>
    <w:rsid w:val="41996D4B"/>
    <w:rsid w:val="41A126CD"/>
    <w:rsid w:val="42281469"/>
    <w:rsid w:val="42D8038B"/>
    <w:rsid w:val="431A5510"/>
    <w:rsid w:val="43814EB9"/>
    <w:rsid w:val="43AE3E4D"/>
    <w:rsid w:val="447713F9"/>
    <w:rsid w:val="45BB0DE3"/>
    <w:rsid w:val="45D70215"/>
    <w:rsid w:val="460D1B5D"/>
    <w:rsid w:val="460E0B9C"/>
    <w:rsid w:val="461F29C5"/>
    <w:rsid w:val="4697300C"/>
    <w:rsid w:val="47413C39"/>
    <w:rsid w:val="476F5C69"/>
    <w:rsid w:val="49116114"/>
    <w:rsid w:val="49303A0D"/>
    <w:rsid w:val="49A544B4"/>
    <w:rsid w:val="4A585C1E"/>
    <w:rsid w:val="4AAD2261"/>
    <w:rsid w:val="4B2D6945"/>
    <w:rsid w:val="4B4D7D3A"/>
    <w:rsid w:val="4B6B042C"/>
    <w:rsid w:val="4C0B380D"/>
    <w:rsid w:val="4C334CEA"/>
    <w:rsid w:val="4CBD0D73"/>
    <w:rsid w:val="4CBF6F38"/>
    <w:rsid w:val="4DB76536"/>
    <w:rsid w:val="4DDF1F90"/>
    <w:rsid w:val="4E511430"/>
    <w:rsid w:val="4E816EF8"/>
    <w:rsid w:val="4F7C520F"/>
    <w:rsid w:val="4FAC082C"/>
    <w:rsid w:val="4FCB3D32"/>
    <w:rsid w:val="50C03376"/>
    <w:rsid w:val="50CB30C1"/>
    <w:rsid w:val="51017682"/>
    <w:rsid w:val="517278CC"/>
    <w:rsid w:val="51981EEB"/>
    <w:rsid w:val="51BA3934"/>
    <w:rsid w:val="53CC45D8"/>
    <w:rsid w:val="54413018"/>
    <w:rsid w:val="54867424"/>
    <w:rsid w:val="54C35365"/>
    <w:rsid w:val="54DE63DD"/>
    <w:rsid w:val="54FA1C61"/>
    <w:rsid w:val="54FE6D8E"/>
    <w:rsid w:val="55770D31"/>
    <w:rsid w:val="55A15569"/>
    <w:rsid w:val="55AE146E"/>
    <w:rsid w:val="5619331B"/>
    <w:rsid w:val="56E535DA"/>
    <w:rsid w:val="56FC44D6"/>
    <w:rsid w:val="570A6384"/>
    <w:rsid w:val="573E2315"/>
    <w:rsid w:val="574F08FA"/>
    <w:rsid w:val="57B55F23"/>
    <w:rsid w:val="57B81355"/>
    <w:rsid w:val="57CB14C4"/>
    <w:rsid w:val="589175BA"/>
    <w:rsid w:val="58957DB8"/>
    <w:rsid w:val="59985931"/>
    <w:rsid w:val="59AD30FA"/>
    <w:rsid w:val="59B63A56"/>
    <w:rsid w:val="59FF791A"/>
    <w:rsid w:val="5A182300"/>
    <w:rsid w:val="5A263EE1"/>
    <w:rsid w:val="5A276E84"/>
    <w:rsid w:val="5AAB7CBA"/>
    <w:rsid w:val="5ADC7978"/>
    <w:rsid w:val="5AFB63EB"/>
    <w:rsid w:val="5B222986"/>
    <w:rsid w:val="5C7F4477"/>
    <w:rsid w:val="5CAF7B84"/>
    <w:rsid w:val="5D06586D"/>
    <w:rsid w:val="5D1560C5"/>
    <w:rsid w:val="5E315B7B"/>
    <w:rsid w:val="5F2008D0"/>
    <w:rsid w:val="5FB32BFD"/>
    <w:rsid w:val="5FDF432D"/>
    <w:rsid w:val="600C08CB"/>
    <w:rsid w:val="60AD1786"/>
    <w:rsid w:val="60D55AF8"/>
    <w:rsid w:val="613F48B5"/>
    <w:rsid w:val="61A97404"/>
    <w:rsid w:val="621900F3"/>
    <w:rsid w:val="622D187F"/>
    <w:rsid w:val="62B52B12"/>
    <w:rsid w:val="62D41886"/>
    <w:rsid w:val="631B4B9D"/>
    <w:rsid w:val="632A155E"/>
    <w:rsid w:val="639854BF"/>
    <w:rsid w:val="63F11E18"/>
    <w:rsid w:val="640E6791"/>
    <w:rsid w:val="646A76ED"/>
    <w:rsid w:val="648A5D79"/>
    <w:rsid w:val="649363FE"/>
    <w:rsid w:val="65EA23EB"/>
    <w:rsid w:val="676E2326"/>
    <w:rsid w:val="67A1039E"/>
    <w:rsid w:val="691259C2"/>
    <w:rsid w:val="69293E71"/>
    <w:rsid w:val="697455E9"/>
    <w:rsid w:val="697A3E80"/>
    <w:rsid w:val="69A52E65"/>
    <w:rsid w:val="6B2D3215"/>
    <w:rsid w:val="6B806AB9"/>
    <w:rsid w:val="6BD7199E"/>
    <w:rsid w:val="6C866735"/>
    <w:rsid w:val="6C942154"/>
    <w:rsid w:val="6CA33908"/>
    <w:rsid w:val="6CB35ED3"/>
    <w:rsid w:val="6D0C75B9"/>
    <w:rsid w:val="6E9B2B67"/>
    <w:rsid w:val="6EF81A3D"/>
    <w:rsid w:val="6EFD37AF"/>
    <w:rsid w:val="6F30480E"/>
    <w:rsid w:val="70032327"/>
    <w:rsid w:val="70435D82"/>
    <w:rsid w:val="7131366B"/>
    <w:rsid w:val="71873868"/>
    <w:rsid w:val="71881EDE"/>
    <w:rsid w:val="718E31EB"/>
    <w:rsid w:val="71900A34"/>
    <w:rsid w:val="71BB5881"/>
    <w:rsid w:val="72015771"/>
    <w:rsid w:val="728857C6"/>
    <w:rsid w:val="72937634"/>
    <w:rsid w:val="72C9214C"/>
    <w:rsid w:val="73564D19"/>
    <w:rsid w:val="73745323"/>
    <w:rsid w:val="737E001F"/>
    <w:rsid w:val="73BC48C4"/>
    <w:rsid w:val="73DF6889"/>
    <w:rsid w:val="749B4D8E"/>
    <w:rsid w:val="74B10200"/>
    <w:rsid w:val="757D7F53"/>
    <w:rsid w:val="75B210F3"/>
    <w:rsid w:val="75CC6118"/>
    <w:rsid w:val="76624942"/>
    <w:rsid w:val="76C41A2A"/>
    <w:rsid w:val="77357B7C"/>
    <w:rsid w:val="7796707C"/>
    <w:rsid w:val="78017D06"/>
    <w:rsid w:val="7842274C"/>
    <w:rsid w:val="7881428E"/>
    <w:rsid w:val="78C21858"/>
    <w:rsid w:val="7954405A"/>
    <w:rsid w:val="795C5D8F"/>
    <w:rsid w:val="79974519"/>
    <w:rsid w:val="7A170698"/>
    <w:rsid w:val="7AD60734"/>
    <w:rsid w:val="7B6A448B"/>
    <w:rsid w:val="7B7E7620"/>
    <w:rsid w:val="7BAF3FE4"/>
    <w:rsid w:val="7BE55CBB"/>
    <w:rsid w:val="7C434DAD"/>
    <w:rsid w:val="7CF81898"/>
    <w:rsid w:val="7D894AF5"/>
    <w:rsid w:val="7DB01C1B"/>
    <w:rsid w:val="7DB52323"/>
    <w:rsid w:val="7E3B09D1"/>
    <w:rsid w:val="7E752C10"/>
    <w:rsid w:val="7EA95E22"/>
    <w:rsid w:val="7F431640"/>
    <w:rsid w:val="7FC02440"/>
    <w:rsid w:val="D97AA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qFormat/>
    <w:uiPriority w:val="9"/>
    <w:pPr>
      <w:keepNext/>
      <w:keepLines/>
      <w:spacing w:before="260" w:after="260" w:line="416" w:lineRule="auto"/>
      <w:outlineLvl w:val="1"/>
    </w:pPr>
    <w:rPr>
      <w:rFonts w:ascii="Cambria" w:hAnsi="Cambria"/>
      <w:b/>
      <w:bCs/>
      <w:kern w:val="0"/>
      <w:sz w:val="32"/>
      <w:szCs w:val="32"/>
    </w:rPr>
  </w:style>
  <w:style w:type="paragraph" w:styleId="4">
    <w:name w:val="heading 5"/>
    <w:basedOn w:val="1"/>
    <w:next w:val="1"/>
    <w:unhideWhenUsed/>
    <w:qFormat/>
    <w:uiPriority w:val="9"/>
    <w:pPr>
      <w:keepNext/>
      <w:keepLines/>
      <w:spacing w:before="280" w:after="290" w:line="376" w:lineRule="auto"/>
      <w:outlineLvl w:val="4"/>
    </w:pPr>
    <w:rPr>
      <w:rFonts w:ascii="Times New Roman" w:hAnsi="Times New Roman"/>
      <w:b/>
      <w:bCs/>
      <w:sz w:val="28"/>
      <w:szCs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spacing w:after="120"/>
    </w:pPr>
    <w:rPr>
      <w:kern w:val="0"/>
      <w:sz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itle"/>
    <w:basedOn w:val="1"/>
    <w:next w:val="1"/>
    <w:qFormat/>
    <w:uiPriority w:val="10"/>
    <w:pPr>
      <w:spacing w:line="480" w:lineRule="atLeast"/>
      <w:jc w:val="center"/>
    </w:pPr>
    <w:rPr>
      <w:sz w:val="32"/>
    </w:rPr>
  </w:style>
  <w:style w:type="paragraph" w:styleId="9">
    <w:name w:val="Body Text First Indent"/>
    <w:basedOn w:val="5"/>
    <w:next w:val="1"/>
    <w:unhideWhenUsed/>
    <w:qFormat/>
    <w:uiPriority w:val="99"/>
    <w:pPr>
      <w:spacing w:beforeLines="0" w:afterLines="0" w:line="360" w:lineRule="auto"/>
      <w:ind w:firstLine="200" w:firstLineChars="200"/>
    </w:pPr>
    <w:rPr>
      <w:rFonts w:hint="eastAsia"/>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font11"/>
    <w:basedOn w:val="12"/>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1852</Words>
  <Characters>1991</Characters>
  <Lines>0</Lines>
  <Paragraphs>0</Paragraphs>
  <TotalTime>0</TotalTime>
  <ScaleCrop>false</ScaleCrop>
  <LinksUpToDate>false</LinksUpToDate>
  <CharactersWithSpaces>2003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2026-06-18T11:32:00Z</dcterms:created>
  <dc:creator>zhangqi7</dc:creator>
  <cp:lastModifiedBy>BF0E351405267633E055000000000001</cp:lastModifiedBy>
  <dcterms:modified xsi:type="dcterms:W3CDTF">2026-10-13T07:53:38Z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78516F1918D243AF8AA2DD8D10639D3A_13</vt:lpwstr>
  </property>
  <property fmtid="{D5CDD505-2E9C-101B-9397-08002B2CF9AE}" pid="3" name="KSOProductBuildVer">
    <vt:lpwstr>2052-11.8.2.9022</vt:lpwstr>
  </property>
  <property fmtid="{D5CDD505-2E9C-101B-9397-08002B2CF9AE}" pid="4" name="KSOTemplateDocerSaveRecord">
    <vt:lpwstr>eyJoZGlkIjoiYWE5ZDA5M2ZmNDI0OGY5NDU4ZDA4NzQ5M2M1NThkODciLCJ1c2VySWQiOiI2MTAxNzMyNzUifQ==</vt:lpwstr>
  </property>
</Properties>
</file>