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ascii="宋体" w:hAnsi="宋体" w:cs="宋体"/>
          <w:sz w:val="56"/>
          <w:szCs w:val="56"/>
        </w:rPr>
      </w:pPr>
      <w:r>
        <w:rPr>
          <w:rFonts w:hint="eastAsia" w:ascii="仿宋" w:hAnsi="仿宋" w:eastAsia="仿宋" w:cs="仿宋"/>
          <w:b/>
          <w:sz w:val="40"/>
          <w:szCs w:val="40"/>
        </w:rPr>
        <w:t>网络</w:t>
      </w:r>
      <w:r>
        <w:rPr>
          <w:rFonts w:hint="eastAsia" w:ascii="仿宋" w:hAnsi="仿宋" w:eastAsia="仿宋" w:cs="仿宋"/>
          <w:b/>
          <w:sz w:val="40"/>
          <w:szCs w:val="40"/>
          <w:lang w:val="en-US" w:eastAsia="zh-CN"/>
        </w:rPr>
        <w:t>竞买</w:t>
      </w:r>
      <w:r>
        <w:rPr>
          <w:rFonts w:hint="eastAsia" w:ascii="仿宋" w:hAnsi="仿宋" w:eastAsia="仿宋" w:cs="仿宋"/>
          <w:b/>
          <w:sz w:val="40"/>
          <w:szCs w:val="40"/>
        </w:rPr>
        <w:t>规则与注意事项</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28"/>
          <w:szCs w:val="28"/>
        </w:rPr>
      </w:pPr>
      <w:r>
        <w:rPr>
          <w:rFonts w:hint="eastAsia" w:ascii="仿宋" w:hAnsi="仿宋" w:eastAsia="仿宋" w:cs="仿宋"/>
          <w:sz w:val="28"/>
          <w:szCs w:val="28"/>
        </w:rPr>
        <w:t>1.竞买人应按标的《拍卖公告》规定的时间、方式参加拍卖会，逾期作弃权处理。</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28"/>
          <w:szCs w:val="28"/>
        </w:rPr>
      </w:pPr>
      <w:r>
        <w:rPr>
          <w:rFonts w:hint="eastAsia" w:ascii="仿宋" w:hAnsi="仿宋" w:eastAsia="仿宋" w:cs="仿宋"/>
          <w:sz w:val="28"/>
          <w:szCs w:val="28"/>
        </w:rPr>
        <w:t>2.本次拍卖标的以委托人提供的《拍卖标的清单》清单为参考，按现状进行拍卖，以竞买人实地勘察确认实物为准，意向竞买人一经完成报名手续并按规定交纳竞买保证金，即视为已详细阅读并完全认可本项目所披露的内容，已充分了解并自愿完全接受本项目资产拍卖公告内容 （含附件）及本次交易标的的现状及瑕疵，已完成对本项目的全部尽职调查，愿全面履行交易程序，并自愿承担由此产生的任何法律与经济责任及所有风险。委托人及拍卖人不承担数量、质量等瑕疵保证责任。</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28"/>
          <w:szCs w:val="28"/>
        </w:rPr>
      </w:pPr>
      <w:r>
        <w:rPr>
          <w:rFonts w:hint="eastAsia" w:ascii="仿宋" w:hAnsi="仿宋" w:eastAsia="仿宋" w:cs="仿宋"/>
          <w:sz w:val="28"/>
          <w:szCs w:val="28"/>
        </w:rPr>
        <w:t>3.拍卖人提供的标的资料、数据等均源自委托人，仅供竞买人参考。若资料数据与标的现状不符，不影响本次拍卖的效力，成交价款与佣金金额均不多退少补，拍卖人不承担由此产生的任何责任与费用。</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28"/>
          <w:szCs w:val="28"/>
        </w:rPr>
      </w:pPr>
      <w:r>
        <w:rPr>
          <w:rFonts w:hint="eastAsia" w:ascii="仿宋" w:hAnsi="仿宋" w:eastAsia="仿宋" w:cs="仿宋"/>
          <w:sz w:val="28"/>
          <w:szCs w:val="28"/>
        </w:rPr>
        <w:t>4.竞买人的注册用户名及密码由竞买人自行设定及保管，因用户名及密码遗失造成不能参与网络应价的，后果由竞买人自行承担。</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28"/>
          <w:szCs w:val="28"/>
        </w:rPr>
      </w:pPr>
      <w:r>
        <w:rPr>
          <w:rFonts w:hint="eastAsia" w:ascii="仿宋" w:hAnsi="仿宋" w:eastAsia="仿宋" w:cs="仿宋"/>
          <w:sz w:val="28"/>
          <w:szCs w:val="28"/>
        </w:rPr>
        <w:t>5.凡在网络拍卖平台上以竞买人的账号和密码登陆进行的操作，均被视为竞买人本人的行为，网络竞买人应当对以其账号进行的所有活动负法律责任。</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28"/>
          <w:szCs w:val="28"/>
        </w:rPr>
      </w:pPr>
      <w:r>
        <w:rPr>
          <w:rFonts w:hint="eastAsia" w:ascii="仿宋" w:hAnsi="仿宋" w:eastAsia="仿宋" w:cs="仿宋"/>
          <w:sz w:val="28"/>
          <w:szCs w:val="28"/>
        </w:rPr>
        <w:t>6.通过自备终端参与竞价活动的竞买人应尽量采用高带宽、高性能、安全的网络环境，并应注意用户名及密码的安全，离开终端时应及时退出本网络竞价系统。</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28"/>
          <w:szCs w:val="28"/>
        </w:rPr>
      </w:pPr>
      <w:r>
        <w:rPr>
          <w:rFonts w:hint="eastAsia" w:ascii="仿宋" w:hAnsi="仿宋" w:eastAsia="仿宋" w:cs="仿宋"/>
          <w:sz w:val="28"/>
          <w:szCs w:val="28"/>
        </w:rPr>
        <w:t>7.由于互联网可能出现的不稳定情况，不排除在线竞拍出现无法正常进行的各种情况（包括但不限于时间不同步、网络故障、电路故障、系统故障、被恶意攻击等）而造成无法出价、页面无刷新、竞拍暂停等，竞买人必须充分估计上述原因导致在线竞拍不同于现场拍卖所带来的风险，竞买人一旦参与竞拍即代表已认知及认同有关风险，拍卖人及网络平台不承担基于上述情况或由于竞买人误操作所造成的一切损失及责任。</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28"/>
          <w:szCs w:val="28"/>
        </w:rPr>
      </w:pPr>
      <w:r>
        <w:rPr>
          <w:rFonts w:hint="eastAsia" w:ascii="仿宋" w:hAnsi="仿宋" w:eastAsia="仿宋" w:cs="仿宋"/>
          <w:sz w:val="28"/>
          <w:szCs w:val="28"/>
        </w:rPr>
        <w:t>8.因竞买人如下行为产生的一切后果，由竞买人承担：</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28"/>
          <w:szCs w:val="28"/>
        </w:rPr>
      </w:pPr>
      <w:r>
        <w:rPr>
          <w:rFonts w:hint="eastAsia" w:ascii="仿宋" w:hAnsi="仿宋" w:eastAsia="仿宋" w:cs="仿宋"/>
          <w:sz w:val="28"/>
          <w:szCs w:val="28"/>
        </w:rPr>
        <w:t>a.未及时注册、登录，未及时关注相关竞价信息，未及时出价等导致出价失误的；</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28"/>
          <w:szCs w:val="28"/>
        </w:rPr>
      </w:pPr>
      <w:r>
        <w:rPr>
          <w:rFonts w:hint="eastAsia" w:ascii="仿宋" w:hAnsi="仿宋" w:eastAsia="仿宋" w:cs="仿宋"/>
          <w:sz w:val="28"/>
          <w:szCs w:val="28"/>
        </w:rPr>
        <w:t>b.由于竞买人自身的终端设备和网络异常或操作不当等原因导致无法正常出价的；</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28"/>
          <w:szCs w:val="28"/>
        </w:rPr>
      </w:pPr>
      <w:r>
        <w:rPr>
          <w:rFonts w:hint="eastAsia" w:ascii="仿宋" w:hAnsi="仿宋" w:eastAsia="仿宋" w:cs="仿宋"/>
          <w:sz w:val="28"/>
          <w:szCs w:val="28"/>
        </w:rPr>
        <w:t>c.网络竞价的时间以网络竞价系统页面时间为准，由于竞买人自身终端设备时间与网络竞价系统页面时间不符而导致未能及时参与竞价的。</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28"/>
          <w:szCs w:val="28"/>
        </w:rPr>
      </w:pPr>
      <w:r>
        <w:rPr>
          <w:rFonts w:hint="eastAsia" w:ascii="仿宋" w:hAnsi="仿宋" w:eastAsia="仿宋" w:cs="仿宋"/>
          <w:sz w:val="28"/>
          <w:szCs w:val="28"/>
        </w:rPr>
        <w:t>d.由于互联网存在不稳定因素，不排除标的网络拍卖发生故障（包括但不限于网络故障、电路故障、系统故障 ）以及被网络黑客恶意攻击等风险，使用网络拍卖信息系统的竞买人必须充分估计上述原因导致网上竞价不同于现场竞价的风险。如果发生上述情况以及本人操作差错所造成的损失，由使用网络拍卖平台的竞买人承担。拍卖人不承担任何赔偿责任。竞买人一旦参与网上竞价，即表明认同和接受网络拍卖的客观状态、拍卖会现场传导给客户端的标的图文信息、拍卖师的主持、成交价等。</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28"/>
          <w:szCs w:val="28"/>
        </w:rPr>
      </w:pPr>
      <w:r>
        <w:rPr>
          <w:rFonts w:hint="eastAsia" w:ascii="仿宋" w:hAnsi="仿宋" w:eastAsia="仿宋" w:cs="仿宋"/>
          <w:sz w:val="28"/>
          <w:szCs w:val="28"/>
        </w:rPr>
        <w:t>9.如有其它补充说明事项，以微信通知或者由拍卖师于网络拍卖会上在线宣布。</w:t>
      </w:r>
    </w:p>
    <w:p>
      <w:pPr>
        <w:keepNext w:val="0"/>
        <w:keepLines w:val="0"/>
        <w:pageBreakBefore w:val="0"/>
        <w:widowControl w:val="0"/>
        <w:kinsoku/>
        <w:wordWrap/>
        <w:overflowPunct/>
        <w:topLinePunct w:val="0"/>
        <w:autoSpaceDE/>
        <w:autoSpaceDN/>
        <w:bidi w:val="0"/>
        <w:adjustRightInd/>
        <w:snapToGrid/>
        <w:spacing w:line="520" w:lineRule="exact"/>
        <w:jc w:val="right"/>
        <w:textAlignment w:val="auto"/>
        <w:rPr>
          <w:rFonts w:hint="eastAsia" w:ascii="仿宋" w:hAnsi="仿宋" w:eastAsia="仿宋" w:cs="仿宋"/>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jc w:val="righ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南方电网供应链（云南）</w:t>
      </w:r>
      <w:r>
        <w:rPr>
          <w:rFonts w:hint="eastAsia" w:ascii="仿宋" w:hAnsi="仿宋" w:eastAsia="仿宋" w:cs="仿宋"/>
          <w:sz w:val="28"/>
          <w:szCs w:val="28"/>
        </w:rPr>
        <w:t>有限公司</w:t>
      </w:r>
    </w:p>
    <w:p>
      <w:pPr>
        <w:keepNext w:val="0"/>
        <w:keepLines w:val="0"/>
        <w:pageBreakBefore w:val="0"/>
        <w:widowControl w:val="0"/>
        <w:kinsoku/>
        <w:wordWrap/>
        <w:overflowPunct/>
        <w:topLinePunct w:val="0"/>
        <w:autoSpaceDE/>
        <w:autoSpaceDN/>
        <w:bidi w:val="0"/>
        <w:adjustRightInd/>
        <w:snapToGrid/>
        <w:spacing w:line="520" w:lineRule="exact"/>
        <w:ind w:firstLine="5040" w:firstLineChars="1800"/>
        <w:jc w:val="both"/>
        <w:textAlignment w:val="auto"/>
        <w:rPr>
          <w:rFonts w:hint="eastAsia" w:ascii="仿宋" w:hAnsi="仿宋" w:eastAsia="仿宋" w:cs="仿宋"/>
          <w:sz w:val="28"/>
          <w:szCs w:val="28"/>
          <w:highlight w:val="none"/>
        </w:rPr>
      </w:pPr>
      <w:bookmarkStart w:id="0" w:name="_GoBack"/>
      <w:r>
        <w:rPr>
          <w:rFonts w:hint="eastAsia" w:ascii="仿宋" w:hAnsi="仿宋" w:eastAsia="仿宋" w:cs="仿宋"/>
          <w:sz w:val="28"/>
          <w:szCs w:val="28"/>
          <w:highlight w:val="none"/>
        </w:rPr>
        <w:t>202</w:t>
      </w: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年</w:t>
      </w:r>
      <w:r>
        <w:rPr>
          <w:rFonts w:hint="eastAsia" w:ascii="仿宋" w:hAnsi="仿宋" w:eastAsia="仿宋" w:cs="仿宋"/>
          <w:sz w:val="28"/>
          <w:szCs w:val="28"/>
          <w:highlight w:val="none"/>
          <w:lang w:val="en-US" w:eastAsia="zh-CN"/>
        </w:rPr>
        <w:t>10</w:t>
      </w:r>
      <w:r>
        <w:rPr>
          <w:rFonts w:hint="eastAsia" w:ascii="仿宋" w:hAnsi="仿宋" w:eastAsia="仿宋" w:cs="仿宋"/>
          <w:sz w:val="28"/>
          <w:szCs w:val="28"/>
          <w:highlight w:val="none"/>
        </w:rPr>
        <w:t>月</w:t>
      </w:r>
      <w:r>
        <w:rPr>
          <w:rFonts w:hint="eastAsia" w:ascii="仿宋" w:hAnsi="仿宋" w:eastAsia="仿宋" w:cs="仿宋"/>
          <w:sz w:val="28"/>
          <w:szCs w:val="28"/>
          <w:highlight w:val="none"/>
          <w:lang w:val="en-US" w:eastAsia="zh-CN"/>
        </w:rPr>
        <w:t>15</w:t>
      </w:r>
      <w:r>
        <w:rPr>
          <w:rFonts w:hint="eastAsia" w:ascii="仿宋" w:hAnsi="仿宋" w:eastAsia="仿宋" w:cs="仿宋"/>
          <w:sz w:val="28"/>
          <w:szCs w:val="28"/>
          <w:highlight w:val="none"/>
        </w:rPr>
        <w:t>日</w:t>
      </w:r>
      <w:bookmarkEnd w:id="0"/>
    </w:p>
    <w:p>
      <w:pPr>
        <w:numPr>
          <w:ilvl w:val="0"/>
          <w:numId w:val="0"/>
        </w:numPr>
        <w:ind w:firstLine="420" w:firstLineChars="200"/>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roman"/>
    <w:pitch w:val="default"/>
    <w:sig w:usb0="00000000" w:usb1="00000000" w:usb2="00000009" w:usb3="00000000" w:csb0="400001FF" w:csb1="FFFF0000"/>
  </w:font>
  <w:font w:name="宋体">
    <w:altName w:val="方正书宋_GBK"/>
    <w:panose1 w:val="02010600030101010101"/>
    <w:charset w:val="50"/>
    <w:family w:val="auto"/>
    <w:pitch w:val="default"/>
    <w:sig w:usb0="00000000" w:usb1="00000000" w:usb2="00000006" w:usb3="00000000" w:csb0="00040001"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 w:name="方正黑体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A1Nzc0MmZiMzVjNGRiMWE0NmZiZGM0ZGQwZDgyMjcifQ=="/>
  </w:docVars>
  <w:rsids>
    <w:rsidRoot w:val="00F02CAF"/>
    <w:rsid w:val="00275A63"/>
    <w:rsid w:val="00295BA6"/>
    <w:rsid w:val="002F0F95"/>
    <w:rsid w:val="0055233D"/>
    <w:rsid w:val="00587639"/>
    <w:rsid w:val="005C1CAA"/>
    <w:rsid w:val="0062366D"/>
    <w:rsid w:val="0063299B"/>
    <w:rsid w:val="007F1875"/>
    <w:rsid w:val="00986C66"/>
    <w:rsid w:val="009A39B7"/>
    <w:rsid w:val="009A4709"/>
    <w:rsid w:val="00CE2C94"/>
    <w:rsid w:val="00E96609"/>
    <w:rsid w:val="00F02CAF"/>
    <w:rsid w:val="00F17D28"/>
    <w:rsid w:val="00FA73BE"/>
    <w:rsid w:val="03123BE6"/>
    <w:rsid w:val="03F1541A"/>
    <w:rsid w:val="07481B68"/>
    <w:rsid w:val="150F626F"/>
    <w:rsid w:val="20936A34"/>
    <w:rsid w:val="22FE672C"/>
    <w:rsid w:val="2450100A"/>
    <w:rsid w:val="246068A0"/>
    <w:rsid w:val="25F031A4"/>
    <w:rsid w:val="25F40C23"/>
    <w:rsid w:val="260673FB"/>
    <w:rsid w:val="27BE5DEA"/>
    <w:rsid w:val="28717038"/>
    <w:rsid w:val="29FFC22D"/>
    <w:rsid w:val="2AE92691"/>
    <w:rsid w:val="2B8A38DC"/>
    <w:rsid w:val="2C416A03"/>
    <w:rsid w:val="2ECA4025"/>
    <w:rsid w:val="2EE779B5"/>
    <w:rsid w:val="30F72475"/>
    <w:rsid w:val="332D4BE4"/>
    <w:rsid w:val="343452FA"/>
    <w:rsid w:val="351C20FF"/>
    <w:rsid w:val="377C2520"/>
    <w:rsid w:val="38BF7907"/>
    <w:rsid w:val="38D41A25"/>
    <w:rsid w:val="39E44E71"/>
    <w:rsid w:val="3FE5494A"/>
    <w:rsid w:val="414436E5"/>
    <w:rsid w:val="44FE585B"/>
    <w:rsid w:val="4B882EAA"/>
    <w:rsid w:val="4BAF6E2B"/>
    <w:rsid w:val="4DC818A5"/>
    <w:rsid w:val="4E8A5B99"/>
    <w:rsid w:val="4EA70F40"/>
    <w:rsid w:val="4F6F44C7"/>
    <w:rsid w:val="4FCF4582"/>
    <w:rsid w:val="506348EA"/>
    <w:rsid w:val="5287670A"/>
    <w:rsid w:val="537806AC"/>
    <w:rsid w:val="54596730"/>
    <w:rsid w:val="547839CF"/>
    <w:rsid w:val="5522413C"/>
    <w:rsid w:val="55CB5419"/>
    <w:rsid w:val="56F063AA"/>
    <w:rsid w:val="5CB178CD"/>
    <w:rsid w:val="5FFE29A1"/>
    <w:rsid w:val="60D03134"/>
    <w:rsid w:val="65C402E7"/>
    <w:rsid w:val="6A567ACF"/>
    <w:rsid w:val="6BA028C9"/>
    <w:rsid w:val="6BD5082C"/>
    <w:rsid w:val="6F730C91"/>
    <w:rsid w:val="6F883C1C"/>
    <w:rsid w:val="73FB4834"/>
    <w:rsid w:val="74E41BD2"/>
    <w:rsid w:val="77BB16C7"/>
    <w:rsid w:val="77E86583"/>
    <w:rsid w:val="79581B62"/>
    <w:rsid w:val="7A726A91"/>
    <w:rsid w:val="7BD4273A"/>
    <w:rsid w:val="7C4E3A25"/>
    <w:rsid w:val="7E652331"/>
    <w:rsid w:val="7EE60311"/>
    <w:rsid w:val="DFCF6426"/>
    <w:rsid w:val="F377E034"/>
    <w:rsid w:val="FB791FAC"/>
    <w:rsid w:val="FFDF51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Autospacing="1" w:afterAutospacing="1"/>
      <w:jc w:val="left"/>
    </w:pPr>
    <w:rPr>
      <w:kern w:val="0"/>
      <w:sz w:val="24"/>
    </w:rPr>
  </w:style>
  <w:style w:type="character" w:styleId="7">
    <w:name w:val="Hyperlink"/>
    <w:basedOn w:val="6"/>
    <w:unhideWhenUsed/>
    <w:qFormat/>
    <w:uiPriority w:val="99"/>
    <w:rPr>
      <w:color w:val="0000FF"/>
      <w:u w:val="single"/>
    </w:rPr>
  </w:style>
  <w:style w:type="character" w:customStyle="1" w:styleId="8">
    <w:name w:val="页眉 Char"/>
    <w:basedOn w:val="6"/>
    <w:link w:val="3"/>
    <w:qFormat/>
    <w:uiPriority w:val="99"/>
    <w:rPr>
      <w:sz w:val="18"/>
      <w:szCs w:val="18"/>
    </w:rPr>
  </w:style>
  <w:style w:type="character" w:customStyle="1" w:styleId="9">
    <w:name w:val="页脚 Char"/>
    <w:basedOn w:val="6"/>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2657</Words>
  <Characters>2762</Characters>
  <Lines>20</Lines>
  <Paragraphs>5</Paragraphs>
  <TotalTime>77</TotalTime>
  <ScaleCrop>false</ScaleCrop>
  <LinksUpToDate>false</LinksUpToDate>
  <CharactersWithSpaces>2854</CharactersWithSpaces>
  <Application>WPS Office_11.8.2.1130_F1E327BC-269C-435d-A152-05C5408002CA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2022-08-31T12:15:00Z</dcterms:created>
  <dc:creator>xtzj</dc:creator>
  <cp:lastModifiedBy>sangfor</cp:lastModifiedBy>
  <cp:lastPrinted>2025-12-18T10:36:00Z</cp:lastPrinted>
  <dcterms:modified xsi:type="dcterms:W3CDTF">2026-10-14T15:46:01Z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2052-11.8.2.1130</vt:lpwstr>
  </property>
  <property fmtid="{D5CDD505-2E9C-101B-9397-08002B2CF9AE}" pid="3" name="ICV">
    <vt:lpwstr>486C0626DCA306806E2BCF6ACC96B4E8</vt:lpwstr>
  </property>
  <property fmtid="{D5CDD505-2E9C-101B-9397-08002B2CF9AE}" pid="4" name="CWM003a01aa7e1b423ebb31c15fc5f3687b">
    <vt:lpwstr>CWMsLcTfyYUxBNh1bWFckh0PkMNPyqHhl+Ef13OLkeRTLbSU4wn3EV8MUPLYqv+v2s0kFMKYifmWuNMN7Zk0rCZPg==</vt:lpwstr>
  </property>
</Properties>
</file>