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2026年南方电网数据平台与安全（广东）有限公司网络安全准入管理控制系统投标寻源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我单位参与</w:t>
      </w:r>
      <w:bookmarkStart w:id="0" w:name="TXT_846D509D7E344B68A14761C1EDDA504E_1"/>
      <w:r>
        <w:rPr>
          <w:rFonts w:hint="eastAsia" w:ascii="仿宋" w:hAnsi="仿宋" w:eastAsia="仿宋" w:cs="仿宋"/>
          <w:kern w:val="2"/>
          <w:sz w:val="24"/>
          <w:szCs w:val="24"/>
          <w:highlight w:val="none"/>
          <w:lang w:val="en-US" w:eastAsia="zh-CN" w:bidi="ar-SA"/>
        </w:rPr>
        <w:t>寻</w:t>
      </w:r>
      <w:r>
        <w:rPr>
          <w:rFonts w:hint="eastAsia" w:ascii="仿宋" w:hAnsi="仿宋" w:eastAsia="仿宋" w:cs="仿宋"/>
          <w:color w:val="auto"/>
          <w:kern w:val="2"/>
          <w:sz w:val="24"/>
          <w:szCs w:val="24"/>
          <w:highlight w:val="none"/>
          <w:lang w:val="en-US" w:eastAsia="zh-CN" w:bidi="ar-SA"/>
        </w:rPr>
        <w:t>源方</w:t>
      </w:r>
      <w:bookmarkEnd w:id="0"/>
      <w:r>
        <w:rPr>
          <w:rFonts w:hint="eastAsia" w:ascii="仿宋" w:hAnsi="仿宋" w:eastAsia="仿宋" w:cs="仿宋"/>
          <w:i/>
          <w:iCs/>
          <w:color w:val="auto"/>
          <w:kern w:val="0"/>
          <w:sz w:val="24"/>
          <w:szCs w:val="24"/>
          <w:highlight w:val="none"/>
          <w:u w:val="single"/>
          <w:lang w:val="en-US" w:eastAsia="zh-CN" w:bidi="ar"/>
        </w:rPr>
        <w:t>2026年南方电网数据平台与安全（广东）有限公司网络安全准入管理控制系统投标寻源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相关工</w:t>
      </w:r>
      <w:r>
        <w:rPr>
          <w:rFonts w:hint="eastAsia" w:ascii="仿宋" w:hAnsi="仿宋" w:eastAsia="仿宋" w:cs="仿宋"/>
          <w:kern w:val="2"/>
          <w:sz w:val="24"/>
          <w:szCs w:val="24"/>
          <w:highlight w:val="none"/>
          <w:lang w:val="en-US" w:eastAsia="zh-CN" w:bidi="ar-SA"/>
        </w:rPr>
        <w:t xml:space="preserve">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before="91" w:line="360" w:lineRule="auto"/>
        <w:ind w:left="23"/>
        <w:textAlignment w:val="auto"/>
        <w:outlineLvl w:val="9"/>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keepNext w:val="0"/>
        <w:keepLines w:val="0"/>
        <w:pageBreakBefore w:val="0"/>
        <w:widowControl w:val="0"/>
        <w:kinsoku/>
        <w:wordWrap/>
        <w:overflowPunct/>
        <w:topLinePunct w:val="0"/>
        <w:autoSpaceDE/>
        <w:autoSpaceDN/>
        <w:bidi w:val="0"/>
        <w:adjustRightInd/>
        <w:snapToGrid/>
        <w:spacing w:before="91" w:line="360" w:lineRule="auto"/>
        <w:ind w:left="23" w:firstLine="420"/>
        <w:textAlignment w:val="auto"/>
        <w:outlineLvl w:val="9"/>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sz w:val="24"/>
          <w:highlight w:val="none"/>
          <w:lang w:val="en-US" w:eastAsia="zh-CN"/>
        </w:rPr>
        <w:t>使用</w:t>
      </w:r>
      <w:r>
        <w:rPr>
          <w:rFonts w:hint="eastAsia" w:ascii="仿宋" w:hAnsi="仿宋" w:eastAsia="仿宋" w:cs="仿宋"/>
          <w:sz w:val="24"/>
          <w:highlight w:val="none"/>
        </w:rPr>
        <w:t>本公司</w:t>
      </w:r>
      <w:r>
        <w:rPr>
          <w:rFonts w:hint="eastAsia" w:ascii="仿宋" w:hAnsi="仿宋" w:eastAsia="仿宋" w:cs="仿宋"/>
          <w:sz w:val="24"/>
          <w:highlight w:val="none"/>
          <w:lang w:val="en-US" w:eastAsia="zh-CN"/>
        </w:rPr>
        <w:t>产品</w:t>
      </w:r>
      <w:r>
        <w:rPr>
          <w:rFonts w:hint="eastAsia" w:ascii="仿宋" w:hAnsi="仿宋" w:eastAsia="仿宋" w:cs="仿宋"/>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2026年南方电网数据平台与安全（广东）有限公司网络安全准入管理控制系统投标寻源</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2"/>
        <w:keepNext w:val="0"/>
        <w:keepLines w:val="0"/>
        <w:pageBreakBefore w:val="0"/>
        <w:widowControl w:val="0"/>
        <w:kinsoku/>
        <w:wordWrap/>
        <w:overflowPunct/>
        <w:topLinePunct w:val="0"/>
        <w:autoSpaceDE/>
        <w:autoSpaceDN/>
        <w:bidi w:val="0"/>
        <w:adjustRightInd/>
        <w:snapToGrid/>
        <w:spacing w:before="91" w:line="360" w:lineRule="auto"/>
        <w:textAlignment w:val="auto"/>
        <w:outlineLvl w:val="9"/>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在此处提供对应证明材料。</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（营业执照法定代表人）特授权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代表我公司全权办理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2026年南方电网数据平台与安全（广东）有限公司网络安全准入管理控制系统投标寻源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w:t>
      </w:r>
      <w:r>
        <w:rPr>
          <w:rFonts w:hint="eastAsia" w:ascii="仿宋" w:hAnsi="仿宋" w:eastAsia="仿宋" w:cs="仿宋"/>
          <w:color w:val="000000"/>
          <w:sz w:val="24"/>
          <w:szCs w:val="24"/>
          <w:highlight w:val="none"/>
          <w:lang w:val="en-US" w:eastAsia="zh-CN"/>
        </w:rPr>
        <w:t>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兹委托授权</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（被授权人姓名）前来</w:t>
      </w:r>
      <w:r>
        <w:rPr>
          <w:rFonts w:hint="eastAsia" w:ascii="仿宋" w:hAnsi="仿宋" w:eastAsia="仿宋" w:cs="仿宋"/>
          <w:color w:val="000000"/>
          <w:sz w:val="24"/>
          <w:szCs w:val="24"/>
          <w:highlight w:val="none"/>
          <w:u w:val="none"/>
          <w:lang w:val="en-US" w:eastAsia="zh-CN"/>
        </w:rPr>
        <w:t xml:space="preserve">参加 </w:t>
      </w:r>
      <w:r>
        <w:rPr>
          <w:rFonts w:hint="eastAsia" w:ascii="仿宋" w:hAnsi="仿宋" w:eastAsia="仿宋" w:cs="仿宋"/>
          <w:i/>
          <w:iCs/>
          <w:color w:val="0000FF"/>
          <w:kern w:val="0"/>
          <w:sz w:val="24"/>
          <w:szCs w:val="24"/>
          <w:highlight w:val="none"/>
          <w:u w:val="single"/>
          <w:lang w:val="en-US" w:eastAsia="zh-CN" w:bidi="ar"/>
        </w:rPr>
        <w:t xml:space="preserve">2026年南方电网数据平台与安全（广东）有限公司网络安全准入管理控制系统投标寻源 </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0000EE"/>
          <w:sz w:val="24"/>
          <w:szCs w:val="24"/>
          <w:highlight w:val="none"/>
          <w:u w:val="single"/>
          <w:lang w:val="en-US" w:eastAsia="zh-CN"/>
        </w:rPr>
        <w:t xml:space="preserve">           </w:t>
      </w:r>
      <w:r>
        <w:rPr>
          <w:rFonts w:hint="eastAsia" w:ascii="仿宋" w:hAnsi="仿宋" w:eastAsia="仿宋" w:cs="仿宋"/>
          <w:i/>
          <w:iCs/>
          <w:color w:val="0000FF"/>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000000"/>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2026年南方电网数据平台与安全（广东）有限公司网络安全准入管理控制系统投标寻源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中，本项目所提供产品满足自主可控的要求，符合南方电网相关的数据安全标准和法</w:t>
      </w:r>
      <w:r>
        <w:rPr>
          <w:rFonts w:hint="eastAsia" w:ascii="仿宋" w:hAnsi="仿宋" w:eastAsia="仿宋" w:cs="仿宋"/>
          <w:sz w:val="24"/>
          <w:szCs w:val="24"/>
          <w:highlight w:val="none"/>
          <w:lang w:val="en-US" w:eastAsia="zh-CN"/>
        </w:rPr>
        <w:t>规，切实保护招标方的隐私和数据安全。</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2026年南方电网数据平台与安全（广东）有限公司网络安全准入管理控制系统投标寻源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中选后，提供满足要求的核心芯片应用情况表及芯片供应商承诺函（附件：核心芯片应用情况表及芯片供应商承诺函）。</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3"/>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（说明：代理商提供，并加盖公章；若后续的签约和履行阶段无需委托其经销商实施的，则无需提供。）</w:t>
      </w:r>
    </w:p>
    <w:p>
      <w:pPr>
        <w:spacing w:line="360" w:lineRule="auto"/>
        <w:rPr>
          <w:rFonts w:hint="eastAsia"/>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eastAsia="zh-CN"/>
        </w:rPr>
      </w:pPr>
    </w:p>
    <w:p>
      <w:pPr>
        <w:spacing w:line="360" w:lineRule="auto"/>
        <w:rPr>
          <w:rFonts w:hint="eastAsia"/>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（说明：代理商提供，并加盖公章；若后续的签约和履行阶段无需委托其经销商实施的，则无需提供。）</w:t>
      </w:r>
    </w:p>
    <w:p>
      <w:pPr>
        <w:spacing w:line="360" w:lineRule="auto"/>
        <w:rPr>
          <w:rFonts w:hint="eastAsia"/>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outlineLvl w:val="9"/>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rPr>
      </w:pPr>
    </w:p>
    <w:p>
      <w:pPr>
        <w:rPr>
          <w:rFonts w:hint="eastAsia"/>
          <w:highlight w:val="none"/>
        </w:rPr>
      </w:pP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highlight w:val="none"/>
        </w:rPr>
      </w:pPr>
    </w:p>
    <w:p>
      <w:pPr>
        <w:pStyle w:val="6"/>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6"/>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（1）网络安全准入管理控制系统技术参数及相关证明材料：</w:t>
      </w:r>
    </w:p>
    <w:tbl>
      <w:tblPr>
        <w:tblStyle w:val="22"/>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485"/>
        <w:gridCol w:w="880"/>
        <w:gridCol w:w="885"/>
        <w:gridCol w:w="4941"/>
        <w:gridCol w:w="11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序号</w:t>
            </w:r>
          </w:p>
        </w:tc>
        <w:tc>
          <w:tcPr>
            <w:tcW w:w="1059"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技术参数</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i w:val="0"/>
                <w:color w:val="000000"/>
                <w:sz w:val="24"/>
                <w:szCs w:val="24"/>
                <w:u w:val="none"/>
              </w:rPr>
            </w:pPr>
            <w:r>
              <w:rPr>
                <w:rFonts w:hint="eastAsia" w:ascii="仿宋" w:hAnsi="仿宋" w:eastAsia="仿宋" w:cs="仿宋"/>
                <w:b/>
                <w:i w:val="0"/>
                <w:color w:val="000000"/>
                <w:kern w:val="0"/>
                <w:sz w:val="24"/>
                <w:szCs w:val="24"/>
                <w:u w:val="none"/>
                <w:lang w:val="en-US" w:eastAsia="zh-CN" w:bidi="ar"/>
              </w:rPr>
              <w:t>参数要求</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b/>
                <w:i w:val="0"/>
                <w:color w:val="000000"/>
                <w:kern w:val="0"/>
                <w:sz w:val="24"/>
                <w:szCs w:val="24"/>
                <w:u w:val="none"/>
                <w:lang w:val="en-US" w:eastAsia="zh-CN" w:bidi="ar"/>
              </w:rPr>
            </w:pPr>
            <w:r>
              <w:rPr>
                <w:rFonts w:hint="eastAsia" w:ascii="仿宋" w:hAnsi="仿宋" w:eastAsia="仿宋" w:cs="仿宋"/>
                <w:b/>
                <w:bCs/>
                <w:sz w:val="24"/>
                <w:szCs w:val="24"/>
                <w:highlight w:val="none"/>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w:t>
            </w:r>
          </w:p>
        </w:tc>
        <w:tc>
          <w:tcPr>
            <w:tcW w:w="1059" w:type="pct"/>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★自主可控要求</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1.投标产品标准不低于《通用服务器政府采购需求标准（2023 版）》要求，详见中国信息安全测评中心（www.itsec.gov.cn）和国家保密科技测评中心（www.nsstec.org.cn）公告结果。</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2.CPU和操作系统应当符合安全可靠测评要求。</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3.硬件部分：</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1）该设备涉及的主要芯片产品（CPU、SSD、DRAM、BMC、网卡芯片、电流模块控制芯片、RAID芯片）需要满足自主可控要求。CPU和操作系统需要通过国家安全可靠测评。芯片需提供自主可控证明材料及承诺函。</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2）操作系统：兼容UOS、麒麟等通过国家安全可靠测评的桌面和服务器操作系统。</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3）数据库：兼容达梦关系数据库。</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4）应用服务器中间件：兼容中创应用服务器中间件。</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4.软件部分：</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需提供软件物料清单(SBOM)，详细列明软件所包含的所有组件、库、依赖项及其版本、许可证和来源信息，数据库、中间件基础软件产品需满足自主可控要求，数据库兼容达梦数据库，中间件兼容中创中间件。交付的软件不能有高危及以上漏洞、许可证风险，软件部署运行环境须满足以下要求，并提供证明材料；</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（2）软件部署运行环境须满足以下要求：</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1）CPU：该软件兼容通过国家安全可靠测评的 CPU（ARM、X86、MIPS）架构。</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2）操作系统：该软件兼容 UOS、麒麟等通过国家安全可靠测评的桌面和服务器操作系统。</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3）数据库：该软件兼容达梦关系数据库。</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4）应用服务器中间件：该软件兼容中创应用服务器中间件。</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5）浏览器：兼容自主可控终端下的奇安信浏览器、360安全浏览器。</w:t>
            </w:r>
          </w:p>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（3）本项目所采购的软件产品100%为国产自主可控软件，如软件涉及境外厂商开发、境外版权所有、境外主体提供，涉及境外组件、境外模块、境外云服务、境外接口依赖，需做申明。</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提供自主可控证明材料及承诺函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3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w:t>
            </w:r>
          </w:p>
        </w:tc>
        <w:tc>
          <w:tcPr>
            <w:tcW w:w="528"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基本要求</w:t>
            </w: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★兼容性要求</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（1）客户端Agent支持常见信创操作系统，包括但不限于统信UOS、银河麒麟等；（提供功能截图）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（2）客户端Agent支持常见信创硬件CPU，包括但不限于海光、飞腾等；（提供功能截图）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（3）客户端Agent对常用办公软件包括但不限于企业微信、WPS等应具有良好的兼容性；（提供功能截图）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（4）支持主流自主可控操作系统（麒麟、统信等）；（提供功能截图）</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3</w:t>
            </w:r>
          </w:p>
        </w:tc>
        <w:tc>
          <w:tcPr>
            <w:tcW w:w="528"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系统部署要求</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客户端Agent支持安装包部署</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5"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4</w:t>
            </w:r>
          </w:p>
        </w:tc>
        <w:tc>
          <w:tcPr>
            <w:tcW w:w="528"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★硬件性能指标</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▲标准机架式设备，冗余风扇、电源。性能要求：CPU≥16核心；内存≥64G；硬盘≥4T*2；网口≥4个千兆电口+2个万兆光口；（提供证明材料并加盖原厂公章）。</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每台设备并发不少于5000个终端接入会话。（提供加盖原厂公章的承诺函）。</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提供证明材料或承诺函并加盖原厂公章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34" w:hRule="atLeast"/>
        </w:trPr>
        <w:tc>
          <w:tcPr>
            <w:tcW w:w="29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5</w:t>
            </w:r>
          </w:p>
        </w:tc>
        <w:tc>
          <w:tcPr>
            <w:tcW w:w="528"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★一体化</w:t>
            </w:r>
          </w:p>
        </w:tc>
        <w:tc>
          <w:tcPr>
            <w:tcW w:w="2964"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支持融合统一管理端、融合统一客户端。</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（提供功能截图）</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857"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6</w:t>
            </w:r>
          </w:p>
        </w:tc>
        <w:tc>
          <w:tcPr>
            <w:tcW w:w="528"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★接口集成</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（1）支持按照招标方要求，提供接口集成服务，支持系统数据、设备告警日志等上传；</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（2）支持与麒麟、统信的信创终端安全系统对接和管理；在设备质保期内，支持适配信创终端安全系统的所有版本（提供加盖原厂公章的技术服务承诺函）</w:t>
            </w:r>
            <w:bookmarkStart w:id="1" w:name="_GoBack"/>
            <w:bookmarkEnd w:id="1"/>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提供加盖原厂公章的技术服务承诺函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7</w:t>
            </w:r>
          </w:p>
        </w:tc>
        <w:tc>
          <w:tcPr>
            <w:tcW w:w="528"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★级联管理功能</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支持级联管理功能，二级控制中心上报安全数据至一级控制中心，实现统一管控的集中化管理（提供功能截图）</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8</w:t>
            </w:r>
          </w:p>
        </w:tc>
        <w:tc>
          <w:tcPr>
            <w:tcW w:w="528"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★统一展示功能</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支持图形化展示招标方要求的准入相关参数，包括但不限于在线终端数量、风险终端数量等信息（提供功能截图）</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9</w:t>
            </w:r>
          </w:p>
        </w:tc>
        <w:tc>
          <w:tcPr>
            <w:tcW w:w="528" w:type="pct"/>
            <w:vMerge w:val="restart"/>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运维管理</w:t>
            </w: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部署模式</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支持多种灵活的部署方式，无需改变网络结构</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10</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IPv6支持</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支持在IPv4和IPv6双栈环境下的终端准入控制</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11</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管理架构</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控制中心支持通过浏览器进行访问，支持管理员分区分权管理模式，灵活配置管理权限，适应大型分级管理组织架构；支持命令行或图形界面方式进行系统配置与运维</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12</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集中管理</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支持集中管理，可在同一控制中心集中管理所有设备，支持设备分组，权限管理，实现分布式部署、集中管理，满足大型网络环境下的部署要求</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13</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高可用</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支持双机高可用方式部署，支持双机热灾备。</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14</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★应急逃生</w:t>
            </w:r>
          </w:p>
        </w:tc>
        <w:tc>
          <w:tcPr>
            <w:tcW w:w="2964" w:type="pct"/>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支持应急逃生方式，当系统检测到运行中出现的异常和故障支持自动逃生（提供功能截图）</w:t>
            </w:r>
          </w:p>
        </w:tc>
        <w:tc>
          <w:tcPr>
            <w:tcW w:w="685" w:type="pct"/>
            <w:tcBorders>
              <w:top w:val="single" w:color="000000" w:sz="4" w:space="0"/>
              <w:left w:val="single" w:color="000000" w:sz="4" w:space="0"/>
              <w:bottom w:val="nil"/>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15</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日志查询</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支持记录终端至少180天的日志信息，日志信息内容包括但不限于级别、IP、内容、时间等信息；</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16</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信息通知</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支持通过自动审批和管理员手动审批两种方式进行用户申请审核，审批通过邮件进行通知</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17</w:t>
            </w:r>
          </w:p>
        </w:tc>
        <w:tc>
          <w:tcPr>
            <w:tcW w:w="528" w:type="pct"/>
            <w:vMerge w:val="continue"/>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策略备份</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管理中心和准入引擎支持策略备份</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18</w:t>
            </w:r>
          </w:p>
        </w:tc>
        <w:tc>
          <w:tcPr>
            <w:tcW w:w="528" w:type="pct"/>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设备识别</w:t>
            </w: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设备类型识别</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支持自动识别网内设备，可对PC、交换机、移动终端等IP设备自动识别及归类</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19</w:t>
            </w:r>
          </w:p>
        </w:tc>
        <w:tc>
          <w:tcPr>
            <w:tcW w:w="528" w:type="pct"/>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场景授权</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支持基于场景的终端网络接入授权，支持根据终端接入区域所属交换机、接入时间段、终端MAC地址等对网络接入终端授予不同的访问权限</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20</w:t>
            </w:r>
          </w:p>
        </w:tc>
        <w:tc>
          <w:tcPr>
            <w:tcW w:w="528" w:type="pct"/>
            <w:vMerge w:val="restar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准入控制</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准入方式</w:t>
            </w:r>
          </w:p>
        </w:tc>
        <w:tc>
          <w:tcPr>
            <w:tcW w:w="296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支持策略路由、端口镜像、透明网桥、802.1X等多种准入控制方式</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21</w:t>
            </w: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准入类型</w:t>
            </w:r>
          </w:p>
        </w:tc>
        <w:tc>
          <w:tcPr>
            <w:tcW w:w="296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支持用户名密码、Ukey、指纹等认证方式，支持与AD域、信创操作系统域联动；支持统一认证管理</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22</w:t>
            </w: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准入功能</w:t>
            </w:r>
          </w:p>
        </w:tc>
        <w:tc>
          <w:tcPr>
            <w:tcW w:w="296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支持多元素绑定校验，支持身份认证与终端MAC、IP、交换机端口等多种元素的绑定认证</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23</w:t>
            </w: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访问控制</w:t>
            </w:r>
          </w:p>
        </w:tc>
        <w:tc>
          <w:tcPr>
            <w:tcW w:w="296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支持基于用户组、用户角色定义访问控制策略</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785"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24</w:t>
            </w: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★802.1X认证</w:t>
            </w:r>
          </w:p>
        </w:tc>
        <w:tc>
          <w:tcPr>
            <w:tcW w:w="2964" w:type="pct"/>
            <w:tcBorders>
              <w:top w:val="single" w:color="000000" w:sz="4" w:space="0"/>
              <w:left w:val="single" w:color="000000" w:sz="4" w:space="0"/>
              <w:bottom w:val="nil"/>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支持802.1x认证技术上基于终端快速认证，与终端管理客户端联动无需输入账号快速入网，避免重复输入账号口令；（提供功能截图）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支持限定单账号最大绑定终端数、最大在线终端数；（提供功能截图）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支持基于网络设备的动态授权，用户的接入权限，可以在认证通过后下发给接入设备，由设备动态控制用户的访问权限；（提供功能截图）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支持针对瘦终端MAC地址进行认证，支持批量例外同类型瘦终端设备；（提供功能截图）</w:t>
            </w:r>
          </w:p>
        </w:tc>
        <w:tc>
          <w:tcPr>
            <w:tcW w:w="685" w:type="pct"/>
            <w:tcBorders>
              <w:top w:val="single" w:color="000000" w:sz="4" w:space="0"/>
              <w:left w:val="single" w:color="000000" w:sz="4" w:space="0"/>
              <w:bottom w:val="nil"/>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75"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25</w:t>
            </w: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w:t>
            </w:r>
            <w:r>
              <w:rPr>
                <w:rStyle w:val="36"/>
                <w:rFonts w:hint="eastAsia" w:ascii="仿宋" w:hAnsi="仿宋" w:eastAsia="仿宋" w:cs="仿宋"/>
                <w:sz w:val="24"/>
                <w:szCs w:val="24"/>
                <w:lang w:val="en-US" w:eastAsia="zh-CN" w:bidi="ar"/>
              </w:rPr>
              <w:t>自主可控化终端安全检查</w:t>
            </w:r>
          </w:p>
        </w:tc>
        <w:tc>
          <w:tcPr>
            <w:tcW w:w="2964" w:type="pct"/>
            <w:tcBorders>
              <w:top w:val="single" w:color="000000" w:sz="4" w:space="0"/>
              <w:left w:val="single" w:color="000000" w:sz="4" w:space="0"/>
              <w:bottom w:val="nil"/>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支持对Linux类型的终端、麒麟、统信等自主可控操作系统终端进行安全基线的检查，让终端在接入网络前保证其安全性和合规性要求；（提供功能截图）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支持终端安全检查项，包含但不限于进程检查、必装软件检查等；（提供功能截图）</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支持自定义检查项，支持检查文件是否存在，支持检查进程或服务是否运行；（提供功能截图）</w:t>
            </w:r>
          </w:p>
        </w:tc>
        <w:tc>
          <w:tcPr>
            <w:tcW w:w="685" w:type="pct"/>
            <w:tcBorders>
              <w:top w:val="single" w:color="000000" w:sz="4" w:space="0"/>
              <w:left w:val="single" w:color="000000" w:sz="4" w:space="0"/>
              <w:bottom w:val="nil"/>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26</w:t>
            </w: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例外设备入网</w:t>
            </w:r>
          </w:p>
        </w:tc>
        <w:tc>
          <w:tcPr>
            <w:tcW w:w="296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支持根据IP地址设置例外设备，例外的设备无需执行准入控制策略；支持根据MAC地址设置例外设备，例外的设备无需执行准入控制策略</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1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27</w:t>
            </w:r>
          </w:p>
        </w:tc>
        <w:tc>
          <w:tcPr>
            <w:tcW w:w="528" w:type="pct"/>
            <w:vMerge w:val="continue"/>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snapToGrid/>
              <w:ind w:firstLine="0" w:firstLineChars="0"/>
              <w:jc w:val="center"/>
              <w:rPr>
                <w:rFonts w:hint="eastAsia" w:ascii="仿宋" w:hAnsi="仿宋" w:eastAsia="仿宋" w:cs="仿宋"/>
                <w:i w:val="0"/>
                <w:color w:val="000000"/>
                <w:sz w:val="24"/>
                <w:szCs w:val="24"/>
                <w:u w:val="none"/>
              </w:rPr>
            </w:pP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黑名单管理</w:t>
            </w:r>
          </w:p>
        </w:tc>
        <w:tc>
          <w:tcPr>
            <w:tcW w:w="2964"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支持导入或联动第三方安全系统进行风险设备的加黑处置，对于黑名单中的IP/MAC地址，一律阻断其网络访问流量</w:t>
            </w:r>
          </w:p>
        </w:tc>
        <w:tc>
          <w:tcPr>
            <w:tcW w:w="685"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530" w:hRule="atLeast"/>
        </w:trPr>
        <w:tc>
          <w:tcPr>
            <w:tcW w:w="291"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28</w:t>
            </w:r>
          </w:p>
        </w:tc>
        <w:tc>
          <w:tcPr>
            <w:tcW w:w="528" w:type="pct"/>
            <w:tcBorders>
              <w:top w:val="single" w:color="000000" w:sz="4" w:space="0"/>
              <w:left w:val="single" w:color="000000" w:sz="4" w:space="0"/>
              <w:bottom w:val="single" w:color="000000" w:sz="4" w:space="0"/>
              <w:right w:val="single" w:color="000000" w:sz="4" w:space="0"/>
            </w:tcBorders>
            <w:shd w:val="clear" w:color="auto" w:fill="auto"/>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用户管理</w:t>
            </w:r>
          </w:p>
        </w:tc>
        <w:tc>
          <w:tcPr>
            <w:tcW w:w="53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用户管理</w:t>
            </w:r>
          </w:p>
        </w:tc>
        <w:tc>
          <w:tcPr>
            <w:tcW w:w="2964" w:type="pct"/>
            <w:tcBorders>
              <w:top w:val="single" w:color="000000" w:sz="4" w:space="0"/>
              <w:left w:val="single" w:color="000000" w:sz="4" w:space="0"/>
              <w:bottom w:val="nil"/>
              <w:right w:val="single" w:color="000000" w:sz="4" w:space="0"/>
            </w:tcBorders>
            <w:shd w:val="clear" w:color="auto" w:fill="auto"/>
            <w:noWrap w:val="0"/>
            <w:tcMar>
              <w:top w:w="15" w:type="dxa"/>
              <w:left w:w="15" w:type="dxa"/>
              <w:right w:w="15" w:type="dxa"/>
            </w:tcMar>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top"/>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(1)支持帐号的增删改查，支持创建用户姓名、账号密码等信息，支持自定义用户部门；支持模糊查询用户账户；</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(2)支持通过账号查询接入明细日志和认证失败日志，日志可导出到文本文件和CSV表格中；</w:t>
            </w:r>
            <w:r>
              <w:rPr>
                <w:rFonts w:hint="eastAsia" w:ascii="仿宋" w:hAnsi="仿宋" w:eastAsia="仿宋" w:cs="仿宋"/>
                <w:i w:val="0"/>
                <w:color w:val="000000"/>
                <w:kern w:val="0"/>
                <w:sz w:val="24"/>
                <w:szCs w:val="24"/>
                <w:u w:val="none"/>
                <w:lang w:val="en-US" w:eastAsia="zh-CN" w:bidi="ar"/>
              </w:rPr>
              <w:br w:type="textWrapping"/>
            </w:r>
            <w:r>
              <w:rPr>
                <w:rFonts w:hint="eastAsia" w:ascii="仿宋" w:hAnsi="仿宋" w:eastAsia="仿宋" w:cs="仿宋"/>
                <w:i w:val="0"/>
                <w:color w:val="000000"/>
                <w:kern w:val="0"/>
                <w:sz w:val="24"/>
                <w:szCs w:val="24"/>
                <w:u w:val="none"/>
                <w:lang w:val="en-US" w:eastAsia="zh-CN" w:bidi="ar"/>
              </w:rPr>
              <w:t>(3)在管理员状态下，支持查看网管型交换机端口状态，面板图形化展现各接口状态（up、down、trunk等），以及各接口下联机的终端详细信息（IP、地址、MAC地址等）</w:t>
            </w:r>
          </w:p>
        </w:tc>
        <w:tc>
          <w:tcPr>
            <w:tcW w:w="685" w:type="pct"/>
            <w:tcBorders>
              <w:top w:val="single" w:color="000000" w:sz="4" w:space="0"/>
              <w:left w:val="single" w:color="000000" w:sz="4" w:space="0"/>
              <w:bottom w:val="nil"/>
              <w:right w:val="single" w:color="000000" w:sz="4" w:space="0"/>
            </w:tcBorders>
            <w:shd w:val="clear" w:color="auto" w:fill="auto"/>
            <w:noWrap w:val="0"/>
            <w:tcMar>
              <w:top w:w="15" w:type="dxa"/>
              <w:left w:w="15" w:type="dxa"/>
              <w:right w:w="15" w:type="dxa"/>
            </w:tcMar>
            <w:vAlign w:val="top"/>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top"/>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20" w:hRule="atLeast"/>
        </w:trPr>
        <w:tc>
          <w:tcPr>
            <w:tcW w:w="29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lang w:val="en-US"/>
              </w:rPr>
            </w:pPr>
            <w:r>
              <w:rPr>
                <w:rFonts w:hint="eastAsia" w:ascii="仿宋" w:hAnsi="仿宋" w:eastAsia="仿宋" w:cs="仿宋"/>
                <w:i w:val="0"/>
                <w:color w:val="000000"/>
                <w:kern w:val="0"/>
                <w:sz w:val="24"/>
                <w:szCs w:val="24"/>
                <w:u w:val="none"/>
                <w:lang w:val="en-US" w:eastAsia="zh-CN" w:bidi="ar"/>
              </w:rPr>
              <w:t>29</w:t>
            </w:r>
          </w:p>
        </w:tc>
        <w:tc>
          <w:tcPr>
            <w:tcW w:w="528"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服务要求</w:t>
            </w:r>
          </w:p>
        </w:tc>
        <w:tc>
          <w:tcPr>
            <w:tcW w:w="531"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★售后服务</w:t>
            </w:r>
          </w:p>
        </w:tc>
        <w:tc>
          <w:tcPr>
            <w:tcW w:w="2964"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left"/>
              <w:textAlignment w:val="center"/>
              <w:rPr>
                <w:rFonts w:hint="eastAsia" w:ascii="仿宋" w:hAnsi="仿宋" w:eastAsia="仿宋" w:cs="仿宋"/>
                <w:i w:val="0"/>
                <w:color w:val="000000"/>
                <w:sz w:val="24"/>
                <w:szCs w:val="24"/>
                <w:u w:val="none"/>
              </w:rPr>
            </w:pPr>
            <w:r>
              <w:rPr>
                <w:rFonts w:hint="eastAsia" w:ascii="仿宋" w:hAnsi="仿宋" w:eastAsia="仿宋" w:cs="仿宋"/>
                <w:i w:val="0"/>
                <w:color w:val="000000"/>
                <w:kern w:val="0"/>
                <w:sz w:val="24"/>
                <w:szCs w:val="24"/>
                <w:u w:val="none"/>
                <w:lang w:val="en-US" w:eastAsia="zh-CN" w:bidi="ar"/>
              </w:rPr>
              <w:t>提供不少于5年质保期，质保期内免费软硬件原厂维护、软件升级维护及技术支持服务（含规则库、许可等各种软件限制性的授权服务）。提供7×24小时技术支持服务，安全漏洞和性能补丁修复服务，指定相对固定的技术负责人及联络电话、传真、e-mail等。重大故障时，投标人应在接到故障电话后，需1小时内到达现场处置。确保产品生命周期大于5年，5年内提供中高危漏洞补丁。（涉及原厂的要求由原厂提供加盖公章的技术服务承诺函，其他的要求由投标人提供加盖公章的技术服务承诺函）</w:t>
            </w:r>
          </w:p>
        </w:tc>
        <w:tc>
          <w:tcPr>
            <w:tcW w:w="685" w:type="pc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keepNext w:val="0"/>
              <w:keepLines w:val="0"/>
              <w:pageBreakBefore w:val="0"/>
              <w:widowControl/>
              <w:suppressLineNumbers w:val="0"/>
              <w:kinsoku/>
              <w:wordWrap/>
              <w:overflowPunct/>
              <w:topLinePunct w:val="0"/>
              <w:autoSpaceDE/>
              <w:autoSpaceDN/>
              <w:bidi w:val="0"/>
              <w:adjustRightInd/>
              <w:snapToGrid/>
              <w:ind w:firstLine="0" w:firstLineChars="0"/>
              <w:jc w:val="center"/>
              <w:textAlignment w:val="center"/>
              <w:rPr>
                <w:rFonts w:hint="eastAsia" w:ascii="仿宋" w:hAnsi="仿宋" w:eastAsia="仿宋" w:cs="仿宋"/>
                <w:i w:val="0"/>
                <w:color w:val="000000"/>
                <w:kern w:val="0"/>
                <w:sz w:val="24"/>
                <w:szCs w:val="24"/>
                <w:u w:val="none"/>
                <w:lang w:val="en-US" w:eastAsia="zh-CN" w:bidi="ar"/>
              </w:rPr>
            </w:pPr>
            <w:r>
              <w:rPr>
                <w:rFonts w:hint="eastAsia" w:ascii="仿宋" w:hAnsi="仿宋" w:eastAsia="仿宋" w:cs="仿宋"/>
                <w:i w:val="0"/>
                <w:color w:val="000000"/>
                <w:kern w:val="0"/>
                <w:sz w:val="24"/>
                <w:szCs w:val="24"/>
                <w:u w:val="none"/>
                <w:lang w:val="en-US" w:eastAsia="zh-CN" w:bidi="ar"/>
              </w:rPr>
              <w:t>涉及原厂的要求由原厂提供加盖公章的技术服务承诺函，其他的要求由投标人提供加盖公章的技术服务承诺函</w:t>
            </w:r>
          </w:p>
        </w:tc>
      </w:tr>
    </w:tbl>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2"/>
        <w:keepNext w:val="0"/>
        <w:keepLines w:val="0"/>
        <w:pageBreakBefore w:val="0"/>
        <w:widowControl w:val="0"/>
        <w:kinsoku/>
        <w:wordWrap/>
        <w:overflowPunct/>
        <w:topLinePunct w:val="0"/>
        <w:autoSpaceDE/>
        <w:autoSpaceDN/>
        <w:bidi w:val="0"/>
        <w:adjustRightInd/>
        <w:snapToGrid/>
        <w:textAlignment w:val="auto"/>
        <w:outlineLvl w:val="9"/>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bCs/>
                <w:color w:val="FF0000"/>
                <w:sz w:val="24"/>
                <w:szCs w:val="24"/>
                <w:highlight w:val="none"/>
                <w:lang w:val="en-US" w:eastAsia="zh-CN"/>
              </w:rPr>
            </w:pPr>
            <w:r>
              <w:rPr>
                <w:rFonts w:hint="eastAsia" w:ascii="仿宋" w:hAnsi="仿宋" w:eastAsia="仿宋" w:cs="仿宋"/>
                <w:bCs/>
                <w:sz w:val="24"/>
                <w:szCs w:val="24"/>
                <w:highlight w:val="none"/>
                <w:lang w:val="en-US" w:eastAsia="zh-CN"/>
              </w:rPr>
              <w:t>网络安全准入管理控制系统</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台</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2</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eastAsia="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3"/>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3"/>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00"/>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微软雅黑">
    <w:altName w:val="方正黑体_GBK"/>
    <w:panose1 w:val="00000000000000000000"/>
    <w:charset w:val="00"/>
    <w:family w:val="auto"/>
    <w:pitch w:val="default"/>
    <w:sig w:usb0="00000000" w:usb1="00000000" w:usb2="00000000" w:usb3="00000000" w:csb0="00000000" w:csb1="00000000"/>
  </w:font>
  <w:font w:name="Tahoma">
    <w:altName w:val="DejaVu Sans"/>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9EF332E"/>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3C7EE2"/>
    <w:rsid w:val="2F7C41F6"/>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A7CACB"/>
    <w:rsid w:val="37D87A19"/>
    <w:rsid w:val="37FF8497"/>
    <w:rsid w:val="38527101"/>
    <w:rsid w:val="38EC5F48"/>
    <w:rsid w:val="3922196A"/>
    <w:rsid w:val="3925145A"/>
    <w:rsid w:val="39382F3B"/>
    <w:rsid w:val="39785A2E"/>
    <w:rsid w:val="39C240B8"/>
    <w:rsid w:val="39CC0C76"/>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77A38"/>
    <w:rsid w:val="3EEE39A9"/>
    <w:rsid w:val="3F020E1D"/>
    <w:rsid w:val="3F2A0A13"/>
    <w:rsid w:val="3F6A324D"/>
    <w:rsid w:val="3F784273"/>
    <w:rsid w:val="3F7D40ED"/>
    <w:rsid w:val="3FAE412E"/>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5F58A1"/>
    <w:rsid w:val="5BA3470D"/>
    <w:rsid w:val="5BBE4904"/>
    <w:rsid w:val="5C3942F1"/>
    <w:rsid w:val="5C81334F"/>
    <w:rsid w:val="5C826E66"/>
    <w:rsid w:val="5C8A31FF"/>
    <w:rsid w:val="5C8C51C9"/>
    <w:rsid w:val="5D0905C7"/>
    <w:rsid w:val="5D5932D1"/>
    <w:rsid w:val="5D845EA0"/>
    <w:rsid w:val="5DA07D5A"/>
    <w:rsid w:val="5DB1394D"/>
    <w:rsid w:val="5E826883"/>
    <w:rsid w:val="5EAF73F9"/>
    <w:rsid w:val="5EB809CA"/>
    <w:rsid w:val="5EC450EE"/>
    <w:rsid w:val="5EC51A8B"/>
    <w:rsid w:val="5F548980"/>
    <w:rsid w:val="5F9C1BC7"/>
    <w:rsid w:val="5FABF9CE"/>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6FFF28CB"/>
    <w:rsid w:val="703D45C4"/>
    <w:rsid w:val="707A3A78"/>
    <w:rsid w:val="70A97AE6"/>
    <w:rsid w:val="70CF08F5"/>
    <w:rsid w:val="713F6856"/>
    <w:rsid w:val="71476A4D"/>
    <w:rsid w:val="71CBF51C"/>
    <w:rsid w:val="71EB0B34"/>
    <w:rsid w:val="72882FCA"/>
    <w:rsid w:val="73036137"/>
    <w:rsid w:val="73623B25"/>
    <w:rsid w:val="736519BD"/>
    <w:rsid w:val="736D1458"/>
    <w:rsid w:val="73905147"/>
    <w:rsid w:val="73A45BAA"/>
    <w:rsid w:val="73CB49E0"/>
    <w:rsid w:val="73CF5B6F"/>
    <w:rsid w:val="73DED827"/>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EFADAD"/>
    <w:rsid w:val="7E9B797F"/>
    <w:rsid w:val="7F030EC3"/>
    <w:rsid w:val="7F4A64A2"/>
    <w:rsid w:val="7F4C0ABC"/>
    <w:rsid w:val="7F74591C"/>
    <w:rsid w:val="7F9B327E"/>
    <w:rsid w:val="7FFF53E7"/>
    <w:rsid w:val="87F2CA0C"/>
    <w:rsid w:val="9DFAAFE1"/>
    <w:rsid w:val="9FFED7E2"/>
    <w:rsid w:val="BDBF5BB2"/>
    <w:rsid w:val="CFFF5DBD"/>
    <w:rsid w:val="D2F70FE3"/>
    <w:rsid w:val="D757FA97"/>
    <w:rsid w:val="DB7BFC70"/>
    <w:rsid w:val="DCF2EAFE"/>
    <w:rsid w:val="DDFA6A2F"/>
    <w:rsid w:val="E4FFA52F"/>
    <w:rsid w:val="E67B1C68"/>
    <w:rsid w:val="EEFD1F56"/>
    <w:rsid w:val="EFD899F4"/>
    <w:rsid w:val="F1D7DC87"/>
    <w:rsid w:val="F3FE2B88"/>
    <w:rsid w:val="F4EF21E7"/>
    <w:rsid w:val="F4F7BB4F"/>
    <w:rsid w:val="F67E8787"/>
    <w:rsid w:val="F6BE9371"/>
    <w:rsid w:val="F785AA70"/>
    <w:rsid w:val="F7EFAA55"/>
    <w:rsid w:val="FBFD98BC"/>
    <w:rsid w:val="FEB56E3D"/>
    <w:rsid w:val="FEEFF29B"/>
    <w:rsid w:val="FEFEEB2E"/>
    <w:rsid w:val="FF75DB38"/>
    <w:rsid w:val="FF7F8FE1"/>
    <w:rsid w:val="FFBB6320"/>
    <w:rsid w:val="FFBED02E"/>
    <w:rsid w:val="FFBF0574"/>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character" w:customStyle="1" w:styleId="36">
    <w:name w:val="font11"/>
    <w:basedOn w:val="24"/>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8652</Words>
  <Characters>9193</Characters>
  <Lines>0</Lines>
  <Paragraphs>0</Paragraphs>
  <TotalTime>4</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2023-10-27T17:32:00Z</dcterms:created>
  <dc:creator>风影</dc:creator>
  <cp:lastModifiedBy>admin</cp:lastModifiedBy>
  <dcterms:modified xsi:type="dcterms:W3CDTF">2026-10-15T08:55:44Z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