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7E61DC">
      <w:pPr>
        <w:spacing w:line="720" w:lineRule="auto"/>
        <w:jc w:val="both"/>
        <w:rPr>
          <w:rFonts w:eastAsia="黑体" w:cs="Times New Roman"/>
          <w:b/>
          <w:bCs/>
          <w:color w:val="auto"/>
          <w:sz w:val="48"/>
          <w:szCs w:val="48"/>
          <w:highlight w:val="none"/>
        </w:rPr>
      </w:pPr>
      <w:r>
        <w:rPr>
          <w:rFonts w:hint="eastAsia" w:ascii="黑体" w:hAnsi="黑体" w:eastAsia="黑体" w:cs="黑体"/>
          <w:b w:val="0"/>
          <w:bCs w:val="0"/>
          <w:color w:val="auto"/>
          <w:sz w:val="32"/>
          <w:szCs w:val="32"/>
          <w:highlight w:val="none"/>
          <w:lang w:val="en-US" w:eastAsia="zh-CN"/>
        </w:rPr>
        <w:drawing>
          <wp:anchor distT="0" distB="0" distL="114300" distR="114300" simplePos="0" relativeHeight="251659264" behindDoc="1" locked="0" layoutInCell="1" allowOverlap="1">
            <wp:simplePos x="0" y="0"/>
            <wp:positionH relativeFrom="column">
              <wp:posOffset>-1139825</wp:posOffset>
            </wp:positionH>
            <wp:positionV relativeFrom="paragraph">
              <wp:posOffset>-907415</wp:posOffset>
            </wp:positionV>
            <wp:extent cx="7559040" cy="10979150"/>
            <wp:effectExtent l="0" t="0" r="0"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6"/>
                    <a:srcRect/>
                    <a:stretch>
                      <a:fillRect/>
                    </a:stretch>
                  </pic:blipFill>
                  <pic:spPr>
                    <a:xfrm>
                      <a:off x="0" y="0"/>
                      <a:ext cx="7559040" cy="10979150"/>
                    </a:xfrm>
                    <a:prstGeom prst="rect">
                      <a:avLst/>
                    </a:prstGeom>
                    <a:noFill/>
                    <a:ln w="9525">
                      <a:noFill/>
                      <a:miter lim="800000"/>
                      <a:headEnd/>
                      <a:tailEnd/>
                    </a:ln>
                  </pic:spPr>
                </pic:pic>
              </a:graphicData>
            </a:graphic>
          </wp:anchor>
        </w:drawing>
      </w:r>
    </w:p>
    <w:p w14:paraId="101BC36B">
      <w:pPr>
        <w:spacing w:line="720" w:lineRule="auto"/>
        <w:jc w:val="center"/>
        <w:rPr>
          <w:rFonts w:eastAsia="黑体" w:cs="Times New Roman"/>
          <w:b/>
          <w:bCs/>
          <w:color w:val="auto"/>
          <w:sz w:val="48"/>
          <w:szCs w:val="48"/>
          <w:highlight w:val="none"/>
        </w:rPr>
      </w:pPr>
    </w:p>
    <w:p w14:paraId="5B1D820A">
      <w:pPr>
        <w:spacing w:line="720" w:lineRule="auto"/>
        <w:jc w:val="center"/>
        <w:rPr>
          <w:rFonts w:eastAsia="黑体" w:cs="Times New Roman"/>
          <w:b/>
          <w:bCs/>
          <w:color w:val="auto"/>
          <w:sz w:val="48"/>
          <w:szCs w:val="48"/>
          <w:highlight w:val="none"/>
        </w:rPr>
      </w:pPr>
    </w:p>
    <w:p w14:paraId="4B6EBDCE">
      <w:pPr>
        <w:spacing w:line="720" w:lineRule="auto"/>
        <w:jc w:val="center"/>
        <w:rPr>
          <w:rFonts w:eastAsia="黑体" w:cs="Times New Roman"/>
          <w:b/>
          <w:bCs/>
          <w:color w:val="auto"/>
          <w:sz w:val="48"/>
          <w:szCs w:val="48"/>
          <w:highlight w:val="none"/>
        </w:rPr>
      </w:pPr>
    </w:p>
    <w:p w14:paraId="4888B9F8">
      <w:pPr>
        <w:spacing w:line="720" w:lineRule="auto"/>
        <w:jc w:val="center"/>
        <w:rPr>
          <w:rFonts w:eastAsia="黑体" w:cs="Times New Roman"/>
          <w:b/>
          <w:bCs/>
          <w:color w:val="auto"/>
          <w:sz w:val="48"/>
          <w:szCs w:val="48"/>
          <w:highlight w:val="none"/>
        </w:rPr>
      </w:pPr>
    </w:p>
    <w:p w14:paraId="64363356">
      <w:pPr>
        <w:spacing w:line="720" w:lineRule="auto"/>
        <w:jc w:val="center"/>
        <w:rPr>
          <w:rFonts w:eastAsia="黑体" w:cs="Times New Roman"/>
          <w:b/>
          <w:bCs/>
          <w:color w:val="auto"/>
          <w:sz w:val="48"/>
          <w:szCs w:val="48"/>
          <w:highlight w:val="none"/>
        </w:rPr>
      </w:pPr>
    </w:p>
    <w:p w14:paraId="2D1B668A">
      <w:pPr>
        <w:spacing w:line="720" w:lineRule="auto"/>
        <w:jc w:val="center"/>
        <w:rPr>
          <w:rFonts w:hint="eastAsia" w:eastAsia="黑体" w:cs="Times New Roman"/>
          <w:b/>
          <w:bCs/>
          <w:color w:val="auto"/>
          <w:sz w:val="48"/>
          <w:szCs w:val="48"/>
          <w:highlight w:val="none"/>
          <w:lang w:val="en-US" w:eastAsia="zh-CN"/>
        </w:rPr>
      </w:pPr>
      <w:r>
        <w:rPr>
          <w:rFonts w:hint="eastAsia" w:eastAsia="黑体" w:cs="Times New Roman"/>
          <w:b/>
          <w:bCs/>
          <w:color w:val="auto"/>
          <w:sz w:val="48"/>
          <w:szCs w:val="48"/>
          <w:highlight w:val="none"/>
          <w:lang w:val="en-US" w:eastAsia="zh-CN"/>
        </w:rPr>
        <w:t>锂离子电池充放电及电化学特性</w:t>
      </w:r>
    </w:p>
    <w:p w14:paraId="27E88186">
      <w:pPr>
        <w:spacing w:line="720" w:lineRule="auto"/>
        <w:jc w:val="center"/>
        <w:rPr>
          <w:rFonts w:cs="Times New Roman"/>
          <w:color w:val="auto"/>
          <w:sz w:val="48"/>
          <w:szCs w:val="48"/>
          <w:highlight w:val="none"/>
        </w:rPr>
      </w:pPr>
      <w:r>
        <w:rPr>
          <w:rFonts w:hint="eastAsia" w:eastAsia="黑体" w:cs="Times New Roman"/>
          <w:b/>
          <w:bCs/>
          <w:color w:val="auto"/>
          <w:sz w:val="48"/>
          <w:szCs w:val="48"/>
          <w:highlight w:val="none"/>
          <w:lang w:val="en-US" w:eastAsia="zh-CN"/>
        </w:rPr>
        <w:t>测试平台采购</w:t>
      </w:r>
      <w:r>
        <w:rPr>
          <w:rFonts w:eastAsia="黑体" w:cs="Times New Roman"/>
          <w:b/>
          <w:bCs/>
          <w:color w:val="auto"/>
          <w:sz w:val="48"/>
          <w:szCs w:val="48"/>
          <w:highlight w:val="none"/>
        </w:rPr>
        <w:t>技术规范书</w:t>
      </w:r>
    </w:p>
    <w:p w14:paraId="78F4E641">
      <w:pPr>
        <w:rPr>
          <w:rFonts w:cs="Times New Roman"/>
          <w:color w:val="auto"/>
          <w:sz w:val="48"/>
          <w:szCs w:val="48"/>
          <w:highlight w:val="none"/>
        </w:rPr>
      </w:pPr>
    </w:p>
    <w:p w14:paraId="655F3B80">
      <w:pPr>
        <w:rPr>
          <w:rFonts w:cs="Times New Roman"/>
          <w:color w:val="auto"/>
          <w:sz w:val="48"/>
          <w:szCs w:val="48"/>
          <w:highlight w:val="none"/>
        </w:rPr>
      </w:pPr>
    </w:p>
    <w:p w14:paraId="33FF7540">
      <w:pPr>
        <w:rPr>
          <w:rFonts w:cs="Times New Roman"/>
          <w:color w:val="auto"/>
          <w:sz w:val="48"/>
          <w:szCs w:val="48"/>
          <w:highlight w:val="none"/>
        </w:rPr>
      </w:pPr>
    </w:p>
    <w:p w14:paraId="5C11D427">
      <w:pPr>
        <w:rPr>
          <w:rFonts w:cs="Times New Roman"/>
          <w:color w:val="auto"/>
          <w:sz w:val="48"/>
          <w:szCs w:val="48"/>
          <w:highlight w:val="none"/>
        </w:rPr>
      </w:pPr>
    </w:p>
    <w:p w14:paraId="30525E13">
      <w:pPr>
        <w:jc w:val="center"/>
        <w:rPr>
          <w:rFonts w:eastAsia="黑体" w:cs="Times New Roman"/>
          <w:color w:val="auto"/>
          <w:sz w:val="32"/>
          <w:szCs w:val="32"/>
          <w:highlight w:val="none"/>
        </w:rPr>
      </w:pPr>
    </w:p>
    <w:p w14:paraId="59512FEE">
      <w:pPr>
        <w:jc w:val="center"/>
        <w:rPr>
          <w:rFonts w:eastAsia="黑体" w:cs="Times New Roman"/>
          <w:color w:val="auto"/>
          <w:sz w:val="32"/>
          <w:szCs w:val="32"/>
          <w:highlight w:val="none"/>
        </w:rPr>
      </w:pPr>
    </w:p>
    <w:p w14:paraId="2CBD35EA">
      <w:pPr>
        <w:jc w:val="center"/>
        <w:rPr>
          <w:rFonts w:eastAsia="黑体" w:cs="Times New Roman"/>
          <w:color w:val="auto"/>
          <w:sz w:val="32"/>
          <w:szCs w:val="32"/>
          <w:highlight w:val="none"/>
        </w:rPr>
      </w:pPr>
      <w:r>
        <w:rPr>
          <w:rFonts w:eastAsia="黑体" w:cs="Times New Roman"/>
          <w:color w:val="auto"/>
          <w:sz w:val="32"/>
          <w:szCs w:val="32"/>
          <w:highlight w:val="none"/>
        </w:rPr>
        <w:t>南方电网调峰调频发电有限公司储能科研院</w:t>
      </w:r>
    </w:p>
    <w:p w14:paraId="6FE6578F">
      <w:pPr>
        <w:jc w:val="center"/>
        <w:rPr>
          <w:rFonts w:eastAsia="黑体" w:cs="Times New Roman"/>
          <w:color w:val="auto"/>
          <w:sz w:val="32"/>
          <w:szCs w:val="32"/>
          <w:highlight w:val="none"/>
        </w:rPr>
        <w:sectPr>
          <w:pgSz w:w="11906" w:h="16838"/>
          <w:pgMar w:top="1440" w:right="1800" w:bottom="1440" w:left="1800" w:header="851" w:footer="992" w:gutter="0"/>
          <w:cols w:space="425" w:num="1"/>
          <w:docGrid w:type="lines" w:linePitch="312" w:charSpace="0"/>
        </w:sectPr>
      </w:pPr>
      <w:r>
        <w:rPr>
          <w:rFonts w:hint="eastAsia" w:eastAsia="黑体" w:cs="Times New Roman"/>
          <w:color w:val="auto"/>
          <w:sz w:val="32"/>
          <w:szCs w:val="32"/>
          <w:highlight w:val="none"/>
        </w:rPr>
        <w:t>2026</w:t>
      </w:r>
      <w:r>
        <w:rPr>
          <w:rFonts w:eastAsia="黑体" w:cs="Times New Roman"/>
          <w:color w:val="auto"/>
          <w:sz w:val="32"/>
          <w:szCs w:val="32"/>
          <w:highlight w:val="none"/>
        </w:rPr>
        <w:t>年</w:t>
      </w:r>
      <w:r>
        <w:rPr>
          <w:rFonts w:hint="eastAsia" w:eastAsia="黑体" w:cs="Times New Roman"/>
          <w:color w:val="auto"/>
          <w:sz w:val="32"/>
          <w:szCs w:val="32"/>
          <w:highlight w:val="none"/>
          <w:lang w:val="en-US" w:eastAsia="zh-CN"/>
        </w:rPr>
        <w:t>8</w:t>
      </w:r>
      <w:r>
        <w:rPr>
          <w:rFonts w:eastAsia="黑体" w:cs="Times New Roman"/>
          <w:color w:val="auto"/>
          <w:sz w:val="32"/>
          <w:szCs w:val="32"/>
          <w:highlight w:val="none"/>
        </w:rPr>
        <w:t>月</w:t>
      </w:r>
    </w:p>
    <w:sdt>
      <w:sdtPr>
        <w:rPr>
          <w:rFonts w:ascii="宋体" w:hAnsi="宋体" w:eastAsia="宋体" w:cstheme="minorBidi"/>
          <w:kern w:val="2"/>
          <w:sz w:val="21"/>
          <w:szCs w:val="22"/>
          <w:lang w:val="en-US" w:eastAsia="zh-CN" w:bidi="ar-SA"/>
        </w:rPr>
        <w:id w:val="147458219"/>
        <w15:color w:val="DBDBDB"/>
        <w:docPartObj>
          <w:docPartGallery w:val="Table of Contents"/>
          <w:docPartUnique/>
        </w:docPartObj>
      </w:sdtPr>
      <w:sdtEndPr>
        <w:rPr>
          <w:rFonts w:ascii="Times New Roman" w:hAnsi="Times New Roman" w:eastAsia="黑体" w:cs="Times New Roman"/>
          <w:b/>
          <w:bCs/>
          <w:color w:val="auto"/>
          <w:kern w:val="44"/>
          <w:sz w:val="28"/>
          <w:szCs w:val="28"/>
          <w:highlight w:val="none"/>
          <w:lang w:val="en-US" w:eastAsia="zh-CN" w:bidi="ar-SA"/>
        </w:rPr>
      </w:sdtEndPr>
      <w:sdtContent>
        <w:p w14:paraId="44BD46BB">
          <w:pPr>
            <w:spacing w:before="0" w:beforeLines="0" w:after="0" w:afterLines="0" w:line="240" w:lineRule="auto"/>
            <w:ind w:left="0" w:leftChars="0" w:right="0" w:rightChars="0" w:firstLine="0" w:firstLineChars="0"/>
            <w:jc w:val="center"/>
            <w:rPr>
              <w:sz w:val="28"/>
              <w:szCs w:val="32"/>
            </w:rPr>
          </w:pPr>
          <w:r>
            <w:rPr>
              <w:rFonts w:ascii="宋体" w:hAnsi="宋体" w:eastAsia="宋体"/>
              <w:sz w:val="28"/>
              <w:szCs w:val="32"/>
            </w:rPr>
            <w:t>目录</w:t>
          </w:r>
        </w:p>
        <w:p w14:paraId="47CC1B66">
          <w:pPr>
            <w:pStyle w:val="25"/>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color w:val="auto"/>
              <w:sz w:val="24"/>
              <w:szCs w:val="24"/>
              <w:highlight w:val="none"/>
            </w:rPr>
            <w:fldChar w:fldCharType="begin"/>
          </w:r>
          <w:r>
            <w:rPr>
              <w:rFonts w:hint="eastAsia" w:ascii="宋体" w:hAnsi="宋体" w:eastAsia="宋体" w:cs="宋体"/>
              <w:b/>
              <w:sz w:val="24"/>
              <w:szCs w:val="24"/>
              <w:highlight w:val="none"/>
            </w:rPr>
            <w:instrText xml:space="preserve"> HYPERLINK \l _Toc1345 </w:instrText>
          </w:r>
          <w:r>
            <w:rPr>
              <w:rFonts w:hint="eastAsia" w:ascii="宋体" w:hAnsi="宋体" w:eastAsia="宋体" w:cs="宋体"/>
              <w:b/>
              <w:sz w:val="24"/>
              <w:szCs w:val="24"/>
              <w:highlight w:val="none"/>
            </w:rPr>
            <w:fldChar w:fldCharType="separate"/>
          </w:r>
          <w:r>
            <w:rPr>
              <w:rFonts w:hint="eastAsia" w:ascii="宋体" w:hAnsi="宋体" w:eastAsia="宋体" w:cs="宋体"/>
              <w:b/>
              <w:sz w:val="24"/>
              <w:szCs w:val="24"/>
              <w:highlight w:val="none"/>
            </w:rPr>
            <w:t>一、总则</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_Toc1345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2</w:t>
          </w:r>
          <w:r>
            <w:rPr>
              <w:rFonts w:hint="eastAsia" w:ascii="宋体" w:hAnsi="宋体" w:eastAsia="宋体" w:cs="宋体"/>
              <w:b/>
              <w:sz w:val="24"/>
              <w:szCs w:val="24"/>
            </w:rPr>
            <w:fldChar w:fldCharType="end"/>
          </w:r>
          <w:r>
            <w:rPr>
              <w:rFonts w:hint="eastAsia" w:ascii="宋体" w:hAnsi="宋体" w:eastAsia="宋体" w:cs="宋体"/>
              <w:b/>
              <w:color w:val="auto"/>
              <w:sz w:val="24"/>
              <w:szCs w:val="24"/>
              <w:highlight w:val="none"/>
            </w:rPr>
            <w:fldChar w:fldCharType="end"/>
          </w:r>
        </w:p>
        <w:p w14:paraId="5D7ABFAD">
          <w:pPr>
            <w:pStyle w:val="25"/>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b/>
              <w:color w:val="auto"/>
              <w:sz w:val="24"/>
              <w:szCs w:val="24"/>
              <w:highlight w:val="none"/>
            </w:rPr>
            <w:fldChar w:fldCharType="begin"/>
          </w:r>
          <w:r>
            <w:rPr>
              <w:rFonts w:hint="eastAsia" w:ascii="宋体" w:hAnsi="宋体" w:eastAsia="宋体" w:cs="宋体"/>
              <w:b/>
              <w:sz w:val="24"/>
              <w:szCs w:val="24"/>
              <w:highlight w:val="none"/>
            </w:rPr>
            <w:instrText xml:space="preserve"> HYPERLINK \l _Toc30400 </w:instrText>
          </w:r>
          <w:r>
            <w:rPr>
              <w:rFonts w:hint="eastAsia" w:ascii="宋体" w:hAnsi="宋体" w:eastAsia="宋体" w:cs="宋体"/>
              <w:b/>
              <w:sz w:val="24"/>
              <w:szCs w:val="24"/>
              <w:highlight w:val="none"/>
            </w:rPr>
            <w:fldChar w:fldCharType="separate"/>
          </w:r>
          <w:r>
            <w:rPr>
              <w:rFonts w:hint="eastAsia" w:ascii="宋体" w:hAnsi="宋体" w:eastAsia="宋体" w:cs="宋体"/>
              <w:b/>
              <w:sz w:val="24"/>
              <w:szCs w:val="24"/>
              <w:highlight w:val="none"/>
            </w:rPr>
            <w:t>二、项目概述</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_Toc30400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4</w:t>
          </w:r>
          <w:r>
            <w:rPr>
              <w:rFonts w:hint="eastAsia" w:ascii="宋体" w:hAnsi="宋体" w:eastAsia="宋体" w:cs="宋体"/>
              <w:b/>
              <w:sz w:val="24"/>
              <w:szCs w:val="24"/>
            </w:rPr>
            <w:fldChar w:fldCharType="end"/>
          </w:r>
          <w:r>
            <w:rPr>
              <w:rFonts w:hint="eastAsia" w:ascii="宋体" w:hAnsi="宋体" w:eastAsia="宋体" w:cs="宋体"/>
              <w:b/>
              <w:color w:val="auto"/>
              <w:sz w:val="24"/>
              <w:szCs w:val="24"/>
              <w:highlight w:val="none"/>
            </w:rPr>
            <w:fldChar w:fldCharType="end"/>
          </w:r>
        </w:p>
        <w:p w14:paraId="78BCB9AC">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_Toc20730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2.1 项目概况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_Toc20730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5AF77E7C">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_Toc31065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2.2 </w:t>
          </w:r>
          <w:r>
            <w:rPr>
              <w:rFonts w:hint="eastAsia" w:ascii="宋体" w:hAnsi="宋体" w:eastAsia="宋体" w:cs="宋体"/>
              <w:bCs/>
              <w:sz w:val="24"/>
              <w:szCs w:val="24"/>
              <w:highlight w:val="none"/>
              <w:lang w:val="en-US" w:eastAsia="zh-CN"/>
            </w:rPr>
            <w:t>供货范围</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_Toc31065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59693A3E">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_Toc20874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服务界限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_Toc20874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3C16DF24">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_Toc12728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对投标方的要求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_Toc12728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6B74DDFB">
          <w:pPr>
            <w:pStyle w:val="25"/>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b/>
              <w:color w:val="auto"/>
              <w:sz w:val="24"/>
              <w:szCs w:val="24"/>
              <w:highlight w:val="none"/>
            </w:rPr>
            <w:fldChar w:fldCharType="begin"/>
          </w:r>
          <w:r>
            <w:rPr>
              <w:rFonts w:hint="eastAsia" w:ascii="宋体" w:hAnsi="宋体" w:eastAsia="宋体" w:cs="宋体"/>
              <w:b/>
              <w:sz w:val="24"/>
              <w:szCs w:val="24"/>
              <w:highlight w:val="none"/>
            </w:rPr>
            <w:instrText xml:space="preserve"> HYPERLINK \l _Toc218 </w:instrText>
          </w:r>
          <w:r>
            <w:rPr>
              <w:rFonts w:hint="eastAsia" w:ascii="宋体" w:hAnsi="宋体" w:eastAsia="宋体" w:cs="宋体"/>
              <w:b/>
              <w:sz w:val="24"/>
              <w:szCs w:val="24"/>
              <w:highlight w:val="none"/>
            </w:rPr>
            <w:fldChar w:fldCharType="separate"/>
          </w:r>
          <w:r>
            <w:rPr>
              <w:rFonts w:hint="eastAsia" w:ascii="宋体" w:hAnsi="宋体" w:eastAsia="宋体" w:cs="宋体"/>
              <w:b/>
              <w:sz w:val="24"/>
              <w:szCs w:val="24"/>
              <w:highlight w:val="none"/>
            </w:rPr>
            <w:t>三、</w:t>
          </w:r>
          <w:r>
            <w:rPr>
              <w:rFonts w:hint="eastAsia" w:ascii="宋体" w:hAnsi="宋体" w:eastAsia="宋体" w:cs="宋体"/>
              <w:b/>
              <w:sz w:val="24"/>
              <w:szCs w:val="24"/>
              <w:highlight w:val="none"/>
              <w:lang w:val="en-US" w:eastAsia="zh-CN"/>
            </w:rPr>
            <w:t>配置及技术要求</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_Toc218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6</w:t>
          </w:r>
          <w:r>
            <w:rPr>
              <w:rFonts w:hint="eastAsia" w:ascii="宋体" w:hAnsi="宋体" w:eastAsia="宋体" w:cs="宋体"/>
              <w:b/>
              <w:sz w:val="24"/>
              <w:szCs w:val="24"/>
            </w:rPr>
            <w:fldChar w:fldCharType="end"/>
          </w:r>
          <w:r>
            <w:rPr>
              <w:rFonts w:hint="eastAsia" w:ascii="宋体" w:hAnsi="宋体" w:eastAsia="宋体" w:cs="宋体"/>
              <w:b/>
              <w:color w:val="auto"/>
              <w:sz w:val="24"/>
              <w:szCs w:val="24"/>
              <w:highlight w:val="none"/>
            </w:rPr>
            <w:fldChar w:fldCharType="end"/>
          </w:r>
        </w:p>
        <w:p w14:paraId="54E81932">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_Toc1699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.1 锂离子电池动态工况模拟测试仪</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_Toc1699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49615643">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_Toc5419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 xml:space="preserve"> 锂离子电池多通道充放电测试仪</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_Toc5419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62311D30">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_Toc23967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 xml:space="preserve"> 锂离子电池环境温度测试箱</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_Toc23967 \h </w:instrText>
          </w:r>
          <w:r>
            <w:rPr>
              <w:rFonts w:hint="eastAsia" w:ascii="宋体" w:hAnsi="宋体" w:eastAsia="宋体" w:cs="宋体"/>
              <w:sz w:val="24"/>
              <w:szCs w:val="24"/>
            </w:rPr>
            <w:fldChar w:fldCharType="separate"/>
          </w:r>
          <w:r>
            <w:rPr>
              <w:rFonts w:hint="eastAsia" w:ascii="宋体" w:hAnsi="宋体" w:eastAsia="宋体" w:cs="宋体"/>
              <w:sz w:val="24"/>
              <w:szCs w:val="24"/>
            </w:rPr>
            <w:t>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478F60D9">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_Toc27918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 xml:space="preserve"> 锂离子电池高性能电化学阻抗特性测试仪</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_Toc27918 \h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518B9A9A">
          <w:pPr>
            <w:pStyle w:val="25"/>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b/>
              <w:color w:val="auto"/>
              <w:sz w:val="24"/>
              <w:szCs w:val="24"/>
              <w:highlight w:val="none"/>
            </w:rPr>
            <w:fldChar w:fldCharType="begin"/>
          </w:r>
          <w:r>
            <w:rPr>
              <w:rFonts w:hint="eastAsia" w:ascii="宋体" w:hAnsi="宋体" w:eastAsia="宋体" w:cs="宋体"/>
              <w:b/>
              <w:sz w:val="24"/>
              <w:szCs w:val="24"/>
              <w:highlight w:val="none"/>
            </w:rPr>
            <w:instrText xml:space="preserve"> HYPERLINK \l _Toc30096 </w:instrText>
          </w:r>
          <w:r>
            <w:rPr>
              <w:rFonts w:hint="eastAsia" w:ascii="宋体" w:hAnsi="宋体" w:eastAsia="宋体" w:cs="宋体"/>
              <w:b/>
              <w:sz w:val="24"/>
              <w:szCs w:val="24"/>
              <w:highlight w:val="none"/>
            </w:rPr>
            <w:fldChar w:fldCharType="separate"/>
          </w:r>
          <w:r>
            <w:rPr>
              <w:rFonts w:hint="eastAsia" w:ascii="宋体" w:hAnsi="宋体" w:eastAsia="宋体" w:cs="宋体"/>
              <w:b/>
              <w:sz w:val="24"/>
              <w:szCs w:val="24"/>
            </w:rPr>
            <w:t>四、包装、运输及安装调试要求</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_Toc30096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15</w:t>
          </w:r>
          <w:r>
            <w:rPr>
              <w:rFonts w:hint="eastAsia" w:ascii="宋体" w:hAnsi="宋体" w:eastAsia="宋体" w:cs="宋体"/>
              <w:b/>
              <w:sz w:val="24"/>
              <w:szCs w:val="24"/>
            </w:rPr>
            <w:fldChar w:fldCharType="end"/>
          </w:r>
          <w:r>
            <w:rPr>
              <w:rFonts w:hint="eastAsia" w:ascii="宋体" w:hAnsi="宋体" w:eastAsia="宋体" w:cs="宋体"/>
              <w:b/>
              <w:color w:val="auto"/>
              <w:sz w:val="24"/>
              <w:szCs w:val="24"/>
              <w:highlight w:val="none"/>
            </w:rPr>
            <w:fldChar w:fldCharType="end"/>
          </w:r>
        </w:p>
        <w:p w14:paraId="1CEF676C">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_Toc9224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包装及运输</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_Toc9224 \h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2D2F06A3">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_Toc15187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安装调试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_Toc15187 \h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40606A09">
          <w:pPr>
            <w:pStyle w:val="25"/>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b/>
              <w:color w:val="auto"/>
              <w:sz w:val="24"/>
              <w:szCs w:val="24"/>
              <w:highlight w:val="none"/>
            </w:rPr>
            <w:fldChar w:fldCharType="begin"/>
          </w:r>
          <w:r>
            <w:rPr>
              <w:rFonts w:hint="eastAsia" w:ascii="宋体" w:hAnsi="宋体" w:eastAsia="宋体" w:cs="宋体"/>
              <w:b/>
              <w:sz w:val="24"/>
              <w:szCs w:val="24"/>
              <w:highlight w:val="none"/>
            </w:rPr>
            <w:instrText xml:space="preserve"> HYPERLINK \l _Toc23882 </w:instrText>
          </w:r>
          <w:r>
            <w:rPr>
              <w:rFonts w:hint="eastAsia" w:ascii="宋体" w:hAnsi="宋体" w:eastAsia="宋体" w:cs="宋体"/>
              <w:b/>
              <w:sz w:val="24"/>
              <w:szCs w:val="24"/>
              <w:highlight w:val="none"/>
            </w:rPr>
            <w:fldChar w:fldCharType="separate"/>
          </w:r>
          <w:r>
            <w:rPr>
              <w:rFonts w:hint="eastAsia" w:ascii="宋体" w:hAnsi="宋体" w:eastAsia="宋体" w:cs="宋体"/>
              <w:b/>
              <w:sz w:val="24"/>
              <w:szCs w:val="24"/>
            </w:rPr>
            <w:t>五、</w:t>
          </w:r>
          <w:r>
            <w:rPr>
              <w:rFonts w:hint="eastAsia" w:ascii="宋体" w:hAnsi="宋体" w:eastAsia="宋体" w:cs="宋体"/>
              <w:b/>
              <w:sz w:val="24"/>
              <w:szCs w:val="24"/>
              <w:lang w:val="en-US" w:eastAsia="zh-CN"/>
            </w:rPr>
            <w:t>验收</w:t>
          </w:r>
          <w:r>
            <w:rPr>
              <w:rFonts w:hint="eastAsia" w:ascii="宋体" w:hAnsi="宋体" w:eastAsia="宋体" w:cs="宋体"/>
              <w:b/>
              <w:sz w:val="24"/>
              <w:szCs w:val="24"/>
            </w:rPr>
            <w:t>要求</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_Toc23882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17</w:t>
          </w:r>
          <w:r>
            <w:rPr>
              <w:rFonts w:hint="eastAsia" w:ascii="宋体" w:hAnsi="宋体" w:eastAsia="宋体" w:cs="宋体"/>
              <w:b/>
              <w:sz w:val="24"/>
              <w:szCs w:val="24"/>
            </w:rPr>
            <w:fldChar w:fldCharType="end"/>
          </w:r>
          <w:r>
            <w:rPr>
              <w:rFonts w:hint="eastAsia" w:ascii="宋体" w:hAnsi="宋体" w:eastAsia="宋体" w:cs="宋体"/>
              <w:b/>
              <w:color w:val="auto"/>
              <w:sz w:val="24"/>
              <w:szCs w:val="24"/>
              <w:highlight w:val="none"/>
            </w:rPr>
            <w:fldChar w:fldCharType="end"/>
          </w:r>
        </w:p>
        <w:p w14:paraId="443E85D6">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_Toc4115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出厂验收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_Toc4115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1F0D032F">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_Toc32032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现场验收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_Toc32032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5CB81645">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_Toc30574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终验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_Toc30574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0D654D8E">
          <w:pPr>
            <w:pStyle w:val="25"/>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b/>
              <w:color w:val="auto"/>
              <w:sz w:val="24"/>
              <w:szCs w:val="24"/>
              <w:highlight w:val="none"/>
            </w:rPr>
            <w:fldChar w:fldCharType="begin"/>
          </w:r>
          <w:r>
            <w:rPr>
              <w:rFonts w:hint="eastAsia" w:ascii="宋体" w:hAnsi="宋体" w:eastAsia="宋体" w:cs="宋体"/>
              <w:b/>
              <w:sz w:val="24"/>
              <w:szCs w:val="24"/>
              <w:highlight w:val="none"/>
            </w:rPr>
            <w:instrText xml:space="preserve"> HYPERLINK \l _Toc3860 </w:instrText>
          </w:r>
          <w:r>
            <w:rPr>
              <w:rFonts w:hint="eastAsia" w:ascii="宋体" w:hAnsi="宋体" w:eastAsia="宋体" w:cs="宋体"/>
              <w:b/>
              <w:sz w:val="24"/>
              <w:szCs w:val="24"/>
              <w:highlight w:val="none"/>
            </w:rPr>
            <w:fldChar w:fldCharType="separate"/>
          </w:r>
          <w:r>
            <w:rPr>
              <w:rFonts w:hint="eastAsia" w:ascii="宋体" w:hAnsi="宋体" w:eastAsia="宋体" w:cs="宋体"/>
              <w:b/>
              <w:sz w:val="24"/>
              <w:szCs w:val="24"/>
            </w:rPr>
            <w:t xml:space="preserve">六、 </w:t>
          </w:r>
          <w:r>
            <w:rPr>
              <w:rFonts w:hint="eastAsia" w:ascii="宋体" w:hAnsi="宋体" w:eastAsia="宋体" w:cs="宋体"/>
              <w:b/>
              <w:sz w:val="24"/>
              <w:szCs w:val="24"/>
              <w:highlight w:val="none"/>
              <w:lang w:val="en-US" w:eastAsia="zh-CN"/>
            </w:rPr>
            <w:t>技术资料和培训</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_Toc3860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19</w:t>
          </w:r>
          <w:r>
            <w:rPr>
              <w:rFonts w:hint="eastAsia" w:ascii="宋体" w:hAnsi="宋体" w:eastAsia="宋体" w:cs="宋体"/>
              <w:b/>
              <w:sz w:val="24"/>
              <w:szCs w:val="24"/>
            </w:rPr>
            <w:fldChar w:fldCharType="end"/>
          </w:r>
          <w:r>
            <w:rPr>
              <w:rFonts w:hint="eastAsia" w:ascii="宋体" w:hAnsi="宋体" w:eastAsia="宋体" w:cs="宋体"/>
              <w:b/>
              <w:color w:val="auto"/>
              <w:sz w:val="24"/>
              <w:szCs w:val="24"/>
              <w:highlight w:val="none"/>
            </w:rPr>
            <w:fldChar w:fldCharType="end"/>
          </w:r>
        </w:p>
        <w:p w14:paraId="11B26744">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_Toc5031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6.1</w:t>
          </w:r>
          <w:r>
            <w:rPr>
              <w:rFonts w:hint="eastAsia" w:ascii="宋体" w:hAnsi="宋体" w:eastAsia="宋体" w:cs="宋体"/>
              <w:sz w:val="24"/>
              <w:szCs w:val="24"/>
              <w:highlight w:val="none"/>
              <w:lang w:val="en-US" w:eastAsia="zh-CN"/>
            </w:rPr>
            <w:t xml:space="preserve"> 技术资料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_Toc5031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5E0C58E6">
          <w:pPr>
            <w:pStyle w:val="26"/>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_Toc17867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培训</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_Toc17867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7AF2D9C2">
          <w:pPr>
            <w:pStyle w:val="25"/>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rPr>
          </w:pPr>
          <w:r>
            <w:rPr>
              <w:rFonts w:hint="eastAsia" w:ascii="宋体" w:hAnsi="宋体" w:eastAsia="宋体" w:cs="宋体"/>
              <w:b/>
              <w:color w:val="auto"/>
              <w:sz w:val="24"/>
              <w:szCs w:val="24"/>
              <w:highlight w:val="none"/>
            </w:rPr>
            <w:fldChar w:fldCharType="begin"/>
          </w:r>
          <w:r>
            <w:rPr>
              <w:rFonts w:hint="eastAsia" w:ascii="宋体" w:hAnsi="宋体" w:eastAsia="宋体" w:cs="宋体"/>
              <w:b/>
              <w:sz w:val="24"/>
              <w:szCs w:val="24"/>
              <w:highlight w:val="none"/>
            </w:rPr>
            <w:instrText xml:space="preserve"> HYPERLINK \l _Toc18549 </w:instrText>
          </w:r>
          <w:r>
            <w:rPr>
              <w:rFonts w:hint="eastAsia" w:ascii="宋体" w:hAnsi="宋体" w:eastAsia="宋体" w:cs="宋体"/>
              <w:b/>
              <w:sz w:val="24"/>
              <w:szCs w:val="24"/>
              <w:highlight w:val="none"/>
            </w:rPr>
            <w:fldChar w:fldCharType="separate"/>
          </w:r>
          <w:r>
            <w:rPr>
              <w:rFonts w:hint="eastAsia" w:ascii="宋体" w:hAnsi="宋体" w:eastAsia="宋体" w:cs="宋体"/>
              <w:b/>
              <w:sz w:val="24"/>
              <w:szCs w:val="24"/>
              <w:highlight w:val="none"/>
            </w:rPr>
            <w:t>附</w:t>
          </w:r>
          <w:r>
            <w:rPr>
              <w:rFonts w:hint="eastAsia" w:ascii="宋体" w:hAnsi="宋体" w:eastAsia="宋体" w:cs="宋体"/>
              <w:b/>
              <w:sz w:val="24"/>
              <w:szCs w:val="24"/>
              <w:highlight w:val="none"/>
              <w:lang w:val="en-US" w:eastAsia="zh-CN"/>
            </w:rPr>
            <w:t>表1</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en-US" w:eastAsia="zh-CN"/>
            </w:rPr>
            <w:t>投标人应提供的技术材料清单</w:t>
          </w:r>
          <w:r>
            <w:rPr>
              <w:rFonts w:hint="eastAsia" w:ascii="宋体" w:hAnsi="宋体" w:eastAsia="宋体" w:cs="宋体"/>
              <w:b/>
              <w:sz w:val="24"/>
              <w:szCs w:val="24"/>
            </w:rPr>
            <w:tab/>
          </w: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PAGEREF _Toc18549 \h </w:instrText>
          </w:r>
          <w:r>
            <w:rPr>
              <w:rFonts w:hint="eastAsia" w:ascii="宋体" w:hAnsi="宋体" w:eastAsia="宋体" w:cs="宋体"/>
              <w:b/>
              <w:sz w:val="24"/>
              <w:szCs w:val="24"/>
            </w:rPr>
            <w:fldChar w:fldCharType="separate"/>
          </w:r>
          <w:r>
            <w:rPr>
              <w:rFonts w:hint="eastAsia" w:ascii="宋体" w:hAnsi="宋体" w:eastAsia="宋体" w:cs="宋体"/>
              <w:b/>
              <w:sz w:val="24"/>
              <w:szCs w:val="24"/>
            </w:rPr>
            <w:t>20</w:t>
          </w:r>
          <w:r>
            <w:rPr>
              <w:rFonts w:hint="eastAsia" w:ascii="宋体" w:hAnsi="宋体" w:eastAsia="宋体" w:cs="宋体"/>
              <w:b/>
              <w:sz w:val="24"/>
              <w:szCs w:val="24"/>
            </w:rPr>
            <w:fldChar w:fldCharType="end"/>
          </w:r>
          <w:r>
            <w:rPr>
              <w:rFonts w:hint="eastAsia" w:ascii="宋体" w:hAnsi="宋体" w:eastAsia="宋体" w:cs="宋体"/>
              <w:b/>
              <w:color w:val="auto"/>
              <w:sz w:val="24"/>
              <w:szCs w:val="24"/>
              <w:highlight w:val="none"/>
            </w:rPr>
            <w:fldChar w:fldCharType="end"/>
          </w:r>
        </w:p>
        <w:p w14:paraId="365D636B">
          <w:pPr>
            <w:pStyle w:val="4"/>
            <w:pageBreakBefore w:val="0"/>
            <w:kinsoku/>
            <w:wordWrap/>
            <w:overflowPunct/>
            <w:topLinePunct w:val="0"/>
            <w:autoSpaceDE/>
            <w:autoSpaceDN/>
            <w:bidi w:val="0"/>
            <w:adjustRightInd/>
            <w:snapToGrid/>
            <w:spacing w:line="360" w:lineRule="auto"/>
            <w:textAlignment w:val="auto"/>
            <w:outlineLvl w:val="9"/>
            <w:rPr>
              <w:rFonts w:ascii="Times New Roman" w:hAnsi="Times New Roman" w:eastAsia="黑体" w:cs="Times New Roman"/>
              <w:b/>
              <w:bCs/>
              <w:color w:val="auto"/>
              <w:kern w:val="44"/>
              <w:sz w:val="28"/>
              <w:szCs w:val="28"/>
              <w:highlight w:val="none"/>
              <w:lang w:val="en-US" w:eastAsia="zh-CN" w:bidi="ar-SA"/>
            </w:rPr>
          </w:pPr>
          <w:r>
            <w:rPr>
              <w:rFonts w:hint="eastAsia" w:ascii="宋体" w:hAnsi="宋体" w:eastAsia="宋体" w:cs="宋体"/>
              <w:b/>
              <w:color w:val="auto"/>
              <w:sz w:val="24"/>
              <w:szCs w:val="24"/>
              <w:highlight w:val="none"/>
            </w:rPr>
            <w:fldChar w:fldCharType="end"/>
          </w:r>
        </w:p>
      </w:sdtContent>
    </w:sdt>
    <w:p w14:paraId="4A0E977E">
      <w:pPr>
        <w:sectPr>
          <w:footerReference r:id="rId3" w:type="default"/>
          <w:pgSz w:w="11906" w:h="16838"/>
          <w:pgMar w:top="1440" w:right="1800" w:bottom="1440" w:left="1800" w:header="851" w:footer="992" w:gutter="0"/>
          <w:pgNumType w:fmt="upperRoman" w:start="1"/>
          <w:cols w:space="425" w:num="1"/>
          <w:docGrid w:type="lines" w:linePitch="312" w:charSpace="0"/>
        </w:sectPr>
      </w:pPr>
    </w:p>
    <w:p w14:paraId="6738220C">
      <w:pPr>
        <w:pStyle w:val="4"/>
        <w:pageBreakBefore w:val="0"/>
        <w:widowControl w:val="0"/>
        <w:kinsoku/>
        <w:wordWrap/>
        <w:overflowPunct/>
        <w:topLinePunct w:val="0"/>
        <w:autoSpaceDE/>
        <w:autoSpaceDN/>
        <w:bidi w:val="0"/>
        <w:spacing w:line="360" w:lineRule="auto"/>
        <w:jc w:val="center"/>
        <w:rPr>
          <w:rFonts w:hint="eastAsia" w:ascii="宋体" w:hAnsi="宋体" w:eastAsia="宋体" w:cs="宋体"/>
          <w:color w:val="auto"/>
          <w:sz w:val="24"/>
          <w:szCs w:val="24"/>
          <w:highlight w:val="none"/>
        </w:rPr>
      </w:pPr>
      <w:bookmarkStart w:id="0" w:name="_Toc1345"/>
      <w:r>
        <w:rPr>
          <w:rFonts w:hint="eastAsia" w:ascii="宋体" w:hAnsi="宋体" w:eastAsia="宋体" w:cs="宋体"/>
          <w:color w:val="auto"/>
          <w:highlight w:val="none"/>
        </w:rPr>
        <w:t>一、总则</w:t>
      </w:r>
      <w:bookmarkEnd w:id="0"/>
    </w:p>
    <w:p w14:paraId="5969490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Cs/>
          <w:sz w:val="24"/>
          <w:szCs w:val="24"/>
          <w:highlight w:val="none"/>
        </w:rPr>
      </w:pPr>
      <w:r>
        <w:rPr>
          <w:rFonts w:hint="eastAsia" w:ascii="宋体" w:hAnsi="宋体" w:eastAsia="宋体" w:cs="宋体"/>
          <w:color w:val="auto"/>
          <w:sz w:val="24"/>
          <w:szCs w:val="24"/>
          <w:highlight w:val="none"/>
        </w:rPr>
        <w:t>本技术规范书适用于南方电网调峰调频发电公司储能科研院</w:t>
      </w:r>
      <w:r>
        <w:rPr>
          <w:rFonts w:hint="eastAsia" w:ascii="宋体" w:hAnsi="宋体" w:eastAsia="宋体" w:cs="宋体"/>
          <w:color w:val="auto"/>
          <w:sz w:val="24"/>
          <w:szCs w:val="24"/>
          <w:highlight w:val="none"/>
          <w:lang w:val="en-US" w:eastAsia="zh-CN"/>
        </w:rPr>
        <w:t>监测实验室锂离子电池充放电及电化学特性测试设备采购</w:t>
      </w:r>
      <w:r>
        <w:rPr>
          <w:rFonts w:hint="eastAsia" w:ascii="宋体" w:hAnsi="宋体" w:eastAsia="宋体" w:cs="宋体"/>
          <w:color w:val="auto"/>
          <w:sz w:val="24"/>
          <w:szCs w:val="24"/>
          <w:highlight w:val="none"/>
        </w:rPr>
        <w:t>项目，提出了</w:t>
      </w:r>
      <w:r>
        <w:rPr>
          <w:rFonts w:hint="eastAsia" w:ascii="宋体" w:hAnsi="宋体" w:eastAsia="宋体" w:cs="宋体"/>
          <w:color w:val="auto"/>
          <w:sz w:val="24"/>
          <w:szCs w:val="24"/>
          <w:highlight w:val="none"/>
          <w:lang w:val="en-US" w:eastAsia="zh-CN"/>
        </w:rPr>
        <w:t>各项设备的功能性能、包装运输、安装调试等方面</w:t>
      </w:r>
      <w:r>
        <w:rPr>
          <w:rFonts w:hint="eastAsia" w:ascii="宋体" w:hAnsi="宋体" w:eastAsia="宋体" w:cs="宋体"/>
          <w:color w:val="auto"/>
          <w:sz w:val="24"/>
          <w:szCs w:val="24"/>
          <w:highlight w:val="none"/>
        </w:rPr>
        <w:t>的技术要求。</w:t>
      </w:r>
    </w:p>
    <w:p w14:paraId="5AFB290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本技术规范书提出的是最低限度的技术要求。凡本技术规范书中未规定，但在相关软件的国家标准或IEC标准中有规定的规范条文，卖方应按相应标准的条文进行软件设计、制造、试验和安装。对国家有关安全、环保等强制性标准，必须满足其要求。</w:t>
      </w:r>
    </w:p>
    <w:p w14:paraId="2427BA1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如果卖方没有以书面形式对本技术规范书的条文提出异议，则意味着卖方提供的软件完全符合本条件书的要求。如有异议，不管是多么微小，都应在报价书中以“对条件书的意见和同条件书的差异”为标题的专门章节中加以详细描述。</w:t>
      </w:r>
    </w:p>
    <w:p w14:paraId="2503094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本技术规范书所使用的标准如遇与卖方所执行的标准不一致时，应按较高标准执行。</w:t>
      </w:r>
    </w:p>
    <w:p w14:paraId="13F4DA3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本技术规范书经买、卖双方确认后作为订货合同的技术协议部分，与合同正文具有同等的法律效力。</w:t>
      </w:r>
    </w:p>
    <w:p w14:paraId="7825C26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本技术规范书中，凡标注“★”号的条款/指标为关键条款/指标，卖方必须给予高度重视，给出明确和详尽的响应，如有偏离，将被视为对招标文件的非实质性响应</w:t>
      </w:r>
      <w:r>
        <w:rPr>
          <w:rFonts w:hint="eastAsia" w:ascii="Times New Roman" w:hAnsi="Times New Roman" w:eastAsia="宋体" w:cs="Times New Roman"/>
          <w:bCs/>
          <w:sz w:val="24"/>
          <w:szCs w:val="24"/>
          <w:highlight w:val="none"/>
          <w:lang w:eastAsia="zh-CN"/>
        </w:rPr>
        <w:t>，</w:t>
      </w:r>
      <w:r>
        <w:rPr>
          <w:rFonts w:hint="eastAsia" w:ascii="Times New Roman" w:hAnsi="Times New Roman" w:eastAsia="宋体" w:cs="Times New Roman"/>
          <w:bCs/>
          <w:sz w:val="24"/>
          <w:szCs w:val="24"/>
          <w:highlight w:val="none"/>
          <w:lang w:val="en-US" w:eastAsia="zh-CN"/>
        </w:rPr>
        <w:t>应予以否决</w:t>
      </w:r>
      <w:r>
        <w:rPr>
          <w:rFonts w:hint="default" w:ascii="Times New Roman" w:hAnsi="Times New Roman" w:eastAsia="宋体" w:cs="Times New Roman"/>
          <w:bCs/>
          <w:sz w:val="24"/>
          <w:szCs w:val="24"/>
          <w:highlight w:val="none"/>
        </w:rPr>
        <w:t>。</w:t>
      </w:r>
    </w:p>
    <w:p w14:paraId="104346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本技术规范书中，凡标注“</w:t>
      </w:r>
      <w:r>
        <w:rPr>
          <w:rFonts w:hint="eastAsia" w:ascii="Times New Roman" w:hAnsi="Times New Roman" w:eastAsia="宋体" w:cs="Times New Roman"/>
          <w:bCs/>
          <w:sz w:val="24"/>
          <w:szCs w:val="24"/>
          <w:highlight w:val="none"/>
          <w:lang w:val="en-US" w:eastAsia="zh-CN"/>
        </w:rPr>
        <w:t>☆</w:t>
      </w:r>
      <w:r>
        <w:rPr>
          <w:rFonts w:hint="default" w:ascii="Times New Roman" w:hAnsi="Times New Roman" w:eastAsia="宋体" w:cs="Times New Roman"/>
          <w:bCs/>
          <w:sz w:val="24"/>
          <w:szCs w:val="24"/>
          <w:highlight w:val="none"/>
        </w:rPr>
        <w:t>”号的条款/指标为</w:t>
      </w:r>
      <w:r>
        <w:rPr>
          <w:rFonts w:hint="eastAsia" w:ascii="Times New Roman" w:hAnsi="Times New Roman" w:eastAsia="宋体" w:cs="Times New Roman"/>
          <w:bCs/>
          <w:sz w:val="24"/>
          <w:szCs w:val="24"/>
          <w:highlight w:val="none"/>
          <w:lang w:val="en-US" w:eastAsia="zh-CN"/>
        </w:rPr>
        <w:t>重要</w:t>
      </w:r>
      <w:r>
        <w:rPr>
          <w:rFonts w:hint="default" w:ascii="Times New Roman" w:hAnsi="Times New Roman" w:eastAsia="宋体" w:cs="Times New Roman"/>
          <w:bCs/>
          <w:sz w:val="24"/>
          <w:szCs w:val="24"/>
          <w:highlight w:val="none"/>
        </w:rPr>
        <w:t>条款/指标，卖方必须给予重视，给出明确和详尽的响应，如有偏离，</w:t>
      </w:r>
      <w:r>
        <w:rPr>
          <w:rFonts w:hint="eastAsia" w:ascii="Times New Roman" w:hAnsi="Times New Roman" w:eastAsia="宋体" w:cs="Times New Roman"/>
          <w:bCs/>
          <w:sz w:val="24"/>
          <w:szCs w:val="24"/>
          <w:highlight w:val="none"/>
          <w:lang w:val="en-US" w:eastAsia="zh-CN"/>
        </w:rPr>
        <w:t>将对卖方应标文件进行相应扣分</w:t>
      </w:r>
      <w:r>
        <w:rPr>
          <w:rFonts w:hint="default" w:ascii="Times New Roman" w:hAnsi="Times New Roman" w:eastAsia="宋体" w:cs="Times New Roman"/>
          <w:bCs/>
          <w:sz w:val="24"/>
          <w:szCs w:val="24"/>
          <w:highlight w:val="none"/>
        </w:rPr>
        <w:t>。</w:t>
      </w:r>
    </w:p>
    <w:p w14:paraId="388699D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卖方在应标技术条件中应如实反映应标产品与本技术条件的技术差异。如果卖方没有提出技术差异，而在执行合同的过程中，买方发现卖方提供的产品与其应标技术条件的条文存在差异，买方有权利要求退货。</w:t>
      </w:r>
    </w:p>
    <w:p w14:paraId="72DF588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卖方应在应标技术部分按本技术条件的要求如实详细的填写应标产品的标准配置表，并在应标商务部分按此标准配置进行报价。</w:t>
      </w:r>
    </w:p>
    <w:p w14:paraId="4AE054DF">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卖方应充分理解本技术规范书，并按本技术规范书的具体条款、格式要求填写应标技术文件，应逐条响应。如发现应标的技术文件条款、格式不符合本技术规范书的要求，则认为应标不严肃。</w:t>
      </w:r>
    </w:p>
    <w:p w14:paraId="557289EE">
      <w:pPr>
        <w:rPr>
          <w:rFonts w:cs="Times New Roman"/>
          <w:color w:val="auto"/>
          <w:sz w:val="32"/>
          <w:szCs w:val="32"/>
          <w:highlight w:val="none"/>
        </w:rPr>
        <w:sectPr>
          <w:footerReference r:id="rId4" w:type="default"/>
          <w:pgSz w:w="11906" w:h="16838"/>
          <w:pgMar w:top="1440" w:right="1800" w:bottom="1440" w:left="1800" w:header="851" w:footer="992" w:gutter="0"/>
          <w:cols w:space="425" w:num="1"/>
          <w:docGrid w:type="lines" w:linePitch="312" w:charSpace="0"/>
        </w:sectPr>
      </w:pPr>
    </w:p>
    <w:p w14:paraId="137D24D0">
      <w:pPr>
        <w:pStyle w:val="4"/>
        <w:pageBreakBefore w:val="0"/>
        <w:widowControl w:val="0"/>
        <w:kinsoku/>
        <w:wordWrap/>
        <w:overflowPunct/>
        <w:topLinePunct w:val="0"/>
        <w:autoSpaceDE/>
        <w:autoSpaceDN/>
        <w:bidi w:val="0"/>
        <w:spacing w:line="360" w:lineRule="auto"/>
        <w:rPr>
          <w:rFonts w:hint="eastAsia" w:ascii="宋体" w:hAnsi="宋体" w:eastAsia="宋体" w:cs="宋体"/>
          <w:color w:val="auto"/>
          <w:highlight w:val="none"/>
        </w:rPr>
      </w:pPr>
      <w:bookmarkStart w:id="1" w:name="_Toc30400"/>
      <w:r>
        <w:rPr>
          <w:rFonts w:hint="eastAsia" w:ascii="宋体" w:hAnsi="宋体" w:eastAsia="宋体" w:cs="宋体"/>
          <w:color w:val="auto"/>
          <w:highlight w:val="none"/>
        </w:rPr>
        <w:t>二、项目概述</w:t>
      </w:r>
      <w:bookmarkEnd w:id="1"/>
    </w:p>
    <w:p w14:paraId="00D8DAE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rPr>
      </w:pPr>
      <w:bookmarkStart w:id="2" w:name="_Toc20730"/>
      <w:bookmarkStart w:id="3" w:name="_Toc7508068"/>
      <w:bookmarkStart w:id="4" w:name="_Toc267399655"/>
      <w:bookmarkStart w:id="5" w:name="_Toc359526009"/>
      <w:r>
        <w:rPr>
          <w:rFonts w:hint="eastAsia" w:ascii="宋体" w:hAnsi="宋体" w:eastAsia="宋体" w:cs="宋体"/>
          <w:b/>
          <w:bCs/>
          <w:color w:val="auto"/>
          <w:sz w:val="24"/>
          <w:szCs w:val="24"/>
          <w:highlight w:val="none"/>
        </w:rPr>
        <w:t>2.1 项目概况</w:t>
      </w:r>
      <w:bookmarkEnd w:id="2"/>
    </w:p>
    <w:p w14:paraId="58A1FC11">
      <w:pPr>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2"/>
          <w:highlight w:val="none"/>
        </w:rPr>
      </w:pPr>
      <w:r>
        <w:rPr>
          <w:rFonts w:ascii="Times New Roman" w:hAnsi="Times New Roman" w:eastAsia="宋体" w:cs="Times New Roman"/>
          <w:sz w:val="24"/>
        </w:rPr>
        <w:t>为</w:t>
      </w:r>
      <w:r>
        <w:rPr>
          <w:rFonts w:hint="eastAsia" w:ascii="Times New Roman" w:hAnsi="Times New Roman" w:eastAsia="宋体" w:cs="Times New Roman"/>
          <w:sz w:val="24"/>
          <w:lang w:val="en-US" w:eastAsia="zh-CN"/>
        </w:rPr>
        <w:t>研究锂离子电池在不同工况下的电化学特性变化规律</w:t>
      </w:r>
      <w:r>
        <w:rPr>
          <w:rFonts w:ascii="Times New Roman" w:hAnsi="Times New Roman" w:eastAsia="宋体" w:cs="Times New Roman"/>
          <w:sz w:val="24"/>
        </w:rPr>
        <w:t>，需要通过</w:t>
      </w:r>
      <w:r>
        <w:rPr>
          <w:rFonts w:hint="eastAsia" w:ascii="Times New Roman" w:hAnsi="Times New Roman" w:eastAsia="宋体" w:cs="Times New Roman"/>
          <w:sz w:val="24"/>
          <w:lang w:val="en-US" w:eastAsia="zh-CN"/>
        </w:rPr>
        <w:t>锂离子电池充放电测试设备</w:t>
      </w:r>
      <w:r>
        <w:rPr>
          <w:rFonts w:ascii="Times New Roman" w:hAnsi="Times New Roman" w:eastAsia="宋体" w:cs="Times New Roman"/>
          <w:sz w:val="24"/>
        </w:rPr>
        <w:t>对</w:t>
      </w:r>
      <w:r>
        <w:rPr>
          <w:rFonts w:hint="eastAsia" w:ascii="Times New Roman" w:hAnsi="Times New Roman" w:eastAsia="宋体" w:cs="Times New Roman"/>
          <w:sz w:val="24"/>
          <w:lang w:val="en-US" w:eastAsia="zh-CN"/>
        </w:rPr>
        <w:t>锂离子电池单体</w:t>
      </w:r>
      <w:r>
        <w:rPr>
          <w:rFonts w:ascii="Times New Roman" w:hAnsi="Times New Roman" w:eastAsia="宋体" w:cs="Times New Roman"/>
          <w:sz w:val="24"/>
        </w:rPr>
        <w:t>进行不同</w:t>
      </w:r>
      <w:r>
        <w:rPr>
          <w:rFonts w:hint="eastAsia" w:ascii="Times New Roman" w:hAnsi="Times New Roman" w:eastAsia="宋体" w:cs="Times New Roman"/>
          <w:sz w:val="24"/>
          <w:lang w:val="en-US" w:eastAsia="zh-CN"/>
        </w:rPr>
        <w:t>工况</w:t>
      </w:r>
      <w:r>
        <w:rPr>
          <w:rFonts w:ascii="Times New Roman" w:hAnsi="Times New Roman" w:eastAsia="宋体" w:cs="Times New Roman"/>
          <w:sz w:val="24"/>
        </w:rPr>
        <w:t>的充放电测试，获得</w:t>
      </w:r>
      <w:r>
        <w:rPr>
          <w:rFonts w:hint="eastAsia" w:ascii="Times New Roman" w:hAnsi="Times New Roman" w:eastAsia="宋体" w:cs="Times New Roman"/>
          <w:sz w:val="24"/>
          <w:lang w:val="en-US" w:eastAsia="zh-CN"/>
        </w:rPr>
        <w:t>电池</w:t>
      </w:r>
      <w:r>
        <w:rPr>
          <w:rFonts w:ascii="Times New Roman" w:hAnsi="Times New Roman" w:eastAsia="宋体" w:cs="Times New Roman"/>
          <w:sz w:val="24"/>
        </w:rPr>
        <w:t>功率、容量、内阻、充放电性能</w:t>
      </w:r>
      <w:r>
        <w:rPr>
          <w:rFonts w:hint="eastAsia" w:ascii="Times New Roman" w:hAnsi="Times New Roman" w:eastAsia="宋体" w:cs="Times New Roman"/>
          <w:sz w:val="24"/>
          <w:lang w:eastAsia="zh-CN"/>
        </w:rPr>
        <w:t>、</w:t>
      </w:r>
      <w:r>
        <w:rPr>
          <w:rFonts w:ascii="Times New Roman" w:hAnsi="Times New Roman" w:eastAsia="宋体" w:cs="Times New Roman"/>
          <w:sz w:val="24"/>
        </w:rPr>
        <w:t>循环性能</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通过锂离子电池电化学特性测试设备，获取锂离子电池在不同状态下的电化学特性</w:t>
      </w:r>
      <w:r>
        <w:rPr>
          <w:rFonts w:ascii="Times New Roman" w:hAnsi="Times New Roman" w:eastAsia="宋体" w:cs="Times New Roman"/>
          <w:sz w:val="24"/>
        </w:rPr>
        <w:t>。</w:t>
      </w:r>
    </w:p>
    <w:p w14:paraId="1F9486A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default" w:ascii="宋体" w:hAnsi="宋体" w:eastAsia="宋体" w:cs="宋体"/>
          <w:b/>
          <w:bCs/>
          <w:color w:val="auto"/>
          <w:sz w:val="24"/>
          <w:szCs w:val="24"/>
          <w:highlight w:val="none"/>
          <w:lang w:val="en-US" w:eastAsia="zh-CN"/>
        </w:rPr>
      </w:pPr>
      <w:bookmarkStart w:id="6" w:name="_Toc31065"/>
      <w:bookmarkStart w:id="7" w:name="_Toc9342427"/>
      <w:bookmarkStart w:id="8" w:name="_Toc31902"/>
      <w:r>
        <w:rPr>
          <w:rFonts w:hint="eastAsia" w:ascii="宋体" w:hAnsi="宋体" w:eastAsia="宋体" w:cs="宋体"/>
          <w:b/>
          <w:bCs/>
          <w:color w:val="auto"/>
          <w:sz w:val="24"/>
          <w:szCs w:val="24"/>
          <w:highlight w:val="none"/>
        </w:rPr>
        <w:t xml:space="preserve">2.2 </w:t>
      </w:r>
      <w:r>
        <w:rPr>
          <w:rFonts w:hint="eastAsia" w:ascii="宋体" w:hAnsi="宋体" w:eastAsia="宋体" w:cs="宋体"/>
          <w:b/>
          <w:bCs/>
          <w:color w:val="auto"/>
          <w:sz w:val="24"/>
          <w:szCs w:val="24"/>
          <w:highlight w:val="none"/>
          <w:lang w:val="en-US" w:eastAsia="zh-CN"/>
        </w:rPr>
        <w:t>供货范围</w:t>
      </w:r>
      <w:bookmarkEnd w:id="6"/>
    </w:p>
    <w:bookmarkEnd w:id="3"/>
    <w:bookmarkEnd w:id="4"/>
    <w:bookmarkEnd w:id="5"/>
    <w:bookmarkEnd w:id="7"/>
    <w:bookmarkEnd w:id="8"/>
    <w:p w14:paraId="2A06A5CD">
      <w:pPr>
        <w:pStyle w:val="7"/>
        <w:keepNext w:val="0"/>
        <w:keepLines w:val="0"/>
        <w:pageBreakBefore w:val="0"/>
        <w:kinsoku/>
        <w:wordWrap/>
        <w:overflowPunct/>
        <w:topLinePunct w:val="0"/>
        <w:autoSpaceDE/>
        <w:autoSpaceDN/>
        <w:bidi w:val="0"/>
        <w:adjustRightInd/>
        <w:snapToGrid/>
        <w:spacing w:after="0" w:line="360" w:lineRule="auto"/>
        <w:ind w:firstLine="482"/>
        <w:textAlignment w:val="auto"/>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eastAsia="zh-CN"/>
        </w:rPr>
        <w:t>供货</w:t>
      </w:r>
      <w:r>
        <w:rPr>
          <w:rFonts w:hint="default" w:ascii="Times New Roman" w:hAnsi="Times New Roman" w:cs="Times New Roman"/>
          <w:szCs w:val="21"/>
          <w:highlight w:val="none"/>
          <w:lang w:val="en-US" w:eastAsia="zh-CN"/>
        </w:rPr>
        <w:t>范围如下表所示，详细规格型号及配置要求见本技术规范第</w:t>
      </w:r>
      <w:r>
        <w:rPr>
          <w:rFonts w:hint="eastAsia" w:ascii="Times New Roman" w:hAnsi="Times New Roman" w:cs="Times New Roman"/>
          <w:szCs w:val="21"/>
          <w:highlight w:val="none"/>
          <w:lang w:val="en-US" w:eastAsia="zh-CN"/>
        </w:rPr>
        <w:t>3</w:t>
      </w:r>
      <w:r>
        <w:rPr>
          <w:rFonts w:hint="default" w:ascii="Times New Roman" w:hAnsi="Times New Roman" w:cs="Times New Roman"/>
          <w:szCs w:val="21"/>
          <w:highlight w:val="none"/>
          <w:lang w:val="en-US" w:eastAsia="zh-CN"/>
        </w:rPr>
        <w:t>章。</w:t>
      </w:r>
    </w:p>
    <w:tbl>
      <w:tblPr>
        <w:tblStyle w:val="17"/>
        <w:tblW w:w="4998" w:type="pct"/>
        <w:tblInd w:w="0" w:type="dxa"/>
        <w:tblLayout w:type="autofit"/>
        <w:tblCellMar>
          <w:top w:w="0" w:type="dxa"/>
          <w:left w:w="108" w:type="dxa"/>
          <w:bottom w:w="0" w:type="dxa"/>
          <w:right w:w="108" w:type="dxa"/>
        </w:tblCellMar>
      </w:tblPr>
      <w:tblGrid>
        <w:gridCol w:w="890"/>
        <w:gridCol w:w="5212"/>
        <w:gridCol w:w="1471"/>
        <w:gridCol w:w="946"/>
      </w:tblGrid>
      <w:tr w14:paraId="411B38D0">
        <w:tblPrEx>
          <w:tblCellMar>
            <w:top w:w="0" w:type="dxa"/>
            <w:left w:w="108" w:type="dxa"/>
            <w:bottom w:w="0" w:type="dxa"/>
            <w:right w:w="108" w:type="dxa"/>
          </w:tblCellMar>
        </w:tblPrEx>
        <w:trPr>
          <w:trHeight w:val="419" w:hRule="atLeast"/>
        </w:trPr>
        <w:tc>
          <w:tcPr>
            <w:tcW w:w="522" w:type="pct"/>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5A152F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bCs/>
                <w:color w:val="000000"/>
                <w:kern w:val="0"/>
                <w:sz w:val="21"/>
                <w:szCs w:val="21"/>
                <w:highlight w:val="none"/>
                <w:lang w:bidi="ar"/>
              </w:rPr>
            </w:pPr>
            <w:r>
              <w:rPr>
                <w:rFonts w:hint="default" w:ascii="Times New Roman" w:hAnsi="Times New Roman" w:eastAsia="宋体" w:cs="Times New Roman"/>
                <w:b/>
                <w:bCs/>
                <w:color w:val="000000"/>
                <w:kern w:val="0"/>
                <w:sz w:val="21"/>
                <w:szCs w:val="21"/>
                <w:highlight w:val="none"/>
                <w:lang w:bidi="ar"/>
              </w:rPr>
              <w:br w:type="page"/>
            </w:r>
            <w:r>
              <w:rPr>
                <w:rFonts w:hint="default" w:ascii="Times New Roman" w:hAnsi="Times New Roman" w:eastAsia="宋体" w:cs="Times New Roman"/>
                <w:b/>
                <w:bCs/>
                <w:color w:val="000000"/>
                <w:kern w:val="0"/>
                <w:sz w:val="21"/>
                <w:szCs w:val="21"/>
                <w:highlight w:val="none"/>
                <w:lang w:bidi="ar"/>
              </w:rPr>
              <w:t>序号</w:t>
            </w:r>
          </w:p>
        </w:tc>
        <w:tc>
          <w:tcPr>
            <w:tcW w:w="3058" w:type="pct"/>
            <w:tcBorders>
              <w:top w:val="single" w:color="000000" w:sz="4" w:space="0"/>
              <w:left w:val="single" w:color="000000" w:sz="4" w:space="0"/>
              <w:bottom w:val="single" w:color="auto" w:sz="4" w:space="0"/>
              <w:right w:val="single" w:color="000000" w:sz="4" w:space="0"/>
            </w:tcBorders>
            <w:shd w:val="clear" w:color="auto" w:fill="auto"/>
            <w:vAlign w:val="center"/>
          </w:tcPr>
          <w:p w14:paraId="2188BBA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bCs/>
                <w:color w:val="000000"/>
                <w:kern w:val="0"/>
                <w:sz w:val="21"/>
                <w:szCs w:val="21"/>
                <w:highlight w:val="none"/>
                <w:lang w:val="en-US" w:eastAsia="zh-CN" w:bidi="ar"/>
              </w:rPr>
            </w:pPr>
            <w:r>
              <w:rPr>
                <w:rFonts w:hint="eastAsia" w:ascii="Times New Roman" w:hAnsi="Times New Roman" w:eastAsia="宋体" w:cs="Times New Roman"/>
                <w:b/>
                <w:bCs/>
                <w:color w:val="000000"/>
                <w:kern w:val="0"/>
                <w:sz w:val="21"/>
                <w:szCs w:val="21"/>
                <w:highlight w:val="none"/>
                <w:lang w:val="en-US" w:eastAsia="zh-CN" w:bidi="ar"/>
              </w:rPr>
              <w:t>设备</w:t>
            </w:r>
            <w:r>
              <w:rPr>
                <w:rFonts w:hint="default" w:ascii="Times New Roman" w:hAnsi="Times New Roman" w:eastAsia="宋体" w:cs="Times New Roman"/>
                <w:b/>
                <w:bCs/>
                <w:color w:val="000000"/>
                <w:kern w:val="0"/>
                <w:sz w:val="21"/>
                <w:szCs w:val="21"/>
                <w:highlight w:val="none"/>
                <w:lang w:val="en-US" w:eastAsia="zh-CN" w:bidi="ar"/>
              </w:rPr>
              <w:t>名称</w:t>
            </w:r>
          </w:p>
        </w:tc>
        <w:tc>
          <w:tcPr>
            <w:tcW w:w="863" w:type="pct"/>
            <w:tcBorders>
              <w:top w:val="single" w:color="000000" w:sz="4" w:space="0"/>
              <w:left w:val="single" w:color="000000" w:sz="4" w:space="0"/>
              <w:bottom w:val="single" w:color="auto" w:sz="4" w:space="0"/>
              <w:right w:val="single" w:color="000000" w:sz="4" w:space="0"/>
            </w:tcBorders>
            <w:shd w:val="clear" w:color="auto" w:fill="auto"/>
            <w:vAlign w:val="center"/>
          </w:tcPr>
          <w:p w14:paraId="62A6354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bCs/>
                <w:color w:val="FF0000"/>
                <w:sz w:val="21"/>
                <w:szCs w:val="21"/>
                <w:highlight w:val="none"/>
              </w:rPr>
            </w:pPr>
            <w:r>
              <w:rPr>
                <w:rFonts w:hint="default" w:ascii="Times New Roman" w:hAnsi="Times New Roman" w:eastAsia="宋体" w:cs="Times New Roman"/>
                <w:b/>
                <w:bCs/>
                <w:color w:val="000000"/>
                <w:kern w:val="0"/>
                <w:sz w:val="21"/>
                <w:szCs w:val="21"/>
                <w:highlight w:val="none"/>
                <w:lang w:bidi="ar"/>
              </w:rPr>
              <w:t>计量单位</w:t>
            </w:r>
          </w:p>
        </w:tc>
        <w:tc>
          <w:tcPr>
            <w:tcW w:w="555" w:type="pct"/>
            <w:tcBorders>
              <w:top w:val="single" w:color="000000" w:sz="4" w:space="0"/>
              <w:left w:val="single" w:color="000000" w:sz="4" w:space="0"/>
              <w:bottom w:val="single" w:color="auto" w:sz="4" w:space="0"/>
              <w:right w:val="single" w:color="000000" w:sz="4" w:space="0"/>
            </w:tcBorders>
            <w:shd w:val="clear" w:color="auto" w:fill="auto"/>
            <w:vAlign w:val="center"/>
          </w:tcPr>
          <w:p w14:paraId="7D2441E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b/>
                <w:bCs/>
                <w:color w:val="FF0000"/>
                <w:sz w:val="21"/>
                <w:szCs w:val="21"/>
                <w:highlight w:val="none"/>
              </w:rPr>
            </w:pPr>
            <w:r>
              <w:rPr>
                <w:rFonts w:hint="default" w:ascii="Times New Roman" w:hAnsi="Times New Roman" w:eastAsia="宋体" w:cs="Times New Roman"/>
                <w:b/>
                <w:bCs/>
                <w:color w:val="000000"/>
                <w:kern w:val="0"/>
                <w:sz w:val="21"/>
                <w:szCs w:val="21"/>
                <w:highlight w:val="none"/>
                <w:lang w:bidi="ar"/>
              </w:rPr>
              <w:t>数量</w:t>
            </w:r>
          </w:p>
        </w:tc>
      </w:tr>
      <w:tr w14:paraId="5831F0A3">
        <w:tblPrEx>
          <w:tblCellMar>
            <w:top w:w="0" w:type="dxa"/>
            <w:left w:w="108" w:type="dxa"/>
            <w:bottom w:w="0" w:type="dxa"/>
            <w:right w:w="108" w:type="dxa"/>
          </w:tblCellMar>
        </w:tblPrEx>
        <w:trPr>
          <w:trHeight w:val="419" w:hRule="atLeast"/>
        </w:trPr>
        <w:tc>
          <w:tcPr>
            <w:tcW w:w="5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BC53A4">
            <w:pPr>
              <w:keepNext w:val="0"/>
              <w:keepLines w:val="0"/>
              <w:widowControl/>
              <w:numPr>
                <w:ilvl w:val="0"/>
                <w:numId w:val="2"/>
              </w:numPr>
              <w:suppressLineNumbers w:val="0"/>
              <w:tabs>
                <w:tab w:val="clear" w:pos="0"/>
              </w:tabs>
              <w:spacing w:before="0" w:beforeAutospacing="0" w:after="0" w:afterAutospacing="0"/>
              <w:ind w:right="0"/>
              <w:jc w:val="center"/>
              <w:textAlignment w:val="center"/>
              <w:rPr>
                <w:rFonts w:hint="default" w:ascii="Times New Roman" w:hAnsi="Times New Roman" w:eastAsia="宋体" w:cs="Times New Roman"/>
                <w:color w:val="000000"/>
                <w:sz w:val="21"/>
                <w:szCs w:val="21"/>
                <w:highlight w:val="none"/>
              </w:rPr>
            </w:pPr>
          </w:p>
        </w:tc>
        <w:tc>
          <w:tcPr>
            <w:tcW w:w="3058" w:type="pct"/>
            <w:tcBorders>
              <w:top w:val="single" w:color="auto" w:sz="4" w:space="0"/>
              <w:left w:val="single" w:color="auto" w:sz="4" w:space="0"/>
              <w:bottom w:val="single" w:color="auto" w:sz="4" w:space="0"/>
              <w:right w:val="single" w:color="auto" w:sz="4" w:space="0"/>
            </w:tcBorders>
            <w:shd w:val="clear" w:color="auto" w:fill="auto"/>
            <w:vAlign w:val="center"/>
          </w:tcPr>
          <w:p w14:paraId="143D5ED9">
            <w:pPr>
              <w:keepNext w:val="0"/>
              <w:keepLines w:val="0"/>
              <w:suppressLineNumbers w:val="0"/>
              <w:spacing w:before="0" w:beforeAutospacing="0" w:after="0" w:afterAutospacing="0"/>
              <w:ind w:left="0" w:right="0"/>
              <w:jc w:val="left"/>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锂离子电池动态工况模拟测试仪</w:t>
            </w:r>
          </w:p>
        </w:tc>
        <w:tc>
          <w:tcPr>
            <w:tcW w:w="863" w:type="pct"/>
            <w:tcBorders>
              <w:top w:val="single" w:color="auto" w:sz="4" w:space="0"/>
              <w:left w:val="single" w:color="auto" w:sz="4" w:space="0"/>
              <w:bottom w:val="single" w:color="auto" w:sz="4" w:space="0"/>
              <w:right w:val="single" w:color="auto" w:sz="4" w:space="0"/>
            </w:tcBorders>
            <w:shd w:val="clear" w:color="auto" w:fill="auto"/>
            <w:vAlign w:val="center"/>
          </w:tcPr>
          <w:p w14:paraId="53CF9BD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0"/>
                <w:sz w:val="21"/>
                <w:szCs w:val="21"/>
                <w:highlight w:val="none"/>
                <w:lang w:bidi="ar"/>
              </w:rPr>
              <w:t>套</w:t>
            </w:r>
          </w:p>
        </w:tc>
        <w:tc>
          <w:tcPr>
            <w:tcW w:w="555" w:type="pct"/>
            <w:tcBorders>
              <w:top w:val="single" w:color="auto" w:sz="4" w:space="0"/>
              <w:left w:val="single" w:color="auto" w:sz="4" w:space="0"/>
              <w:bottom w:val="single" w:color="auto" w:sz="4" w:space="0"/>
              <w:right w:val="single" w:color="auto" w:sz="4" w:space="0"/>
            </w:tcBorders>
            <w:shd w:val="clear" w:color="auto" w:fill="auto"/>
            <w:vAlign w:val="center"/>
          </w:tcPr>
          <w:p w14:paraId="48D00E0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0"/>
                <w:sz w:val="21"/>
                <w:szCs w:val="21"/>
                <w:highlight w:val="none"/>
                <w:lang w:bidi="ar"/>
              </w:rPr>
              <w:t>1</w:t>
            </w:r>
          </w:p>
        </w:tc>
      </w:tr>
      <w:tr w14:paraId="73D55507">
        <w:tblPrEx>
          <w:tblCellMar>
            <w:top w:w="0" w:type="dxa"/>
            <w:left w:w="108" w:type="dxa"/>
            <w:bottom w:w="0" w:type="dxa"/>
            <w:right w:w="108" w:type="dxa"/>
          </w:tblCellMar>
        </w:tblPrEx>
        <w:trPr>
          <w:trHeight w:val="419" w:hRule="atLeast"/>
        </w:trPr>
        <w:tc>
          <w:tcPr>
            <w:tcW w:w="5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1858834">
            <w:pPr>
              <w:keepNext w:val="0"/>
              <w:keepLines w:val="0"/>
              <w:widowControl/>
              <w:numPr>
                <w:ilvl w:val="0"/>
                <w:numId w:val="2"/>
              </w:numPr>
              <w:suppressLineNumbers w:val="0"/>
              <w:tabs>
                <w:tab w:val="clear" w:pos="0"/>
              </w:tabs>
              <w:spacing w:before="0" w:beforeAutospacing="0" w:after="0" w:afterAutospacing="0"/>
              <w:ind w:right="0"/>
              <w:jc w:val="center"/>
              <w:textAlignment w:val="center"/>
              <w:rPr>
                <w:rFonts w:hint="default" w:ascii="Times New Roman" w:hAnsi="Times New Roman" w:eastAsia="宋体" w:cs="Times New Roman"/>
                <w:color w:val="000000"/>
                <w:sz w:val="21"/>
                <w:szCs w:val="21"/>
                <w:highlight w:val="none"/>
              </w:rPr>
            </w:pPr>
          </w:p>
        </w:tc>
        <w:tc>
          <w:tcPr>
            <w:tcW w:w="3058" w:type="pct"/>
            <w:tcBorders>
              <w:top w:val="single" w:color="auto" w:sz="4" w:space="0"/>
              <w:left w:val="single" w:color="auto" w:sz="4" w:space="0"/>
              <w:bottom w:val="single" w:color="auto" w:sz="4" w:space="0"/>
              <w:right w:val="single" w:color="auto" w:sz="4" w:space="0"/>
            </w:tcBorders>
            <w:shd w:val="clear" w:color="auto" w:fill="auto"/>
            <w:vAlign w:val="center"/>
          </w:tcPr>
          <w:p w14:paraId="1276AF4B">
            <w:pPr>
              <w:keepNext w:val="0"/>
              <w:keepLines w:val="0"/>
              <w:suppressLineNumbers w:val="0"/>
              <w:spacing w:before="0" w:beforeAutospacing="0" w:after="0" w:afterAutospacing="0"/>
              <w:ind w:left="0" w:right="0"/>
              <w:jc w:val="left"/>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锂离子电池多通道充放电测试仪</w:t>
            </w:r>
          </w:p>
        </w:tc>
        <w:tc>
          <w:tcPr>
            <w:tcW w:w="863" w:type="pct"/>
            <w:tcBorders>
              <w:top w:val="single" w:color="auto" w:sz="4" w:space="0"/>
              <w:left w:val="single" w:color="auto" w:sz="4" w:space="0"/>
              <w:bottom w:val="single" w:color="auto" w:sz="4" w:space="0"/>
              <w:right w:val="single" w:color="auto" w:sz="4" w:space="0"/>
            </w:tcBorders>
            <w:shd w:val="clear" w:color="auto" w:fill="auto"/>
            <w:vAlign w:val="center"/>
          </w:tcPr>
          <w:p w14:paraId="338548D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0"/>
                <w:sz w:val="21"/>
                <w:szCs w:val="21"/>
                <w:highlight w:val="none"/>
                <w:lang w:bidi="ar"/>
              </w:rPr>
              <w:t>套</w:t>
            </w:r>
          </w:p>
        </w:tc>
        <w:tc>
          <w:tcPr>
            <w:tcW w:w="555" w:type="pct"/>
            <w:tcBorders>
              <w:top w:val="single" w:color="auto" w:sz="4" w:space="0"/>
              <w:left w:val="single" w:color="auto" w:sz="4" w:space="0"/>
              <w:bottom w:val="single" w:color="auto" w:sz="4" w:space="0"/>
              <w:right w:val="single" w:color="auto" w:sz="4" w:space="0"/>
            </w:tcBorders>
            <w:shd w:val="clear" w:color="auto" w:fill="auto"/>
            <w:vAlign w:val="center"/>
          </w:tcPr>
          <w:p w14:paraId="6E2E6607">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
              </w:rPr>
              <w:t>1</w:t>
            </w:r>
          </w:p>
        </w:tc>
      </w:tr>
      <w:tr w14:paraId="6CD854A9">
        <w:tblPrEx>
          <w:tblCellMar>
            <w:top w:w="0" w:type="dxa"/>
            <w:left w:w="108" w:type="dxa"/>
            <w:bottom w:w="0" w:type="dxa"/>
            <w:right w:w="108" w:type="dxa"/>
          </w:tblCellMar>
        </w:tblPrEx>
        <w:trPr>
          <w:trHeight w:val="419" w:hRule="atLeast"/>
        </w:trPr>
        <w:tc>
          <w:tcPr>
            <w:tcW w:w="5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BCFAD3">
            <w:pPr>
              <w:keepNext w:val="0"/>
              <w:keepLines w:val="0"/>
              <w:widowControl/>
              <w:numPr>
                <w:ilvl w:val="0"/>
                <w:numId w:val="2"/>
              </w:numPr>
              <w:suppressLineNumbers w:val="0"/>
              <w:tabs>
                <w:tab w:val="clear" w:pos="0"/>
              </w:tabs>
              <w:spacing w:before="0" w:beforeAutospacing="0" w:after="0" w:afterAutospacing="0"/>
              <w:ind w:right="0"/>
              <w:jc w:val="center"/>
              <w:textAlignment w:val="center"/>
              <w:rPr>
                <w:rFonts w:hint="default" w:ascii="Times New Roman" w:hAnsi="Times New Roman" w:eastAsia="宋体" w:cs="Times New Roman"/>
                <w:color w:val="000000"/>
                <w:sz w:val="21"/>
                <w:szCs w:val="21"/>
                <w:highlight w:val="none"/>
              </w:rPr>
            </w:pPr>
          </w:p>
        </w:tc>
        <w:tc>
          <w:tcPr>
            <w:tcW w:w="3058" w:type="pct"/>
            <w:tcBorders>
              <w:top w:val="single" w:color="auto" w:sz="4" w:space="0"/>
              <w:left w:val="single" w:color="auto" w:sz="4" w:space="0"/>
              <w:bottom w:val="single" w:color="auto" w:sz="4" w:space="0"/>
              <w:right w:val="single" w:color="auto" w:sz="4" w:space="0"/>
            </w:tcBorders>
            <w:shd w:val="clear" w:color="auto" w:fill="auto"/>
            <w:vAlign w:val="center"/>
          </w:tcPr>
          <w:p w14:paraId="3825AB08">
            <w:pPr>
              <w:keepNext w:val="0"/>
              <w:keepLines w:val="0"/>
              <w:suppressLineNumbers w:val="0"/>
              <w:spacing w:before="0" w:beforeAutospacing="0" w:after="0" w:afterAutospacing="0"/>
              <w:ind w:left="0" w:right="0"/>
              <w:jc w:val="left"/>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锂离子电池环境温度测试箱</w:t>
            </w:r>
          </w:p>
        </w:tc>
        <w:tc>
          <w:tcPr>
            <w:tcW w:w="863" w:type="pct"/>
            <w:tcBorders>
              <w:top w:val="single" w:color="auto" w:sz="4" w:space="0"/>
              <w:left w:val="single" w:color="auto" w:sz="4" w:space="0"/>
              <w:bottom w:val="single" w:color="auto" w:sz="4" w:space="0"/>
              <w:right w:val="single" w:color="auto" w:sz="4" w:space="0"/>
            </w:tcBorders>
            <w:shd w:val="clear" w:color="auto" w:fill="auto"/>
            <w:vAlign w:val="center"/>
          </w:tcPr>
          <w:p w14:paraId="07AB637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0"/>
                <w:sz w:val="21"/>
                <w:szCs w:val="21"/>
                <w:highlight w:val="none"/>
                <w:lang w:bidi="ar"/>
              </w:rPr>
              <w:t>套</w:t>
            </w:r>
          </w:p>
        </w:tc>
        <w:tc>
          <w:tcPr>
            <w:tcW w:w="555" w:type="pct"/>
            <w:tcBorders>
              <w:top w:val="single" w:color="auto" w:sz="4" w:space="0"/>
              <w:left w:val="single" w:color="auto" w:sz="4" w:space="0"/>
              <w:bottom w:val="single" w:color="auto" w:sz="4" w:space="0"/>
              <w:right w:val="single" w:color="auto" w:sz="4" w:space="0"/>
            </w:tcBorders>
            <w:shd w:val="clear" w:color="auto" w:fill="auto"/>
            <w:vAlign w:val="center"/>
          </w:tcPr>
          <w:p w14:paraId="327041D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0"/>
                <w:sz w:val="21"/>
                <w:szCs w:val="21"/>
                <w:highlight w:val="none"/>
                <w:lang w:bidi="ar"/>
              </w:rPr>
              <w:t>1</w:t>
            </w:r>
          </w:p>
        </w:tc>
      </w:tr>
      <w:tr w14:paraId="4CF79AA6">
        <w:tblPrEx>
          <w:tblCellMar>
            <w:top w:w="0" w:type="dxa"/>
            <w:left w:w="108" w:type="dxa"/>
            <w:bottom w:w="0" w:type="dxa"/>
            <w:right w:w="108" w:type="dxa"/>
          </w:tblCellMar>
        </w:tblPrEx>
        <w:trPr>
          <w:trHeight w:val="419" w:hRule="atLeast"/>
        </w:trPr>
        <w:tc>
          <w:tcPr>
            <w:tcW w:w="5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259A07">
            <w:pPr>
              <w:keepNext w:val="0"/>
              <w:keepLines w:val="0"/>
              <w:widowControl/>
              <w:numPr>
                <w:ilvl w:val="0"/>
                <w:numId w:val="2"/>
              </w:numPr>
              <w:suppressLineNumbers w:val="0"/>
              <w:tabs>
                <w:tab w:val="clear" w:pos="0"/>
              </w:tabs>
              <w:spacing w:before="0" w:beforeAutospacing="0" w:after="0" w:afterAutospacing="0"/>
              <w:ind w:right="0"/>
              <w:jc w:val="center"/>
              <w:textAlignment w:val="center"/>
              <w:rPr>
                <w:rFonts w:hint="default" w:ascii="Times New Roman" w:hAnsi="Times New Roman" w:eastAsia="宋体" w:cs="Times New Roman"/>
                <w:color w:val="000000"/>
                <w:sz w:val="21"/>
                <w:szCs w:val="21"/>
                <w:highlight w:val="none"/>
              </w:rPr>
            </w:pPr>
          </w:p>
        </w:tc>
        <w:tc>
          <w:tcPr>
            <w:tcW w:w="3058" w:type="pct"/>
            <w:tcBorders>
              <w:top w:val="single" w:color="auto" w:sz="4" w:space="0"/>
              <w:left w:val="single" w:color="auto" w:sz="4" w:space="0"/>
              <w:bottom w:val="single" w:color="auto" w:sz="4" w:space="0"/>
              <w:right w:val="single" w:color="auto" w:sz="4" w:space="0"/>
            </w:tcBorders>
            <w:shd w:val="clear" w:color="auto" w:fill="auto"/>
            <w:vAlign w:val="center"/>
          </w:tcPr>
          <w:p w14:paraId="63304F9E">
            <w:pPr>
              <w:keepNext w:val="0"/>
              <w:keepLines w:val="0"/>
              <w:suppressLineNumbers w:val="0"/>
              <w:spacing w:before="0" w:beforeAutospacing="0" w:after="0" w:afterAutospacing="0"/>
              <w:ind w:left="0" w:right="0"/>
              <w:jc w:val="left"/>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锂离子电池高性能电化学阻抗特性测试仪</w:t>
            </w:r>
          </w:p>
        </w:tc>
        <w:tc>
          <w:tcPr>
            <w:tcW w:w="863" w:type="pct"/>
            <w:tcBorders>
              <w:top w:val="single" w:color="auto" w:sz="4" w:space="0"/>
              <w:left w:val="single" w:color="auto" w:sz="4" w:space="0"/>
              <w:bottom w:val="single" w:color="auto" w:sz="4" w:space="0"/>
              <w:right w:val="single" w:color="auto" w:sz="4" w:space="0"/>
            </w:tcBorders>
            <w:shd w:val="clear" w:color="auto" w:fill="auto"/>
            <w:vAlign w:val="center"/>
          </w:tcPr>
          <w:p w14:paraId="0B1D8A9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0"/>
                <w:sz w:val="21"/>
                <w:szCs w:val="21"/>
                <w:highlight w:val="none"/>
                <w:lang w:bidi="ar"/>
              </w:rPr>
              <w:t>套</w:t>
            </w:r>
          </w:p>
        </w:tc>
        <w:tc>
          <w:tcPr>
            <w:tcW w:w="555" w:type="pct"/>
            <w:tcBorders>
              <w:top w:val="single" w:color="auto" w:sz="4" w:space="0"/>
              <w:left w:val="single" w:color="auto" w:sz="4" w:space="0"/>
              <w:bottom w:val="single" w:color="auto" w:sz="4" w:space="0"/>
              <w:right w:val="single" w:color="auto" w:sz="4" w:space="0"/>
            </w:tcBorders>
            <w:shd w:val="clear" w:color="auto" w:fill="auto"/>
            <w:vAlign w:val="center"/>
          </w:tcPr>
          <w:p w14:paraId="31DAE26F">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
              </w:rPr>
              <w:t>1</w:t>
            </w:r>
          </w:p>
        </w:tc>
      </w:tr>
      <w:tr w14:paraId="44DEA1F4">
        <w:tblPrEx>
          <w:tblCellMar>
            <w:top w:w="0" w:type="dxa"/>
            <w:left w:w="108" w:type="dxa"/>
            <w:bottom w:w="0" w:type="dxa"/>
            <w:right w:w="108" w:type="dxa"/>
          </w:tblCellMar>
        </w:tblPrEx>
        <w:trPr>
          <w:trHeight w:val="419" w:hRule="atLeast"/>
        </w:trPr>
        <w:tc>
          <w:tcPr>
            <w:tcW w:w="5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10C9AC">
            <w:pPr>
              <w:keepNext w:val="0"/>
              <w:keepLines w:val="0"/>
              <w:widowControl/>
              <w:numPr>
                <w:ilvl w:val="0"/>
                <w:numId w:val="2"/>
              </w:numPr>
              <w:suppressLineNumbers w:val="0"/>
              <w:tabs>
                <w:tab w:val="clear" w:pos="0"/>
              </w:tabs>
              <w:spacing w:before="0" w:beforeAutospacing="0" w:after="0" w:afterAutospacing="0"/>
              <w:ind w:right="0"/>
              <w:jc w:val="center"/>
              <w:textAlignment w:val="center"/>
              <w:rPr>
                <w:rFonts w:hint="default" w:ascii="Times New Roman" w:hAnsi="Times New Roman" w:eastAsia="宋体" w:cs="Times New Roman"/>
                <w:color w:val="000000"/>
                <w:sz w:val="21"/>
                <w:szCs w:val="21"/>
                <w:highlight w:val="none"/>
              </w:rPr>
            </w:pPr>
            <w:bookmarkStart w:id="9" w:name="_Toc20874"/>
            <w:bookmarkStart w:id="10" w:name="_Toc24298"/>
          </w:p>
        </w:tc>
        <w:tc>
          <w:tcPr>
            <w:tcW w:w="3058" w:type="pct"/>
            <w:tcBorders>
              <w:top w:val="single" w:color="auto" w:sz="4" w:space="0"/>
              <w:left w:val="single" w:color="auto" w:sz="4" w:space="0"/>
              <w:bottom w:val="single" w:color="auto" w:sz="4" w:space="0"/>
              <w:right w:val="single" w:color="auto" w:sz="4" w:space="0"/>
            </w:tcBorders>
            <w:shd w:val="clear" w:color="auto" w:fill="auto"/>
            <w:vAlign w:val="center"/>
          </w:tcPr>
          <w:p w14:paraId="2E68A672">
            <w:pPr>
              <w:keepNext w:val="0"/>
              <w:keepLines w:val="0"/>
              <w:suppressLineNumbers w:val="0"/>
              <w:spacing w:before="0" w:beforeAutospacing="0" w:after="0" w:afterAutospacing="0"/>
              <w:ind w:left="0" w:right="0"/>
              <w:jc w:val="left"/>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锂离子电池状态采集评估软件开发平台</w:t>
            </w:r>
          </w:p>
        </w:tc>
        <w:tc>
          <w:tcPr>
            <w:tcW w:w="863" w:type="pct"/>
            <w:tcBorders>
              <w:top w:val="single" w:color="auto" w:sz="4" w:space="0"/>
              <w:left w:val="single" w:color="auto" w:sz="4" w:space="0"/>
              <w:bottom w:val="single" w:color="auto" w:sz="4" w:space="0"/>
              <w:right w:val="single" w:color="auto" w:sz="4" w:space="0"/>
            </w:tcBorders>
            <w:shd w:val="clear" w:color="auto" w:fill="auto"/>
            <w:vAlign w:val="center"/>
          </w:tcPr>
          <w:p w14:paraId="07EE95BC">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套</w:t>
            </w:r>
          </w:p>
        </w:tc>
        <w:tc>
          <w:tcPr>
            <w:tcW w:w="555" w:type="pct"/>
            <w:tcBorders>
              <w:top w:val="single" w:color="auto" w:sz="4" w:space="0"/>
              <w:left w:val="single" w:color="auto" w:sz="4" w:space="0"/>
              <w:bottom w:val="single" w:color="auto" w:sz="4" w:space="0"/>
              <w:right w:val="single" w:color="auto" w:sz="4" w:space="0"/>
            </w:tcBorders>
            <w:shd w:val="clear" w:color="auto" w:fill="auto"/>
            <w:vAlign w:val="center"/>
          </w:tcPr>
          <w:p w14:paraId="5345667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1</w:t>
            </w:r>
          </w:p>
        </w:tc>
      </w:tr>
    </w:tbl>
    <w:p w14:paraId="7D18894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服务界限</w:t>
      </w:r>
      <w:bookmarkEnd w:id="9"/>
    </w:p>
    <w:bookmarkEnd w:id="10"/>
    <w:p w14:paraId="5987EA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卖方应按本技术规范书的要求负责</w:t>
      </w:r>
      <w:r>
        <w:rPr>
          <w:rFonts w:hint="eastAsia" w:ascii="宋体" w:hAnsi="宋体" w:eastAsia="宋体" w:cs="宋体"/>
          <w:color w:val="auto"/>
          <w:sz w:val="24"/>
          <w:szCs w:val="24"/>
          <w:highlight w:val="none"/>
          <w:lang w:val="en-US" w:eastAsia="zh-CN"/>
        </w:rPr>
        <w:t>锂离子电池充放电及电化学特性测试设备</w:t>
      </w:r>
      <w:r>
        <w:rPr>
          <w:rFonts w:hint="default" w:ascii="Times New Roman" w:hAnsi="Times New Roman" w:eastAsia="宋体" w:cs="Times New Roman"/>
          <w:sz w:val="24"/>
          <w:szCs w:val="24"/>
          <w:highlight w:val="none"/>
          <w:lang w:eastAsia="zh-CN"/>
        </w:rPr>
        <w:t>的测试、包装、运输、现场安装调试、验收、质量保证和培训相关工作及费用。除本标书供货范围外，卖方还应承担以下工作：</w:t>
      </w:r>
    </w:p>
    <w:p w14:paraId="5AB026AC">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出厂试验由卖方在工厂完成，如买方需要，可派代表参加，参加出厂的人数及天数等由买方确定。卖方应向买方提供出厂测试记录结果。</w:t>
      </w:r>
    </w:p>
    <w:p w14:paraId="542231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eastAsia="zh-CN"/>
        </w:rPr>
        <w:t>卖方应对其采购的软件性能质量和出厂测试结果负责。在软件、硬件调试和运行期间，如发现由于卖方所提供负责的性能质量不合格，出厂测试结果与实际运行结果不符，由此造成的损失由卖方应完全负责。</w:t>
      </w:r>
    </w:p>
    <w:p w14:paraId="141035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eastAsia="zh-CN"/>
        </w:rPr>
        <w:t>卖方负责按买方要求进行软</w:t>
      </w:r>
      <w:r>
        <w:rPr>
          <w:rFonts w:hint="eastAsia" w:ascii="Times New Roman" w:hAnsi="Times New Roman" w:eastAsia="宋体" w:cs="Times New Roman"/>
          <w:sz w:val="24"/>
          <w:szCs w:val="24"/>
          <w:highlight w:val="none"/>
          <w:lang w:val="en-US" w:eastAsia="zh-CN"/>
        </w:rPr>
        <w:t>硬</w:t>
      </w:r>
      <w:r>
        <w:rPr>
          <w:rFonts w:hint="default" w:ascii="Times New Roman" w:hAnsi="Times New Roman" w:eastAsia="宋体" w:cs="Times New Roman"/>
          <w:sz w:val="24"/>
          <w:szCs w:val="24"/>
          <w:highlight w:val="none"/>
          <w:lang w:eastAsia="zh-CN"/>
        </w:rPr>
        <w:t>件包装、运送到买方指定的地点，由此产生的费用由卖方承担。</w:t>
      </w:r>
    </w:p>
    <w:p w14:paraId="297EA9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eastAsia="zh-CN"/>
        </w:rPr>
        <w:t>卖方</w:t>
      </w:r>
      <w:r>
        <w:rPr>
          <w:rFonts w:hint="default" w:ascii="Times New Roman" w:hAnsi="Times New Roman" w:eastAsia="宋体" w:cs="Times New Roman"/>
          <w:sz w:val="24"/>
          <w:szCs w:val="24"/>
          <w:highlight w:val="none"/>
        </w:rPr>
        <w:t>提供全新的、符合本合同文件规定运行功能和性能要求的设备，并保证设备质量；提交全套技术文件；培训买方技术人员；负责合同设备的现场安装督导、现场调试、交接验收等。</w:t>
      </w:r>
    </w:p>
    <w:p w14:paraId="426D08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eastAsia="zh-CN"/>
        </w:rPr>
        <w:t>卖方应协助买方解决软件运行中出现的问题。</w:t>
      </w:r>
    </w:p>
    <w:p w14:paraId="2BC9AB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6</w:t>
      </w:r>
      <w:r>
        <w:rPr>
          <w:rFonts w:hint="eastAsia"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eastAsia="zh-CN"/>
        </w:rPr>
        <w:t>卖方应承诺在质保期内根据最新国标、行标、企标的要求免费提供维修及更换服务。</w:t>
      </w:r>
    </w:p>
    <w:p w14:paraId="157DF1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rPr>
      </w:pP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7</w:t>
      </w:r>
      <w:r>
        <w:rPr>
          <w:rFonts w:hint="eastAsia"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本技术规范未明确说明的，但与设计、制造、安装、试验、运输、包装、保管和运行、维护有关的设备的要求，按国家相关法规和标准执行。</w:t>
      </w:r>
    </w:p>
    <w:p w14:paraId="62EFEBA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lang w:val="en-US" w:eastAsia="zh-CN"/>
        </w:rPr>
      </w:pPr>
      <w:bookmarkStart w:id="11" w:name="_Toc12728"/>
      <w:bookmarkStart w:id="12" w:name="_Toc22971"/>
      <w:bookmarkStart w:id="13" w:name="_Toc8213"/>
      <w:bookmarkStart w:id="14" w:name="_Toc16393"/>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对投标方的要求</w:t>
      </w:r>
      <w:bookmarkEnd w:id="11"/>
    </w:p>
    <w:p w14:paraId="64D2265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4.1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对应标书要求</w:t>
      </w:r>
    </w:p>
    <w:p w14:paraId="0BD594C7">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（1）投标方需根据本技术规范书的编排顺序，逐项给予响应并提出建议。</w:t>
      </w:r>
    </w:p>
    <w:p w14:paraId="78DE755C">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（2）投标方对本技术规范书的某些部分如不能满足要求，应在应标书中提出说明，否则，招标方即认为投标方提供的软/硬件可以满足本标书的要求。</w:t>
      </w:r>
    </w:p>
    <w:bookmarkEnd w:id="12"/>
    <w:bookmarkEnd w:id="13"/>
    <w:bookmarkEnd w:id="14"/>
    <w:p w14:paraId="75C017E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4.2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质量保证要求</w:t>
      </w:r>
    </w:p>
    <w:p w14:paraId="468C2A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投标方应保证所提供的所有软件的质量均能满足合同要求，并提供相应供货记录供招标方参考。</w:t>
      </w:r>
    </w:p>
    <w:p w14:paraId="42F0DE7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bookmarkStart w:id="15" w:name="_Toc440531591"/>
      <w:bookmarkStart w:id="16" w:name="_Toc224917847"/>
      <w:bookmarkStart w:id="17" w:name="_Toc533602797"/>
      <w:bookmarkStart w:id="18" w:name="_Toc3190"/>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4.3</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进度保证要求</w:t>
      </w:r>
    </w:p>
    <w:bookmarkEnd w:id="15"/>
    <w:bookmarkEnd w:id="16"/>
    <w:bookmarkEnd w:id="17"/>
    <w:bookmarkEnd w:id="18"/>
    <w:p w14:paraId="6AEBD9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投标方应标时，必须向招标方提供项目推进方案（方案清单见附表1），包括出厂验收时间、出厂时间、到货时间等，所有时间以</w:t>
      </w:r>
      <w:r>
        <w:rPr>
          <w:rFonts w:hint="eastAsia" w:ascii="Times New Roman" w:hAnsi="Times New Roman" w:eastAsia="宋体" w:cs="Times New Roman"/>
          <w:sz w:val="24"/>
          <w:highlight w:val="none"/>
          <w:lang w:val="en-US" w:eastAsia="zh-CN"/>
        </w:rPr>
        <w:t>合同签订之</w:t>
      </w:r>
      <w:r>
        <w:rPr>
          <w:rFonts w:hint="default" w:ascii="Times New Roman" w:hAnsi="Times New Roman" w:eastAsia="宋体" w:cs="Times New Roman"/>
          <w:sz w:val="24"/>
          <w:highlight w:val="none"/>
          <w:lang w:val="en-US" w:eastAsia="zh-CN"/>
        </w:rPr>
        <w:t>日为起点</w:t>
      </w:r>
      <w:r>
        <w:rPr>
          <w:rFonts w:hint="eastAsia" w:ascii="Times New Roman" w:hAnsi="Times New Roman" w:eastAsia="宋体" w:cs="Times New Roman"/>
          <w:sz w:val="24"/>
          <w:highlight w:val="none"/>
          <w:lang w:val="en-US" w:eastAsia="zh-CN"/>
        </w:rPr>
        <w:t>，合同所有设备进度要求不得超过下表规定</w:t>
      </w:r>
      <w:r>
        <w:rPr>
          <w:rFonts w:hint="default" w:ascii="Times New Roman" w:hAnsi="Times New Roman" w:eastAsia="宋体" w:cs="Times New Roman"/>
          <w:sz w:val="24"/>
          <w:highlight w:val="none"/>
          <w:lang w:val="en-US" w:eastAsia="zh-CN"/>
        </w:rPr>
        <w:t>。</w:t>
      </w:r>
    </w:p>
    <w:tbl>
      <w:tblPr>
        <w:tblStyle w:val="17"/>
        <w:tblW w:w="7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6"/>
        <w:gridCol w:w="4534"/>
      </w:tblGrid>
      <w:tr w14:paraId="47FD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blHeader/>
          <w:jc w:val="center"/>
        </w:trPr>
        <w:tc>
          <w:tcPr>
            <w:tcW w:w="2696" w:type="dxa"/>
            <w:noWrap w:val="0"/>
            <w:vAlign w:val="center"/>
          </w:tcPr>
          <w:p w14:paraId="7C3824EF">
            <w:pPr>
              <w:pStyle w:val="2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kern w:val="2"/>
                <w:sz w:val="24"/>
                <w:szCs w:val="22"/>
                <w:highlight w:val="none"/>
                <w:lang w:val="en-US" w:eastAsia="zh-CN" w:bidi="ar-SA"/>
              </w:rPr>
            </w:pPr>
            <w:r>
              <w:rPr>
                <w:rFonts w:hint="eastAsia" w:ascii="Times New Roman" w:hAnsi="Times New Roman" w:eastAsia="宋体" w:cs="Times New Roman"/>
                <w:kern w:val="2"/>
                <w:sz w:val="24"/>
                <w:szCs w:val="22"/>
                <w:highlight w:val="none"/>
                <w:lang w:val="en-US" w:eastAsia="zh-CN" w:bidi="ar-SA"/>
              </w:rPr>
              <w:t>时间节点</w:t>
            </w:r>
          </w:p>
        </w:tc>
        <w:tc>
          <w:tcPr>
            <w:tcW w:w="4534" w:type="dxa"/>
            <w:noWrap w:val="0"/>
            <w:vAlign w:val="center"/>
          </w:tcPr>
          <w:p w14:paraId="67278C5B">
            <w:pPr>
              <w:pStyle w:val="2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kern w:val="2"/>
                <w:sz w:val="24"/>
                <w:szCs w:val="22"/>
                <w:highlight w:val="none"/>
                <w:lang w:val="en-US" w:eastAsia="zh-CN" w:bidi="ar-SA"/>
              </w:rPr>
            </w:pPr>
            <w:r>
              <w:rPr>
                <w:rFonts w:hint="eastAsia" w:cs="Times New Roman"/>
                <w:kern w:val="2"/>
                <w:sz w:val="24"/>
                <w:szCs w:val="22"/>
                <w:highlight w:val="none"/>
                <w:lang w:val="en-US" w:eastAsia="zh-CN" w:bidi="ar-SA"/>
              </w:rPr>
              <w:t>进度要求</w:t>
            </w:r>
          </w:p>
        </w:tc>
      </w:tr>
      <w:tr w14:paraId="42D9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696" w:type="dxa"/>
            <w:noWrap w:val="0"/>
            <w:vAlign w:val="center"/>
          </w:tcPr>
          <w:p w14:paraId="182EF8F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合同签订后6个月内</w:t>
            </w:r>
          </w:p>
        </w:tc>
        <w:tc>
          <w:tcPr>
            <w:tcW w:w="4534" w:type="dxa"/>
            <w:noWrap w:val="0"/>
            <w:vAlign w:val="center"/>
          </w:tcPr>
          <w:p w14:paraId="6E5B229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完成设备出厂验收及出厂</w:t>
            </w:r>
          </w:p>
        </w:tc>
      </w:tr>
      <w:tr w14:paraId="72F73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696" w:type="dxa"/>
            <w:noWrap w:val="0"/>
            <w:vAlign w:val="center"/>
          </w:tcPr>
          <w:p w14:paraId="4E20746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合同签订后10个月内</w:t>
            </w:r>
          </w:p>
        </w:tc>
        <w:tc>
          <w:tcPr>
            <w:tcW w:w="4534" w:type="dxa"/>
            <w:noWrap w:val="0"/>
            <w:vAlign w:val="center"/>
          </w:tcPr>
          <w:p w14:paraId="7BBA706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完成设备到货、安装和调试</w:t>
            </w:r>
          </w:p>
        </w:tc>
      </w:tr>
    </w:tbl>
    <w:p w14:paraId="2F735E8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4.3</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其他要求</w:t>
      </w:r>
    </w:p>
    <w:p w14:paraId="26B545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投标方提供的设备性能，满足系统可靠性、可维护性、安全性等方面的要求：</w:t>
      </w:r>
    </w:p>
    <w:p w14:paraId="6CEE49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（1）设备从设计、制造和装配等方面保证其产品完全满足技术条款的可靠性要求。</w:t>
      </w:r>
    </w:p>
    <w:p w14:paraId="166430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（2）使用模块化结构，使</w:t>
      </w:r>
      <w:r>
        <w:rPr>
          <w:rFonts w:hint="eastAsia" w:ascii="Times New Roman" w:hAnsi="Times New Roman" w:eastAsia="宋体" w:cs="Times New Roman"/>
          <w:sz w:val="24"/>
          <w:highlight w:val="none"/>
          <w:lang w:val="en-US" w:eastAsia="zh-CN"/>
        </w:rPr>
        <w:t>设备具备</w:t>
      </w:r>
      <w:r>
        <w:rPr>
          <w:rFonts w:hint="default" w:ascii="Times New Roman" w:hAnsi="Times New Roman" w:eastAsia="宋体" w:cs="Times New Roman"/>
          <w:sz w:val="24"/>
          <w:highlight w:val="none"/>
          <w:lang w:val="en-US" w:eastAsia="zh-CN"/>
        </w:rPr>
        <w:t>较高的扩展能力。</w:t>
      </w:r>
    </w:p>
    <w:p w14:paraId="036E71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（3）硬件和软件的故障不危及电力系统的安全和人身的安全。</w:t>
      </w:r>
      <w:bookmarkStart w:id="19" w:name="_Toc227276533"/>
    </w:p>
    <w:p w14:paraId="778CEB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br w:type="page"/>
      </w:r>
    </w:p>
    <w:p w14:paraId="77BB6361">
      <w:pPr>
        <w:pStyle w:val="4"/>
        <w:pageBreakBefore w:val="0"/>
        <w:widowControl w:val="0"/>
        <w:kinsoku/>
        <w:wordWrap/>
        <w:overflowPunct/>
        <w:topLinePunct w:val="0"/>
        <w:autoSpaceDE/>
        <w:autoSpaceDN/>
        <w:bidi w:val="0"/>
        <w:spacing w:line="360" w:lineRule="auto"/>
        <w:rPr>
          <w:rFonts w:hint="default" w:ascii="宋体" w:hAnsi="宋体" w:eastAsia="宋体" w:cs="宋体"/>
          <w:color w:val="auto"/>
          <w:highlight w:val="none"/>
          <w:lang w:val="en-US" w:eastAsia="zh-CN"/>
        </w:rPr>
      </w:pPr>
      <w:bookmarkStart w:id="20" w:name="_Toc218"/>
      <w:r>
        <w:rPr>
          <w:rFonts w:hint="eastAsia" w:ascii="宋体" w:hAnsi="宋体" w:eastAsia="宋体" w:cs="宋体"/>
          <w:color w:val="auto"/>
          <w:highlight w:val="none"/>
        </w:rPr>
        <w:t>三、</w:t>
      </w:r>
      <w:r>
        <w:rPr>
          <w:rFonts w:hint="eastAsia" w:ascii="宋体" w:hAnsi="宋体" w:eastAsia="宋体" w:cs="宋体"/>
          <w:color w:val="auto"/>
          <w:highlight w:val="none"/>
          <w:lang w:val="en-US" w:eastAsia="zh-CN"/>
        </w:rPr>
        <w:t>配置及技术要求</w:t>
      </w:r>
      <w:bookmarkEnd w:id="20"/>
    </w:p>
    <w:p w14:paraId="1335DFE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lang w:eastAsia="zh-CN"/>
        </w:rPr>
      </w:pPr>
      <w:bookmarkStart w:id="21" w:name="_Toc1699"/>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.1 锂离子电池动态工况模拟测试仪</w:t>
      </w:r>
      <w:bookmarkEnd w:id="21"/>
    </w:p>
    <w:p w14:paraId="78B8134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总体要求</w:t>
      </w:r>
    </w:p>
    <w:p w14:paraId="66E8CCDD">
      <w:pPr>
        <w:numPr>
          <w:ilvl w:val="0"/>
          <w:numId w:val="0"/>
        </w:numPr>
        <w:spacing w:line="360" w:lineRule="auto"/>
        <w:ind w:leftChars="0"/>
        <w:rPr>
          <w:rFonts w:hint="default" w:ascii="Times New Roman" w:hAnsi="Times New Roman" w:eastAsia="宋体" w:cs="Times New Roman"/>
          <w:sz w:val="24"/>
          <w:lang w:val="en-US" w:eastAsia="zh-CN"/>
        </w:rPr>
      </w:pPr>
      <w:r>
        <w:rPr>
          <w:rFonts w:hint="eastAsia"/>
          <w:lang w:val="en-US" w:eastAsia="zh-CN"/>
        </w:rPr>
        <w:tab/>
      </w:r>
      <w:r>
        <w:rPr>
          <w:rFonts w:hint="eastAsia" w:ascii="Times New Roman" w:hAnsi="Times New Roman" w:eastAsia="宋体" w:cs="Times New Roman"/>
          <w:sz w:val="24"/>
          <w:lang w:val="en-US" w:eastAsia="zh-CN"/>
        </w:rPr>
        <w:t>锂离子电池动态工况模拟测试仪通过计算机控制实现对锂离子电池充放电测试及数据监控，主要用于按要求模拟储能电站复杂工况，并开展储能电池电性能测试。测试项目包括但不限于电池循环寿命试验，容量测试，直流内阻测试，充放电特性测试，深度放电试验，电池一致性测试，倍率充放电测试。设备整体布局紧凑美观，同时便于移动。</w:t>
      </w:r>
    </w:p>
    <w:p w14:paraId="211AE09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技术要求</w:t>
      </w:r>
    </w:p>
    <w:p w14:paraId="137D7C7F">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default" w:ascii="宋体" w:hAnsi="宋体" w:eastAsia="宋体" w:cs="宋体"/>
          <w:lang w:val="en-US" w:eastAsia="zh-CN"/>
        </w:rPr>
      </w:pPr>
      <w:r>
        <w:rPr>
          <w:rFonts w:hint="eastAsia" w:ascii="宋体" w:hAnsi="宋体" w:eastAsia="宋体" w:cs="宋体"/>
          <w:lang w:val="en-US" w:eastAsia="zh-CN"/>
        </w:rPr>
        <w:t>（1）功能指标要求</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2568"/>
        <w:gridCol w:w="5065"/>
      </w:tblGrid>
      <w:tr w14:paraId="4E3C7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451BAEE2">
            <w:pPr>
              <w:keepNext w:val="0"/>
              <w:keepLines w:val="0"/>
              <w:suppressLineNumbers w:val="0"/>
              <w:spacing w:before="0" w:beforeAutospacing="0" w:after="0" w:afterAutospacing="0"/>
              <w:ind w:left="0" w:right="0"/>
              <w:jc w:val="center"/>
              <w:rPr>
                <w:rFonts w:hint="eastAsia" w:ascii="Times New Roman" w:hAnsi="Times New Roman" w:eastAsia="宋体" w:cs="Times New Roman"/>
                <w:b/>
                <w:bCs/>
                <w:color w:val="000000"/>
                <w:kern w:val="2"/>
                <w:sz w:val="21"/>
                <w:szCs w:val="21"/>
                <w:lang w:val="en-US" w:eastAsia="zh-CN" w:bidi="ar-SA"/>
              </w:rPr>
            </w:pPr>
            <w:r>
              <w:rPr>
                <w:rFonts w:hint="eastAsia" w:ascii="Times New Roman" w:hAnsi="Times New Roman" w:eastAsia="宋体" w:cs="Times New Roman"/>
                <w:b/>
                <w:bCs/>
                <w:color w:val="000000"/>
                <w:szCs w:val="21"/>
                <w:lang w:val="en-US" w:eastAsia="zh-CN"/>
              </w:rPr>
              <w:t>序号</w:t>
            </w:r>
          </w:p>
        </w:tc>
        <w:tc>
          <w:tcPr>
            <w:tcW w:w="1507" w:type="pct"/>
            <w:vAlign w:val="center"/>
          </w:tcPr>
          <w:p w14:paraId="035E2499">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000000"/>
                <w:szCs w:val="21"/>
                <w:lang w:val="en-US" w:eastAsia="zh-CN"/>
              </w:rPr>
            </w:pPr>
            <w:r>
              <w:rPr>
                <w:rFonts w:hint="eastAsia" w:ascii="Times New Roman" w:hAnsi="Times New Roman" w:eastAsia="宋体" w:cs="Times New Roman"/>
                <w:b/>
                <w:bCs/>
                <w:color w:val="000000"/>
                <w:szCs w:val="21"/>
                <w:lang w:val="en-US" w:eastAsia="zh-CN"/>
              </w:rPr>
              <w:t>功能指标要求</w:t>
            </w:r>
          </w:p>
        </w:tc>
        <w:tc>
          <w:tcPr>
            <w:tcW w:w="2972" w:type="pct"/>
            <w:vAlign w:val="center"/>
          </w:tcPr>
          <w:p w14:paraId="560F857E">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000000"/>
                <w:szCs w:val="21"/>
                <w:lang w:val="en-US" w:eastAsia="zh-CN"/>
              </w:rPr>
            </w:pPr>
            <w:r>
              <w:rPr>
                <w:rFonts w:hint="eastAsia" w:ascii="Times New Roman" w:hAnsi="Times New Roman" w:eastAsia="宋体" w:cs="Times New Roman"/>
                <w:b/>
                <w:bCs/>
                <w:color w:val="000000"/>
                <w:szCs w:val="21"/>
                <w:lang w:val="en-US" w:eastAsia="zh-CN"/>
              </w:rPr>
              <w:t>备注</w:t>
            </w:r>
          </w:p>
        </w:tc>
      </w:tr>
      <w:tr w14:paraId="1987D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1D8A662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1</w:t>
            </w:r>
          </w:p>
        </w:tc>
        <w:tc>
          <w:tcPr>
            <w:tcW w:w="4479" w:type="pct"/>
            <w:gridSpan w:val="2"/>
            <w:vAlign w:val="center"/>
          </w:tcPr>
          <w:p w14:paraId="2633D6D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测试功能要求</w:t>
            </w:r>
          </w:p>
        </w:tc>
      </w:tr>
      <w:tr w14:paraId="5047E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2C339B2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1.1</w:t>
            </w:r>
          </w:p>
        </w:tc>
        <w:tc>
          <w:tcPr>
            <w:tcW w:w="1507" w:type="pct"/>
            <w:vAlign w:val="center"/>
          </w:tcPr>
          <w:p w14:paraId="32EC73E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多类型输出功能</w:t>
            </w:r>
          </w:p>
        </w:tc>
        <w:tc>
          <w:tcPr>
            <w:tcW w:w="2972" w:type="pct"/>
            <w:vAlign w:val="center"/>
          </w:tcPr>
          <w:p w14:paraId="14360BD8">
            <w:pPr>
              <w:keepNext w:val="0"/>
              <w:keepLines w:val="0"/>
              <w:suppressLineNumbers w:val="0"/>
              <w:spacing w:before="0" w:beforeAutospacing="0" w:after="0" w:afterAutospacing="0"/>
              <w:ind w:left="0" w:right="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包括但不限于恒电压、恒电流、恒功率、恒流转恒压、恒复杂、电流阶跃、电流斜坡、脉冲电流、电流曲线输出等功能，并支持上述输出的任意组合</w:t>
            </w:r>
          </w:p>
        </w:tc>
      </w:tr>
      <w:tr w14:paraId="2F51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091E36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1.2</w:t>
            </w:r>
          </w:p>
        </w:tc>
        <w:tc>
          <w:tcPr>
            <w:tcW w:w="1507" w:type="pct"/>
            <w:vAlign w:val="center"/>
          </w:tcPr>
          <w:p w14:paraId="635F322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脱机运行功能</w:t>
            </w:r>
          </w:p>
        </w:tc>
        <w:tc>
          <w:tcPr>
            <w:tcW w:w="2972" w:type="pct"/>
            <w:vAlign w:val="center"/>
          </w:tcPr>
          <w:p w14:paraId="2896F4B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default" w:ascii="Consolas" w:hAnsi="Consolas" w:eastAsia="Consolas" w:cs="Consolas"/>
                <w:color w:val="222222"/>
                <w:kern w:val="2"/>
                <w:sz w:val="18"/>
                <w:szCs w:val="18"/>
                <w:shd w:val="clear" w:fill="FFFFFF"/>
                <w:lang w:val="en-US" w:eastAsia="zh-CN" w:bidi="ar"/>
              </w:rPr>
              <w:t>☆</w:t>
            </w:r>
            <w:r>
              <w:rPr>
                <w:rFonts w:hint="eastAsia" w:ascii="Times New Roman" w:hAnsi="Times New Roman" w:eastAsia="宋体" w:cs="Times New Roman"/>
                <w:color w:val="000000"/>
                <w:szCs w:val="21"/>
                <w:lang w:val="en-US" w:eastAsia="zh-CN"/>
              </w:rPr>
              <w:t>支持脱机24小时运行</w:t>
            </w:r>
          </w:p>
        </w:tc>
      </w:tr>
      <w:tr w14:paraId="7339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vAlign w:val="center"/>
          </w:tcPr>
          <w:p w14:paraId="6BF2116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w:t>
            </w:r>
          </w:p>
        </w:tc>
        <w:tc>
          <w:tcPr>
            <w:tcW w:w="4479" w:type="pct"/>
            <w:gridSpan w:val="2"/>
            <w:shd w:val="clear" w:color="auto" w:fill="auto"/>
            <w:vAlign w:val="center"/>
          </w:tcPr>
          <w:p w14:paraId="47CA494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保护功能要求</w:t>
            </w:r>
          </w:p>
        </w:tc>
      </w:tr>
      <w:tr w14:paraId="436FF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7D83EC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w:t>
            </w:r>
          </w:p>
        </w:tc>
        <w:tc>
          <w:tcPr>
            <w:tcW w:w="1507" w:type="pct"/>
            <w:shd w:val="clear" w:color="auto" w:fill="auto"/>
            <w:vAlign w:val="center"/>
          </w:tcPr>
          <w:p w14:paraId="5179037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交流侧硬件保护</w:t>
            </w:r>
          </w:p>
        </w:tc>
        <w:tc>
          <w:tcPr>
            <w:tcW w:w="2972" w:type="pct"/>
            <w:shd w:val="clear" w:color="auto" w:fill="auto"/>
            <w:vAlign w:val="center"/>
          </w:tcPr>
          <w:p w14:paraId="02B7B583">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包括但不限于ACDC输入欠压保护、ACDC输入过压保护、ACDC缺相保护、ACDC孤岛保护、ACDC过频保护、ACDC欠频保护</w:t>
            </w:r>
          </w:p>
        </w:tc>
      </w:tr>
      <w:tr w14:paraId="5C32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F21892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2.2</w:t>
            </w:r>
          </w:p>
        </w:tc>
        <w:tc>
          <w:tcPr>
            <w:tcW w:w="1507" w:type="pct"/>
            <w:shd w:val="clear" w:color="auto" w:fill="auto"/>
            <w:vAlign w:val="center"/>
          </w:tcPr>
          <w:p w14:paraId="76F84EE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直流侧硬件保护</w:t>
            </w:r>
          </w:p>
        </w:tc>
        <w:tc>
          <w:tcPr>
            <w:tcW w:w="2972" w:type="pct"/>
            <w:shd w:val="clear" w:color="auto" w:fill="auto"/>
            <w:vAlign w:val="center"/>
          </w:tcPr>
          <w:p w14:paraId="71E20E4E">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包括但不限于DCDC输出反接保护、DCDC输入过压保护、内部温度上限告警保护、电池通道电压线反接保护、电池通道功率线反接保护、通道间电压线接错保护、通道间功率线接错保护、输出电压上限保护、输出电压下限保护、输出电流上限保护</w:t>
            </w:r>
          </w:p>
        </w:tc>
      </w:tr>
      <w:tr w14:paraId="6C3A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47F287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2.3</w:t>
            </w:r>
          </w:p>
        </w:tc>
        <w:tc>
          <w:tcPr>
            <w:tcW w:w="1507" w:type="pct"/>
            <w:shd w:val="clear" w:color="auto" w:fill="auto"/>
            <w:vAlign w:val="center"/>
          </w:tcPr>
          <w:p w14:paraId="6A95764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电池测保护</w:t>
            </w:r>
          </w:p>
        </w:tc>
        <w:tc>
          <w:tcPr>
            <w:tcW w:w="2972" w:type="pct"/>
            <w:shd w:val="clear" w:color="auto" w:fill="auto"/>
            <w:vAlign w:val="center"/>
          </w:tcPr>
          <w:p w14:paraId="38188DB3">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包括但不限于容量上/下限保护、温度上限保护、电池电压上/下限保护、电池电流上限保护、电流异常波动保护、温度异常波动保护</w:t>
            </w:r>
          </w:p>
        </w:tc>
      </w:tr>
    </w:tbl>
    <w:p w14:paraId="1E3AB8DB">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default" w:ascii="宋体" w:hAnsi="宋体" w:eastAsia="宋体" w:cs="宋体"/>
          <w:lang w:val="en-US" w:eastAsia="zh-CN"/>
        </w:rPr>
      </w:pPr>
      <w:r>
        <w:rPr>
          <w:rFonts w:hint="eastAsia" w:ascii="宋体" w:hAnsi="宋体" w:eastAsia="宋体" w:cs="宋体"/>
          <w:lang w:val="en-US" w:eastAsia="zh-CN"/>
        </w:rPr>
        <w:t>（2）性能指标要求</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2585"/>
        <w:gridCol w:w="5048"/>
      </w:tblGrid>
      <w:tr w14:paraId="0DAA4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0" w:type="pct"/>
            <w:vAlign w:val="center"/>
          </w:tcPr>
          <w:p w14:paraId="083305DD">
            <w:pPr>
              <w:keepNext w:val="0"/>
              <w:keepLines w:val="0"/>
              <w:suppressLineNumbers w:val="0"/>
              <w:spacing w:before="0" w:beforeAutospacing="0" w:after="0" w:afterAutospacing="0"/>
              <w:ind w:left="0" w:right="0"/>
              <w:jc w:val="center"/>
              <w:rPr>
                <w:rFonts w:hint="eastAsia" w:ascii="Times New Roman" w:hAnsi="Times New Roman" w:eastAsia="宋体" w:cs="Times New Roman"/>
                <w:b/>
                <w:color w:val="000000"/>
                <w:szCs w:val="21"/>
                <w:lang w:val="en-US" w:eastAsia="zh-CN"/>
              </w:rPr>
            </w:pPr>
            <w:bookmarkStart w:id="22" w:name="OLE_LINK41"/>
            <w:r>
              <w:rPr>
                <w:rFonts w:hint="eastAsia" w:ascii="Times New Roman" w:hAnsi="Times New Roman" w:eastAsia="宋体" w:cs="Times New Roman"/>
                <w:b/>
                <w:color w:val="000000"/>
                <w:szCs w:val="21"/>
                <w:lang w:val="en-US" w:eastAsia="zh-CN"/>
              </w:rPr>
              <w:t>序号</w:t>
            </w:r>
          </w:p>
        </w:tc>
        <w:tc>
          <w:tcPr>
            <w:tcW w:w="1517" w:type="pct"/>
            <w:vAlign w:val="center"/>
          </w:tcPr>
          <w:p w14:paraId="08CB24BA">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lang w:val="en-US" w:eastAsia="zh-CN"/>
              </w:rPr>
              <w:t>性能</w:t>
            </w:r>
            <w:r>
              <w:rPr>
                <w:rFonts w:hint="default" w:ascii="Times New Roman" w:hAnsi="Times New Roman" w:eastAsia="宋体" w:cs="Times New Roman"/>
                <w:b/>
                <w:color w:val="000000"/>
                <w:szCs w:val="21"/>
              </w:rPr>
              <w:t>指标项</w:t>
            </w:r>
          </w:p>
        </w:tc>
        <w:tc>
          <w:tcPr>
            <w:tcW w:w="2962" w:type="pct"/>
            <w:vAlign w:val="center"/>
          </w:tcPr>
          <w:p w14:paraId="78B62DA8">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lang w:val="en-US" w:eastAsia="zh-CN"/>
              </w:rPr>
              <w:t>性能</w:t>
            </w:r>
            <w:r>
              <w:rPr>
                <w:rFonts w:hint="default" w:ascii="Times New Roman" w:hAnsi="Times New Roman" w:eastAsia="宋体" w:cs="Times New Roman"/>
                <w:b/>
                <w:color w:val="000000"/>
                <w:szCs w:val="21"/>
              </w:rPr>
              <w:t>指标要求</w:t>
            </w:r>
          </w:p>
        </w:tc>
      </w:tr>
      <w:tr w14:paraId="4FB82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1FF0E9C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w:t>
            </w:r>
          </w:p>
        </w:tc>
        <w:tc>
          <w:tcPr>
            <w:tcW w:w="4479" w:type="pct"/>
            <w:gridSpan w:val="2"/>
            <w:vAlign w:val="center"/>
          </w:tcPr>
          <w:p w14:paraId="6BEA542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供电要求</w:t>
            </w:r>
          </w:p>
        </w:tc>
      </w:tr>
      <w:tr w14:paraId="6D27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4BB708B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1.1</w:t>
            </w:r>
          </w:p>
        </w:tc>
        <w:tc>
          <w:tcPr>
            <w:tcW w:w="1517" w:type="pct"/>
            <w:vAlign w:val="center"/>
          </w:tcPr>
          <w:p w14:paraId="36F510F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供电电压</w:t>
            </w:r>
          </w:p>
        </w:tc>
        <w:tc>
          <w:tcPr>
            <w:tcW w:w="2962" w:type="pct"/>
            <w:vAlign w:val="center"/>
          </w:tcPr>
          <w:p w14:paraId="54B6BD9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AC380V±10%</w:t>
            </w:r>
          </w:p>
        </w:tc>
      </w:tr>
      <w:tr w14:paraId="42568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shd w:val="clear" w:color="auto" w:fill="auto"/>
            <w:vAlign w:val="center"/>
          </w:tcPr>
          <w:p w14:paraId="7F46258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1.2</w:t>
            </w:r>
          </w:p>
        </w:tc>
        <w:tc>
          <w:tcPr>
            <w:tcW w:w="1517" w:type="pct"/>
            <w:shd w:val="clear" w:color="auto" w:fill="auto"/>
            <w:vAlign w:val="center"/>
          </w:tcPr>
          <w:p w14:paraId="187B99B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供电频率</w:t>
            </w:r>
          </w:p>
        </w:tc>
        <w:tc>
          <w:tcPr>
            <w:tcW w:w="2962" w:type="pct"/>
            <w:shd w:val="clear" w:color="auto" w:fill="auto"/>
            <w:vAlign w:val="center"/>
          </w:tcPr>
          <w:p w14:paraId="027BDA2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50/60Hz±5Hz</w:t>
            </w:r>
          </w:p>
        </w:tc>
      </w:tr>
      <w:tr w14:paraId="3329D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660D283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1.3</w:t>
            </w:r>
          </w:p>
        </w:tc>
        <w:tc>
          <w:tcPr>
            <w:tcW w:w="1517" w:type="pct"/>
            <w:vAlign w:val="center"/>
          </w:tcPr>
          <w:p w14:paraId="321E99B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整机效率</w:t>
            </w:r>
          </w:p>
        </w:tc>
        <w:tc>
          <w:tcPr>
            <w:tcW w:w="2962" w:type="pct"/>
            <w:vAlign w:val="center"/>
          </w:tcPr>
          <w:p w14:paraId="55E2112E">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≥75%（充电过程）</w:t>
            </w:r>
          </w:p>
          <w:p w14:paraId="1177EA2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≥70%（放电过程）</w:t>
            </w:r>
          </w:p>
        </w:tc>
      </w:tr>
      <w:tr w14:paraId="4BF9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4086171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w:t>
            </w:r>
          </w:p>
        </w:tc>
        <w:tc>
          <w:tcPr>
            <w:tcW w:w="4479" w:type="pct"/>
            <w:gridSpan w:val="2"/>
            <w:vAlign w:val="center"/>
          </w:tcPr>
          <w:p w14:paraId="14D36D8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充放电要求</w:t>
            </w:r>
          </w:p>
        </w:tc>
      </w:tr>
      <w:tr w14:paraId="09D25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62E2D13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2.1</w:t>
            </w:r>
          </w:p>
        </w:tc>
        <w:tc>
          <w:tcPr>
            <w:tcW w:w="1517" w:type="pct"/>
            <w:vAlign w:val="center"/>
          </w:tcPr>
          <w:p w14:paraId="010B75C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充放电通道数</w:t>
            </w:r>
          </w:p>
        </w:tc>
        <w:tc>
          <w:tcPr>
            <w:tcW w:w="2962" w:type="pct"/>
            <w:vAlign w:val="center"/>
          </w:tcPr>
          <w:p w14:paraId="0BAD7D8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≥4</w:t>
            </w:r>
          </w:p>
        </w:tc>
      </w:tr>
      <w:tr w14:paraId="708E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vAlign w:val="center"/>
          </w:tcPr>
          <w:p w14:paraId="2351262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2.2</w:t>
            </w:r>
          </w:p>
        </w:tc>
        <w:tc>
          <w:tcPr>
            <w:tcW w:w="1517" w:type="pct"/>
            <w:vAlign w:val="center"/>
          </w:tcPr>
          <w:p w14:paraId="667EA65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单通道电压范围</w:t>
            </w:r>
          </w:p>
        </w:tc>
        <w:tc>
          <w:tcPr>
            <w:tcW w:w="2962" w:type="pct"/>
            <w:vAlign w:val="center"/>
          </w:tcPr>
          <w:p w14:paraId="3D8808F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充电</w:t>
            </w:r>
            <w:r>
              <w:rPr>
                <w:rFonts w:hint="eastAsia" w:ascii="Times New Roman" w:hAnsi="Times New Roman" w:eastAsia="宋体" w:cs="Times New Roman"/>
                <w:color w:val="auto"/>
                <w:szCs w:val="21"/>
                <w:lang w:val="en-US" w:eastAsia="zh-CN"/>
              </w:rPr>
              <w:t>0~10V，放电-10~10V，5米线长</w:t>
            </w:r>
          </w:p>
        </w:tc>
      </w:tr>
      <w:tr w14:paraId="3829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30E4AF94">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2.3</w:t>
            </w:r>
          </w:p>
        </w:tc>
        <w:tc>
          <w:tcPr>
            <w:tcW w:w="1517" w:type="pct"/>
            <w:vAlign w:val="center"/>
          </w:tcPr>
          <w:p w14:paraId="1432577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单通道电压采集精度</w:t>
            </w:r>
          </w:p>
        </w:tc>
        <w:tc>
          <w:tcPr>
            <w:tcW w:w="2962" w:type="pct"/>
            <w:vAlign w:val="center"/>
          </w:tcPr>
          <w:p w14:paraId="2B41A96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≤±0.02% F.S.</w:t>
            </w:r>
          </w:p>
        </w:tc>
      </w:tr>
      <w:tr w14:paraId="6CF95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44C7D8B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2.4</w:t>
            </w:r>
          </w:p>
        </w:tc>
        <w:tc>
          <w:tcPr>
            <w:tcW w:w="1517" w:type="pct"/>
            <w:vAlign w:val="center"/>
          </w:tcPr>
          <w:p w14:paraId="5DDFB080">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单通道电压采集分辨率</w:t>
            </w:r>
          </w:p>
        </w:tc>
        <w:tc>
          <w:tcPr>
            <w:tcW w:w="2962" w:type="pct"/>
            <w:vAlign w:val="center"/>
          </w:tcPr>
          <w:p w14:paraId="32D051C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≤0.1mV</w:t>
            </w:r>
          </w:p>
        </w:tc>
      </w:tr>
      <w:tr w14:paraId="78F9F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040AF9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2.5</w:t>
            </w:r>
          </w:p>
        </w:tc>
        <w:tc>
          <w:tcPr>
            <w:tcW w:w="1517" w:type="pct"/>
            <w:vAlign w:val="center"/>
          </w:tcPr>
          <w:p w14:paraId="3AFC755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单通道电流范围</w:t>
            </w:r>
          </w:p>
        </w:tc>
        <w:tc>
          <w:tcPr>
            <w:tcW w:w="2962" w:type="pct"/>
            <w:vAlign w:val="center"/>
          </w:tcPr>
          <w:p w14:paraId="1CB2CE9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-600~600A</w:t>
            </w:r>
          </w:p>
        </w:tc>
      </w:tr>
      <w:tr w14:paraId="5A0EE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3DD2C60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2.6</w:t>
            </w:r>
          </w:p>
        </w:tc>
        <w:tc>
          <w:tcPr>
            <w:tcW w:w="1517" w:type="pct"/>
            <w:vAlign w:val="center"/>
          </w:tcPr>
          <w:p w14:paraId="524EACB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单通道电流采集精度</w:t>
            </w:r>
          </w:p>
        </w:tc>
        <w:tc>
          <w:tcPr>
            <w:tcW w:w="2962" w:type="pct"/>
            <w:vAlign w:val="center"/>
          </w:tcPr>
          <w:p w14:paraId="1C3B60C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auto"/>
                <w:szCs w:val="21"/>
                <w:lang w:val="en-US" w:eastAsia="zh-CN"/>
              </w:rPr>
              <w:t>★≤±0.02% 档位，档位≥4档，最小档位≤100A</w:t>
            </w:r>
          </w:p>
        </w:tc>
      </w:tr>
      <w:tr w14:paraId="43E1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C73641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2.7</w:t>
            </w:r>
          </w:p>
        </w:tc>
        <w:tc>
          <w:tcPr>
            <w:tcW w:w="1517" w:type="pct"/>
            <w:vAlign w:val="center"/>
          </w:tcPr>
          <w:p w14:paraId="5A4A2A2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单通道电流采集分辨率</w:t>
            </w:r>
          </w:p>
        </w:tc>
        <w:tc>
          <w:tcPr>
            <w:tcW w:w="2962" w:type="pct"/>
            <w:vAlign w:val="center"/>
          </w:tcPr>
          <w:p w14:paraId="7D3119E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≤0.1mA</w:t>
            </w:r>
          </w:p>
        </w:tc>
      </w:tr>
      <w:tr w14:paraId="4AFA9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257E9EB5">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2.8</w:t>
            </w:r>
          </w:p>
        </w:tc>
        <w:tc>
          <w:tcPr>
            <w:tcW w:w="1517" w:type="pct"/>
            <w:vAlign w:val="center"/>
          </w:tcPr>
          <w:p w14:paraId="00FE292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最小截止电流</w:t>
            </w:r>
          </w:p>
        </w:tc>
        <w:tc>
          <w:tcPr>
            <w:tcW w:w="2962" w:type="pct"/>
            <w:vAlign w:val="center"/>
          </w:tcPr>
          <w:p w14:paraId="17A3F4D1">
            <w:pPr>
              <w:keepNext w:val="0"/>
              <w:keepLines w:val="0"/>
              <w:suppressLineNumbers w:val="0"/>
              <w:spacing w:before="0" w:beforeAutospacing="0" w:after="0" w:afterAutospacing="0"/>
              <w:ind w:left="0" w:right="0"/>
              <w:jc w:val="center"/>
              <w:rPr>
                <w:rFonts w:hint="eastAsia" w:ascii="宋体" w:hAnsi="宋体" w:eastAsia="宋体" w:cs="宋体"/>
                <w:szCs w:val="21"/>
              </w:rPr>
            </w:pPr>
            <w:r>
              <w:rPr>
                <w:rFonts w:hint="eastAsia" w:ascii="Times New Roman" w:hAnsi="Times New Roman" w:eastAsia="宋体" w:cs="Times New Roman"/>
                <w:color w:val="000000"/>
                <w:szCs w:val="21"/>
                <w:lang w:val="en-US" w:eastAsia="zh-CN"/>
              </w:rPr>
              <w:t>★10mA</w:t>
            </w:r>
          </w:p>
        </w:tc>
      </w:tr>
      <w:tr w14:paraId="617FE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EEF714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2.9</w:t>
            </w:r>
          </w:p>
        </w:tc>
        <w:tc>
          <w:tcPr>
            <w:tcW w:w="1517" w:type="pct"/>
            <w:shd w:val="clear" w:color="auto" w:fill="auto"/>
            <w:vAlign w:val="center"/>
          </w:tcPr>
          <w:p w14:paraId="40C52EB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功率测控精度</w:t>
            </w:r>
          </w:p>
        </w:tc>
        <w:tc>
          <w:tcPr>
            <w:tcW w:w="2962" w:type="pct"/>
            <w:shd w:val="clear" w:color="auto" w:fill="auto"/>
            <w:vAlign w:val="center"/>
          </w:tcPr>
          <w:p w14:paraId="0D31C6E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宋体" w:hAnsi="宋体" w:eastAsia="宋体" w:cs="宋体"/>
                <w:szCs w:val="21"/>
              </w:rPr>
              <w:t>★</w:t>
            </w:r>
            <w:r>
              <w:rPr>
                <w:rFonts w:hint="eastAsia" w:ascii="Times New Roman" w:hAnsi="Times New Roman" w:eastAsia="宋体" w:cs="Times New Roman"/>
                <w:color w:val="000000"/>
                <w:kern w:val="2"/>
                <w:sz w:val="21"/>
                <w:szCs w:val="21"/>
                <w:lang w:val="en-US" w:eastAsia="zh-CN" w:bidi="ar-SA"/>
              </w:rPr>
              <w:t>±0.04% F.S.</w:t>
            </w:r>
          </w:p>
        </w:tc>
      </w:tr>
      <w:tr w14:paraId="3A0B0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F22183D">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2.10</w:t>
            </w:r>
          </w:p>
        </w:tc>
        <w:tc>
          <w:tcPr>
            <w:tcW w:w="1517" w:type="pct"/>
            <w:shd w:val="clear" w:color="auto" w:fill="auto"/>
            <w:vAlign w:val="center"/>
          </w:tcPr>
          <w:p w14:paraId="2D44D16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数据采集时长</w:t>
            </w:r>
          </w:p>
        </w:tc>
        <w:tc>
          <w:tcPr>
            <w:tcW w:w="2962" w:type="pct"/>
            <w:shd w:val="clear" w:color="auto" w:fill="auto"/>
            <w:vAlign w:val="center"/>
          </w:tcPr>
          <w:p w14:paraId="7ECB139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不设上限</w:t>
            </w:r>
          </w:p>
        </w:tc>
      </w:tr>
      <w:tr w14:paraId="4296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EB22B9F">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2.11</w:t>
            </w:r>
          </w:p>
        </w:tc>
        <w:tc>
          <w:tcPr>
            <w:tcW w:w="1517" w:type="pct"/>
            <w:shd w:val="clear" w:color="auto" w:fill="auto"/>
            <w:vAlign w:val="center"/>
          </w:tcPr>
          <w:p w14:paraId="2FB796D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数据不间断采集时长</w:t>
            </w:r>
          </w:p>
        </w:tc>
        <w:tc>
          <w:tcPr>
            <w:tcW w:w="2962" w:type="pct"/>
            <w:shd w:val="clear" w:color="auto" w:fill="auto"/>
            <w:vAlign w:val="center"/>
          </w:tcPr>
          <w:p w14:paraId="41474DC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≥3600s</w:t>
            </w:r>
          </w:p>
        </w:tc>
      </w:tr>
      <w:tr w14:paraId="3AAFF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623884F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2.12</w:t>
            </w:r>
          </w:p>
        </w:tc>
        <w:tc>
          <w:tcPr>
            <w:tcW w:w="1517" w:type="pct"/>
            <w:shd w:val="clear" w:color="auto" w:fill="auto"/>
            <w:vAlign w:val="center"/>
          </w:tcPr>
          <w:p w14:paraId="7F4B4E15">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数据采集时间间隔</w:t>
            </w:r>
          </w:p>
        </w:tc>
        <w:tc>
          <w:tcPr>
            <w:tcW w:w="2962" w:type="pct"/>
            <w:shd w:val="clear" w:color="auto" w:fill="auto"/>
            <w:vAlign w:val="center"/>
          </w:tcPr>
          <w:p w14:paraId="330D882C">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1ms</w:t>
            </w:r>
          </w:p>
        </w:tc>
      </w:tr>
      <w:tr w14:paraId="0611B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4E750F5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2.13</w:t>
            </w:r>
          </w:p>
        </w:tc>
        <w:tc>
          <w:tcPr>
            <w:tcW w:w="1517" w:type="pct"/>
            <w:shd w:val="clear" w:color="auto" w:fill="auto"/>
            <w:vAlign w:val="center"/>
          </w:tcPr>
          <w:p w14:paraId="48792980">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电流响应时间</w:t>
            </w:r>
          </w:p>
        </w:tc>
        <w:tc>
          <w:tcPr>
            <w:tcW w:w="2962" w:type="pct"/>
            <w:shd w:val="clear" w:color="auto" w:fill="auto"/>
            <w:vAlign w:val="center"/>
          </w:tcPr>
          <w:p w14:paraId="52C72823">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≤2ms</w:t>
            </w:r>
          </w:p>
        </w:tc>
      </w:tr>
      <w:tr w14:paraId="77EBD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00239D4">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2.14</w:t>
            </w:r>
          </w:p>
        </w:tc>
        <w:tc>
          <w:tcPr>
            <w:tcW w:w="1517" w:type="pct"/>
            <w:shd w:val="clear" w:color="auto" w:fill="auto"/>
            <w:vAlign w:val="center"/>
          </w:tcPr>
          <w:p w14:paraId="4DE3F1B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充放电转换时间</w:t>
            </w:r>
          </w:p>
        </w:tc>
        <w:tc>
          <w:tcPr>
            <w:tcW w:w="2962" w:type="pct"/>
            <w:shd w:val="clear" w:color="auto" w:fill="auto"/>
            <w:vAlign w:val="center"/>
          </w:tcPr>
          <w:p w14:paraId="4C96BF3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宋体" w:hAnsi="宋体" w:eastAsia="宋体" w:cs="宋体"/>
                <w:szCs w:val="21"/>
              </w:rPr>
              <w:t>★</w:t>
            </w:r>
            <w:r>
              <w:rPr>
                <w:rFonts w:hint="eastAsia" w:ascii="Times New Roman" w:hAnsi="Times New Roman" w:eastAsia="宋体" w:cs="Times New Roman"/>
                <w:color w:val="000000"/>
                <w:kern w:val="2"/>
                <w:sz w:val="21"/>
                <w:szCs w:val="21"/>
                <w:lang w:val="en-US" w:eastAsia="zh-CN" w:bidi="ar-SA"/>
              </w:rPr>
              <w:t>≤5ms</w:t>
            </w:r>
          </w:p>
        </w:tc>
      </w:tr>
      <w:tr w14:paraId="5630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94C728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2.15</w:t>
            </w:r>
          </w:p>
        </w:tc>
        <w:tc>
          <w:tcPr>
            <w:tcW w:w="1517" w:type="pct"/>
            <w:shd w:val="clear" w:color="auto" w:fill="auto"/>
            <w:vAlign w:val="center"/>
          </w:tcPr>
          <w:p w14:paraId="5D144504">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工况间隔最小时间</w:t>
            </w:r>
          </w:p>
        </w:tc>
        <w:tc>
          <w:tcPr>
            <w:tcW w:w="2962" w:type="pct"/>
            <w:shd w:val="clear" w:color="auto" w:fill="auto"/>
            <w:vAlign w:val="center"/>
          </w:tcPr>
          <w:p w14:paraId="675A4AAD">
            <w:pPr>
              <w:keepNext w:val="0"/>
              <w:keepLines w:val="0"/>
              <w:suppressLineNumbers w:val="0"/>
              <w:spacing w:before="0" w:beforeAutospacing="0" w:after="0" w:afterAutospacing="0"/>
              <w:ind w:left="0" w:leftChars="0" w:right="0" w:rightChars="0"/>
              <w:jc w:val="center"/>
              <w:rPr>
                <w:rFonts w:hint="eastAsia" w:ascii="宋体" w:hAnsi="宋体" w:eastAsia="宋体" w:cs="宋体"/>
                <w:szCs w:val="21"/>
              </w:rPr>
            </w:pPr>
            <w:r>
              <w:rPr>
                <w:rFonts w:hint="eastAsia" w:ascii="Times New Roman" w:hAnsi="Times New Roman" w:eastAsia="宋体" w:cs="Times New Roman"/>
                <w:color w:val="000000"/>
                <w:szCs w:val="21"/>
                <w:lang w:val="en-US" w:eastAsia="zh-CN"/>
              </w:rPr>
              <w:t>★10ms</w:t>
            </w:r>
          </w:p>
        </w:tc>
      </w:tr>
      <w:tr w14:paraId="28318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8C8F50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3</w:t>
            </w:r>
          </w:p>
        </w:tc>
        <w:tc>
          <w:tcPr>
            <w:tcW w:w="4479" w:type="pct"/>
            <w:gridSpan w:val="2"/>
            <w:shd w:val="clear" w:color="auto" w:fill="auto"/>
            <w:vAlign w:val="center"/>
          </w:tcPr>
          <w:p w14:paraId="1CDE985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温度采集要求</w:t>
            </w:r>
          </w:p>
        </w:tc>
      </w:tr>
      <w:tr w14:paraId="6A852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1477BE3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3.1</w:t>
            </w:r>
          </w:p>
        </w:tc>
        <w:tc>
          <w:tcPr>
            <w:tcW w:w="1517" w:type="pct"/>
            <w:vAlign w:val="center"/>
          </w:tcPr>
          <w:p w14:paraId="65DCD22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单通道温度采集通道数</w:t>
            </w:r>
          </w:p>
        </w:tc>
        <w:tc>
          <w:tcPr>
            <w:tcW w:w="2962" w:type="pct"/>
            <w:vAlign w:val="center"/>
          </w:tcPr>
          <w:p w14:paraId="6DF903B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w:t>
            </w:r>
          </w:p>
        </w:tc>
      </w:tr>
      <w:tr w14:paraId="71ED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5D07BB3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3.2</w:t>
            </w:r>
          </w:p>
        </w:tc>
        <w:tc>
          <w:tcPr>
            <w:tcW w:w="1517" w:type="pct"/>
            <w:vAlign w:val="center"/>
          </w:tcPr>
          <w:p w14:paraId="1CACE03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单通道温度测量范围</w:t>
            </w:r>
          </w:p>
        </w:tc>
        <w:tc>
          <w:tcPr>
            <w:tcW w:w="2962" w:type="pct"/>
            <w:vAlign w:val="center"/>
          </w:tcPr>
          <w:p w14:paraId="55E3C27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不少于-20~120℃</w:t>
            </w:r>
          </w:p>
        </w:tc>
      </w:tr>
      <w:tr w14:paraId="3EC51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1DC5080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3.3</w:t>
            </w:r>
          </w:p>
        </w:tc>
        <w:tc>
          <w:tcPr>
            <w:tcW w:w="1517" w:type="pct"/>
            <w:shd w:val="clear" w:color="auto" w:fill="auto"/>
            <w:vAlign w:val="center"/>
          </w:tcPr>
          <w:p w14:paraId="0AF2AE3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单通道温度采集精度</w:t>
            </w:r>
          </w:p>
        </w:tc>
        <w:tc>
          <w:tcPr>
            <w:tcW w:w="2962" w:type="pct"/>
            <w:shd w:val="clear" w:color="auto" w:fill="auto"/>
            <w:vAlign w:val="center"/>
          </w:tcPr>
          <w:p w14:paraId="24830B7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≤±1℃</w:t>
            </w:r>
          </w:p>
        </w:tc>
      </w:tr>
      <w:tr w14:paraId="14322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4B2D3BF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3.4</w:t>
            </w:r>
          </w:p>
        </w:tc>
        <w:tc>
          <w:tcPr>
            <w:tcW w:w="1517" w:type="pct"/>
            <w:shd w:val="clear" w:color="auto" w:fill="auto"/>
            <w:vAlign w:val="center"/>
          </w:tcPr>
          <w:p w14:paraId="17A0B54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单通道温度采集分辨率</w:t>
            </w:r>
          </w:p>
        </w:tc>
        <w:tc>
          <w:tcPr>
            <w:tcW w:w="2962" w:type="pct"/>
            <w:shd w:val="clear" w:color="auto" w:fill="auto"/>
            <w:vAlign w:val="center"/>
          </w:tcPr>
          <w:p w14:paraId="3C678B0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≤0.1℃</w:t>
            </w:r>
          </w:p>
        </w:tc>
      </w:tr>
      <w:tr w14:paraId="15CA0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1CC9A8DC">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w:t>
            </w:r>
          </w:p>
        </w:tc>
        <w:tc>
          <w:tcPr>
            <w:tcW w:w="4479" w:type="pct"/>
            <w:gridSpan w:val="2"/>
            <w:shd w:val="clear" w:color="auto" w:fill="auto"/>
            <w:vAlign w:val="center"/>
          </w:tcPr>
          <w:p w14:paraId="2F0F1CA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可编程功能要求</w:t>
            </w:r>
          </w:p>
        </w:tc>
      </w:tr>
      <w:tr w14:paraId="26A4F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56C5E5D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4.1</w:t>
            </w:r>
          </w:p>
        </w:tc>
        <w:tc>
          <w:tcPr>
            <w:tcW w:w="1517" w:type="pct"/>
            <w:shd w:val="clear" w:color="auto" w:fill="auto"/>
            <w:vAlign w:val="center"/>
          </w:tcPr>
          <w:p w14:paraId="1EEF248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可编程工步</w:t>
            </w:r>
          </w:p>
        </w:tc>
        <w:tc>
          <w:tcPr>
            <w:tcW w:w="2962" w:type="pct"/>
            <w:shd w:val="clear" w:color="auto" w:fill="auto"/>
            <w:vAlign w:val="center"/>
          </w:tcPr>
          <w:p w14:paraId="769695C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≥99999</w:t>
            </w:r>
          </w:p>
        </w:tc>
      </w:tr>
      <w:tr w14:paraId="342BD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5D62370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4.2</w:t>
            </w:r>
          </w:p>
        </w:tc>
        <w:tc>
          <w:tcPr>
            <w:tcW w:w="1517" w:type="pct"/>
            <w:shd w:val="clear" w:color="auto" w:fill="auto"/>
            <w:vAlign w:val="center"/>
          </w:tcPr>
          <w:p w14:paraId="0061BF4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循环次数</w:t>
            </w:r>
          </w:p>
        </w:tc>
        <w:tc>
          <w:tcPr>
            <w:tcW w:w="2962" w:type="pct"/>
            <w:shd w:val="clear" w:color="auto" w:fill="auto"/>
            <w:vAlign w:val="center"/>
          </w:tcPr>
          <w:p w14:paraId="23E4BAA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≥99999</w:t>
            </w:r>
          </w:p>
        </w:tc>
      </w:tr>
      <w:tr w14:paraId="2FE87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20" w:type="pct"/>
            <w:shd w:val="clear" w:color="auto" w:fill="auto"/>
            <w:vAlign w:val="center"/>
          </w:tcPr>
          <w:p w14:paraId="478D886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4.3</w:t>
            </w:r>
          </w:p>
        </w:tc>
        <w:tc>
          <w:tcPr>
            <w:tcW w:w="1517" w:type="pct"/>
            <w:shd w:val="clear" w:color="auto" w:fill="auto"/>
            <w:vAlign w:val="center"/>
          </w:tcPr>
          <w:p w14:paraId="3D31DC1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最大循环嵌套层数</w:t>
            </w:r>
          </w:p>
        </w:tc>
        <w:tc>
          <w:tcPr>
            <w:tcW w:w="2962" w:type="pct"/>
            <w:shd w:val="clear" w:color="auto" w:fill="auto"/>
            <w:vAlign w:val="center"/>
          </w:tcPr>
          <w:p w14:paraId="16229C9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≥20</w:t>
            </w:r>
          </w:p>
        </w:tc>
      </w:tr>
      <w:bookmarkEnd w:id="22"/>
    </w:tbl>
    <w:p w14:paraId="0B6C619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rPr>
      </w:pPr>
      <w:bookmarkStart w:id="23" w:name="_Toc5419"/>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 xml:space="preserve"> 锂离子电池多通道充放电测试仪</w:t>
      </w:r>
      <w:bookmarkEnd w:id="23"/>
    </w:p>
    <w:p w14:paraId="6023CC6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总体要求</w:t>
      </w:r>
    </w:p>
    <w:p w14:paraId="1B7FC4F1">
      <w:pPr>
        <w:numPr>
          <w:ilvl w:val="0"/>
          <w:numId w:val="0"/>
        </w:numPr>
        <w:spacing w:line="360" w:lineRule="auto"/>
        <w:ind w:leftChars="0"/>
        <w:rPr>
          <w:rFonts w:hint="default" w:ascii="Times New Roman" w:hAnsi="Times New Roman" w:eastAsia="宋体" w:cs="Times New Roman"/>
          <w:sz w:val="24"/>
          <w:lang w:val="en-US" w:eastAsia="zh-CN"/>
        </w:rPr>
      </w:pPr>
      <w:r>
        <w:rPr>
          <w:rFonts w:hint="eastAsia"/>
          <w:lang w:val="en-US" w:eastAsia="zh-CN"/>
        </w:rPr>
        <w:tab/>
      </w:r>
      <w:r>
        <w:rPr>
          <w:rFonts w:hint="eastAsia" w:ascii="Times New Roman" w:hAnsi="Times New Roman" w:eastAsia="宋体" w:cs="Times New Roman"/>
          <w:sz w:val="24"/>
          <w:lang w:val="en-US" w:eastAsia="zh-CN"/>
        </w:rPr>
        <w:t>锂离子电池多通道充放电测试仪主要用于开展储能用锂离子电池电性能测试，包括电池循环寿命试验，容量测试，直流内阻测试，充放电特性测试，深度放电试验，电池一致性测试，倍率充放电测试等，可实现充放电数据监测一体化。</w:t>
      </w:r>
    </w:p>
    <w:p w14:paraId="7F5F154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2.2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技术要求</w:t>
      </w:r>
    </w:p>
    <w:p w14:paraId="72A5DB7A">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default" w:ascii="宋体" w:hAnsi="宋体" w:eastAsia="宋体" w:cs="宋体"/>
          <w:sz w:val="24"/>
          <w:szCs w:val="28"/>
          <w:lang w:val="en-US" w:eastAsia="zh-CN"/>
        </w:rPr>
      </w:pPr>
      <w:r>
        <w:rPr>
          <w:rFonts w:hint="eastAsia" w:ascii="宋体" w:hAnsi="宋体" w:eastAsia="宋体" w:cs="宋体"/>
          <w:sz w:val="24"/>
          <w:szCs w:val="28"/>
          <w:lang w:val="en-US" w:eastAsia="zh-CN"/>
        </w:rPr>
        <w:t>（1）功能指标要求</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2713"/>
        <w:gridCol w:w="4920"/>
      </w:tblGrid>
      <w:tr w14:paraId="239AC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4204350B">
            <w:pPr>
              <w:keepNext w:val="0"/>
              <w:keepLines w:val="0"/>
              <w:suppressLineNumbers w:val="0"/>
              <w:spacing w:before="0" w:beforeAutospacing="0" w:after="0" w:afterAutospacing="0"/>
              <w:ind w:left="0" w:right="0"/>
              <w:jc w:val="center"/>
              <w:rPr>
                <w:rFonts w:hint="eastAsia" w:ascii="Times New Roman" w:hAnsi="Times New Roman" w:eastAsia="宋体" w:cs="Times New Roman"/>
                <w:b/>
                <w:bCs/>
                <w:color w:val="000000"/>
                <w:kern w:val="2"/>
                <w:sz w:val="21"/>
                <w:szCs w:val="21"/>
                <w:lang w:val="en-US" w:eastAsia="zh-CN" w:bidi="ar-SA"/>
              </w:rPr>
            </w:pPr>
            <w:r>
              <w:rPr>
                <w:rFonts w:hint="eastAsia" w:ascii="Times New Roman" w:hAnsi="Times New Roman" w:eastAsia="宋体" w:cs="Times New Roman"/>
                <w:b/>
                <w:bCs/>
                <w:color w:val="000000"/>
                <w:szCs w:val="21"/>
                <w:lang w:val="en-US" w:eastAsia="zh-CN"/>
              </w:rPr>
              <w:t>序号</w:t>
            </w:r>
          </w:p>
        </w:tc>
        <w:tc>
          <w:tcPr>
            <w:tcW w:w="1592" w:type="pct"/>
            <w:vAlign w:val="center"/>
          </w:tcPr>
          <w:p w14:paraId="3B593541">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000000"/>
                <w:szCs w:val="21"/>
                <w:lang w:val="en-US" w:eastAsia="zh-CN"/>
              </w:rPr>
            </w:pPr>
            <w:r>
              <w:rPr>
                <w:rFonts w:hint="eastAsia" w:ascii="Times New Roman" w:hAnsi="Times New Roman" w:eastAsia="宋体" w:cs="Times New Roman"/>
                <w:b/>
                <w:bCs/>
                <w:color w:val="000000"/>
                <w:szCs w:val="21"/>
                <w:lang w:val="en-US" w:eastAsia="zh-CN"/>
              </w:rPr>
              <w:t>功能指标要求</w:t>
            </w:r>
          </w:p>
        </w:tc>
        <w:tc>
          <w:tcPr>
            <w:tcW w:w="2887" w:type="pct"/>
            <w:vAlign w:val="center"/>
          </w:tcPr>
          <w:p w14:paraId="2E5986C5">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000000"/>
                <w:szCs w:val="21"/>
                <w:lang w:val="en-US" w:eastAsia="zh-CN"/>
              </w:rPr>
            </w:pPr>
            <w:r>
              <w:rPr>
                <w:rFonts w:hint="eastAsia" w:ascii="Times New Roman" w:hAnsi="Times New Roman" w:eastAsia="宋体" w:cs="Times New Roman"/>
                <w:b/>
                <w:bCs/>
                <w:color w:val="000000"/>
                <w:szCs w:val="21"/>
                <w:lang w:val="en-US" w:eastAsia="zh-CN"/>
              </w:rPr>
              <w:t>备注</w:t>
            </w:r>
          </w:p>
        </w:tc>
      </w:tr>
      <w:tr w14:paraId="77FA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B8BDCF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1</w:t>
            </w:r>
          </w:p>
        </w:tc>
        <w:tc>
          <w:tcPr>
            <w:tcW w:w="4479" w:type="pct"/>
            <w:gridSpan w:val="2"/>
            <w:vAlign w:val="center"/>
          </w:tcPr>
          <w:p w14:paraId="50EC758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测试功能要求</w:t>
            </w:r>
          </w:p>
        </w:tc>
      </w:tr>
      <w:tr w14:paraId="2F9B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275A59C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1.1</w:t>
            </w:r>
          </w:p>
        </w:tc>
        <w:tc>
          <w:tcPr>
            <w:tcW w:w="1592" w:type="pct"/>
            <w:vAlign w:val="center"/>
          </w:tcPr>
          <w:p w14:paraId="305F27F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多类型输出功能</w:t>
            </w:r>
          </w:p>
        </w:tc>
        <w:tc>
          <w:tcPr>
            <w:tcW w:w="2887" w:type="pct"/>
            <w:vAlign w:val="center"/>
          </w:tcPr>
          <w:p w14:paraId="6A45FED2">
            <w:pPr>
              <w:keepNext w:val="0"/>
              <w:keepLines w:val="0"/>
              <w:suppressLineNumbers w:val="0"/>
              <w:spacing w:before="0" w:beforeAutospacing="0" w:after="0" w:afterAutospacing="0"/>
              <w:ind w:left="0" w:right="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包括但不限于恒电压、恒电流、恒功率、恒流转恒压、恒复杂、电流阶跃、电流斜坡、脉冲电流、电流曲线输出等功能，并支持上述输出的任意组合。</w:t>
            </w:r>
          </w:p>
        </w:tc>
      </w:tr>
      <w:tr w14:paraId="208B0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DBFCDE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1.2</w:t>
            </w:r>
          </w:p>
        </w:tc>
        <w:tc>
          <w:tcPr>
            <w:tcW w:w="1592" w:type="pct"/>
            <w:vAlign w:val="center"/>
          </w:tcPr>
          <w:p w14:paraId="66FCCE2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脱机运行功能</w:t>
            </w:r>
          </w:p>
        </w:tc>
        <w:tc>
          <w:tcPr>
            <w:tcW w:w="2887" w:type="pct"/>
            <w:vAlign w:val="center"/>
          </w:tcPr>
          <w:p w14:paraId="7683513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支持脱机24小时运行</w:t>
            </w:r>
          </w:p>
        </w:tc>
      </w:tr>
      <w:tr w14:paraId="29023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vAlign w:val="center"/>
          </w:tcPr>
          <w:p w14:paraId="54FC5C1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w:t>
            </w:r>
          </w:p>
        </w:tc>
        <w:tc>
          <w:tcPr>
            <w:tcW w:w="4479" w:type="pct"/>
            <w:gridSpan w:val="2"/>
            <w:shd w:val="clear" w:color="auto" w:fill="auto"/>
            <w:vAlign w:val="center"/>
          </w:tcPr>
          <w:p w14:paraId="2C384A3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保护功能要求</w:t>
            </w:r>
          </w:p>
        </w:tc>
      </w:tr>
      <w:tr w14:paraId="2FC0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3CB7945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w:t>
            </w:r>
          </w:p>
        </w:tc>
        <w:tc>
          <w:tcPr>
            <w:tcW w:w="1592" w:type="pct"/>
            <w:shd w:val="clear" w:color="auto" w:fill="auto"/>
            <w:vAlign w:val="center"/>
          </w:tcPr>
          <w:p w14:paraId="6B67E5C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交流侧硬件保护</w:t>
            </w:r>
          </w:p>
        </w:tc>
        <w:tc>
          <w:tcPr>
            <w:tcW w:w="2887" w:type="pct"/>
            <w:shd w:val="clear" w:color="auto" w:fill="auto"/>
            <w:vAlign w:val="center"/>
          </w:tcPr>
          <w:p w14:paraId="67A8495C">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包括但不限于ACDC输入欠压保护、ACDC输入过压保护、ACDC缺相保护、ACDC孤岛保护、ACDC过频保护、ACDC欠频保护</w:t>
            </w:r>
          </w:p>
        </w:tc>
      </w:tr>
      <w:tr w14:paraId="2B9AB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136F09F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2.2</w:t>
            </w:r>
          </w:p>
        </w:tc>
        <w:tc>
          <w:tcPr>
            <w:tcW w:w="1592" w:type="pct"/>
            <w:shd w:val="clear" w:color="auto" w:fill="auto"/>
            <w:vAlign w:val="center"/>
          </w:tcPr>
          <w:p w14:paraId="1C5621E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直流侧硬件保护</w:t>
            </w:r>
          </w:p>
        </w:tc>
        <w:tc>
          <w:tcPr>
            <w:tcW w:w="2887" w:type="pct"/>
            <w:shd w:val="clear" w:color="auto" w:fill="auto"/>
            <w:vAlign w:val="center"/>
          </w:tcPr>
          <w:p w14:paraId="52326E5D">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包括但不限于DCDC输出反接保护、DCDC输入过压保护、内部温度上限告警保护、电池通道电压线反接保护、电池通道功率线反接保护、通道间电压线接错保护、通道间功率线接错保护、输出电压上限保护、输出电压下限保护、输出电流上限保护</w:t>
            </w:r>
          </w:p>
        </w:tc>
      </w:tr>
      <w:tr w14:paraId="60EFD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4B7C622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2.3</w:t>
            </w:r>
          </w:p>
        </w:tc>
        <w:tc>
          <w:tcPr>
            <w:tcW w:w="1592" w:type="pct"/>
            <w:shd w:val="clear" w:color="auto" w:fill="auto"/>
            <w:vAlign w:val="center"/>
          </w:tcPr>
          <w:p w14:paraId="096FDC5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电池测保护</w:t>
            </w:r>
          </w:p>
        </w:tc>
        <w:tc>
          <w:tcPr>
            <w:tcW w:w="2887" w:type="pct"/>
            <w:shd w:val="clear" w:color="auto" w:fill="auto"/>
            <w:vAlign w:val="center"/>
          </w:tcPr>
          <w:p w14:paraId="256A376A">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包括但不限于容量上/下限保护、温度上限保护、电池电压上/下限保护、电池电流上限保护、电流异常波动保护、温度异常波动保护</w:t>
            </w:r>
          </w:p>
        </w:tc>
      </w:tr>
      <w:tr w14:paraId="72D1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47A7CB2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w:t>
            </w:r>
          </w:p>
        </w:tc>
        <w:tc>
          <w:tcPr>
            <w:tcW w:w="4479" w:type="pct"/>
            <w:gridSpan w:val="2"/>
            <w:shd w:val="clear" w:color="auto" w:fill="auto"/>
            <w:vAlign w:val="center"/>
          </w:tcPr>
          <w:p w14:paraId="7BDE7FF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附件</w:t>
            </w:r>
          </w:p>
        </w:tc>
      </w:tr>
      <w:tr w14:paraId="1A3F1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1905DA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kern w:val="0"/>
                <w:sz w:val="21"/>
                <w:szCs w:val="21"/>
                <w:lang w:val="en-US" w:eastAsia="zh-CN" w:bidi="ar"/>
              </w:rPr>
              <w:t>3.1</w:t>
            </w:r>
          </w:p>
        </w:tc>
        <w:tc>
          <w:tcPr>
            <w:tcW w:w="1592" w:type="pct"/>
            <w:shd w:val="clear" w:color="auto" w:fill="auto"/>
            <w:vAlign w:val="center"/>
          </w:tcPr>
          <w:p w14:paraId="44374790">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宋体" w:hAnsi="宋体" w:eastAsia="宋体" w:cs="宋体"/>
                <w:color w:val="000000"/>
                <w:kern w:val="0"/>
                <w:sz w:val="21"/>
                <w:szCs w:val="21"/>
                <w:lang w:val="en-US" w:eastAsia="zh-CN" w:bidi="ar"/>
              </w:rPr>
              <w:t>上位机（含软件）</w:t>
            </w:r>
          </w:p>
        </w:tc>
        <w:tc>
          <w:tcPr>
            <w:tcW w:w="2887" w:type="pct"/>
            <w:shd w:val="clear" w:color="auto" w:fill="auto"/>
            <w:vAlign w:val="center"/>
          </w:tcPr>
          <w:p w14:paraId="6264CD8D">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宋体" w:hAnsi="宋体" w:eastAsia="宋体" w:cs="宋体"/>
                <w:kern w:val="0"/>
                <w:sz w:val="21"/>
                <w:szCs w:val="21"/>
                <w:lang w:val="en-US" w:eastAsia="zh-CN" w:bidi="ar"/>
              </w:rPr>
              <w:t>机架式主机</w:t>
            </w:r>
            <w:r>
              <w:rPr>
                <w:rFonts w:hint="eastAsia" w:ascii="Times New Roman" w:hAnsi="Times New Roman" w:eastAsia="宋体" w:cs="宋体"/>
                <w:kern w:val="0"/>
                <w:sz w:val="21"/>
                <w:szCs w:val="21"/>
                <w:lang w:val="en-US" w:eastAsia="zh-CN" w:bidi="ar"/>
              </w:rPr>
              <w:t xml:space="preserve"> </w:t>
            </w:r>
            <w:r>
              <w:rPr>
                <w:rFonts w:hint="default" w:ascii="Times New Roman" w:hAnsi="Times New Roman" w:eastAsia="宋体" w:cs="Times New Roman"/>
                <w:kern w:val="0"/>
                <w:sz w:val="21"/>
                <w:szCs w:val="21"/>
                <w:lang w:val="en-US" w:eastAsia="zh-CN" w:bidi="ar"/>
              </w:rPr>
              <w:t>i5/16G/1T/1G</w:t>
            </w:r>
            <w:r>
              <w:rPr>
                <w:rFonts w:hint="eastAsia" w:ascii="宋体" w:hAnsi="宋体" w:eastAsia="宋体" w:cs="宋体"/>
                <w:kern w:val="0"/>
                <w:sz w:val="21"/>
                <w:szCs w:val="21"/>
                <w:lang w:val="en-US" w:eastAsia="zh-CN" w:bidi="ar"/>
              </w:rPr>
              <w:t>独立显卡</w:t>
            </w:r>
            <w:r>
              <w:rPr>
                <w:rFonts w:hint="default" w:ascii="Times New Roman" w:hAnsi="Times New Roman" w:eastAsia="宋体" w:cs="Times New Roman"/>
                <w:kern w:val="0"/>
                <w:sz w:val="21"/>
                <w:szCs w:val="21"/>
                <w:lang w:val="en-US" w:eastAsia="zh-CN" w:bidi="ar"/>
              </w:rPr>
              <w:t>/</w:t>
            </w:r>
            <w:r>
              <w:rPr>
                <w:rFonts w:hint="eastAsia" w:ascii="宋体" w:hAnsi="宋体" w:eastAsia="宋体" w:cs="宋体"/>
                <w:kern w:val="0"/>
                <w:sz w:val="21"/>
                <w:szCs w:val="21"/>
                <w:lang w:val="en-US" w:eastAsia="zh-CN" w:bidi="ar"/>
              </w:rPr>
              <w:t>显示器：屏幕尺寸≥</w:t>
            </w:r>
            <w:r>
              <w:rPr>
                <w:rFonts w:hint="default" w:ascii="Times New Roman" w:hAnsi="Times New Roman" w:eastAsia="宋体" w:cs="Times New Roman"/>
                <w:kern w:val="0"/>
                <w:sz w:val="21"/>
                <w:szCs w:val="21"/>
                <w:lang w:val="en-US" w:eastAsia="zh-CN" w:bidi="ar"/>
              </w:rPr>
              <w:t>23.8</w:t>
            </w:r>
            <w:r>
              <w:rPr>
                <w:rFonts w:hint="eastAsia" w:ascii="宋体" w:hAnsi="宋体" w:eastAsia="宋体" w:cs="宋体"/>
                <w:kern w:val="0"/>
                <w:sz w:val="21"/>
                <w:szCs w:val="21"/>
                <w:lang w:val="en-US" w:eastAsia="zh-CN" w:bidi="ar"/>
              </w:rPr>
              <w:t>英寸、分辨率≥</w:t>
            </w:r>
            <w:r>
              <w:rPr>
                <w:rFonts w:hint="default" w:ascii="Times New Roman" w:hAnsi="Times New Roman" w:eastAsia="宋体" w:cs="Times New Roman"/>
                <w:kern w:val="0"/>
                <w:sz w:val="21"/>
                <w:szCs w:val="21"/>
                <w:lang w:val="en-US" w:eastAsia="zh-CN" w:bidi="ar"/>
              </w:rPr>
              <w:t>1920</w:t>
            </w:r>
            <w:r>
              <w:rPr>
                <w:rFonts w:hint="eastAsia" w:ascii="宋体" w:hAnsi="宋体" w:eastAsia="宋体" w:cs="宋体"/>
                <w:kern w:val="0"/>
                <w:sz w:val="21"/>
                <w:szCs w:val="21"/>
                <w:lang w:val="en-US" w:eastAsia="zh-CN" w:bidi="ar"/>
              </w:rPr>
              <w:t>×</w:t>
            </w:r>
            <w:r>
              <w:rPr>
                <w:rFonts w:hint="default" w:ascii="Times New Roman" w:hAnsi="Times New Roman" w:eastAsia="宋体" w:cs="Times New Roman"/>
                <w:kern w:val="0"/>
                <w:sz w:val="21"/>
                <w:szCs w:val="21"/>
                <w:lang w:val="en-US" w:eastAsia="zh-CN" w:bidi="ar"/>
              </w:rPr>
              <w:t>1080</w:t>
            </w:r>
          </w:p>
        </w:tc>
      </w:tr>
    </w:tbl>
    <w:p w14:paraId="230B931D">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default" w:ascii="宋体" w:hAnsi="宋体" w:eastAsia="宋体" w:cs="宋体"/>
          <w:sz w:val="24"/>
          <w:szCs w:val="28"/>
          <w:lang w:val="en-US" w:eastAsia="zh-CN"/>
        </w:rPr>
      </w:pPr>
      <w:r>
        <w:rPr>
          <w:rFonts w:hint="eastAsia" w:ascii="宋体" w:hAnsi="宋体" w:eastAsia="宋体" w:cs="宋体"/>
          <w:sz w:val="24"/>
          <w:szCs w:val="28"/>
          <w:lang w:val="en-US" w:eastAsia="zh-CN"/>
        </w:rPr>
        <w:t>（2）性能指标要求</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2705"/>
        <w:gridCol w:w="4929"/>
      </w:tblGrid>
      <w:tr w14:paraId="7D75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0" w:type="pct"/>
            <w:vAlign w:val="center"/>
          </w:tcPr>
          <w:p w14:paraId="3F311825">
            <w:pPr>
              <w:keepNext w:val="0"/>
              <w:keepLines w:val="0"/>
              <w:suppressLineNumbers w:val="0"/>
              <w:spacing w:before="0" w:beforeAutospacing="0" w:after="0" w:afterAutospacing="0"/>
              <w:ind w:left="0" w:right="0"/>
              <w:jc w:val="center"/>
              <w:rPr>
                <w:rFonts w:hint="eastAsia" w:ascii="Times New Roman" w:hAnsi="Times New Roman" w:eastAsia="宋体" w:cs="Times New Roman"/>
                <w:b/>
                <w:color w:val="000000"/>
                <w:szCs w:val="21"/>
                <w:lang w:val="en-US" w:eastAsia="zh-CN"/>
              </w:rPr>
            </w:pPr>
            <w:r>
              <w:rPr>
                <w:rFonts w:hint="eastAsia" w:ascii="Times New Roman" w:hAnsi="Times New Roman" w:eastAsia="宋体" w:cs="Times New Roman"/>
                <w:b/>
                <w:color w:val="000000"/>
                <w:szCs w:val="21"/>
                <w:lang w:val="en-US" w:eastAsia="zh-CN"/>
              </w:rPr>
              <w:t>序号</w:t>
            </w:r>
          </w:p>
        </w:tc>
        <w:tc>
          <w:tcPr>
            <w:tcW w:w="1587" w:type="pct"/>
            <w:vAlign w:val="center"/>
          </w:tcPr>
          <w:p w14:paraId="1DE1FAFE">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lang w:val="en-US" w:eastAsia="zh-CN"/>
              </w:rPr>
              <w:t>性能</w:t>
            </w:r>
            <w:r>
              <w:rPr>
                <w:rFonts w:hint="default" w:ascii="Times New Roman" w:hAnsi="Times New Roman" w:eastAsia="宋体" w:cs="Times New Roman"/>
                <w:b/>
                <w:color w:val="000000"/>
                <w:szCs w:val="21"/>
              </w:rPr>
              <w:t>指标项</w:t>
            </w:r>
          </w:p>
        </w:tc>
        <w:tc>
          <w:tcPr>
            <w:tcW w:w="2892" w:type="pct"/>
            <w:vAlign w:val="center"/>
          </w:tcPr>
          <w:p w14:paraId="3D2037C6">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lang w:val="en-US" w:eastAsia="zh-CN"/>
              </w:rPr>
              <w:t>性能</w:t>
            </w:r>
            <w:r>
              <w:rPr>
                <w:rFonts w:hint="default" w:ascii="Times New Roman" w:hAnsi="Times New Roman" w:eastAsia="宋体" w:cs="Times New Roman"/>
                <w:b/>
                <w:color w:val="000000"/>
                <w:szCs w:val="21"/>
              </w:rPr>
              <w:t>指标要求</w:t>
            </w:r>
          </w:p>
        </w:tc>
      </w:tr>
      <w:tr w14:paraId="050E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1997E2A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w:t>
            </w:r>
          </w:p>
        </w:tc>
        <w:tc>
          <w:tcPr>
            <w:tcW w:w="4479" w:type="pct"/>
            <w:gridSpan w:val="2"/>
            <w:vAlign w:val="center"/>
          </w:tcPr>
          <w:p w14:paraId="1C3B062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供电要求</w:t>
            </w:r>
          </w:p>
        </w:tc>
      </w:tr>
      <w:tr w14:paraId="1CC1C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0A7D9AD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1.1</w:t>
            </w:r>
          </w:p>
        </w:tc>
        <w:tc>
          <w:tcPr>
            <w:tcW w:w="1587" w:type="pct"/>
            <w:vAlign w:val="center"/>
          </w:tcPr>
          <w:p w14:paraId="469651C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供电电压</w:t>
            </w:r>
          </w:p>
        </w:tc>
        <w:tc>
          <w:tcPr>
            <w:tcW w:w="2892" w:type="pct"/>
            <w:vAlign w:val="center"/>
          </w:tcPr>
          <w:p w14:paraId="5D1F0CA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AC380V±10%</w:t>
            </w:r>
          </w:p>
        </w:tc>
      </w:tr>
      <w:tr w14:paraId="5772F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shd w:val="clear" w:color="auto" w:fill="auto"/>
            <w:vAlign w:val="center"/>
          </w:tcPr>
          <w:p w14:paraId="0CCAD0E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1.2</w:t>
            </w:r>
          </w:p>
        </w:tc>
        <w:tc>
          <w:tcPr>
            <w:tcW w:w="1587" w:type="pct"/>
            <w:shd w:val="clear" w:color="auto" w:fill="auto"/>
            <w:vAlign w:val="center"/>
          </w:tcPr>
          <w:p w14:paraId="4105794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供电频率</w:t>
            </w:r>
          </w:p>
        </w:tc>
        <w:tc>
          <w:tcPr>
            <w:tcW w:w="2892" w:type="pct"/>
            <w:shd w:val="clear" w:color="auto" w:fill="auto"/>
            <w:vAlign w:val="center"/>
          </w:tcPr>
          <w:p w14:paraId="0EFE1A5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50/60Hz±5Hz</w:t>
            </w:r>
          </w:p>
        </w:tc>
      </w:tr>
      <w:tr w14:paraId="1208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7345C31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1.3</w:t>
            </w:r>
          </w:p>
        </w:tc>
        <w:tc>
          <w:tcPr>
            <w:tcW w:w="1587" w:type="pct"/>
            <w:vAlign w:val="center"/>
          </w:tcPr>
          <w:p w14:paraId="1A422DA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整机效率</w:t>
            </w:r>
          </w:p>
        </w:tc>
        <w:tc>
          <w:tcPr>
            <w:tcW w:w="2892" w:type="pct"/>
            <w:vAlign w:val="center"/>
          </w:tcPr>
          <w:p w14:paraId="2546CADC">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≥80%（充电过程）</w:t>
            </w:r>
          </w:p>
          <w:p w14:paraId="30EFB65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≥75%（放电过程）</w:t>
            </w:r>
          </w:p>
        </w:tc>
      </w:tr>
      <w:tr w14:paraId="73334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6E8C19C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w:t>
            </w:r>
          </w:p>
        </w:tc>
        <w:tc>
          <w:tcPr>
            <w:tcW w:w="4479" w:type="pct"/>
            <w:gridSpan w:val="2"/>
            <w:vAlign w:val="center"/>
          </w:tcPr>
          <w:p w14:paraId="4784FCD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充放电要求</w:t>
            </w:r>
          </w:p>
        </w:tc>
      </w:tr>
      <w:tr w14:paraId="4F447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6317DC5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2.1</w:t>
            </w:r>
          </w:p>
        </w:tc>
        <w:tc>
          <w:tcPr>
            <w:tcW w:w="1587" w:type="pct"/>
            <w:vAlign w:val="center"/>
          </w:tcPr>
          <w:p w14:paraId="33D14DE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充放电通道数</w:t>
            </w:r>
          </w:p>
        </w:tc>
        <w:tc>
          <w:tcPr>
            <w:tcW w:w="2892" w:type="pct"/>
            <w:vAlign w:val="center"/>
          </w:tcPr>
          <w:p w14:paraId="68E89CC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★≥8</w:t>
            </w:r>
          </w:p>
        </w:tc>
      </w:tr>
      <w:tr w14:paraId="449D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vAlign w:val="center"/>
          </w:tcPr>
          <w:p w14:paraId="5E9347F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2.2</w:t>
            </w:r>
          </w:p>
        </w:tc>
        <w:tc>
          <w:tcPr>
            <w:tcW w:w="1587" w:type="pct"/>
            <w:vAlign w:val="center"/>
          </w:tcPr>
          <w:p w14:paraId="75BD2E2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单通道电压范围</w:t>
            </w:r>
          </w:p>
        </w:tc>
        <w:tc>
          <w:tcPr>
            <w:tcW w:w="2892" w:type="pct"/>
            <w:vAlign w:val="center"/>
          </w:tcPr>
          <w:p w14:paraId="3236EBC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★充电0~5V，放电1.2~5V，5米线长</w:t>
            </w:r>
          </w:p>
        </w:tc>
      </w:tr>
      <w:tr w14:paraId="011AD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202C0544">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2.3</w:t>
            </w:r>
          </w:p>
        </w:tc>
        <w:tc>
          <w:tcPr>
            <w:tcW w:w="1587" w:type="pct"/>
            <w:vAlign w:val="center"/>
          </w:tcPr>
          <w:p w14:paraId="0C8FB22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单通道电压采集精度</w:t>
            </w:r>
          </w:p>
        </w:tc>
        <w:tc>
          <w:tcPr>
            <w:tcW w:w="2892" w:type="pct"/>
            <w:vAlign w:val="center"/>
          </w:tcPr>
          <w:p w14:paraId="31D6453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★≤±0.02% F.S.</w:t>
            </w:r>
          </w:p>
        </w:tc>
      </w:tr>
      <w:tr w14:paraId="55F00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D2316EF">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2.4</w:t>
            </w:r>
          </w:p>
        </w:tc>
        <w:tc>
          <w:tcPr>
            <w:tcW w:w="1587" w:type="pct"/>
            <w:vAlign w:val="center"/>
          </w:tcPr>
          <w:p w14:paraId="4DFAA270">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单通道电压采集分辨率</w:t>
            </w:r>
          </w:p>
        </w:tc>
        <w:tc>
          <w:tcPr>
            <w:tcW w:w="2892" w:type="pct"/>
            <w:vAlign w:val="center"/>
          </w:tcPr>
          <w:p w14:paraId="3AA24D7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★≤0.1mV</w:t>
            </w:r>
          </w:p>
        </w:tc>
      </w:tr>
      <w:tr w14:paraId="60993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B78AD7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2.5</w:t>
            </w:r>
          </w:p>
        </w:tc>
        <w:tc>
          <w:tcPr>
            <w:tcW w:w="1587" w:type="pct"/>
            <w:vAlign w:val="center"/>
          </w:tcPr>
          <w:p w14:paraId="4220A08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单通道电流范围</w:t>
            </w:r>
          </w:p>
        </w:tc>
        <w:tc>
          <w:tcPr>
            <w:tcW w:w="2892" w:type="pct"/>
            <w:vAlign w:val="center"/>
          </w:tcPr>
          <w:p w14:paraId="1EB32A0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★-500~500A</w:t>
            </w:r>
          </w:p>
        </w:tc>
      </w:tr>
      <w:tr w14:paraId="396CE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077B17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2.6</w:t>
            </w:r>
          </w:p>
        </w:tc>
        <w:tc>
          <w:tcPr>
            <w:tcW w:w="1587" w:type="pct"/>
            <w:vAlign w:val="center"/>
          </w:tcPr>
          <w:p w14:paraId="2CBB52E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单通道电流采集精度</w:t>
            </w:r>
          </w:p>
        </w:tc>
        <w:tc>
          <w:tcPr>
            <w:tcW w:w="2892" w:type="pct"/>
            <w:vAlign w:val="center"/>
          </w:tcPr>
          <w:p w14:paraId="6C369BE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★≤±0.03% 档位，档位≥4档，最小档位≤50A</w:t>
            </w:r>
          </w:p>
        </w:tc>
      </w:tr>
      <w:tr w14:paraId="175D4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33BD9E0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2.7</w:t>
            </w:r>
          </w:p>
        </w:tc>
        <w:tc>
          <w:tcPr>
            <w:tcW w:w="1587" w:type="pct"/>
            <w:vAlign w:val="center"/>
          </w:tcPr>
          <w:p w14:paraId="5819977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单通道电流采集分辨率</w:t>
            </w:r>
          </w:p>
        </w:tc>
        <w:tc>
          <w:tcPr>
            <w:tcW w:w="2892" w:type="pct"/>
            <w:vAlign w:val="center"/>
          </w:tcPr>
          <w:p w14:paraId="021890F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★≤0.1mA</w:t>
            </w:r>
          </w:p>
        </w:tc>
      </w:tr>
      <w:tr w14:paraId="00502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6430762E">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2.8</w:t>
            </w:r>
          </w:p>
        </w:tc>
        <w:tc>
          <w:tcPr>
            <w:tcW w:w="1587" w:type="pct"/>
            <w:vAlign w:val="center"/>
          </w:tcPr>
          <w:p w14:paraId="195835EF">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最小截止电流</w:t>
            </w:r>
          </w:p>
        </w:tc>
        <w:tc>
          <w:tcPr>
            <w:tcW w:w="2892" w:type="pct"/>
            <w:vAlign w:val="center"/>
          </w:tcPr>
          <w:p w14:paraId="4B9BEAEC">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★15mA</w:t>
            </w:r>
          </w:p>
        </w:tc>
      </w:tr>
      <w:tr w14:paraId="3B2A9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68DC0A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2.9</w:t>
            </w:r>
          </w:p>
        </w:tc>
        <w:tc>
          <w:tcPr>
            <w:tcW w:w="1587" w:type="pct"/>
            <w:shd w:val="clear" w:color="auto" w:fill="auto"/>
            <w:vAlign w:val="center"/>
          </w:tcPr>
          <w:p w14:paraId="56D1224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功率测控精度</w:t>
            </w:r>
          </w:p>
        </w:tc>
        <w:tc>
          <w:tcPr>
            <w:tcW w:w="2892" w:type="pct"/>
            <w:shd w:val="clear" w:color="auto" w:fill="auto"/>
            <w:vAlign w:val="center"/>
          </w:tcPr>
          <w:p w14:paraId="11ED7BA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★±0.05% F.S.</w:t>
            </w:r>
          </w:p>
        </w:tc>
      </w:tr>
      <w:tr w14:paraId="3ED80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F46BFDF">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2.10</w:t>
            </w:r>
          </w:p>
        </w:tc>
        <w:tc>
          <w:tcPr>
            <w:tcW w:w="1587" w:type="pct"/>
            <w:shd w:val="clear" w:color="auto" w:fill="auto"/>
            <w:vAlign w:val="center"/>
          </w:tcPr>
          <w:p w14:paraId="16F94B0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数据采集时长</w:t>
            </w:r>
          </w:p>
        </w:tc>
        <w:tc>
          <w:tcPr>
            <w:tcW w:w="2892" w:type="pct"/>
            <w:shd w:val="clear" w:color="auto" w:fill="auto"/>
            <w:vAlign w:val="center"/>
          </w:tcPr>
          <w:p w14:paraId="4A58EDA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不设上限</w:t>
            </w:r>
          </w:p>
        </w:tc>
      </w:tr>
      <w:tr w14:paraId="76E9E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3EC5B263">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2.11</w:t>
            </w:r>
          </w:p>
        </w:tc>
        <w:tc>
          <w:tcPr>
            <w:tcW w:w="1587" w:type="pct"/>
            <w:shd w:val="clear" w:color="auto" w:fill="auto"/>
            <w:vAlign w:val="center"/>
          </w:tcPr>
          <w:p w14:paraId="031217A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数据不间断采集时长</w:t>
            </w:r>
          </w:p>
        </w:tc>
        <w:tc>
          <w:tcPr>
            <w:tcW w:w="2892" w:type="pct"/>
            <w:shd w:val="clear" w:color="auto" w:fill="auto"/>
            <w:vAlign w:val="center"/>
          </w:tcPr>
          <w:p w14:paraId="6523A36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≥3600s</w:t>
            </w:r>
          </w:p>
        </w:tc>
      </w:tr>
      <w:tr w14:paraId="283E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61E8B721">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2.12</w:t>
            </w:r>
          </w:p>
        </w:tc>
        <w:tc>
          <w:tcPr>
            <w:tcW w:w="1587" w:type="pct"/>
            <w:shd w:val="clear" w:color="auto" w:fill="auto"/>
            <w:vAlign w:val="center"/>
          </w:tcPr>
          <w:p w14:paraId="0588EA15">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数据采集时间间隔</w:t>
            </w:r>
          </w:p>
        </w:tc>
        <w:tc>
          <w:tcPr>
            <w:tcW w:w="2892" w:type="pct"/>
            <w:shd w:val="clear" w:color="auto" w:fill="auto"/>
            <w:vAlign w:val="center"/>
          </w:tcPr>
          <w:p w14:paraId="4F141291">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★1ms</w:t>
            </w:r>
          </w:p>
        </w:tc>
      </w:tr>
      <w:tr w14:paraId="74C59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AAE031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2.13</w:t>
            </w:r>
          </w:p>
        </w:tc>
        <w:tc>
          <w:tcPr>
            <w:tcW w:w="1587" w:type="pct"/>
            <w:shd w:val="clear" w:color="auto" w:fill="auto"/>
            <w:vAlign w:val="center"/>
          </w:tcPr>
          <w:p w14:paraId="1DBA52A5">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电流响应时间</w:t>
            </w:r>
          </w:p>
        </w:tc>
        <w:tc>
          <w:tcPr>
            <w:tcW w:w="2892" w:type="pct"/>
            <w:shd w:val="clear" w:color="auto" w:fill="auto"/>
            <w:vAlign w:val="center"/>
          </w:tcPr>
          <w:p w14:paraId="1B9A0F9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★≤5ms</w:t>
            </w:r>
          </w:p>
        </w:tc>
      </w:tr>
      <w:tr w14:paraId="7719A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64D3A16C">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2.14</w:t>
            </w:r>
          </w:p>
        </w:tc>
        <w:tc>
          <w:tcPr>
            <w:tcW w:w="1587" w:type="pct"/>
            <w:shd w:val="clear" w:color="auto" w:fill="auto"/>
            <w:vAlign w:val="center"/>
          </w:tcPr>
          <w:p w14:paraId="32595C1E">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充放电转换时间</w:t>
            </w:r>
          </w:p>
        </w:tc>
        <w:tc>
          <w:tcPr>
            <w:tcW w:w="2892" w:type="pct"/>
            <w:shd w:val="clear" w:color="auto" w:fill="auto"/>
            <w:vAlign w:val="center"/>
          </w:tcPr>
          <w:p w14:paraId="3AF2852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★≤10ms</w:t>
            </w:r>
          </w:p>
        </w:tc>
      </w:tr>
      <w:tr w14:paraId="547B6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341A2B6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2.15</w:t>
            </w:r>
          </w:p>
        </w:tc>
        <w:tc>
          <w:tcPr>
            <w:tcW w:w="1587" w:type="pct"/>
            <w:shd w:val="clear" w:color="auto" w:fill="auto"/>
            <w:vAlign w:val="center"/>
          </w:tcPr>
          <w:p w14:paraId="1A613B91">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工况间隔最小时间</w:t>
            </w:r>
          </w:p>
        </w:tc>
        <w:tc>
          <w:tcPr>
            <w:tcW w:w="2892" w:type="pct"/>
            <w:shd w:val="clear" w:color="auto" w:fill="auto"/>
            <w:vAlign w:val="center"/>
          </w:tcPr>
          <w:p w14:paraId="17551B74">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★20ms</w:t>
            </w:r>
          </w:p>
        </w:tc>
      </w:tr>
      <w:tr w14:paraId="2873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9753DA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3</w:t>
            </w:r>
          </w:p>
        </w:tc>
        <w:tc>
          <w:tcPr>
            <w:tcW w:w="4479" w:type="pct"/>
            <w:gridSpan w:val="2"/>
            <w:shd w:val="clear" w:color="auto" w:fill="auto"/>
            <w:vAlign w:val="center"/>
          </w:tcPr>
          <w:p w14:paraId="3C33A34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温度采集要求</w:t>
            </w:r>
          </w:p>
        </w:tc>
      </w:tr>
      <w:tr w14:paraId="0A02A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7772B55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3.1</w:t>
            </w:r>
          </w:p>
        </w:tc>
        <w:tc>
          <w:tcPr>
            <w:tcW w:w="1587" w:type="pct"/>
            <w:vAlign w:val="center"/>
          </w:tcPr>
          <w:p w14:paraId="6552BA5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单通道温度采集通道数</w:t>
            </w:r>
          </w:p>
        </w:tc>
        <w:tc>
          <w:tcPr>
            <w:tcW w:w="2892" w:type="pct"/>
            <w:vAlign w:val="center"/>
          </w:tcPr>
          <w:p w14:paraId="2C692E5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kern w:val="2"/>
                <w:sz w:val="21"/>
                <w:szCs w:val="21"/>
                <w:lang w:val="en-US" w:eastAsia="zh-CN" w:bidi="ar-SA"/>
              </w:rPr>
              <w:t>★</w:t>
            </w:r>
            <w:r>
              <w:rPr>
                <w:rFonts w:hint="eastAsia" w:ascii="Times New Roman" w:hAnsi="Times New Roman" w:eastAsia="宋体" w:cs="Times New Roman"/>
                <w:color w:val="000000"/>
                <w:szCs w:val="21"/>
                <w:lang w:val="en-US" w:eastAsia="zh-CN"/>
              </w:rPr>
              <w:t>≥3</w:t>
            </w:r>
          </w:p>
        </w:tc>
      </w:tr>
      <w:tr w14:paraId="14B0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78009E6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3.2</w:t>
            </w:r>
          </w:p>
        </w:tc>
        <w:tc>
          <w:tcPr>
            <w:tcW w:w="1587" w:type="pct"/>
            <w:vAlign w:val="center"/>
          </w:tcPr>
          <w:p w14:paraId="21DC37A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单通道温度测量范围</w:t>
            </w:r>
          </w:p>
        </w:tc>
        <w:tc>
          <w:tcPr>
            <w:tcW w:w="2892" w:type="pct"/>
            <w:vAlign w:val="center"/>
          </w:tcPr>
          <w:p w14:paraId="0687F4B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-40~120℃</w:t>
            </w:r>
          </w:p>
        </w:tc>
      </w:tr>
      <w:tr w14:paraId="1C145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3B9A14A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3.3</w:t>
            </w:r>
          </w:p>
        </w:tc>
        <w:tc>
          <w:tcPr>
            <w:tcW w:w="1587" w:type="pct"/>
            <w:shd w:val="clear" w:color="auto" w:fill="auto"/>
            <w:vAlign w:val="center"/>
          </w:tcPr>
          <w:p w14:paraId="1F15CA7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单通道温度采集精度</w:t>
            </w:r>
          </w:p>
        </w:tc>
        <w:tc>
          <w:tcPr>
            <w:tcW w:w="2892" w:type="pct"/>
            <w:shd w:val="clear" w:color="auto" w:fill="auto"/>
            <w:vAlign w:val="center"/>
          </w:tcPr>
          <w:p w14:paraId="4ECF949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≤±1℃</w:t>
            </w:r>
          </w:p>
        </w:tc>
      </w:tr>
      <w:tr w14:paraId="0D79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47F0CB9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3.4</w:t>
            </w:r>
          </w:p>
        </w:tc>
        <w:tc>
          <w:tcPr>
            <w:tcW w:w="1587" w:type="pct"/>
            <w:shd w:val="clear" w:color="auto" w:fill="auto"/>
            <w:vAlign w:val="center"/>
          </w:tcPr>
          <w:p w14:paraId="0035D80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单通道温度采集分辨率</w:t>
            </w:r>
          </w:p>
        </w:tc>
        <w:tc>
          <w:tcPr>
            <w:tcW w:w="2892" w:type="pct"/>
            <w:shd w:val="clear" w:color="auto" w:fill="auto"/>
            <w:vAlign w:val="center"/>
          </w:tcPr>
          <w:p w14:paraId="500A6F3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≤0.1℃</w:t>
            </w:r>
          </w:p>
        </w:tc>
      </w:tr>
      <w:tr w14:paraId="2C9B1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6CD11EA1">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w:t>
            </w:r>
          </w:p>
        </w:tc>
        <w:tc>
          <w:tcPr>
            <w:tcW w:w="4479" w:type="pct"/>
            <w:gridSpan w:val="2"/>
            <w:shd w:val="clear" w:color="auto" w:fill="auto"/>
            <w:vAlign w:val="center"/>
          </w:tcPr>
          <w:p w14:paraId="55AA0C0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可编程功能要求</w:t>
            </w:r>
          </w:p>
        </w:tc>
      </w:tr>
      <w:tr w14:paraId="08750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47FA06A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4.1</w:t>
            </w:r>
          </w:p>
        </w:tc>
        <w:tc>
          <w:tcPr>
            <w:tcW w:w="1587" w:type="pct"/>
            <w:shd w:val="clear" w:color="auto" w:fill="auto"/>
            <w:vAlign w:val="center"/>
          </w:tcPr>
          <w:p w14:paraId="32887D8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可编程工步</w:t>
            </w:r>
          </w:p>
        </w:tc>
        <w:tc>
          <w:tcPr>
            <w:tcW w:w="2892" w:type="pct"/>
            <w:shd w:val="clear" w:color="auto" w:fill="auto"/>
            <w:vAlign w:val="center"/>
          </w:tcPr>
          <w:p w14:paraId="5028AE2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≥99999</w:t>
            </w:r>
          </w:p>
        </w:tc>
      </w:tr>
      <w:tr w14:paraId="5AAC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20" w:type="pct"/>
            <w:vAlign w:val="center"/>
          </w:tcPr>
          <w:p w14:paraId="6E5F1CF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4.2</w:t>
            </w:r>
          </w:p>
        </w:tc>
        <w:tc>
          <w:tcPr>
            <w:tcW w:w="1587" w:type="pct"/>
            <w:shd w:val="clear" w:color="auto" w:fill="auto"/>
            <w:vAlign w:val="center"/>
          </w:tcPr>
          <w:p w14:paraId="1F20C8C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循环次数</w:t>
            </w:r>
          </w:p>
        </w:tc>
        <w:tc>
          <w:tcPr>
            <w:tcW w:w="2892" w:type="pct"/>
            <w:shd w:val="clear" w:color="auto" w:fill="auto"/>
            <w:vAlign w:val="center"/>
          </w:tcPr>
          <w:p w14:paraId="4F7423F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≥99999</w:t>
            </w:r>
          </w:p>
        </w:tc>
      </w:tr>
      <w:tr w14:paraId="3C4F5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520" w:type="pct"/>
            <w:shd w:val="clear" w:color="auto" w:fill="auto"/>
            <w:vAlign w:val="center"/>
          </w:tcPr>
          <w:p w14:paraId="1BF53C1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4.3</w:t>
            </w:r>
          </w:p>
        </w:tc>
        <w:tc>
          <w:tcPr>
            <w:tcW w:w="1587" w:type="pct"/>
            <w:shd w:val="clear" w:color="auto" w:fill="auto"/>
            <w:vAlign w:val="center"/>
          </w:tcPr>
          <w:p w14:paraId="76797D9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最大循环嵌套层数</w:t>
            </w:r>
          </w:p>
        </w:tc>
        <w:tc>
          <w:tcPr>
            <w:tcW w:w="2892" w:type="pct"/>
            <w:shd w:val="clear" w:color="auto" w:fill="auto"/>
            <w:vAlign w:val="center"/>
          </w:tcPr>
          <w:p w14:paraId="17F1283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≥20</w:t>
            </w:r>
          </w:p>
        </w:tc>
      </w:tr>
    </w:tbl>
    <w:p w14:paraId="5A931CE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rPr>
      </w:pPr>
      <w:bookmarkStart w:id="24" w:name="_Toc23967"/>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 xml:space="preserve"> 锂离子电池环境温度测试箱</w:t>
      </w:r>
      <w:bookmarkEnd w:id="24"/>
    </w:p>
    <w:p w14:paraId="49486F1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总体要求</w:t>
      </w:r>
    </w:p>
    <w:p w14:paraId="62A29393">
      <w:pPr>
        <w:numPr>
          <w:ilvl w:val="0"/>
          <w:numId w:val="0"/>
        </w:numPr>
        <w:spacing w:line="360" w:lineRule="auto"/>
        <w:ind w:leftChars="0"/>
        <w:rPr>
          <w:rFonts w:hint="default" w:ascii="Times New Roman" w:hAnsi="Times New Roman" w:eastAsia="宋体" w:cs="Times New Roman"/>
          <w:sz w:val="24"/>
          <w:lang w:val="en-US" w:eastAsia="zh-CN"/>
        </w:rPr>
      </w:pPr>
      <w:r>
        <w:rPr>
          <w:rFonts w:hint="eastAsia"/>
          <w:lang w:val="en-US" w:eastAsia="zh-CN"/>
        </w:rPr>
        <w:tab/>
      </w:r>
      <w:r>
        <w:rPr>
          <w:rFonts w:hint="eastAsia" w:ascii="Times New Roman" w:hAnsi="Times New Roman" w:eastAsia="宋体" w:cs="Times New Roman"/>
          <w:sz w:val="24"/>
          <w:lang w:val="en-US" w:eastAsia="zh-CN"/>
        </w:rPr>
        <w:t>锂离子电池多通道充放电测试仪主要用于开展储能用锂离子电池电性能测试，包括电池循环寿命试验，容量测试，直流内阻测试，充放电特性测试，深度放电试验，电池一致性测试，倍率充放电测试等，可实现充放电数据监测一体化。</w:t>
      </w:r>
    </w:p>
    <w:p w14:paraId="1E28F84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技术要求</w:t>
      </w:r>
    </w:p>
    <w:p w14:paraId="51081263">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（1）功能指标要求</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1147"/>
        <w:gridCol w:w="6486"/>
      </w:tblGrid>
      <w:tr w14:paraId="2517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2D529AB3">
            <w:pPr>
              <w:keepNext w:val="0"/>
              <w:keepLines w:val="0"/>
              <w:suppressLineNumbers w:val="0"/>
              <w:spacing w:before="0" w:beforeAutospacing="0" w:after="0" w:afterAutospacing="0"/>
              <w:ind w:left="0" w:right="0"/>
              <w:jc w:val="center"/>
              <w:rPr>
                <w:rFonts w:hint="eastAsia" w:ascii="Times New Roman" w:hAnsi="Times New Roman" w:eastAsia="宋体" w:cs="Times New Roman"/>
                <w:b/>
                <w:bCs/>
                <w:color w:val="000000"/>
                <w:kern w:val="2"/>
                <w:sz w:val="21"/>
                <w:szCs w:val="21"/>
                <w:lang w:val="en-US" w:eastAsia="zh-CN" w:bidi="ar-SA"/>
              </w:rPr>
            </w:pPr>
            <w:r>
              <w:rPr>
                <w:rFonts w:hint="eastAsia" w:ascii="Times New Roman" w:hAnsi="Times New Roman" w:eastAsia="宋体" w:cs="Times New Roman"/>
                <w:b/>
                <w:bCs/>
                <w:color w:val="000000"/>
                <w:szCs w:val="21"/>
                <w:lang w:val="en-US" w:eastAsia="zh-CN"/>
              </w:rPr>
              <w:t>序号</w:t>
            </w:r>
          </w:p>
        </w:tc>
        <w:tc>
          <w:tcPr>
            <w:tcW w:w="673" w:type="pct"/>
            <w:vAlign w:val="center"/>
          </w:tcPr>
          <w:p w14:paraId="3129FEAF">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000000"/>
                <w:szCs w:val="21"/>
                <w:lang w:val="en-US" w:eastAsia="zh-CN"/>
              </w:rPr>
            </w:pPr>
            <w:r>
              <w:rPr>
                <w:rFonts w:hint="eastAsia" w:ascii="Times New Roman" w:hAnsi="Times New Roman" w:eastAsia="宋体" w:cs="Times New Roman"/>
                <w:color w:val="000000"/>
                <w:szCs w:val="21"/>
                <w:lang w:val="en-US" w:eastAsia="zh-CN"/>
              </w:rPr>
              <w:t>项目名称</w:t>
            </w:r>
          </w:p>
        </w:tc>
        <w:tc>
          <w:tcPr>
            <w:tcW w:w="3806" w:type="pct"/>
            <w:vAlign w:val="center"/>
          </w:tcPr>
          <w:p w14:paraId="40D1A68C">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000000"/>
                <w:szCs w:val="21"/>
                <w:lang w:val="en-US" w:eastAsia="zh-CN"/>
              </w:rPr>
            </w:pPr>
            <w:r>
              <w:rPr>
                <w:rFonts w:hint="eastAsia" w:ascii="Times New Roman" w:hAnsi="Times New Roman" w:eastAsia="宋体" w:cs="Times New Roman"/>
                <w:color w:val="000000"/>
                <w:szCs w:val="21"/>
                <w:lang w:val="en-US" w:eastAsia="zh-CN"/>
              </w:rPr>
              <w:t>规格要求</w:t>
            </w:r>
          </w:p>
        </w:tc>
      </w:tr>
      <w:tr w14:paraId="3A32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6E014E1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1</w:t>
            </w:r>
          </w:p>
        </w:tc>
        <w:tc>
          <w:tcPr>
            <w:tcW w:w="4479" w:type="pct"/>
            <w:gridSpan w:val="2"/>
            <w:vAlign w:val="center"/>
          </w:tcPr>
          <w:p w14:paraId="7E09086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设备结构</w:t>
            </w:r>
          </w:p>
        </w:tc>
      </w:tr>
      <w:tr w14:paraId="5038D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20" w:type="pct"/>
            <w:shd w:val="clear" w:color="auto" w:fill="auto"/>
            <w:vAlign w:val="center"/>
          </w:tcPr>
          <w:p w14:paraId="101E0F7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1.1</w:t>
            </w:r>
          </w:p>
        </w:tc>
        <w:tc>
          <w:tcPr>
            <w:tcW w:w="673" w:type="pct"/>
            <w:vAlign w:val="center"/>
          </w:tcPr>
          <w:p w14:paraId="255F927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设备结构</w:t>
            </w:r>
          </w:p>
        </w:tc>
        <w:tc>
          <w:tcPr>
            <w:tcW w:w="3806" w:type="pct"/>
            <w:shd w:val="clear" w:color="auto" w:fill="auto"/>
            <w:vAlign w:val="top"/>
          </w:tcPr>
          <w:p w14:paraId="4A140A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一体式框架结构，采用国标槽钢焊接，设备坚固耐用，运行振动小、噪音低，同时保证设备的整体可靠性及安全性能</w:t>
            </w:r>
          </w:p>
        </w:tc>
      </w:tr>
      <w:tr w14:paraId="3C951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4BC17A3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1.2</w:t>
            </w:r>
          </w:p>
        </w:tc>
        <w:tc>
          <w:tcPr>
            <w:tcW w:w="673" w:type="pct"/>
            <w:vAlign w:val="center"/>
          </w:tcPr>
          <w:p w14:paraId="26F405F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外箱材质</w:t>
            </w:r>
          </w:p>
        </w:tc>
        <w:tc>
          <w:tcPr>
            <w:tcW w:w="3806" w:type="pct"/>
            <w:shd w:val="clear" w:color="auto" w:fill="auto"/>
            <w:vAlign w:val="top"/>
          </w:tcPr>
          <w:p w14:paraId="0D9EAA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采用冷轧钢板，双面喷涂处理，标准颜色为灰黑灰白，可根据客户要求定制（需方提供色板或色号）</w:t>
            </w:r>
          </w:p>
        </w:tc>
      </w:tr>
      <w:tr w14:paraId="4D765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741E55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1.3</w:t>
            </w:r>
          </w:p>
        </w:tc>
        <w:tc>
          <w:tcPr>
            <w:tcW w:w="673" w:type="pct"/>
            <w:vAlign w:val="center"/>
          </w:tcPr>
          <w:p w14:paraId="3A4D4E5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内箱材质</w:t>
            </w:r>
          </w:p>
        </w:tc>
        <w:tc>
          <w:tcPr>
            <w:tcW w:w="3806" w:type="pct"/>
            <w:shd w:val="clear" w:color="auto" w:fill="auto"/>
            <w:vAlign w:val="top"/>
          </w:tcPr>
          <w:p w14:paraId="06F5AB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采用 SUS304#不锈钢板，整体满焊处理，确保内箱密封性能，底部加强设计</w:t>
            </w:r>
          </w:p>
        </w:tc>
      </w:tr>
      <w:tr w14:paraId="13562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1A3D502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1.4</w:t>
            </w:r>
          </w:p>
        </w:tc>
        <w:tc>
          <w:tcPr>
            <w:tcW w:w="673" w:type="pct"/>
            <w:vAlign w:val="center"/>
          </w:tcPr>
          <w:p w14:paraId="4A0B2223">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保温材质</w:t>
            </w:r>
          </w:p>
        </w:tc>
        <w:tc>
          <w:tcPr>
            <w:tcW w:w="3806" w:type="pct"/>
            <w:vAlign w:val="center"/>
          </w:tcPr>
          <w:p w14:paraId="77E012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保温层厚度为100mm，采用耐火级高强度硬质聚氨酯发泡保温绝缘材料,保温系数：≤0.0212kcal/m.hr</w:t>
            </w:r>
          </w:p>
        </w:tc>
      </w:tr>
      <w:tr w14:paraId="79E84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798A73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1.5</w:t>
            </w:r>
          </w:p>
        </w:tc>
        <w:tc>
          <w:tcPr>
            <w:tcW w:w="673" w:type="pct"/>
            <w:vAlign w:val="center"/>
          </w:tcPr>
          <w:p w14:paraId="7FB98324">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箱门结构</w:t>
            </w:r>
          </w:p>
        </w:tc>
        <w:tc>
          <w:tcPr>
            <w:tcW w:w="3806" w:type="pct"/>
            <w:vAlign w:val="center"/>
          </w:tcPr>
          <w:p w14:paraId="11AC1D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单开门，左铰链右门锁，箱门与箱体之间采用双层硅橡胶密封条，耐高低温，抗老化，保证密封性能，门框和门边沿设置防凝露防结霜电热装置，避免箱体表面产生冷凝水</w:t>
            </w:r>
          </w:p>
        </w:tc>
      </w:tr>
      <w:tr w14:paraId="2DEF1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01E62E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1.6</w:t>
            </w:r>
          </w:p>
        </w:tc>
        <w:tc>
          <w:tcPr>
            <w:tcW w:w="673" w:type="pct"/>
            <w:vAlign w:val="center"/>
          </w:tcPr>
          <w:p w14:paraId="576C8DCE">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观察窗</w:t>
            </w:r>
          </w:p>
        </w:tc>
        <w:tc>
          <w:tcPr>
            <w:tcW w:w="3806" w:type="pct"/>
            <w:vAlign w:val="center"/>
          </w:tcPr>
          <w:p w14:paraId="1D6EA8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箱门上附有一块多层中空钢化玻璃观察窗，可视面积不少于230*310 mm，带电热防结霜、防凝露装置，自动调节，视窗外部为直流12V的LED节能灯，可通过观察窗清晰地观察箱内测试样品的试验状况</w:t>
            </w:r>
          </w:p>
        </w:tc>
      </w:tr>
      <w:tr w14:paraId="6F6B9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138B538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1.7</w:t>
            </w:r>
          </w:p>
        </w:tc>
        <w:tc>
          <w:tcPr>
            <w:tcW w:w="673" w:type="pct"/>
            <w:vAlign w:val="center"/>
          </w:tcPr>
          <w:p w14:paraId="7FE117C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箱内照明</w:t>
            </w:r>
          </w:p>
        </w:tc>
        <w:tc>
          <w:tcPr>
            <w:tcW w:w="3806" w:type="pct"/>
            <w:vAlign w:val="center"/>
          </w:tcPr>
          <w:p w14:paraId="1E731B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测试空间顶板上设置防爆、防潮、耐高低温照明灯，在任何时候都可以通过观察窗清晰地观察箱内测试样品的试验状况</w:t>
            </w:r>
          </w:p>
        </w:tc>
      </w:tr>
      <w:tr w14:paraId="6E286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0" w:type="pct"/>
            <w:shd w:val="clear" w:color="auto" w:fill="auto"/>
            <w:vAlign w:val="center"/>
          </w:tcPr>
          <w:p w14:paraId="6D18172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1.8</w:t>
            </w:r>
          </w:p>
        </w:tc>
        <w:tc>
          <w:tcPr>
            <w:tcW w:w="673" w:type="pct"/>
            <w:shd w:val="clear" w:color="auto" w:fill="auto"/>
            <w:vAlign w:val="top"/>
          </w:tcPr>
          <w:p w14:paraId="475ED748">
            <w:pPr>
              <w:keepNext w:val="0"/>
              <w:keepLines w:val="0"/>
              <w:suppressLineNumbers w:val="0"/>
              <w:spacing w:before="0" w:beforeAutospacing="0" w:after="0" w:afterAutospacing="0" w:line="480" w:lineRule="auto"/>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铰链</w:t>
            </w:r>
          </w:p>
        </w:tc>
        <w:tc>
          <w:tcPr>
            <w:tcW w:w="3806" w:type="pct"/>
            <w:vAlign w:val="center"/>
          </w:tcPr>
          <w:p w14:paraId="586C70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箱门左侧安装高强度锌合金铰链，不锈钢拉丝盖板，表面无安装痕迹；</w:t>
            </w:r>
          </w:p>
        </w:tc>
      </w:tr>
      <w:tr w14:paraId="12DF5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63903B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1.9</w:t>
            </w:r>
          </w:p>
        </w:tc>
        <w:tc>
          <w:tcPr>
            <w:tcW w:w="673" w:type="pct"/>
            <w:shd w:val="clear" w:color="auto" w:fill="auto"/>
            <w:vAlign w:val="top"/>
          </w:tcPr>
          <w:p w14:paraId="77835288">
            <w:pPr>
              <w:keepNext w:val="0"/>
              <w:keepLines w:val="0"/>
              <w:suppressLineNumbers w:val="0"/>
              <w:spacing w:before="0" w:beforeAutospacing="0" w:after="0" w:afterAutospacing="0" w:line="480" w:lineRule="auto"/>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门锁</w:t>
            </w:r>
          </w:p>
        </w:tc>
        <w:tc>
          <w:tcPr>
            <w:tcW w:w="3806" w:type="pct"/>
            <w:vAlign w:val="center"/>
          </w:tcPr>
          <w:p w14:paraId="20F366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采用不锈钢强力挂钩锁，主体镜面抛光处理，把手防滑塑胶包裹处理，每个门锁单向可承受2吨拉力</w:t>
            </w:r>
          </w:p>
        </w:tc>
      </w:tr>
      <w:tr w14:paraId="1B8E8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19FF6A5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2.0</w:t>
            </w:r>
          </w:p>
        </w:tc>
        <w:tc>
          <w:tcPr>
            <w:tcW w:w="673" w:type="pct"/>
            <w:shd w:val="clear" w:color="auto" w:fill="auto"/>
            <w:vAlign w:val="top"/>
          </w:tcPr>
          <w:p w14:paraId="352CBE76">
            <w:pPr>
              <w:keepNext w:val="0"/>
              <w:keepLines w:val="0"/>
              <w:suppressLineNumbers w:val="0"/>
              <w:spacing w:before="0" w:beforeAutospacing="0" w:after="0" w:afterAutospacing="0" w:line="480" w:lineRule="auto"/>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样品架</w:t>
            </w:r>
          </w:p>
        </w:tc>
        <w:tc>
          <w:tcPr>
            <w:tcW w:w="3806" w:type="pct"/>
            <w:vAlign w:val="center"/>
          </w:tcPr>
          <w:p w14:paraId="54DA49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仓体配置高度可调不锈钢样品架 2 层，表面绝缘处理，承重≥30KG</w:t>
            </w:r>
          </w:p>
        </w:tc>
      </w:tr>
      <w:tr w14:paraId="66565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2A0CBBD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2.1</w:t>
            </w:r>
          </w:p>
        </w:tc>
        <w:tc>
          <w:tcPr>
            <w:tcW w:w="673" w:type="pct"/>
            <w:shd w:val="clear" w:color="auto" w:fill="auto"/>
            <w:vAlign w:val="top"/>
          </w:tcPr>
          <w:p w14:paraId="11B08DD0">
            <w:pPr>
              <w:keepNext w:val="0"/>
              <w:keepLines w:val="0"/>
              <w:suppressLineNumbers w:val="0"/>
              <w:spacing w:before="0" w:beforeAutospacing="0" w:after="0" w:afterAutospacing="0" w:line="480" w:lineRule="auto"/>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测试孔</w:t>
            </w:r>
          </w:p>
        </w:tc>
        <w:tc>
          <w:tcPr>
            <w:tcW w:w="3806" w:type="pct"/>
            <w:vAlign w:val="center"/>
          </w:tcPr>
          <w:p w14:paraId="0CC671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舱体安装1个Φ50mm测试孔，配硅胶塞和不锈钢盖</w:t>
            </w:r>
          </w:p>
        </w:tc>
      </w:tr>
      <w:tr w14:paraId="334E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1296636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2.2</w:t>
            </w:r>
          </w:p>
        </w:tc>
        <w:tc>
          <w:tcPr>
            <w:tcW w:w="673" w:type="pct"/>
            <w:shd w:val="clear" w:color="auto" w:fill="auto"/>
            <w:vAlign w:val="top"/>
          </w:tcPr>
          <w:p w14:paraId="61E36759">
            <w:pPr>
              <w:keepNext w:val="0"/>
              <w:keepLines w:val="0"/>
              <w:suppressLineNumbers w:val="0"/>
              <w:spacing w:before="0" w:beforeAutospacing="0" w:after="0" w:afterAutospacing="0" w:line="480" w:lineRule="auto"/>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排水孔</w:t>
            </w:r>
          </w:p>
        </w:tc>
        <w:tc>
          <w:tcPr>
            <w:tcW w:w="3806" w:type="pct"/>
            <w:vAlign w:val="center"/>
          </w:tcPr>
          <w:p w14:paraId="08DEE7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箱内底部安装有排水孔并压有水线，便于冷凝水或消防水排出</w:t>
            </w:r>
          </w:p>
        </w:tc>
      </w:tr>
      <w:tr w14:paraId="22E38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811695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2.3</w:t>
            </w:r>
          </w:p>
        </w:tc>
        <w:tc>
          <w:tcPr>
            <w:tcW w:w="673" w:type="pct"/>
            <w:shd w:val="clear" w:color="auto" w:fill="auto"/>
            <w:vAlign w:val="top"/>
          </w:tcPr>
          <w:p w14:paraId="0612ACF8">
            <w:pPr>
              <w:keepNext w:val="0"/>
              <w:keepLines w:val="0"/>
              <w:suppressLineNumbers w:val="0"/>
              <w:spacing w:before="0" w:beforeAutospacing="0" w:after="0" w:afterAutospacing="0" w:line="480" w:lineRule="auto"/>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平衡孔</w:t>
            </w:r>
          </w:p>
        </w:tc>
        <w:tc>
          <w:tcPr>
            <w:tcW w:w="3806" w:type="pct"/>
            <w:vAlign w:val="center"/>
          </w:tcPr>
          <w:p w14:paraId="58B92D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箱内安装有压力平衡孔，以平衡箱内外压力</w:t>
            </w:r>
          </w:p>
        </w:tc>
      </w:tr>
      <w:tr w14:paraId="4D54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2F633CC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2.4</w:t>
            </w:r>
          </w:p>
        </w:tc>
        <w:tc>
          <w:tcPr>
            <w:tcW w:w="673" w:type="pct"/>
            <w:shd w:val="clear" w:color="auto" w:fill="auto"/>
            <w:vAlign w:val="top"/>
          </w:tcPr>
          <w:p w14:paraId="3CE39C53">
            <w:pPr>
              <w:keepNext w:val="0"/>
              <w:keepLines w:val="0"/>
              <w:suppressLineNumbers w:val="0"/>
              <w:spacing w:before="0" w:beforeAutospacing="0" w:after="0" w:afterAutospacing="0" w:line="480" w:lineRule="auto"/>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脚轮脚杯</w:t>
            </w:r>
          </w:p>
        </w:tc>
        <w:tc>
          <w:tcPr>
            <w:tcW w:w="3806" w:type="pct"/>
            <w:vAlign w:val="center"/>
          </w:tcPr>
          <w:p w14:paraId="05C26B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设备底部安装有4套万向轮和脚杯，方便设备移动、固定和调节水平</w:t>
            </w:r>
          </w:p>
        </w:tc>
      </w:tr>
      <w:tr w14:paraId="0E2C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3FA0C37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w:t>
            </w:r>
          </w:p>
        </w:tc>
        <w:tc>
          <w:tcPr>
            <w:tcW w:w="4479" w:type="pct"/>
            <w:gridSpan w:val="2"/>
            <w:shd w:val="clear" w:color="auto" w:fill="auto"/>
            <w:vAlign w:val="center"/>
          </w:tcPr>
          <w:p w14:paraId="43F0CAF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安全配置</w:t>
            </w:r>
          </w:p>
        </w:tc>
      </w:tr>
      <w:tr w14:paraId="01C97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1FDF1F6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3.1</w:t>
            </w:r>
          </w:p>
        </w:tc>
        <w:tc>
          <w:tcPr>
            <w:tcW w:w="673" w:type="pct"/>
            <w:shd w:val="clear" w:color="auto" w:fill="auto"/>
            <w:vAlign w:val="top"/>
          </w:tcPr>
          <w:p w14:paraId="3EA1E93C">
            <w:pPr>
              <w:pStyle w:val="24"/>
              <w:keepNext w:val="0"/>
              <w:keepLines w:val="0"/>
              <w:suppressLineNumbers w:val="0"/>
              <w:spacing w:before="99" w:beforeAutospacing="0" w:after="0" w:afterAutospacing="0" w:line="480" w:lineRule="auto"/>
              <w:ind w:left="111" w:leftChars="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三色灯</w:t>
            </w:r>
          </w:p>
        </w:tc>
        <w:tc>
          <w:tcPr>
            <w:tcW w:w="3806" w:type="pct"/>
            <w:vAlign w:val="center"/>
          </w:tcPr>
          <w:p w14:paraId="30730F47">
            <w:pPr>
              <w:pStyle w:val="2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设备顶部安装三色灯，用于指示设备的运行状态，具有声光报警功能</w:t>
            </w:r>
          </w:p>
        </w:tc>
      </w:tr>
      <w:tr w14:paraId="45EEC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FFC915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3.2</w:t>
            </w:r>
          </w:p>
        </w:tc>
        <w:tc>
          <w:tcPr>
            <w:tcW w:w="673" w:type="pct"/>
            <w:shd w:val="clear" w:color="auto" w:fill="auto"/>
            <w:vAlign w:val="top"/>
          </w:tcPr>
          <w:p w14:paraId="3D5027C0">
            <w:pPr>
              <w:pStyle w:val="24"/>
              <w:keepNext w:val="0"/>
              <w:keepLines w:val="0"/>
              <w:suppressLineNumbers w:val="0"/>
              <w:spacing w:before="100" w:beforeAutospacing="0" w:after="0" w:afterAutospacing="0" w:line="720" w:lineRule="auto"/>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防爆链</w:t>
            </w:r>
          </w:p>
        </w:tc>
        <w:tc>
          <w:tcPr>
            <w:tcW w:w="3806" w:type="pct"/>
            <w:vAlign w:val="center"/>
          </w:tcPr>
          <w:p w14:paraId="1BAEEF68">
            <w:pPr>
              <w:pStyle w:val="2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26"/>
              <w:jc w:val="left"/>
              <w:textAlignment w:val="auto"/>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如果试验过程中出现爆炸将试验箱门冲飞，则会造成伤人等事件，为此在门和门框之间</w:t>
            </w:r>
            <w:r>
              <w:rPr>
                <w:rFonts w:hint="eastAsia" w:ascii="Times New Roman" w:hAnsi="Times New Roman" w:cs="Times New Roman"/>
                <w:color w:val="000000"/>
                <w:kern w:val="2"/>
                <w:sz w:val="21"/>
                <w:szCs w:val="21"/>
                <w:lang w:val="en-US" w:eastAsia="zh-CN" w:bidi="ar-SA"/>
              </w:rPr>
              <w:t>需要</w:t>
            </w:r>
            <w:r>
              <w:rPr>
                <w:rFonts w:hint="eastAsia" w:ascii="Times New Roman" w:hAnsi="Times New Roman" w:eastAsia="宋体" w:cs="Times New Roman"/>
                <w:color w:val="000000"/>
                <w:kern w:val="2"/>
                <w:sz w:val="21"/>
                <w:szCs w:val="21"/>
                <w:lang w:val="en-US" w:eastAsia="zh-CN" w:bidi="ar-SA"/>
              </w:rPr>
              <w:t>安装 4 套Φ8mm 的不锈钢链条，即使箱门冲开，也有此链连接，不会飞远，无法造成二次伤害</w:t>
            </w:r>
          </w:p>
        </w:tc>
      </w:tr>
      <w:tr w14:paraId="35D8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2F3D62B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3.3</w:t>
            </w:r>
          </w:p>
        </w:tc>
        <w:tc>
          <w:tcPr>
            <w:tcW w:w="673" w:type="pct"/>
            <w:shd w:val="clear" w:color="auto" w:fill="auto"/>
            <w:vAlign w:val="center"/>
          </w:tcPr>
          <w:p w14:paraId="3354AFAE">
            <w:pPr>
              <w:pStyle w:val="24"/>
              <w:keepNext w:val="0"/>
              <w:keepLines w:val="0"/>
              <w:suppressLineNumbers w:val="0"/>
              <w:spacing w:before="102" w:beforeAutospacing="0" w:after="0" w:afterAutospacing="0" w:line="480" w:lineRule="auto"/>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泄压系统</w:t>
            </w:r>
          </w:p>
        </w:tc>
        <w:tc>
          <w:tcPr>
            <w:tcW w:w="3806" w:type="pct"/>
            <w:vAlign w:val="center"/>
          </w:tcPr>
          <w:p w14:paraId="0953E6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设备安装有 1 个泄压门，当箱体内压力过大时候，冲开泄压门泄压，将箱体内部的压力迅速释放，确保设备的安全</w:t>
            </w:r>
          </w:p>
        </w:tc>
      </w:tr>
      <w:tr w14:paraId="72022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463CD0F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3.4</w:t>
            </w:r>
          </w:p>
        </w:tc>
        <w:tc>
          <w:tcPr>
            <w:tcW w:w="673" w:type="pct"/>
            <w:shd w:val="clear" w:color="auto" w:fill="auto"/>
            <w:vAlign w:val="center"/>
          </w:tcPr>
          <w:p w14:paraId="34C132DB">
            <w:pPr>
              <w:pStyle w:val="24"/>
              <w:keepNext w:val="0"/>
              <w:keepLines w:val="0"/>
              <w:suppressLineNumbers w:val="0"/>
              <w:spacing w:before="102" w:beforeAutospacing="0" w:after="0" w:afterAutospacing="0" w:line="720" w:lineRule="auto"/>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烟感系统</w:t>
            </w:r>
          </w:p>
        </w:tc>
        <w:tc>
          <w:tcPr>
            <w:tcW w:w="3806" w:type="pct"/>
            <w:vAlign w:val="center"/>
          </w:tcPr>
          <w:p w14:paraId="33D998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当箱体产生烟雾时迅速声光报警，并可触发排风系统将烟雾排出，烟感报警时，环境箱停止运行。由于箱体内部高低温循环易损烟感器，所以，将烟感器安装在箱体外部，用一微型气泵，时刻将箱体内部的空气泵入烟感器中，可避免烟感器的损坏</w:t>
            </w:r>
          </w:p>
        </w:tc>
      </w:tr>
      <w:tr w14:paraId="2597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61E9312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3.5</w:t>
            </w:r>
          </w:p>
        </w:tc>
        <w:tc>
          <w:tcPr>
            <w:tcW w:w="673" w:type="pct"/>
            <w:shd w:val="clear" w:color="auto" w:fill="auto"/>
            <w:vAlign w:val="center"/>
          </w:tcPr>
          <w:p w14:paraId="098922A4">
            <w:pPr>
              <w:pStyle w:val="24"/>
              <w:keepNext w:val="0"/>
              <w:keepLines w:val="0"/>
              <w:suppressLineNumbers w:val="0"/>
              <w:spacing w:before="104" w:beforeAutospacing="0" w:after="0" w:afterAutospacing="0" w:line="480" w:lineRule="auto"/>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灭火管道</w:t>
            </w:r>
          </w:p>
        </w:tc>
        <w:tc>
          <w:tcPr>
            <w:tcW w:w="3806" w:type="pct"/>
            <w:vAlign w:val="center"/>
          </w:tcPr>
          <w:p w14:paraId="436DE4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预留全氟己酮灭火管道，管径为DN15</w:t>
            </w:r>
          </w:p>
        </w:tc>
      </w:tr>
      <w:tr w14:paraId="79F8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95662A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w:t>
            </w:r>
          </w:p>
        </w:tc>
        <w:tc>
          <w:tcPr>
            <w:tcW w:w="4479" w:type="pct"/>
            <w:gridSpan w:val="2"/>
            <w:shd w:val="clear" w:color="auto" w:fill="auto"/>
            <w:vAlign w:val="center"/>
          </w:tcPr>
          <w:p w14:paraId="1F984DF2">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循环系统</w:t>
            </w:r>
          </w:p>
        </w:tc>
      </w:tr>
      <w:tr w14:paraId="21E6A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20" w:type="pct"/>
            <w:shd w:val="clear" w:color="auto" w:fill="auto"/>
            <w:vAlign w:val="center"/>
          </w:tcPr>
          <w:p w14:paraId="77BD995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4.1</w:t>
            </w:r>
          </w:p>
        </w:tc>
        <w:tc>
          <w:tcPr>
            <w:tcW w:w="673" w:type="pct"/>
            <w:shd w:val="clear" w:color="auto" w:fill="auto"/>
            <w:vAlign w:val="center"/>
          </w:tcPr>
          <w:p w14:paraId="5622F1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720" w:lineRule="auto"/>
              <w:ind w:left="0" w:leftChars="0" w:right="0" w:rightChars="0"/>
              <w:jc w:val="center"/>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送风方式</w:t>
            </w:r>
          </w:p>
        </w:tc>
        <w:tc>
          <w:tcPr>
            <w:tcW w:w="3806" w:type="pct"/>
            <w:vAlign w:val="center"/>
          </w:tcPr>
          <w:p w14:paraId="0B2581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采用强制内部循环，水平送风循环模式。侧面整面送风可以将冷、热风分散到整个库体内部，均匀、稳定。</w:t>
            </w:r>
          </w:p>
        </w:tc>
      </w:tr>
      <w:tr w14:paraId="42B3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20" w:type="pct"/>
            <w:shd w:val="clear" w:color="auto" w:fill="auto"/>
            <w:vAlign w:val="center"/>
          </w:tcPr>
          <w:p w14:paraId="6C11774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4.2</w:t>
            </w:r>
          </w:p>
        </w:tc>
        <w:tc>
          <w:tcPr>
            <w:tcW w:w="673" w:type="pct"/>
            <w:shd w:val="clear" w:color="auto" w:fill="auto"/>
            <w:vAlign w:val="center"/>
          </w:tcPr>
          <w:p w14:paraId="1A8D28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720" w:lineRule="auto"/>
              <w:ind w:left="0" w:leftChars="0" w:right="0" w:rightChars="0"/>
              <w:jc w:val="center"/>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循环马达</w:t>
            </w:r>
          </w:p>
        </w:tc>
        <w:tc>
          <w:tcPr>
            <w:tcW w:w="3806" w:type="pct"/>
            <w:vAlign w:val="center"/>
          </w:tcPr>
          <w:p w14:paraId="4A81D8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长轴马达，主体放置在库体外部，不受库体内部温湿度的影响，长轴直接深入库体内部，硅胶绝热，密封</w:t>
            </w:r>
          </w:p>
        </w:tc>
      </w:tr>
      <w:tr w14:paraId="1E30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20" w:type="pct"/>
            <w:shd w:val="clear" w:color="auto" w:fill="auto"/>
            <w:vAlign w:val="center"/>
          </w:tcPr>
          <w:p w14:paraId="30FF133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4.3</w:t>
            </w:r>
          </w:p>
        </w:tc>
        <w:tc>
          <w:tcPr>
            <w:tcW w:w="673" w:type="pct"/>
            <w:shd w:val="clear" w:color="auto" w:fill="auto"/>
            <w:vAlign w:val="center"/>
          </w:tcPr>
          <w:p w14:paraId="1C5190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720" w:lineRule="auto"/>
              <w:ind w:left="0" w:leftChars="0" w:right="0" w:rightChars="0"/>
              <w:jc w:val="center"/>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离心风轮</w:t>
            </w:r>
          </w:p>
        </w:tc>
        <w:tc>
          <w:tcPr>
            <w:tcW w:w="3806" w:type="pct"/>
            <w:vAlign w:val="center"/>
          </w:tcPr>
          <w:p w14:paraId="641647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多翼离心式循环铝风轮,具有质轻、风量大、风压强等特点，且耐高低温，膨胀系数小，运行噪音小</w:t>
            </w:r>
          </w:p>
        </w:tc>
      </w:tr>
      <w:tr w14:paraId="161D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20" w:type="pct"/>
            <w:shd w:val="clear" w:color="auto" w:fill="auto"/>
            <w:vAlign w:val="center"/>
          </w:tcPr>
          <w:p w14:paraId="36E80A8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4.4</w:t>
            </w:r>
          </w:p>
        </w:tc>
        <w:tc>
          <w:tcPr>
            <w:tcW w:w="673" w:type="pct"/>
            <w:shd w:val="clear" w:color="auto" w:fill="auto"/>
            <w:vAlign w:val="center"/>
          </w:tcPr>
          <w:p w14:paraId="73DAAC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720" w:lineRule="auto"/>
              <w:ind w:left="0" w:leftChars="0" w:right="0" w:rightChars="0"/>
              <w:jc w:val="center"/>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循环风道</w:t>
            </w:r>
          </w:p>
        </w:tc>
        <w:tc>
          <w:tcPr>
            <w:tcW w:w="3806" w:type="pct"/>
            <w:vAlign w:val="center"/>
          </w:tcPr>
          <w:p w14:paraId="2BE6AF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jc w:val="both"/>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循环风道与冷冻加热系统匹配，封板紧贴蒸发器、加热管，循环风可充分带走蒸发器和加热管的冷能和热能</w:t>
            </w:r>
          </w:p>
        </w:tc>
      </w:tr>
      <w:tr w14:paraId="6A4A8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20" w:type="pct"/>
            <w:shd w:val="clear" w:color="auto" w:fill="auto"/>
            <w:vAlign w:val="center"/>
          </w:tcPr>
          <w:p w14:paraId="3D013C8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4.5</w:t>
            </w:r>
          </w:p>
        </w:tc>
        <w:tc>
          <w:tcPr>
            <w:tcW w:w="673" w:type="pct"/>
            <w:vAlign w:val="center"/>
          </w:tcPr>
          <w:p w14:paraId="1ED2A1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720" w:lineRule="auto"/>
              <w:ind w:left="0" w:leftChars="0" w:right="0" w:rightChars="0"/>
              <w:jc w:val="center"/>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传感器</w:t>
            </w:r>
          </w:p>
        </w:tc>
        <w:tc>
          <w:tcPr>
            <w:tcW w:w="3806" w:type="pct"/>
            <w:vAlign w:val="center"/>
          </w:tcPr>
          <w:p w14:paraId="1DDFC3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A级铂电阻 PT100+T温湿度传感器 ，运行稳定、检测准确</w:t>
            </w:r>
          </w:p>
        </w:tc>
      </w:tr>
      <w:tr w14:paraId="3462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53811D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5</w:t>
            </w:r>
          </w:p>
        </w:tc>
        <w:tc>
          <w:tcPr>
            <w:tcW w:w="4479" w:type="pct"/>
            <w:gridSpan w:val="2"/>
            <w:shd w:val="clear" w:color="auto" w:fill="auto"/>
            <w:vAlign w:val="center"/>
          </w:tcPr>
          <w:p w14:paraId="1954FE6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控制系统</w:t>
            </w:r>
          </w:p>
        </w:tc>
      </w:tr>
      <w:tr w14:paraId="7F11D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B4BAC1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5.1</w:t>
            </w:r>
          </w:p>
        </w:tc>
        <w:tc>
          <w:tcPr>
            <w:tcW w:w="673" w:type="pct"/>
            <w:vAlign w:val="center"/>
          </w:tcPr>
          <w:p w14:paraId="6176532A">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控制方式</w:t>
            </w:r>
          </w:p>
        </w:tc>
        <w:tc>
          <w:tcPr>
            <w:tcW w:w="3806" w:type="pct"/>
            <w:vAlign w:val="center"/>
          </w:tcPr>
          <w:p w14:paraId="1BF5C1B4">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彩色触摸屏+PLC 控制系统；</w:t>
            </w:r>
          </w:p>
        </w:tc>
      </w:tr>
      <w:tr w14:paraId="2D676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1F16FDD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5.2</w:t>
            </w:r>
          </w:p>
        </w:tc>
        <w:tc>
          <w:tcPr>
            <w:tcW w:w="673" w:type="pct"/>
            <w:vAlign w:val="center"/>
          </w:tcPr>
          <w:p w14:paraId="23714E57">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显示</w:t>
            </w:r>
          </w:p>
        </w:tc>
        <w:tc>
          <w:tcPr>
            <w:tcW w:w="3806" w:type="pct"/>
            <w:vAlign w:val="center"/>
          </w:tcPr>
          <w:p w14:paraId="3BB5A77E">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7寸真彩色LED 背光显示屏幕；温湿度设定，实际值直接显示；中文/英文语言切换显示，真彩触摸式输入；可显示执行程序号码、段次、剩余时间及循环次数,运转时间显示；程序编辑以及图形曲线显示</w:t>
            </w:r>
          </w:p>
        </w:tc>
      </w:tr>
      <w:tr w14:paraId="37A99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4B9D00D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5.3</w:t>
            </w:r>
          </w:p>
        </w:tc>
        <w:tc>
          <w:tcPr>
            <w:tcW w:w="673" w:type="pct"/>
            <w:vAlign w:val="center"/>
          </w:tcPr>
          <w:p w14:paraId="44A97957">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数据记录</w:t>
            </w:r>
          </w:p>
        </w:tc>
        <w:tc>
          <w:tcPr>
            <w:tcW w:w="3806" w:type="pct"/>
            <w:vAlign w:val="center"/>
          </w:tcPr>
          <w:p w14:paraId="00730C04">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内置记录程序，控制器内记忆体可存储24H 运行3个月。可自动生成温湿度曲线文件，数据，操作记录，报警记录等，能以数字和图形形式表述设定值和实际值、循环数、温度段、温度值、时间等</w:t>
            </w:r>
          </w:p>
        </w:tc>
      </w:tr>
      <w:tr w14:paraId="337E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B6EC27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5.4</w:t>
            </w:r>
          </w:p>
        </w:tc>
        <w:tc>
          <w:tcPr>
            <w:tcW w:w="673" w:type="pct"/>
            <w:vAlign w:val="center"/>
          </w:tcPr>
          <w:p w14:paraId="2A659507">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外部连接</w:t>
            </w:r>
          </w:p>
        </w:tc>
        <w:tc>
          <w:tcPr>
            <w:tcW w:w="3806" w:type="pct"/>
            <w:vAlign w:val="center"/>
          </w:tcPr>
          <w:p w14:paraId="7C6E2888">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支持 RS-485/RS-232、USB、LAN 等方式通讯，专用的网络控制软件，可远程监控，数据采集，最多连接254台，最大通信速度 115200bps</w:t>
            </w:r>
          </w:p>
        </w:tc>
      </w:tr>
      <w:tr w14:paraId="7FFB1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CB752C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5.5</w:t>
            </w:r>
          </w:p>
        </w:tc>
        <w:tc>
          <w:tcPr>
            <w:tcW w:w="673" w:type="pct"/>
            <w:vAlign w:val="center"/>
          </w:tcPr>
          <w:p w14:paraId="7D1D3D1F">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时序控制</w:t>
            </w:r>
          </w:p>
        </w:tc>
        <w:tc>
          <w:tcPr>
            <w:tcW w:w="3806" w:type="pct"/>
            <w:vAlign w:val="center"/>
          </w:tcPr>
          <w:p w14:paraId="65AC9726">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内置记录程序，控制器内记忆体可存储 24H 运行 3个月，可自动生成温湿度曲线文件，数据，操作记录，报警记录等，能以数字和图形形式表述设定值和实际值、循环数、温度段、温度值、时间等</w:t>
            </w:r>
          </w:p>
        </w:tc>
      </w:tr>
      <w:tr w14:paraId="2DBB1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DD4E16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5.6</w:t>
            </w:r>
          </w:p>
        </w:tc>
        <w:tc>
          <w:tcPr>
            <w:tcW w:w="673" w:type="pct"/>
            <w:vAlign w:val="center"/>
          </w:tcPr>
          <w:p w14:paraId="66BC749A">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故障显示</w:t>
            </w:r>
          </w:p>
        </w:tc>
        <w:tc>
          <w:tcPr>
            <w:tcW w:w="3806" w:type="pct"/>
            <w:vAlign w:val="center"/>
          </w:tcPr>
          <w:p w14:paraId="753E7E66">
            <w:pPr>
              <w:keepNext w:val="0"/>
              <w:keepLines w:val="0"/>
              <w:suppressLineNumbers w:val="0"/>
              <w:spacing w:before="0" w:beforeAutospacing="0" w:after="0" w:afterAutospacing="0"/>
              <w:ind w:left="0" w:leftChars="0" w:right="0" w:rightChars="0"/>
              <w:jc w:val="both"/>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十六组故障报警输出，中英文人性化提示故障原因及排除方法</w:t>
            </w:r>
          </w:p>
        </w:tc>
      </w:tr>
      <w:tr w14:paraId="70F02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8709E7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5.7</w:t>
            </w:r>
          </w:p>
        </w:tc>
        <w:tc>
          <w:tcPr>
            <w:tcW w:w="673" w:type="pct"/>
            <w:vAlign w:val="center"/>
          </w:tcPr>
          <w:p w14:paraId="3D588A81">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预约控制</w:t>
            </w:r>
          </w:p>
        </w:tc>
        <w:tc>
          <w:tcPr>
            <w:tcW w:w="3806" w:type="pct"/>
            <w:vAlign w:val="center"/>
          </w:tcPr>
          <w:p w14:paraId="275875BE">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具有程式提前设定输出开机、冷媒流量控制功能、控制压缩机延时，缺水提前提示，自动关灯等许多人性化的控制，无需外加时间继电器</w:t>
            </w:r>
          </w:p>
        </w:tc>
      </w:tr>
      <w:tr w14:paraId="3C9D1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37CA0D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5.8</w:t>
            </w:r>
          </w:p>
        </w:tc>
        <w:tc>
          <w:tcPr>
            <w:tcW w:w="673" w:type="pct"/>
            <w:vAlign w:val="center"/>
          </w:tcPr>
          <w:p w14:paraId="2F419963">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断电恢复</w:t>
            </w:r>
          </w:p>
        </w:tc>
        <w:tc>
          <w:tcPr>
            <w:tcW w:w="3806" w:type="pct"/>
            <w:vAlign w:val="center"/>
          </w:tcPr>
          <w:p w14:paraId="4F38DA4D">
            <w:pPr>
              <w:keepNext w:val="0"/>
              <w:keepLines w:val="0"/>
              <w:suppressLineNumbers w:val="0"/>
              <w:spacing w:before="0" w:beforeAutospacing="0" w:after="0" w:afterAutospacing="0"/>
              <w:ind w:left="0" w:leftChars="0" w:right="0" w:rightChars="0"/>
              <w:jc w:val="both"/>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具有断电记忆自动恢复功能，可设定选择继续完成设定试验或从新开始试验。断电时间、次数会自动生成报表记录存储，方便调查评估</w:t>
            </w:r>
          </w:p>
        </w:tc>
      </w:tr>
      <w:tr w14:paraId="476A9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vAlign w:val="center"/>
          </w:tcPr>
          <w:p w14:paraId="33DCC0B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6</w:t>
            </w:r>
          </w:p>
        </w:tc>
        <w:tc>
          <w:tcPr>
            <w:tcW w:w="4479" w:type="pct"/>
            <w:gridSpan w:val="2"/>
            <w:shd w:val="clear" w:color="auto" w:fill="auto"/>
            <w:vAlign w:val="center"/>
          </w:tcPr>
          <w:p w14:paraId="09AE997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保护功能要求</w:t>
            </w:r>
          </w:p>
        </w:tc>
      </w:tr>
      <w:tr w14:paraId="73C0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3A67AA4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6.1</w:t>
            </w:r>
          </w:p>
        </w:tc>
        <w:tc>
          <w:tcPr>
            <w:tcW w:w="4479" w:type="pct"/>
            <w:gridSpan w:val="2"/>
            <w:shd w:val="clear" w:color="auto" w:fill="auto"/>
            <w:vAlign w:val="center"/>
          </w:tcPr>
          <w:p w14:paraId="7152D764">
            <w:pPr>
              <w:keepNext w:val="0"/>
              <w:keepLines w:val="0"/>
              <w:suppressLineNumbers w:val="0"/>
              <w:spacing w:before="0" w:beforeAutospacing="0" w:after="0" w:afterAutospacing="0"/>
              <w:ind w:left="0" w:leftChars="0" w:right="0" w:rightChars="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压缩机过热、过流、超压、欠压保护</w:t>
            </w:r>
          </w:p>
        </w:tc>
      </w:tr>
      <w:tr w14:paraId="65912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093AE53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6.2</w:t>
            </w:r>
          </w:p>
        </w:tc>
        <w:tc>
          <w:tcPr>
            <w:tcW w:w="4479" w:type="pct"/>
            <w:gridSpan w:val="2"/>
            <w:shd w:val="clear" w:color="auto" w:fill="auto"/>
            <w:vAlign w:val="center"/>
          </w:tcPr>
          <w:p w14:paraId="166C875F">
            <w:pPr>
              <w:keepNext w:val="0"/>
              <w:keepLines w:val="0"/>
              <w:suppressLineNumbers w:val="0"/>
              <w:spacing w:before="0" w:beforeAutospacing="0" w:after="0" w:afterAutospacing="0"/>
              <w:ind w:left="0" w:leftChars="0" w:right="0" w:rightChars="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电源缺相、相序错误、相不平衡保护</w:t>
            </w:r>
          </w:p>
        </w:tc>
      </w:tr>
      <w:tr w14:paraId="73E02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18295C8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6.3</w:t>
            </w:r>
          </w:p>
        </w:tc>
        <w:tc>
          <w:tcPr>
            <w:tcW w:w="4479" w:type="pct"/>
            <w:gridSpan w:val="2"/>
            <w:shd w:val="clear" w:color="auto" w:fill="auto"/>
            <w:vAlign w:val="center"/>
          </w:tcPr>
          <w:p w14:paraId="5927AC7C">
            <w:pPr>
              <w:keepNext w:val="0"/>
              <w:keepLines w:val="0"/>
              <w:suppressLineNumbers w:val="0"/>
              <w:spacing w:before="0" w:beforeAutospacing="0" w:after="0" w:afterAutospacing="0"/>
              <w:ind w:left="0" w:leftChars="0" w:right="0" w:rightChars="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电机过热保护</w:t>
            </w:r>
          </w:p>
        </w:tc>
      </w:tr>
      <w:tr w14:paraId="7EAAF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33E426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6.4</w:t>
            </w:r>
          </w:p>
        </w:tc>
        <w:tc>
          <w:tcPr>
            <w:tcW w:w="4479" w:type="pct"/>
            <w:gridSpan w:val="2"/>
            <w:shd w:val="clear" w:color="auto" w:fill="auto"/>
            <w:vAlign w:val="center"/>
          </w:tcPr>
          <w:p w14:paraId="3DABA96A">
            <w:pPr>
              <w:keepNext w:val="0"/>
              <w:keepLines w:val="0"/>
              <w:suppressLineNumbers w:val="0"/>
              <w:spacing w:before="0" w:beforeAutospacing="0" w:after="0" w:afterAutospacing="0"/>
              <w:ind w:left="0" w:leftChars="0" w:right="0" w:rightChars="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加热器超温保护</w:t>
            </w:r>
          </w:p>
        </w:tc>
      </w:tr>
      <w:tr w14:paraId="6BF2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456F5B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6.5</w:t>
            </w:r>
          </w:p>
        </w:tc>
        <w:tc>
          <w:tcPr>
            <w:tcW w:w="4479" w:type="pct"/>
            <w:gridSpan w:val="2"/>
            <w:shd w:val="clear" w:color="auto" w:fill="auto"/>
            <w:vAlign w:val="center"/>
          </w:tcPr>
          <w:p w14:paraId="15AB67B2">
            <w:pPr>
              <w:keepNext w:val="0"/>
              <w:keepLines w:val="0"/>
              <w:suppressLineNumbers w:val="0"/>
              <w:spacing w:before="0" w:beforeAutospacing="0" w:after="0" w:afterAutospacing="0"/>
              <w:ind w:left="0" w:leftChars="0" w:right="0" w:rightChars="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无熔丝保护开关</w:t>
            </w:r>
          </w:p>
        </w:tc>
      </w:tr>
      <w:tr w14:paraId="2C3EC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6885308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6.6</w:t>
            </w:r>
          </w:p>
        </w:tc>
        <w:tc>
          <w:tcPr>
            <w:tcW w:w="4479" w:type="pct"/>
            <w:gridSpan w:val="2"/>
            <w:shd w:val="clear" w:color="auto" w:fill="auto"/>
            <w:vAlign w:val="center"/>
          </w:tcPr>
          <w:p w14:paraId="13EF050B">
            <w:pPr>
              <w:keepNext w:val="0"/>
              <w:keepLines w:val="0"/>
              <w:suppressLineNumbers w:val="0"/>
              <w:spacing w:before="0" w:beforeAutospacing="0" w:after="0" w:afterAutospacing="0"/>
              <w:ind w:left="0" w:leftChars="0" w:right="0" w:rightChars="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试验箱外壳接地保护</w:t>
            </w:r>
          </w:p>
        </w:tc>
      </w:tr>
      <w:tr w14:paraId="080FB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3422EDA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6.7</w:t>
            </w:r>
          </w:p>
        </w:tc>
        <w:tc>
          <w:tcPr>
            <w:tcW w:w="4479" w:type="pct"/>
            <w:gridSpan w:val="2"/>
            <w:shd w:val="clear" w:color="auto" w:fill="auto"/>
            <w:vAlign w:val="center"/>
          </w:tcPr>
          <w:p w14:paraId="2034D258">
            <w:pPr>
              <w:keepNext w:val="0"/>
              <w:keepLines w:val="0"/>
              <w:suppressLineNumbers w:val="0"/>
              <w:spacing w:before="0" w:beforeAutospacing="0" w:after="0" w:afterAutospacing="0"/>
              <w:ind w:left="0" w:leftChars="0" w:right="0" w:rightChars="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工作室独立超温保护</w:t>
            </w:r>
          </w:p>
        </w:tc>
      </w:tr>
      <w:tr w14:paraId="4EB01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E90601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6.8</w:t>
            </w:r>
          </w:p>
        </w:tc>
        <w:tc>
          <w:tcPr>
            <w:tcW w:w="4479" w:type="pct"/>
            <w:gridSpan w:val="2"/>
            <w:shd w:val="clear" w:color="auto" w:fill="auto"/>
            <w:vAlign w:val="center"/>
          </w:tcPr>
          <w:p w14:paraId="3FAA6FE4">
            <w:pPr>
              <w:keepNext w:val="0"/>
              <w:keepLines w:val="0"/>
              <w:suppressLineNumbers w:val="0"/>
              <w:spacing w:before="0" w:beforeAutospacing="0" w:after="0" w:afterAutospacing="0"/>
              <w:ind w:left="0" w:leftChars="0" w:right="0" w:rightChars="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急停开关保护</w:t>
            </w:r>
          </w:p>
        </w:tc>
      </w:tr>
    </w:tbl>
    <w:p w14:paraId="2C3C6E5E">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default" w:ascii="Times New Roman" w:hAnsi="Times New Roman" w:eastAsia="宋体" w:cs="Times New Roman"/>
          <w:kern w:val="2"/>
          <w:sz w:val="24"/>
          <w:szCs w:val="22"/>
          <w:lang w:val="en-US" w:eastAsia="zh-CN" w:bidi="ar-SA"/>
        </w:rPr>
      </w:pPr>
      <w:r>
        <w:rPr>
          <w:rFonts w:hint="eastAsia" w:ascii="Times New Roman" w:hAnsi="Times New Roman" w:eastAsia="宋体" w:cs="Times New Roman"/>
          <w:kern w:val="2"/>
          <w:sz w:val="24"/>
          <w:szCs w:val="22"/>
          <w:lang w:val="en-US" w:eastAsia="zh-CN" w:bidi="ar-SA"/>
        </w:rPr>
        <w:t>（2）性能指标要求</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1772"/>
        <w:gridCol w:w="5878"/>
      </w:tblGrid>
      <w:tr w14:paraId="372B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510" w:type="pct"/>
            <w:vAlign w:val="center"/>
          </w:tcPr>
          <w:p w14:paraId="29A1C649">
            <w:pPr>
              <w:keepNext w:val="0"/>
              <w:keepLines w:val="0"/>
              <w:suppressLineNumbers w:val="0"/>
              <w:spacing w:before="0" w:beforeAutospacing="0" w:after="0" w:afterAutospacing="0"/>
              <w:ind w:left="0" w:right="0"/>
              <w:jc w:val="center"/>
              <w:rPr>
                <w:rFonts w:hint="eastAsia" w:ascii="Times New Roman" w:hAnsi="Times New Roman" w:eastAsia="宋体" w:cs="Times New Roman"/>
                <w:b/>
                <w:color w:val="000000"/>
                <w:szCs w:val="21"/>
                <w:lang w:val="en-US" w:eastAsia="zh-CN"/>
              </w:rPr>
            </w:pPr>
            <w:r>
              <w:rPr>
                <w:rFonts w:hint="eastAsia" w:ascii="Times New Roman" w:hAnsi="Times New Roman" w:eastAsia="宋体" w:cs="Times New Roman"/>
                <w:b/>
                <w:color w:val="000000"/>
                <w:szCs w:val="21"/>
                <w:lang w:val="en-US" w:eastAsia="zh-CN"/>
              </w:rPr>
              <w:t>序号</w:t>
            </w:r>
          </w:p>
        </w:tc>
        <w:tc>
          <w:tcPr>
            <w:tcW w:w="1040" w:type="pct"/>
            <w:vAlign w:val="center"/>
          </w:tcPr>
          <w:p w14:paraId="03FBA3A8">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lang w:val="en-US" w:eastAsia="zh-CN"/>
              </w:rPr>
              <w:t>性能</w:t>
            </w:r>
            <w:r>
              <w:rPr>
                <w:rFonts w:hint="default" w:ascii="Times New Roman" w:hAnsi="Times New Roman" w:eastAsia="宋体" w:cs="Times New Roman"/>
                <w:b/>
                <w:color w:val="000000"/>
                <w:szCs w:val="21"/>
              </w:rPr>
              <w:t>指标项</w:t>
            </w:r>
          </w:p>
        </w:tc>
        <w:tc>
          <w:tcPr>
            <w:tcW w:w="3449" w:type="pct"/>
            <w:vAlign w:val="center"/>
          </w:tcPr>
          <w:p w14:paraId="2792C85D">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lang w:val="en-US" w:eastAsia="zh-CN"/>
              </w:rPr>
              <w:t>性能</w:t>
            </w:r>
            <w:r>
              <w:rPr>
                <w:rFonts w:hint="default" w:ascii="Times New Roman" w:hAnsi="Times New Roman" w:eastAsia="宋体" w:cs="Times New Roman"/>
                <w:b/>
                <w:color w:val="000000"/>
                <w:szCs w:val="21"/>
              </w:rPr>
              <w:t>指标要求</w:t>
            </w:r>
          </w:p>
        </w:tc>
      </w:tr>
      <w:tr w14:paraId="0B65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510" w:type="pct"/>
            <w:vAlign w:val="center"/>
          </w:tcPr>
          <w:p w14:paraId="2CF2C76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w:t>
            </w:r>
          </w:p>
        </w:tc>
        <w:tc>
          <w:tcPr>
            <w:tcW w:w="4489" w:type="pct"/>
            <w:gridSpan w:val="2"/>
            <w:vAlign w:val="center"/>
          </w:tcPr>
          <w:p w14:paraId="5355E0D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供电要求</w:t>
            </w:r>
          </w:p>
        </w:tc>
      </w:tr>
      <w:tr w14:paraId="72AE6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510" w:type="pct"/>
            <w:vAlign w:val="center"/>
          </w:tcPr>
          <w:p w14:paraId="3E87629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1.1</w:t>
            </w:r>
          </w:p>
        </w:tc>
        <w:tc>
          <w:tcPr>
            <w:tcW w:w="1040" w:type="pct"/>
            <w:vAlign w:val="center"/>
          </w:tcPr>
          <w:p w14:paraId="03A98FC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供电电压</w:t>
            </w:r>
          </w:p>
        </w:tc>
        <w:tc>
          <w:tcPr>
            <w:tcW w:w="3449" w:type="pct"/>
            <w:vAlign w:val="center"/>
          </w:tcPr>
          <w:p w14:paraId="50A5D3C8">
            <w:pPr>
              <w:keepNext w:val="0"/>
              <w:keepLines w:val="0"/>
              <w:suppressLineNumbers w:val="0"/>
              <w:spacing w:before="0" w:beforeAutospacing="0" w:after="0" w:afterAutospacing="0"/>
              <w:ind w:left="0" w:right="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AC 380V(±38V)</w:t>
            </w:r>
          </w:p>
        </w:tc>
      </w:tr>
      <w:tr w14:paraId="082F5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510" w:type="pct"/>
            <w:shd w:val="clear" w:color="auto" w:fill="auto"/>
            <w:vAlign w:val="center"/>
          </w:tcPr>
          <w:p w14:paraId="058340C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1.2</w:t>
            </w:r>
          </w:p>
        </w:tc>
        <w:tc>
          <w:tcPr>
            <w:tcW w:w="1040" w:type="pct"/>
            <w:shd w:val="clear" w:color="auto" w:fill="auto"/>
            <w:vAlign w:val="center"/>
          </w:tcPr>
          <w:p w14:paraId="2ED708E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供电功率</w:t>
            </w:r>
          </w:p>
        </w:tc>
        <w:tc>
          <w:tcPr>
            <w:tcW w:w="3449" w:type="pct"/>
            <w:shd w:val="clear" w:color="auto" w:fill="auto"/>
            <w:vAlign w:val="center"/>
          </w:tcPr>
          <w:p w14:paraId="5C616B62">
            <w:pPr>
              <w:keepNext w:val="0"/>
              <w:keepLines w:val="0"/>
              <w:suppressLineNumbers w:val="0"/>
              <w:spacing w:before="0" w:beforeAutospacing="0" w:after="0" w:afterAutospacing="0"/>
              <w:ind w:left="0" w:right="0"/>
              <w:jc w:val="left"/>
              <w:rPr>
                <w:rFonts w:hint="default"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w:t>
            </w:r>
            <w:r>
              <w:rPr>
                <w:rFonts w:hint="eastAsia" w:ascii="Times New Roman" w:hAnsi="Times New Roman" w:eastAsia="宋体" w:cs="Times New Roman"/>
                <w:color w:val="000000"/>
                <w:szCs w:val="21"/>
                <w:lang w:val="en-US" w:eastAsia="zh-CN"/>
              </w:rPr>
              <w:t>17KW</w:t>
            </w:r>
          </w:p>
        </w:tc>
      </w:tr>
      <w:tr w14:paraId="2AA17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510" w:type="pct"/>
            <w:vAlign w:val="center"/>
          </w:tcPr>
          <w:p w14:paraId="2FDFB4B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w:t>
            </w:r>
          </w:p>
        </w:tc>
        <w:tc>
          <w:tcPr>
            <w:tcW w:w="4489" w:type="pct"/>
            <w:gridSpan w:val="2"/>
            <w:vAlign w:val="center"/>
          </w:tcPr>
          <w:p w14:paraId="79D230D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技术参数</w:t>
            </w:r>
          </w:p>
        </w:tc>
      </w:tr>
      <w:tr w14:paraId="7C6A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50BE225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w:t>
            </w:r>
          </w:p>
        </w:tc>
        <w:tc>
          <w:tcPr>
            <w:tcW w:w="1040" w:type="pct"/>
            <w:shd w:val="clear" w:color="auto" w:fill="auto"/>
            <w:vAlign w:val="center"/>
          </w:tcPr>
          <w:p w14:paraId="63D9477D">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有效容积</w:t>
            </w:r>
          </w:p>
        </w:tc>
        <w:tc>
          <w:tcPr>
            <w:tcW w:w="3449" w:type="pct"/>
            <w:shd w:val="clear" w:color="auto" w:fill="auto"/>
            <w:vAlign w:val="center"/>
          </w:tcPr>
          <w:p w14:paraId="5B46C90C">
            <w:pPr>
              <w:keepNext w:val="0"/>
              <w:keepLines w:val="0"/>
              <w:suppressLineNumbers w:val="0"/>
              <w:spacing w:before="0" w:beforeAutospacing="0" w:after="0" w:afterAutospacing="0"/>
              <w:ind w:left="0" w:right="0"/>
              <w:jc w:val="left"/>
              <w:rPr>
                <w:rFonts w:hint="default" w:ascii="Times New Roman" w:hAnsi="Times New Roman" w:eastAsia="宋体" w:cs="Times New Roman"/>
                <w:color w:val="000000"/>
                <w:kern w:val="2"/>
                <w:sz w:val="21"/>
                <w:szCs w:val="21"/>
                <w:lang w:val="en-US" w:eastAsia="zh-CN" w:bidi="ar-SA"/>
              </w:rPr>
            </w:pPr>
            <w:r>
              <w:rPr>
                <w:rFonts w:hint="eastAsia" w:ascii="宋体" w:hAnsi="宋体" w:eastAsia="宋体" w:cs="宋体"/>
                <w:szCs w:val="21"/>
              </w:rPr>
              <w:t>★</w:t>
            </w:r>
            <w:r>
              <w:rPr>
                <w:rFonts w:hint="eastAsia" w:ascii="Times New Roman" w:hAnsi="Times New Roman" w:eastAsia="宋体" w:cs="Times New Roman"/>
                <w:color w:val="000000"/>
                <w:kern w:val="2"/>
                <w:sz w:val="21"/>
                <w:szCs w:val="21"/>
                <w:lang w:val="en-US" w:eastAsia="zh-CN" w:bidi="ar-SA"/>
              </w:rPr>
              <w:t>≥180L*3</w:t>
            </w:r>
          </w:p>
        </w:tc>
      </w:tr>
      <w:tr w14:paraId="06AF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2F2FA012">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2.2</w:t>
            </w:r>
          </w:p>
        </w:tc>
        <w:tc>
          <w:tcPr>
            <w:tcW w:w="1040" w:type="pct"/>
            <w:shd w:val="clear" w:color="auto" w:fill="auto"/>
            <w:vAlign w:val="center"/>
          </w:tcPr>
          <w:p w14:paraId="031F70B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温度范围</w:t>
            </w:r>
          </w:p>
        </w:tc>
        <w:tc>
          <w:tcPr>
            <w:tcW w:w="3449" w:type="pct"/>
            <w:shd w:val="clear" w:color="auto" w:fill="auto"/>
            <w:vAlign w:val="center"/>
          </w:tcPr>
          <w:p w14:paraId="36E6B01B">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不少于-40℃~+85℃</w:t>
            </w:r>
          </w:p>
        </w:tc>
      </w:tr>
      <w:tr w14:paraId="5B989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5C41ACFB">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2.3</w:t>
            </w:r>
          </w:p>
        </w:tc>
        <w:tc>
          <w:tcPr>
            <w:tcW w:w="1040" w:type="pct"/>
            <w:shd w:val="clear" w:color="auto" w:fill="auto"/>
            <w:vAlign w:val="center"/>
          </w:tcPr>
          <w:p w14:paraId="7EDEC393">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显示精度</w:t>
            </w:r>
          </w:p>
        </w:tc>
        <w:tc>
          <w:tcPr>
            <w:tcW w:w="3449" w:type="pct"/>
            <w:shd w:val="clear" w:color="auto" w:fill="auto"/>
            <w:vAlign w:val="center"/>
          </w:tcPr>
          <w:p w14:paraId="603E3089">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szCs w:val="21"/>
              </w:rPr>
              <w:t>★</w:t>
            </w:r>
            <w:r>
              <w:rPr>
                <w:rFonts w:hint="eastAsia" w:ascii="Times New Roman" w:hAnsi="Times New Roman" w:eastAsia="宋体" w:cs="Times New Roman"/>
                <w:color w:val="000000"/>
                <w:kern w:val="2"/>
                <w:sz w:val="21"/>
                <w:szCs w:val="21"/>
                <w:lang w:val="en-US" w:eastAsia="zh-CN" w:bidi="ar-SA"/>
              </w:rPr>
              <w:t>0.01℃</w:t>
            </w:r>
          </w:p>
        </w:tc>
      </w:tr>
      <w:tr w14:paraId="6BA6C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59C59A9E">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2.4</w:t>
            </w:r>
          </w:p>
        </w:tc>
        <w:tc>
          <w:tcPr>
            <w:tcW w:w="1040" w:type="pct"/>
            <w:shd w:val="clear" w:color="auto" w:fill="auto"/>
            <w:vAlign w:val="center"/>
          </w:tcPr>
          <w:p w14:paraId="15AB3427">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温度波动度</w:t>
            </w:r>
          </w:p>
        </w:tc>
        <w:tc>
          <w:tcPr>
            <w:tcW w:w="3449" w:type="pct"/>
            <w:shd w:val="clear" w:color="auto" w:fill="auto"/>
            <w:vAlign w:val="center"/>
          </w:tcPr>
          <w:p w14:paraId="764AC117">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szCs w:val="21"/>
              </w:rPr>
              <w:t>★</w:t>
            </w:r>
            <w:r>
              <w:rPr>
                <w:rFonts w:hint="eastAsia" w:ascii="Times New Roman" w:hAnsi="Times New Roman" w:eastAsia="宋体" w:cs="Times New Roman"/>
                <w:color w:val="000000"/>
                <w:kern w:val="2"/>
                <w:sz w:val="21"/>
                <w:szCs w:val="21"/>
                <w:lang w:val="en-US" w:eastAsia="zh-CN" w:bidi="ar-SA"/>
              </w:rPr>
              <w:t>≤±0.5℃</w:t>
            </w:r>
          </w:p>
        </w:tc>
      </w:tr>
      <w:tr w14:paraId="68D2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6E0299B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2.5</w:t>
            </w:r>
          </w:p>
        </w:tc>
        <w:tc>
          <w:tcPr>
            <w:tcW w:w="1040" w:type="pct"/>
            <w:shd w:val="clear" w:color="auto" w:fill="auto"/>
            <w:vAlign w:val="center"/>
          </w:tcPr>
          <w:p w14:paraId="72771537">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温度偏差</w:t>
            </w:r>
          </w:p>
        </w:tc>
        <w:tc>
          <w:tcPr>
            <w:tcW w:w="3449" w:type="pct"/>
            <w:shd w:val="clear" w:color="auto" w:fill="auto"/>
            <w:vAlign w:val="center"/>
          </w:tcPr>
          <w:p w14:paraId="00004358">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szCs w:val="21"/>
              </w:rPr>
              <w:t>★</w:t>
            </w:r>
            <w:r>
              <w:rPr>
                <w:rFonts w:hint="eastAsia" w:ascii="Times New Roman" w:hAnsi="Times New Roman" w:eastAsia="宋体" w:cs="Times New Roman"/>
                <w:color w:val="000000"/>
                <w:kern w:val="2"/>
                <w:sz w:val="21"/>
                <w:szCs w:val="21"/>
                <w:lang w:val="en-US" w:eastAsia="zh-CN" w:bidi="ar-SA"/>
              </w:rPr>
              <w:t>≤±2.0℃</w:t>
            </w:r>
          </w:p>
        </w:tc>
      </w:tr>
      <w:tr w14:paraId="30A0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203699C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2.6</w:t>
            </w:r>
          </w:p>
        </w:tc>
        <w:tc>
          <w:tcPr>
            <w:tcW w:w="1040" w:type="pct"/>
            <w:shd w:val="clear" w:color="auto" w:fill="auto"/>
            <w:vAlign w:val="center"/>
          </w:tcPr>
          <w:p w14:paraId="53CC0ABA">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温度均匀度</w:t>
            </w:r>
          </w:p>
        </w:tc>
        <w:tc>
          <w:tcPr>
            <w:tcW w:w="3449" w:type="pct"/>
            <w:shd w:val="clear" w:color="auto" w:fill="auto"/>
            <w:vAlign w:val="center"/>
          </w:tcPr>
          <w:p w14:paraId="15907421">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szCs w:val="21"/>
              </w:rPr>
              <w:t>★</w:t>
            </w:r>
            <w:r>
              <w:rPr>
                <w:rFonts w:hint="eastAsia" w:ascii="Times New Roman" w:hAnsi="Times New Roman" w:eastAsia="宋体" w:cs="Times New Roman"/>
                <w:color w:val="000000"/>
                <w:kern w:val="2"/>
                <w:sz w:val="21"/>
                <w:szCs w:val="21"/>
                <w:lang w:val="en-US" w:eastAsia="zh-CN" w:bidi="ar-SA"/>
              </w:rPr>
              <w:t>≤2.0℃</w:t>
            </w:r>
          </w:p>
        </w:tc>
      </w:tr>
      <w:tr w14:paraId="5AC0A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4EE1D90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2.7</w:t>
            </w:r>
          </w:p>
        </w:tc>
        <w:tc>
          <w:tcPr>
            <w:tcW w:w="1040" w:type="pct"/>
            <w:shd w:val="clear" w:color="auto" w:fill="auto"/>
            <w:vAlign w:val="center"/>
          </w:tcPr>
          <w:p w14:paraId="39BD7F4F">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升温速率</w:t>
            </w:r>
          </w:p>
        </w:tc>
        <w:tc>
          <w:tcPr>
            <w:tcW w:w="3449" w:type="pct"/>
            <w:shd w:val="clear" w:color="auto" w:fill="auto"/>
            <w:vAlign w:val="center"/>
          </w:tcPr>
          <w:p w14:paraId="41623E15">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szCs w:val="21"/>
              </w:rPr>
              <w:t>★</w:t>
            </w:r>
            <w:r>
              <w:rPr>
                <w:rFonts w:hint="eastAsia" w:ascii="Times New Roman" w:hAnsi="Times New Roman" w:eastAsia="宋体" w:cs="Times New Roman"/>
                <w:color w:val="000000"/>
                <w:kern w:val="2"/>
                <w:sz w:val="21"/>
                <w:szCs w:val="21"/>
                <w:lang w:val="en-US" w:eastAsia="zh-CN" w:bidi="ar-SA"/>
              </w:rPr>
              <w:t>≥3.0℃/Min （全程平均，空载）</w:t>
            </w:r>
          </w:p>
        </w:tc>
      </w:tr>
      <w:tr w14:paraId="2D9F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0D1373EE">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2.8</w:t>
            </w:r>
          </w:p>
        </w:tc>
        <w:tc>
          <w:tcPr>
            <w:tcW w:w="1040" w:type="pct"/>
            <w:shd w:val="clear" w:color="auto" w:fill="auto"/>
            <w:vAlign w:val="center"/>
          </w:tcPr>
          <w:p w14:paraId="53BD65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降温速率</w:t>
            </w:r>
          </w:p>
        </w:tc>
        <w:tc>
          <w:tcPr>
            <w:tcW w:w="3449" w:type="pct"/>
            <w:shd w:val="clear" w:color="auto" w:fill="auto"/>
            <w:vAlign w:val="center"/>
          </w:tcPr>
          <w:p w14:paraId="79C2CD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left"/>
              <w:textAlignment w:val="auto"/>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szCs w:val="21"/>
              </w:rPr>
              <w:t>★</w:t>
            </w:r>
            <w:r>
              <w:rPr>
                <w:rFonts w:hint="eastAsia" w:ascii="Times New Roman" w:hAnsi="Times New Roman" w:eastAsia="宋体" w:cs="Times New Roman"/>
                <w:color w:val="000000"/>
                <w:kern w:val="2"/>
                <w:sz w:val="21"/>
                <w:szCs w:val="21"/>
                <w:lang w:val="en-US" w:eastAsia="zh-CN" w:bidi="ar-SA"/>
              </w:rPr>
              <w:t>≥1.0℃/Min （+85℃~-40℃平均，空载）</w:t>
            </w:r>
          </w:p>
        </w:tc>
      </w:tr>
      <w:tr w14:paraId="42757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04374E91">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2.9</w:t>
            </w:r>
          </w:p>
        </w:tc>
        <w:tc>
          <w:tcPr>
            <w:tcW w:w="1040" w:type="pct"/>
            <w:shd w:val="clear" w:color="auto" w:fill="auto"/>
            <w:vAlign w:val="center"/>
          </w:tcPr>
          <w:p w14:paraId="02F7272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送风方式</w:t>
            </w:r>
          </w:p>
        </w:tc>
        <w:tc>
          <w:tcPr>
            <w:tcW w:w="3449" w:type="pct"/>
            <w:shd w:val="clear" w:color="auto" w:fill="auto"/>
            <w:vAlign w:val="center"/>
          </w:tcPr>
          <w:p w14:paraId="684B0706">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水平送风</w:t>
            </w:r>
          </w:p>
        </w:tc>
      </w:tr>
      <w:tr w14:paraId="4F76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4494626A">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2.10</w:t>
            </w:r>
          </w:p>
        </w:tc>
        <w:tc>
          <w:tcPr>
            <w:tcW w:w="1040" w:type="pct"/>
            <w:shd w:val="clear" w:color="auto" w:fill="auto"/>
            <w:vAlign w:val="center"/>
          </w:tcPr>
          <w:p w14:paraId="34ECE76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控制方式</w:t>
            </w:r>
          </w:p>
        </w:tc>
        <w:tc>
          <w:tcPr>
            <w:tcW w:w="3449" w:type="pct"/>
            <w:shd w:val="clear" w:color="auto" w:fill="auto"/>
            <w:vAlign w:val="center"/>
          </w:tcPr>
          <w:p w14:paraId="7ABFC22A">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触摸屏+PLC 控制</w:t>
            </w:r>
          </w:p>
        </w:tc>
      </w:tr>
      <w:tr w14:paraId="1D5D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2D285280">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2.11</w:t>
            </w:r>
          </w:p>
        </w:tc>
        <w:tc>
          <w:tcPr>
            <w:tcW w:w="1040" w:type="pct"/>
            <w:shd w:val="clear" w:color="auto" w:fill="auto"/>
            <w:vAlign w:val="center"/>
          </w:tcPr>
          <w:p w14:paraId="0B178BBE">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制冷方式</w:t>
            </w:r>
          </w:p>
        </w:tc>
        <w:tc>
          <w:tcPr>
            <w:tcW w:w="3449" w:type="pct"/>
            <w:shd w:val="clear" w:color="auto" w:fill="auto"/>
            <w:vAlign w:val="center"/>
          </w:tcPr>
          <w:p w14:paraId="3CD5C971">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压缩机制冷</w:t>
            </w:r>
          </w:p>
        </w:tc>
      </w:tr>
      <w:tr w14:paraId="6983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4C380C0D">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2.12</w:t>
            </w:r>
          </w:p>
        </w:tc>
        <w:tc>
          <w:tcPr>
            <w:tcW w:w="1040" w:type="pct"/>
            <w:shd w:val="clear" w:color="auto" w:fill="auto"/>
            <w:vAlign w:val="center"/>
          </w:tcPr>
          <w:p w14:paraId="5A4157EA">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冷却方式</w:t>
            </w:r>
          </w:p>
        </w:tc>
        <w:tc>
          <w:tcPr>
            <w:tcW w:w="3449" w:type="pct"/>
            <w:shd w:val="clear" w:color="auto" w:fill="auto"/>
            <w:vAlign w:val="center"/>
          </w:tcPr>
          <w:p w14:paraId="706A69BC">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风冷</w:t>
            </w:r>
          </w:p>
        </w:tc>
      </w:tr>
      <w:tr w14:paraId="616D1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510" w:type="pct"/>
            <w:shd w:val="clear" w:color="auto" w:fill="auto"/>
            <w:vAlign w:val="center"/>
          </w:tcPr>
          <w:p w14:paraId="268B6DA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2.13</w:t>
            </w:r>
          </w:p>
        </w:tc>
        <w:tc>
          <w:tcPr>
            <w:tcW w:w="1040" w:type="pct"/>
            <w:shd w:val="clear" w:color="auto" w:fill="auto"/>
            <w:vAlign w:val="center"/>
          </w:tcPr>
          <w:p w14:paraId="5EF0201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设备噪声</w:t>
            </w:r>
          </w:p>
        </w:tc>
        <w:tc>
          <w:tcPr>
            <w:tcW w:w="3449" w:type="pct"/>
            <w:shd w:val="clear" w:color="auto" w:fill="auto"/>
            <w:vAlign w:val="center"/>
          </w:tcPr>
          <w:p w14:paraId="7EFD56E7">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≤75dB</w:t>
            </w:r>
          </w:p>
        </w:tc>
      </w:tr>
    </w:tbl>
    <w:p w14:paraId="3DDC4985">
      <w:pPr>
        <w:rPr>
          <w:rFonts w:hint="eastAsia" w:ascii="宋体" w:hAnsi="宋体" w:eastAsia="宋体" w:cs="宋体"/>
          <w:b/>
          <w:bCs/>
          <w:color w:val="auto"/>
          <w:sz w:val="24"/>
          <w:szCs w:val="24"/>
          <w:highlight w:val="none"/>
          <w:lang w:val="en-US" w:eastAsia="zh-CN"/>
        </w:rPr>
      </w:pPr>
    </w:p>
    <w:p w14:paraId="45DD4F9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rPr>
      </w:pPr>
      <w:bookmarkStart w:id="25" w:name="_Toc27918"/>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 xml:space="preserve"> 锂离子电池高性能电化学阻抗特性测试仪</w:t>
      </w:r>
      <w:bookmarkEnd w:id="25"/>
    </w:p>
    <w:p w14:paraId="3EDA6EF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4.1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总体要求</w:t>
      </w:r>
    </w:p>
    <w:p w14:paraId="3E38F1A8">
      <w:pPr>
        <w:numPr>
          <w:ilvl w:val="0"/>
          <w:numId w:val="0"/>
        </w:numPr>
        <w:spacing w:line="360" w:lineRule="auto"/>
        <w:ind w:leftChars="0"/>
        <w:rPr>
          <w:rFonts w:hint="default" w:ascii="Times New Roman" w:hAnsi="Times New Roman" w:eastAsia="宋体" w:cs="Times New Roman"/>
          <w:sz w:val="24"/>
          <w:lang w:val="en-US" w:eastAsia="zh-CN"/>
        </w:rPr>
      </w:pPr>
      <w:r>
        <w:rPr>
          <w:rFonts w:hint="eastAsia"/>
          <w:lang w:val="en-US" w:eastAsia="zh-CN"/>
        </w:rPr>
        <w:tab/>
      </w:r>
      <w:r>
        <w:rPr>
          <w:rFonts w:hint="eastAsia" w:ascii="Times New Roman" w:hAnsi="Times New Roman" w:eastAsia="宋体" w:cs="Times New Roman"/>
          <w:sz w:val="24"/>
          <w:lang w:val="en-US" w:eastAsia="zh-CN"/>
        </w:rPr>
        <w:t>锂离子电池高性能电化学阻抗特性测试仪主要用于开展不同工况下储能用大容量锂离子电池交流阻抗测试，可实现交直流一体化测试。供方应提供必要的设备测试桌等配套物件，保障设备平稳运行。</w:t>
      </w:r>
    </w:p>
    <w:p w14:paraId="309E429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4.2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技术要求</w:t>
      </w:r>
    </w:p>
    <w:p w14:paraId="7E611D70">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default" w:ascii="宋体" w:hAnsi="宋体" w:eastAsia="宋体" w:cs="宋体"/>
          <w:sz w:val="24"/>
          <w:szCs w:val="28"/>
          <w:lang w:val="en-US" w:eastAsia="zh-CN"/>
        </w:rPr>
      </w:pPr>
      <w:r>
        <w:rPr>
          <w:rFonts w:hint="eastAsia" w:ascii="宋体" w:hAnsi="宋体" w:eastAsia="宋体" w:cs="宋体"/>
          <w:sz w:val="24"/>
          <w:szCs w:val="28"/>
          <w:lang w:val="en-US" w:eastAsia="zh-CN"/>
        </w:rPr>
        <w:t>（1）功能指标要求</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2713"/>
        <w:gridCol w:w="4920"/>
      </w:tblGrid>
      <w:tr w14:paraId="09978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6457B5F7">
            <w:pPr>
              <w:keepNext w:val="0"/>
              <w:keepLines w:val="0"/>
              <w:suppressLineNumbers w:val="0"/>
              <w:spacing w:before="0" w:beforeAutospacing="0" w:after="0" w:afterAutospacing="0"/>
              <w:ind w:left="0" w:right="0"/>
              <w:jc w:val="center"/>
              <w:rPr>
                <w:rFonts w:hint="eastAsia" w:ascii="Times New Roman" w:hAnsi="Times New Roman" w:eastAsia="宋体" w:cs="Times New Roman"/>
                <w:b/>
                <w:bCs/>
                <w:color w:val="000000"/>
                <w:kern w:val="2"/>
                <w:sz w:val="21"/>
                <w:szCs w:val="21"/>
                <w:lang w:val="en-US" w:eastAsia="zh-CN" w:bidi="ar-SA"/>
              </w:rPr>
            </w:pPr>
            <w:r>
              <w:rPr>
                <w:rFonts w:hint="eastAsia" w:ascii="Times New Roman" w:hAnsi="Times New Roman" w:eastAsia="宋体" w:cs="Times New Roman"/>
                <w:b/>
                <w:bCs/>
                <w:color w:val="000000"/>
                <w:szCs w:val="21"/>
                <w:lang w:val="en-US" w:eastAsia="zh-CN"/>
              </w:rPr>
              <w:t>序号</w:t>
            </w:r>
          </w:p>
        </w:tc>
        <w:tc>
          <w:tcPr>
            <w:tcW w:w="1592" w:type="pct"/>
            <w:vAlign w:val="center"/>
          </w:tcPr>
          <w:p w14:paraId="264B283E">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000000"/>
                <w:szCs w:val="21"/>
                <w:lang w:val="en-US" w:eastAsia="zh-CN"/>
              </w:rPr>
            </w:pPr>
            <w:r>
              <w:rPr>
                <w:rFonts w:hint="eastAsia" w:ascii="Times New Roman" w:hAnsi="Times New Roman" w:eastAsia="宋体" w:cs="Times New Roman"/>
                <w:b/>
                <w:bCs/>
                <w:color w:val="000000"/>
                <w:szCs w:val="21"/>
                <w:lang w:val="en-US" w:eastAsia="zh-CN"/>
              </w:rPr>
              <w:t>功能指标要求</w:t>
            </w:r>
          </w:p>
        </w:tc>
        <w:tc>
          <w:tcPr>
            <w:tcW w:w="2887" w:type="pct"/>
            <w:vAlign w:val="center"/>
          </w:tcPr>
          <w:p w14:paraId="5FA9FD3C">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000000"/>
                <w:szCs w:val="21"/>
                <w:lang w:val="en-US" w:eastAsia="zh-CN"/>
              </w:rPr>
            </w:pPr>
            <w:r>
              <w:rPr>
                <w:rFonts w:hint="eastAsia" w:ascii="Times New Roman" w:hAnsi="Times New Roman" w:eastAsia="宋体" w:cs="Times New Roman"/>
                <w:b/>
                <w:bCs/>
                <w:color w:val="000000"/>
                <w:szCs w:val="21"/>
                <w:lang w:val="en-US" w:eastAsia="zh-CN"/>
              </w:rPr>
              <w:t>备注</w:t>
            </w:r>
          </w:p>
        </w:tc>
      </w:tr>
      <w:tr w14:paraId="1ED2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582B62B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1</w:t>
            </w:r>
          </w:p>
        </w:tc>
        <w:tc>
          <w:tcPr>
            <w:tcW w:w="4479" w:type="pct"/>
            <w:gridSpan w:val="2"/>
            <w:vAlign w:val="center"/>
          </w:tcPr>
          <w:p w14:paraId="0A17EAC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测试功能要求</w:t>
            </w:r>
          </w:p>
        </w:tc>
      </w:tr>
      <w:tr w14:paraId="4B5CE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63F0362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1.1</w:t>
            </w:r>
          </w:p>
        </w:tc>
        <w:tc>
          <w:tcPr>
            <w:tcW w:w="1592" w:type="pct"/>
            <w:vAlign w:val="center"/>
          </w:tcPr>
          <w:p w14:paraId="5216430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电池静态阻抗特性测试</w:t>
            </w:r>
          </w:p>
        </w:tc>
        <w:tc>
          <w:tcPr>
            <w:tcW w:w="2887" w:type="pct"/>
            <w:vAlign w:val="center"/>
          </w:tcPr>
          <w:p w14:paraId="12C722BD">
            <w:pPr>
              <w:keepNext w:val="0"/>
              <w:keepLines w:val="0"/>
              <w:suppressLineNumbers w:val="0"/>
              <w:spacing w:before="0" w:beforeAutospacing="0" w:after="0" w:afterAutospacing="0"/>
              <w:ind w:left="0" w:right="0"/>
              <w:jc w:val="left"/>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支持对大容量储能用锂离子电池的阻抗谱准确测量</w:t>
            </w:r>
          </w:p>
        </w:tc>
      </w:tr>
      <w:tr w14:paraId="045D4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1E79DC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1.2</w:t>
            </w:r>
          </w:p>
        </w:tc>
        <w:tc>
          <w:tcPr>
            <w:tcW w:w="1592" w:type="pct"/>
            <w:vAlign w:val="center"/>
          </w:tcPr>
          <w:p w14:paraId="4DB3DEC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电池动态阻抗特性测试</w:t>
            </w:r>
          </w:p>
        </w:tc>
        <w:tc>
          <w:tcPr>
            <w:tcW w:w="2887" w:type="pct"/>
            <w:vAlign w:val="center"/>
          </w:tcPr>
          <w:p w14:paraId="72D9CEB2">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支持对储能电池充放电过程中的动态阻抗谱测量</w:t>
            </w:r>
          </w:p>
        </w:tc>
      </w:tr>
      <w:tr w14:paraId="29493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6FFF713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1.3</w:t>
            </w:r>
          </w:p>
        </w:tc>
        <w:tc>
          <w:tcPr>
            <w:tcW w:w="1592" w:type="pct"/>
            <w:vAlign w:val="center"/>
          </w:tcPr>
          <w:p w14:paraId="5F6BBA40">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多类型输出功能</w:t>
            </w:r>
          </w:p>
        </w:tc>
        <w:tc>
          <w:tcPr>
            <w:tcW w:w="2887" w:type="pct"/>
            <w:vAlign w:val="center"/>
          </w:tcPr>
          <w:p w14:paraId="30DA86D6">
            <w:pPr>
              <w:keepNext w:val="0"/>
              <w:keepLines w:val="0"/>
              <w:suppressLineNumbers w:val="0"/>
              <w:spacing w:before="0" w:beforeAutospacing="0" w:after="0" w:afterAutospacing="0"/>
              <w:ind w:left="0" w:right="0"/>
              <w:jc w:val="lef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包括但不限于恒功率转恒压、恒流转恒压、电压/电流脉冲、电压/电流斜坡、电流曲线输出等功能</w:t>
            </w:r>
          </w:p>
        </w:tc>
      </w:tr>
      <w:tr w14:paraId="6C89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vAlign w:val="center"/>
          </w:tcPr>
          <w:p w14:paraId="7732D57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w:t>
            </w:r>
          </w:p>
        </w:tc>
        <w:tc>
          <w:tcPr>
            <w:tcW w:w="4479" w:type="pct"/>
            <w:gridSpan w:val="2"/>
            <w:shd w:val="clear" w:color="auto" w:fill="auto"/>
            <w:vAlign w:val="center"/>
          </w:tcPr>
          <w:p w14:paraId="52A0DB6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highlight w:val="none"/>
                <w:lang w:val="en-US" w:eastAsia="zh-CN" w:bidi="ar-SA"/>
              </w:rPr>
              <w:t>保护功能要求</w:t>
            </w:r>
          </w:p>
        </w:tc>
      </w:tr>
      <w:tr w14:paraId="5767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0" w:type="pct"/>
            <w:shd w:val="clear" w:color="auto" w:fill="auto"/>
            <w:vAlign w:val="center"/>
          </w:tcPr>
          <w:p w14:paraId="71075A4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2.1</w:t>
            </w:r>
          </w:p>
        </w:tc>
        <w:tc>
          <w:tcPr>
            <w:tcW w:w="1592" w:type="pct"/>
            <w:shd w:val="clear" w:color="auto" w:fill="auto"/>
            <w:vAlign w:val="center"/>
          </w:tcPr>
          <w:p w14:paraId="58EFB72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电池测保护</w:t>
            </w:r>
          </w:p>
        </w:tc>
        <w:tc>
          <w:tcPr>
            <w:tcW w:w="2887" w:type="pct"/>
            <w:shd w:val="clear" w:color="auto" w:fill="auto"/>
            <w:vAlign w:val="center"/>
          </w:tcPr>
          <w:p w14:paraId="66A88FEB">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包括但不限于容量上/下限保护、温度上限保护、电池电压上/下限保护、电池电流上限保护、电流异常波动保护、温度异常波动保护</w:t>
            </w:r>
          </w:p>
        </w:tc>
      </w:tr>
    </w:tbl>
    <w:p w14:paraId="54CE9B93">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default" w:ascii="宋体" w:hAnsi="宋体" w:eastAsia="宋体" w:cs="宋体"/>
          <w:sz w:val="24"/>
          <w:szCs w:val="28"/>
          <w:lang w:val="en-US" w:eastAsia="zh-CN"/>
        </w:rPr>
      </w:pPr>
      <w:r>
        <w:rPr>
          <w:rFonts w:hint="eastAsia" w:ascii="宋体" w:hAnsi="宋体" w:eastAsia="宋体" w:cs="宋体"/>
          <w:sz w:val="24"/>
          <w:szCs w:val="28"/>
          <w:lang w:val="en-US" w:eastAsia="zh-CN"/>
        </w:rPr>
        <w:t>（2）性能指标要求</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3093"/>
        <w:gridCol w:w="4550"/>
      </w:tblGrid>
      <w:tr w14:paraId="7D2D3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4" w:type="pct"/>
            <w:vAlign w:val="center"/>
          </w:tcPr>
          <w:p w14:paraId="42926030">
            <w:pPr>
              <w:keepNext w:val="0"/>
              <w:keepLines w:val="0"/>
              <w:suppressLineNumbers w:val="0"/>
              <w:spacing w:before="0" w:beforeAutospacing="0" w:after="0" w:afterAutospacing="0"/>
              <w:ind w:left="0" w:right="0"/>
              <w:jc w:val="center"/>
              <w:rPr>
                <w:rFonts w:hint="eastAsia" w:ascii="Times New Roman" w:hAnsi="Times New Roman" w:eastAsia="宋体" w:cs="Times New Roman"/>
                <w:b/>
                <w:color w:val="000000"/>
                <w:szCs w:val="21"/>
                <w:lang w:val="en-US" w:eastAsia="zh-CN"/>
              </w:rPr>
            </w:pPr>
            <w:r>
              <w:rPr>
                <w:rFonts w:hint="eastAsia" w:ascii="Times New Roman" w:hAnsi="Times New Roman" w:eastAsia="宋体" w:cs="Times New Roman"/>
                <w:b/>
                <w:color w:val="000000"/>
                <w:szCs w:val="21"/>
                <w:lang w:val="en-US" w:eastAsia="zh-CN"/>
              </w:rPr>
              <w:t>序号</w:t>
            </w:r>
          </w:p>
        </w:tc>
        <w:tc>
          <w:tcPr>
            <w:tcW w:w="1815" w:type="pct"/>
            <w:vAlign w:val="center"/>
          </w:tcPr>
          <w:p w14:paraId="4A11B747">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lang w:val="en-US" w:eastAsia="zh-CN"/>
              </w:rPr>
              <w:t>性能</w:t>
            </w:r>
            <w:r>
              <w:rPr>
                <w:rFonts w:hint="default" w:ascii="Times New Roman" w:hAnsi="Times New Roman" w:eastAsia="宋体" w:cs="Times New Roman"/>
                <w:b/>
                <w:color w:val="000000"/>
                <w:szCs w:val="21"/>
              </w:rPr>
              <w:t>指标项</w:t>
            </w:r>
          </w:p>
        </w:tc>
        <w:tc>
          <w:tcPr>
            <w:tcW w:w="2670" w:type="pct"/>
            <w:vAlign w:val="center"/>
          </w:tcPr>
          <w:p w14:paraId="7A328D18">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000000"/>
                <w:szCs w:val="21"/>
              </w:rPr>
            </w:pPr>
            <w:r>
              <w:rPr>
                <w:rFonts w:hint="eastAsia" w:ascii="Times New Roman" w:hAnsi="Times New Roman" w:eastAsia="宋体" w:cs="Times New Roman"/>
                <w:b/>
                <w:color w:val="000000"/>
                <w:szCs w:val="21"/>
                <w:lang w:val="en-US" w:eastAsia="zh-CN"/>
              </w:rPr>
              <w:t>性能</w:t>
            </w:r>
            <w:r>
              <w:rPr>
                <w:rFonts w:hint="default" w:ascii="Times New Roman" w:hAnsi="Times New Roman" w:eastAsia="宋体" w:cs="Times New Roman"/>
                <w:b/>
                <w:color w:val="000000"/>
                <w:szCs w:val="21"/>
              </w:rPr>
              <w:t>指标要求</w:t>
            </w:r>
          </w:p>
        </w:tc>
      </w:tr>
      <w:tr w14:paraId="26C2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vAlign w:val="center"/>
          </w:tcPr>
          <w:p w14:paraId="74A1C68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w:t>
            </w:r>
          </w:p>
        </w:tc>
        <w:tc>
          <w:tcPr>
            <w:tcW w:w="4485" w:type="pct"/>
            <w:gridSpan w:val="2"/>
            <w:vAlign w:val="center"/>
          </w:tcPr>
          <w:p w14:paraId="31444E7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供电要求</w:t>
            </w:r>
          </w:p>
        </w:tc>
      </w:tr>
      <w:tr w14:paraId="2B2F0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vAlign w:val="center"/>
          </w:tcPr>
          <w:p w14:paraId="6BE57A5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1.1</w:t>
            </w:r>
          </w:p>
        </w:tc>
        <w:tc>
          <w:tcPr>
            <w:tcW w:w="1815" w:type="pct"/>
            <w:vAlign w:val="center"/>
          </w:tcPr>
          <w:p w14:paraId="3AC5B9C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供电电压</w:t>
            </w:r>
          </w:p>
        </w:tc>
        <w:tc>
          <w:tcPr>
            <w:tcW w:w="2670" w:type="pct"/>
            <w:vAlign w:val="center"/>
          </w:tcPr>
          <w:p w14:paraId="60D8B48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AC380V</w:t>
            </w:r>
          </w:p>
        </w:tc>
      </w:tr>
      <w:tr w14:paraId="62D23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shd w:val="clear" w:color="auto" w:fill="auto"/>
            <w:vAlign w:val="center"/>
          </w:tcPr>
          <w:p w14:paraId="09AF65B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1.2</w:t>
            </w:r>
          </w:p>
        </w:tc>
        <w:tc>
          <w:tcPr>
            <w:tcW w:w="1815" w:type="pct"/>
            <w:shd w:val="clear" w:color="auto" w:fill="auto"/>
            <w:vAlign w:val="center"/>
          </w:tcPr>
          <w:p w14:paraId="365B9F7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供电功率</w:t>
            </w:r>
          </w:p>
        </w:tc>
        <w:tc>
          <w:tcPr>
            <w:tcW w:w="2670" w:type="pct"/>
            <w:shd w:val="clear" w:color="auto" w:fill="auto"/>
            <w:vAlign w:val="center"/>
          </w:tcPr>
          <w:p w14:paraId="605E4F3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≤15kW</w:t>
            </w:r>
          </w:p>
        </w:tc>
      </w:tr>
      <w:tr w14:paraId="54B10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vAlign w:val="center"/>
          </w:tcPr>
          <w:p w14:paraId="2F89310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w:t>
            </w:r>
          </w:p>
        </w:tc>
        <w:tc>
          <w:tcPr>
            <w:tcW w:w="4485" w:type="pct"/>
            <w:gridSpan w:val="2"/>
            <w:vAlign w:val="center"/>
          </w:tcPr>
          <w:p w14:paraId="071DD7B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充放电要求</w:t>
            </w:r>
          </w:p>
        </w:tc>
      </w:tr>
      <w:tr w14:paraId="54D98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vAlign w:val="center"/>
          </w:tcPr>
          <w:p w14:paraId="1146612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2.1</w:t>
            </w:r>
          </w:p>
        </w:tc>
        <w:tc>
          <w:tcPr>
            <w:tcW w:w="1815" w:type="pct"/>
            <w:vAlign w:val="center"/>
          </w:tcPr>
          <w:p w14:paraId="1AA4177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充放电通道数</w:t>
            </w:r>
          </w:p>
        </w:tc>
        <w:tc>
          <w:tcPr>
            <w:tcW w:w="2670" w:type="pct"/>
            <w:vAlign w:val="center"/>
          </w:tcPr>
          <w:p w14:paraId="55517C4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≥4</w:t>
            </w:r>
          </w:p>
        </w:tc>
      </w:tr>
      <w:tr w14:paraId="6F751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14" w:type="pct"/>
            <w:vAlign w:val="center"/>
          </w:tcPr>
          <w:p w14:paraId="069CDAB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2.2</w:t>
            </w:r>
          </w:p>
        </w:tc>
        <w:tc>
          <w:tcPr>
            <w:tcW w:w="1815" w:type="pct"/>
            <w:vAlign w:val="center"/>
          </w:tcPr>
          <w:p w14:paraId="2A03705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单通道电压范围</w:t>
            </w:r>
          </w:p>
        </w:tc>
        <w:tc>
          <w:tcPr>
            <w:tcW w:w="2670" w:type="pct"/>
            <w:vAlign w:val="center"/>
          </w:tcPr>
          <w:p w14:paraId="7C7256A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300mV~10V</w:t>
            </w:r>
          </w:p>
        </w:tc>
      </w:tr>
      <w:tr w14:paraId="76B73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14" w:type="pct"/>
            <w:shd w:val="clear" w:color="auto" w:fill="auto"/>
            <w:vAlign w:val="center"/>
          </w:tcPr>
          <w:p w14:paraId="39DB3C6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2.3</w:t>
            </w:r>
          </w:p>
        </w:tc>
        <w:tc>
          <w:tcPr>
            <w:tcW w:w="1815" w:type="pct"/>
            <w:vAlign w:val="center"/>
          </w:tcPr>
          <w:p w14:paraId="5332604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单通道电压采集分辨率</w:t>
            </w:r>
          </w:p>
        </w:tc>
        <w:tc>
          <w:tcPr>
            <w:tcW w:w="2670" w:type="pct"/>
            <w:vAlign w:val="center"/>
          </w:tcPr>
          <w:p w14:paraId="36FD5EE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default" w:ascii="Times New Roman" w:hAnsi="Times New Roman" w:eastAsia="宋体" w:cs="Times New Roman"/>
                <w:color w:val="000000"/>
                <w:szCs w:val="21"/>
                <w:lang w:val="en-US" w:eastAsia="zh-CN"/>
              </w:rPr>
              <w:t>≤20μV</w:t>
            </w:r>
          </w:p>
        </w:tc>
      </w:tr>
      <w:tr w14:paraId="4240F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14" w:type="pct"/>
            <w:shd w:val="clear" w:color="auto" w:fill="auto"/>
            <w:vAlign w:val="center"/>
          </w:tcPr>
          <w:p w14:paraId="45899103">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2.4</w:t>
            </w:r>
          </w:p>
        </w:tc>
        <w:tc>
          <w:tcPr>
            <w:tcW w:w="1815" w:type="pct"/>
            <w:vAlign w:val="center"/>
          </w:tcPr>
          <w:p w14:paraId="7BF63BC9">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电压精度</w:t>
            </w:r>
          </w:p>
        </w:tc>
        <w:tc>
          <w:tcPr>
            <w:tcW w:w="2670" w:type="pct"/>
            <w:vAlign w:val="center"/>
          </w:tcPr>
          <w:p w14:paraId="6DF3F463">
            <w:pPr>
              <w:keepNext w:val="0"/>
              <w:keepLines w:val="0"/>
              <w:suppressLineNumbers w:val="0"/>
              <w:spacing w:before="0" w:beforeAutospacing="0" w:after="0" w:afterAutospacing="0"/>
              <w:ind w:left="0" w:leftChars="0" w:right="0" w:rightChars="0"/>
              <w:jc w:val="center"/>
              <w:rPr>
                <w:rFonts w:hint="eastAsia" w:ascii="宋体" w:hAnsi="宋体" w:eastAsia="宋体" w:cs="宋体"/>
                <w:szCs w:val="21"/>
              </w:rPr>
            </w:pPr>
            <w:r>
              <w:rPr>
                <w:rFonts w:hint="eastAsia" w:ascii="Times New Roman" w:hAnsi="Times New Roman" w:eastAsia="宋体" w:cs="Times New Roman"/>
                <w:color w:val="000000"/>
                <w:szCs w:val="21"/>
                <w:lang w:val="en-US" w:eastAsia="zh-CN"/>
              </w:rPr>
              <w:t>★≤0.03%全量程</w:t>
            </w:r>
          </w:p>
        </w:tc>
      </w:tr>
      <w:tr w14:paraId="5CD8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14" w:type="pct"/>
            <w:shd w:val="clear" w:color="auto" w:fill="auto"/>
            <w:vAlign w:val="center"/>
          </w:tcPr>
          <w:p w14:paraId="7EB1ECE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2.5</w:t>
            </w:r>
          </w:p>
        </w:tc>
        <w:tc>
          <w:tcPr>
            <w:tcW w:w="1815" w:type="pct"/>
            <w:vAlign w:val="center"/>
          </w:tcPr>
          <w:p w14:paraId="4F86797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单通道电流范围</w:t>
            </w:r>
          </w:p>
        </w:tc>
        <w:tc>
          <w:tcPr>
            <w:tcW w:w="2670" w:type="pct"/>
            <w:vAlign w:val="center"/>
          </w:tcPr>
          <w:p w14:paraId="2951D5B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-200~+200A</w:t>
            </w:r>
          </w:p>
        </w:tc>
      </w:tr>
      <w:tr w14:paraId="2C84E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14" w:type="pct"/>
            <w:shd w:val="clear" w:color="auto" w:fill="auto"/>
            <w:vAlign w:val="center"/>
          </w:tcPr>
          <w:p w14:paraId="44049F37">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2.6</w:t>
            </w:r>
          </w:p>
        </w:tc>
        <w:tc>
          <w:tcPr>
            <w:tcW w:w="1815" w:type="pct"/>
            <w:vAlign w:val="center"/>
          </w:tcPr>
          <w:p w14:paraId="2A4D603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单通道电流采集分辨率</w:t>
            </w:r>
          </w:p>
        </w:tc>
        <w:tc>
          <w:tcPr>
            <w:tcW w:w="2670" w:type="pct"/>
            <w:vAlign w:val="center"/>
          </w:tcPr>
          <w:p w14:paraId="3D32247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≤2</w:t>
            </w:r>
            <w:r>
              <w:rPr>
                <w:rFonts w:hint="default" w:ascii="Times New Roman" w:hAnsi="Times New Roman" w:eastAsia="宋体" w:cs="Times New Roman"/>
                <w:color w:val="000000"/>
                <w:szCs w:val="21"/>
                <w:lang w:val="en-US" w:eastAsia="zh-CN"/>
              </w:rPr>
              <w:t>μ</w:t>
            </w:r>
            <w:r>
              <w:rPr>
                <w:rFonts w:hint="eastAsia" w:ascii="Times New Roman" w:hAnsi="Times New Roman" w:eastAsia="宋体" w:cs="Times New Roman"/>
                <w:color w:val="000000"/>
                <w:szCs w:val="21"/>
                <w:lang w:val="en-US" w:eastAsia="zh-CN"/>
              </w:rPr>
              <w:t>A</w:t>
            </w:r>
          </w:p>
        </w:tc>
      </w:tr>
      <w:tr w14:paraId="73343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14" w:type="pct"/>
            <w:shd w:val="clear" w:color="auto" w:fill="auto"/>
            <w:vAlign w:val="center"/>
          </w:tcPr>
          <w:p w14:paraId="7199123C">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2.7</w:t>
            </w:r>
          </w:p>
        </w:tc>
        <w:tc>
          <w:tcPr>
            <w:tcW w:w="1815" w:type="pct"/>
            <w:vAlign w:val="center"/>
          </w:tcPr>
          <w:p w14:paraId="75892152">
            <w:pPr>
              <w:keepNext w:val="0"/>
              <w:keepLines w:val="0"/>
              <w:suppressLineNumbers w:val="0"/>
              <w:spacing w:before="0" w:beforeAutospacing="0" w:after="0" w:afterAutospacing="0" w:line="360" w:lineRule="auto"/>
              <w:ind w:left="0" w:right="0" w:rightChars="0"/>
              <w:jc w:val="center"/>
              <w:rPr>
                <w:rFonts w:hint="eastAsia" w:ascii="Times New Roman" w:hAnsi="Times New Roman" w:eastAsia="宋体" w:cs="Times New Roman"/>
                <w:color w:val="000000"/>
                <w:szCs w:val="21"/>
                <w:lang w:val="en-US" w:eastAsia="zh-CN"/>
              </w:rPr>
            </w:pPr>
            <w:r>
              <w:rPr>
                <w:rFonts w:hint="eastAsia" w:ascii="宋体" w:hAnsi="宋体" w:eastAsia="宋体" w:cs="Arial"/>
                <w:szCs w:val="21"/>
                <w:lang w:val="en-US" w:eastAsia="zh-CN"/>
              </w:rPr>
              <w:t>电流精度</w:t>
            </w:r>
          </w:p>
        </w:tc>
        <w:tc>
          <w:tcPr>
            <w:tcW w:w="2670" w:type="pct"/>
            <w:vAlign w:val="center"/>
          </w:tcPr>
          <w:p w14:paraId="6AA5CABA">
            <w:pPr>
              <w:keepNext w:val="0"/>
              <w:keepLines w:val="0"/>
              <w:suppressLineNumbers w:val="0"/>
              <w:spacing w:before="0" w:beforeAutospacing="0" w:after="0" w:afterAutospacing="0"/>
              <w:ind w:left="0" w:leftChars="0" w:right="0" w:rightChars="0"/>
              <w:jc w:val="center"/>
              <w:rPr>
                <w:rFonts w:hint="eastAsia" w:ascii="宋体" w:hAnsi="宋体" w:eastAsia="宋体" w:cs="宋体"/>
                <w:szCs w:val="21"/>
              </w:rPr>
            </w:pPr>
            <w:r>
              <w:rPr>
                <w:rFonts w:hint="eastAsia" w:ascii="Times New Roman" w:hAnsi="Times New Roman" w:eastAsia="宋体" w:cs="Times New Roman"/>
                <w:color w:val="000000"/>
                <w:szCs w:val="21"/>
                <w:lang w:val="en-US" w:eastAsia="zh-CN"/>
              </w:rPr>
              <w:t>★≤0.03%全量程</w:t>
            </w:r>
          </w:p>
        </w:tc>
      </w:tr>
      <w:tr w14:paraId="374A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14" w:type="pct"/>
            <w:shd w:val="clear" w:color="auto" w:fill="auto"/>
            <w:vAlign w:val="center"/>
          </w:tcPr>
          <w:p w14:paraId="1B7EE139">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2.8</w:t>
            </w:r>
          </w:p>
        </w:tc>
        <w:tc>
          <w:tcPr>
            <w:tcW w:w="1815" w:type="pct"/>
            <w:vAlign w:val="center"/>
          </w:tcPr>
          <w:p w14:paraId="21F83693">
            <w:pPr>
              <w:keepNext w:val="0"/>
              <w:keepLines w:val="0"/>
              <w:suppressLineNumbers w:val="0"/>
              <w:spacing w:before="0" w:beforeAutospacing="0" w:after="0" w:afterAutospacing="0" w:line="360" w:lineRule="auto"/>
              <w:ind w:left="0" w:leftChars="0" w:right="0" w:rightChars="0" w:firstLine="1050" w:firstLineChars="500"/>
              <w:jc w:val="left"/>
              <w:rPr>
                <w:rFonts w:hint="eastAsia" w:ascii="宋体" w:hAnsi="宋体" w:eastAsia="宋体" w:cs="Arial"/>
                <w:szCs w:val="21"/>
                <w:lang w:val="en-US" w:eastAsia="zh-CN"/>
              </w:rPr>
            </w:pPr>
            <w:r>
              <w:rPr>
                <w:rFonts w:hint="eastAsia" w:ascii="宋体" w:hAnsi="宋体" w:eastAsia="宋体" w:cs="Arial"/>
                <w:szCs w:val="21"/>
                <w:lang w:val="en-US" w:eastAsia="zh-CN"/>
              </w:rPr>
              <w:t>电流上升时间</w:t>
            </w:r>
          </w:p>
        </w:tc>
        <w:tc>
          <w:tcPr>
            <w:tcW w:w="2670" w:type="pct"/>
            <w:vAlign w:val="center"/>
          </w:tcPr>
          <w:p w14:paraId="4620CD11">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★≤3ms(0-200A)</w:t>
            </w:r>
          </w:p>
        </w:tc>
      </w:tr>
      <w:tr w14:paraId="3696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14" w:type="pct"/>
            <w:shd w:val="clear" w:color="auto" w:fill="auto"/>
            <w:vAlign w:val="center"/>
          </w:tcPr>
          <w:p w14:paraId="181FA6AE">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2.9</w:t>
            </w:r>
          </w:p>
        </w:tc>
        <w:tc>
          <w:tcPr>
            <w:tcW w:w="1815" w:type="pct"/>
            <w:vAlign w:val="center"/>
          </w:tcPr>
          <w:p w14:paraId="013F691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多通道并联电流</w:t>
            </w:r>
          </w:p>
        </w:tc>
        <w:tc>
          <w:tcPr>
            <w:tcW w:w="2670" w:type="pct"/>
            <w:vAlign w:val="center"/>
          </w:tcPr>
          <w:p w14:paraId="6A443B8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≥800A</w:t>
            </w:r>
          </w:p>
        </w:tc>
      </w:tr>
      <w:tr w14:paraId="4F7A0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14" w:type="pct"/>
            <w:shd w:val="clear" w:color="auto" w:fill="auto"/>
            <w:vAlign w:val="center"/>
          </w:tcPr>
          <w:p w14:paraId="55BA46A6">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2.10</w:t>
            </w:r>
          </w:p>
        </w:tc>
        <w:tc>
          <w:tcPr>
            <w:tcW w:w="1815" w:type="pct"/>
            <w:shd w:val="clear" w:color="auto" w:fill="auto"/>
            <w:vAlign w:val="center"/>
          </w:tcPr>
          <w:p w14:paraId="58449BC0">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数据采集速率</w:t>
            </w:r>
          </w:p>
        </w:tc>
        <w:tc>
          <w:tcPr>
            <w:tcW w:w="2670" w:type="pct"/>
            <w:shd w:val="clear" w:color="auto" w:fill="auto"/>
            <w:vAlign w:val="center"/>
          </w:tcPr>
          <w:p w14:paraId="295FC1FE">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≥1kS/s</w:t>
            </w:r>
          </w:p>
        </w:tc>
      </w:tr>
      <w:tr w14:paraId="4B911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14" w:type="pct"/>
            <w:shd w:val="clear" w:color="auto" w:fill="auto"/>
            <w:vAlign w:val="center"/>
          </w:tcPr>
          <w:p w14:paraId="0930CDB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3</w:t>
            </w:r>
          </w:p>
        </w:tc>
        <w:tc>
          <w:tcPr>
            <w:tcW w:w="4485" w:type="pct"/>
            <w:gridSpan w:val="2"/>
            <w:shd w:val="clear" w:color="auto" w:fill="auto"/>
            <w:vAlign w:val="center"/>
          </w:tcPr>
          <w:p w14:paraId="3293DDB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电化学阻抗谱采集要求</w:t>
            </w:r>
          </w:p>
        </w:tc>
      </w:tr>
      <w:tr w14:paraId="3FFFA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vAlign w:val="center"/>
          </w:tcPr>
          <w:p w14:paraId="3F6ADDD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3.1</w:t>
            </w:r>
          </w:p>
        </w:tc>
        <w:tc>
          <w:tcPr>
            <w:tcW w:w="1815" w:type="pct"/>
            <w:vAlign w:val="center"/>
          </w:tcPr>
          <w:p w14:paraId="7A52C82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频率范围</w:t>
            </w:r>
          </w:p>
        </w:tc>
        <w:tc>
          <w:tcPr>
            <w:tcW w:w="2670" w:type="pct"/>
            <w:vAlign w:val="center"/>
          </w:tcPr>
          <w:p w14:paraId="155F044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10mHz~10kHz</w:t>
            </w:r>
          </w:p>
        </w:tc>
      </w:tr>
      <w:tr w14:paraId="03CD0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vAlign w:val="center"/>
          </w:tcPr>
          <w:p w14:paraId="187E426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3.2</w:t>
            </w:r>
          </w:p>
        </w:tc>
        <w:tc>
          <w:tcPr>
            <w:tcW w:w="1815" w:type="pct"/>
            <w:vAlign w:val="center"/>
          </w:tcPr>
          <w:p w14:paraId="5921BD1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最大交流电流振幅</w:t>
            </w:r>
          </w:p>
        </w:tc>
        <w:tc>
          <w:tcPr>
            <w:tcW w:w="2670" w:type="pct"/>
            <w:vAlign w:val="center"/>
          </w:tcPr>
          <w:p w14:paraId="00377E5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宋体" w:hAnsi="宋体" w:eastAsia="宋体" w:cs="宋体"/>
                <w:szCs w:val="21"/>
              </w:rPr>
              <w:t>★</w:t>
            </w:r>
            <w:r>
              <w:rPr>
                <w:rFonts w:hint="eastAsia" w:ascii="Times New Roman" w:hAnsi="Times New Roman" w:eastAsia="宋体" w:cs="Times New Roman"/>
                <w:color w:val="000000"/>
                <w:szCs w:val="21"/>
                <w:lang w:val="en-US" w:eastAsia="zh-CN"/>
              </w:rPr>
              <w:t>≥100A rms</w:t>
            </w:r>
          </w:p>
        </w:tc>
      </w:tr>
      <w:tr w14:paraId="49598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vAlign w:val="center"/>
          </w:tcPr>
          <w:p w14:paraId="65508D4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3.3</w:t>
            </w:r>
          </w:p>
        </w:tc>
        <w:tc>
          <w:tcPr>
            <w:tcW w:w="1815" w:type="pct"/>
            <w:shd w:val="clear" w:color="auto" w:fill="auto"/>
            <w:vAlign w:val="center"/>
          </w:tcPr>
          <w:p w14:paraId="35E168BB">
            <w:pPr>
              <w:keepNext w:val="0"/>
              <w:keepLines w:val="0"/>
              <w:suppressLineNumbers w:val="0"/>
              <w:spacing w:before="0" w:beforeAutospacing="0" w:after="0" w:afterAutospacing="0"/>
              <w:ind w:left="0" w:right="0"/>
              <w:jc w:val="center"/>
              <w:rPr>
                <w:rFonts w:hint="default"/>
                <w:lang w:val="en-US" w:eastAsia="zh-CN"/>
              </w:rPr>
            </w:pPr>
            <w:r>
              <w:rPr>
                <w:rFonts w:hint="eastAsia" w:ascii="Times New Roman" w:hAnsi="Times New Roman" w:eastAsia="宋体" w:cs="Times New Roman"/>
                <w:color w:val="000000"/>
                <w:kern w:val="2"/>
                <w:sz w:val="21"/>
                <w:szCs w:val="21"/>
                <w:lang w:val="en-US" w:eastAsia="zh-CN" w:bidi="ar-SA"/>
              </w:rPr>
              <w:t>阻抗幅值测量精度</w:t>
            </w:r>
          </w:p>
        </w:tc>
        <w:tc>
          <w:tcPr>
            <w:tcW w:w="2670" w:type="pct"/>
            <w:shd w:val="clear" w:color="auto" w:fill="auto"/>
            <w:vAlign w:val="center"/>
          </w:tcPr>
          <w:p w14:paraId="4C14717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≤0.1%（1mΩ~1Ω）</w:t>
            </w:r>
          </w:p>
        </w:tc>
      </w:tr>
      <w:tr w14:paraId="389F3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vAlign w:val="center"/>
          </w:tcPr>
          <w:p w14:paraId="499AFBF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3.4</w:t>
            </w:r>
          </w:p>
        </w:tc>
        <w:tc>
          <w:tcPr>
            <w:tcW w:w="1815" w:type="pct"/>
            <w:shd w:val="clear" w:color="auto" w:fill="auto"/>
            <w:vAlign w:val="center"/>
          </w:tcPr>
          <w:p w14:paraId="241746D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阻抗相角测量精度</w:t>
            </w:r>
          </w:p>
        </w:tc>
        <w:tc>
          <w:tcPr>
            <w:tcW w:w="2670" w:type="pct"/>
            <w:shd w:val="clear" w:color="auto" w:fill="auto"/>
            <w:vAlign w:val="center"/>
          </w:tcPr>
          <w:p w14:paraId="312F639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≤0.1°（1mΩ~1Ω）</w:t>
            </w:r>
          </w:p>
        </w:tc>
      </w:tr>
      <w:tr w14:paraId="126CF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vAlign w:val="center"/>
          </w:tcPr>
          <w:p w14:paraId="58C473D0">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3.5</w:t>
            </w:r>
          </w:p>
        </w:tc>
        <w:tc>
          <w:tcPr>
            <w:tcW w:w="1815" w:type="pct"/>
            <w:shd w:val="clear" w:color="auto" w:fill="auto"/>
            <w:vAlign w:val="center"/>
          </w:tcPr>
          <w:p w14:paraId="4085128B">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宋体" w:hAnsi="宋体" w:eastAsia="宋体" w:cs="Arial"/>
                <w:szCs w:val="21"/>
              </w:rPr>
              <w:t>阻抗频率分辨率</w:t>
            </w:r>
          </w:p>
        </w:tc>
        <w:tc>
          <w:tcPr>
            <w:tcW w:w="2670" w:type="pct"/>
            <w:shd w:val="clear" w:color="auto" w:fill="auto"/>
            <w:vAlign w:val="center"/>
          </w:tcPr>
          <w:p w14:paraId="618E5D7E">
            <w:pPr>
              <w:keepNext w:val="0"/>
              <w:keepLines w:val="0"/>
              <w:suppressLineNumbers w:val="0"/>
              <w:spacing w:before="0" w:beforeAutospacing="0" w:after="0" w:afterAutospacing="0"/>
              <w:ind w:left="0" w:leftChars="0" w:right="0" w:rightChars="0"/>
              <w:jc w:val="center"/>
              <w:rPr>
                <w:rFonts w:hint="eastAsia" w:ascii="宋体" w:hAnsi="宋体" w:eastAsia="宋体" w:cs="宋体"/>
                <w:szCs w:val="21"/>
              </w:rPr>
            </w:pPr>
            <w:r>
              <w:rPr>
                <w:rFonts w:hint="default" w:ascii="Consolas" w:hAnsi="Consolas" w:eastAsia="Consolas" w:cs="Consolas"/>
                <w:color w:val="222222"/>
                <w:kern w:val="2"/>
                <w:sz w:val="21"/>
                <w:szCs w:val="21"/>
                <w:shd w:val="clear" w:fill="FFFFFF"/>
                <w:lang w:val="en-US" w:eastAsia="zh-CN" w:bidi="ar"/>
              </w:rPr>
              <w:t>☆</w:t>
            </w:r>
            <w:r>
              <w:rPr>
                <w:rFonts w:hint="eastAsia" w:ascii="宋体" w:hAnsi="宋体" w:eastAsia="宋体" w:cs="宋体"/>
                <w:szCs w:val="21"/>
                <w:lang w:val="en-US" w:eastAsia="zh-CN"/>
              </w:rPr>
              <w:t>≤</w:t>
            </w:r>
            <w:r>
              <w:rPr>
                <w:rFonts w:hint="eastAsia" w:ascii="宋体" w:hAnsi="宋体" w:eastAsia="宋体" w:cs="宋体"/>
                <w:szCs w:val="21"/>
              </w:rPr>
              <w:t>1mHz</w:t>
            </w:r>
          </w:p>
        </w:tc>
      </w:tr>
      <w:tr w14:paraId="0B593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14" w:type="pct"/>
            <w:vAlign w:val="center"/>
          </w:tcPr>
          <w:p w14:paraId="485503FD">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3.6</w:t>
            </w:r>
          </w:p>
        </w:tc>
        <w:tc>
          <w:tcPr>
            <w:tcW w:w="1815" w:type="pct"/>
            <w:shd w:val="clear" w:color="auto" w:fill="auto"/>
            <w:vAlign w:val="center"/>
          </w:tcPr>
          <w:p w14:paraId="5C95889B">
            <w:pPr>
              <w:keepNext w:val="0"/>
              <w:keepLines w:val="0"/>
              <w:suppressLineNumbers w:val="0"/>
              <w:spacing w:before="0" w:beforeAutospacing="0" w:after="0" w:afterAutospacing="0"/>
              <w:ind w:left="0" w:leftChars="0" w:right="0" w:rightChars="0"/>
              <w:jc w:val="center"/>
              <w:rPr>
                <w:rFonts w:hint="default" w:ascii="宋体" w:hAnsi="宋体" w:eastAsia="宋体" w:cs="Arial"/>
                <w:szCs w:val="21"/>
              </w:rPr>
            </w:pPr>
            <w:r>
              <w:rPr>
                <w:rFonts w:hint="eastAsia" w:ascii="宋体" w:hAnsi="宋体" w:eastAsia="宋体" w:cs="Arial"/>
                <w:color w:val="000000"/>
                <w:kern w:val="24"/>
                <w:szCs w:val="21"/>
                <w:lang w:val="en-US" w:eastAsia="zh-CN"/>
              </w:rPr>
              <w:t>三电极测试</w:t>
            </w:r>
          </w:p>
        </w:tc>
        <w:tc>
          <w:tcPr>
            <w:tcW w:w="2670" w:type="pct"/>
            <w:shd w:val="clear" w:color="auto" w:fill="auto"/>
            <w:vAlign w:val="center"/>
          </w:tcPr>
          <w:p w14:paraId="0C6DCE4F">
            <w:pPr>
              <w:keepNext w:val="0"/>
              <w:keepLines w:val="0"/>
              <w:suppressLineNumbers w:val="0"/>
              <w:spacing w:before="0" w:beforeAutospacing="0" w:after="0" w:afterAutospacing="0"/>
              <w:ind w:left="0" w:leftChars="0" w:right="0" w:rightChars="0"/>
              <w:rPr>
                <w:rFonts w:hint="eastAsia" w:ascii="宋体" w:hAnsi="宋体" w:eastAsia="宋体" w:cs="宋体"/>
                <w:szCs w:val="21"/>
                <w:lang w:val="en-US" w:eastAsia="zh-CN"/>
              </w:rPr>
            </w:pPr>
            <w:r>
              <w:rPr>
                <w:rFonts w:hint="eastAsia" w:ascii="宋体" w:hAnsi="宋体" w:eastAsia="宋体" w:cs="Arial"/>
                <w:szCs w:val="21"/>
                <w:lang w:val="en-US" w:eastAsia="zh-CN"/>
              </w:rPr>
              <w:t xml:space="preserve">每个测试通道在电化学过程中均可同时独立实测到正极对参比，负极对参比以及正极对负极的电化学阻抗谱 </w:t>
            </w:r>
          </w:p>
        </w:tc>
      </w:tr>
    </w:tbl>
    <w:p w14:paraId="35D9D06D">
      <w:pPr>
        <w:rPr>
          <w:rFonts w:hint="eastAsia"/>
          <w:lang w:val="en-US" w:eastAsia="zh-CN"/>
        </w:rPr>
      </w:pPr>
    </w:p>
    <w:p w14:paraId="3897DD5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 xml:space="preserve"> 锂离子电池状态采集与评估</w:t>
      </w:r>
      <w:r>
        <w:rPr>
          <w:rFonts w:hint="eastAsia" w:ascii="宋体" w:hAnsi="宋体" w:eastAsia="宋体" w:cs="宋体"/>
          <w:b/>
          <w:bCs/>
          <w:color w:val="auto"/>
          <w:sz w:val="24"/>
          <w:szCs w:val="24"/>
          <w:highlight w:val="none"/>
          <w:lang w:eastAsia="zh-CN"/>
        </w:rPr>
        <w:t>软件开发平台</w:t>
      </w:r>
    </w:p>
    <w:p w14:paraId="57B780E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4.1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总体要求</w:t>
      </w:r>
    </w:p>
    <w:p w14:paraId="6BA2EB2B">
      <w:pPr>
        <w:numPr>
          <w:ilvl w:val="0"/>
          <w:numId w:val="0"/>
        </w:numPr>
        <w:spacing w:line="360" w:lineRule="auto"/>
        <w:ind w:leftChars="0"/>
        <w:rPr>
          <w:rFonts w:hint="default" w:ascii="Times New Roman" w:hAnsi="Times New Roman" w:eastAsia="宋体" w:cs="Times New Roman"/>
          <w:sz w:val="24"/>
          <w:szCs w:val="24"/>
          <w:lang w:val="en-US" w:eastAsia="zh-CN"/>
        </w:rPr>
      </w:pPr>
      <w:r>
        <w:rPr>
          <w:rFonts w:hint="eastAsia"/>
          <w:sz w:val="24"/>
          <w:szCs w:val="24"/>
          <w:lang w:val="en-US" w:eastAsia="zh-CN"/>
        </w:rPr>
        <w:tab/>
      </w:r>
      <w:r>
        <w:rPr>
          <w:rFonts w:hint="eastAsia" w:ascii="Times New Roman" w:hAnsi="Times New Roman" w:eastAsia="宋体" w:cs="Times New Roman"/>
          <w:sz w:val="24"/>
          <w:szCs w:val="24"/>
          <w:lang w:val="en-US" w:eastAsia="zh-CN"/>
        </w:rPr>
        <w:t>锂离子电池状态采集与评估软件开发平台主要用于开展电池状态采集硬件电路、电池状态估计算法，具备大量储能电池充放电过程特征数据分析能力、硬件选型、设计、建模等开发能力。供方应提供必要的设备测试桌等配套物件，保障设备平稳运行。</w:t>
      </w:r>
    </w:p>
    <w:p w14:paraId="6688C51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4.2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技术要求</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2336"/>
        <w:gridCol w:w="5297"/>
      </w:tblGrid>
      <w:tr w14:paraId="53ECC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3"/>
            <w:shd w:val="clear" w:color="auto" w:fill="auto"/>
            <w:vAlign w:val="center"/>
          </w:tcPr>
          <w:p w14:paraId="20E3276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宋体" w:hAnsi="宋体" w:eastAsia="宋体" w:cs="宋体"/>
                <w:b w:val="0"/>
                <w:bCs w:val="0"/>
                <w:color w:val="auto"/>
                <w:sz w:val="24"/>
                <w:szCs w:val="24"/>
                <w:highlight w:val="none"/>
              </w:rPr>
              <w:t>锂离子电池状态评估</w:t>
            </w:r>
            <w:r>
              <w:rPr>
                <w:rFonts w:hint="eastAsia" w:ascii="宋体" w:hAnsi="宋体" w:eastAsia="宋体" w:cs="宋体"/>
                <w:b w:val="0"/>
                <w:bCs w:val="0"/>
                <w:color w:val="auto"/>
                <w:sz w:val="24"/>
                <w:szCs w:val="24"/>
                <w:highlight w:val="none"/>
                <w:lang w:val="en-US" w:eastAsia="zh-CN"/>
              </w:rPr>
              <w:t>软</w:t>
            </w:r>
            <w:r>
              <w:rPr>
                <w:rFonts w:hint="eastAsia" w:ascii="宋体" w:hAnsi="宋体" w:eastAsia="宋体" w:cs="宋体"/>
                <w:b w:val="0"/>
                <w:bCs w:val="0"/>
                <w:color w:val="auto"/>
                <w:sz w:val="24"/>
                <w:szCs w:val="24"/>
                <w:highlight w:val="none"/>
              </w:rPr>
              <w:t>件开发平台</w:t>
            </w:r>
          </w:p>
        </w:tc>
      </w:tr>
      <w:tr w14:paraId="525B4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5" w:hRule="atLeast"/>
          <w:jc w:val="center"/>
        </w:trPr>
        <w:tc>
          <w:tcPr>
            <w:tcW w:w="520" w:type="pct"/>
            <w:shd w:val="clear" w:color="auto" w:fill="auto"/>
            <w:vAlign w:val="center"/>
          </w:tcPr>
          <w:p w14:paraId="5E97125A">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1.1</w:t>
            </w:r>
          </w:p>
        </w:tc>
        <w:tc>
          <w:tcPr>
            <w:tcW w:w="1371" w:type="pct"/>
            <w:shd w:val="clear" w:color="auto" w:fill="auto"/>
            <w:vAlign w:val="center"/>
          </w:tcPr>
          <w:p w14:paraId="2FD71FA4">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源载一体</w:t>
            </w:r>
          </w:p>
          <w:p w14:paraId="3A1630A4">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电池模块仿真机</w:t>
            </w:r>
          </w:p>
        </w:tc>
        <w:tc>
          <w:tcPr>
            <w:tcW w:w="3108" w:type="pct"/>
            <w:shd w:val="clear" w:color="auto" w:fill="auto"/>
            <w:vAlign w:val="center"/>
          </w:tcPr>
          <w:p w14:paraId="1435037F">
            <w:pPr>
              <w:pStyle w:val="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firstLine="0" w:firstLineChars="0"/>
              <w:textAlignment w:val="baseline"/>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w:t>
            </w:r>
            <w:r>
              <w:rPr>
                <w:rFonts w:hint="eastAsia" w:ascii="Times New Roman" w:hAnsi="Times New Roman" w:eastAsia="宋体" w:cs="Times New Roman"/>
                <w:color w:val="000000"/>
                <w:szCs w:val="21"/>
                <w:lang w:val="en-US" w:eastAsia="zh-CN"/>
              </w:rPr>
              <w:t>★</w:t>
            </w:r>
            <w:r>
              <w:rPr>
                <w:rFonts w:hint="eastAsia" w:ascii="Times New Roman" w:hAnsi="Times New Roman" w:eastAsia="宋体" w:cs="Times New Roman"/>
                <w:color w:val="000000"/>
                <w:kern w:val="2"/>
                <w:sz w:val="21"/>
                <w:szCs w:val="21"/>
                <w:highlight w:val="none"/>
                <w:lang w:val="en-US" w:eastAsia="zh-CN" w:bidi="ar-SA"/>
              </w:rPr>
              <w:t>具备电源负载一键切换、电池模拟功能；</w:t>
            </w:r>
          </w:p>
          <w:p w14:paraId="5A759210">
            <w:pPr>
              <w:pStyle w:val="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firstLine="0" w:firstLineChars="0"/>
              <w:textAlignment w:val="baseline"/>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w:t>
            </w:r>
            <w:r>
              <w:rPr>
                <w:rFonts w:hint="eastAsia" w:ascii="Times New Roman" w:hAnsi="Times New Roman" w:eastAsia="宋体" w:cs="Times New Roman"/>
                <w:color w:val="000000"/>
                <w:szCs w:val="21"/>
                <w:lang w:val="en-US" w:eastAsia="zh-CN"/>
              </w:rPr>
              <w:t>★</w:t>
            </w:r>
            <w:r>
              <w:rPr>
                <w:rFonts w:hint="eastAsia" w:ascii="Times New Roman" w:hAnsi="Times New Roman" w:eastAsia="宋体" w:cs="Times New Roman"/>
                <w:color w:val="000000"/>
                <w:kern w:val="2"/>
                <w:sz w:val="21"/>
                <w:szCs w:val="21"/>
                <w:highlight w:val="none"/>
                <w:lang w:val="en-US" w:eastAsia="zh-CN" w:bidi="ar-SA"/>
              </w:rPr>
              <w:t>负载输入/电源输出电压范围不少于0-150V；</w:t>
            </w:r>
          </w:p>
          <w:p w14:paraId="4141926F">
            <w:pPr>
              <w:pStyle w:val="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firstLine="0" w:firstLineChars="0"/>
              <w:textAlignment w:val="baseline"/>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w:t>
            </w:r>
            <w:r>
              <w:rPr>
                <w:rFonts w:hint="eastAsia" w:ascii="Times New Roman" w:hAnsi="Times New Roman" w:eastAsia="宋体" w:cs="Times New Roman"/>
                <w:color w:val="000000"/>
                <w:szCs w:val="21"/>
                <w:lang w:val="en-US" w:eastAsia="zh-CN"/>
              </w:rPr>
              <w:t>★</w:t>
            </w:r>
            <w:r>
              <w:rPr>
                <w:rFonts w:hint="eastAsia" w:ascii="Times New Roman" w:hAnsi="Times New Roman" w:eastAsia="宋体" w:cs="Times New Roman"/>
                <w:color w:val="000000"/>
                <w:kern w:val="2"/>
                <w:sz w:val="21"/>
                <w:szCs w:val="21"/>
                <w:highlight w:val="none"/>
                <w:lang w:val="en-US" w:eastAsia="zh-CN" w:bidi="ar-SA"/>
              </w:rPr>
              <w:t>负载输入电流范围不少于0-12A，电源输出电流范围不少于-12-12A；</w:t>
            </w:r>
          </w:p>
          <w:p w14:paraId="0818A6F8">
            <w:pPr>
              <w:pStyle w:val="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firstLine="0" w:firstLineChars="0"/>
              <w:textAlignment w:val="baseline"/>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4.</w:t>
            </w:r>
            <w:r>
              <w:rPr>
                <w:rFonts w:hint="eastAsia" w:ascii="Times New Roman" w:hAnsi="Times New Roman" w:eastAsia="宋体" w:cs="Times New Roman"/>
                <w:color w:val="000000"/>
                <w:szCs w:val="21"/>
                <w:lang w:val="en-US" w:eastAsia="zh-CN"/>
              </w:rPr>
              <w:t>★</w:t>
            </w:r>
            <w:r>
              <w:rPr>
                <w:rFonts w:hint="eastAsia" w:ascii="Times New Roman" w:hAnsi="Times New Roman" w:eastAsia="宋体" w:cs="Times New Roman"/>
                <w:color w:val="000000"/>
                <w:kern w:val="2"/>
                <w:sz w:val="21"/>
                <w:szCs w:val="21"/>
                <w:highlight w:val="none"/>
                <w:lang w:val="en-US" w:eastAsia="zh-CN" w:bidi="ar-SA"/>
              </w:rPr>
              <w:t>负载输入功率范围不少于0-400W，电源输出功率不少于-400-400W；</w:t>
            </w:r>
          </w:p>
          <w:p w14:paraId="50BDB2D3">
            <w:pPr>
              <w:pStyle w:val="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firstLine="0" w:firstLineChars="0"/>
              <w:textAlignment w:val="baseline"/>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5.提供RS232、CAN、LAN、GPIB、RS485、外部模拟量和IO等外部控制方式</w:t>
            </w:r>
          </w:p>
          <w:p w14:paraId="533F952F">
            <w:pPr>
              <w:pStyle w:val="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textAlignment w:val="baseline"/>
              <w:rPr>
                <w:rFonts w:hint="default"/>
                <w:lang w:val="en-US" w:eastAsia="zh-CN"/>
              </w:rPr>
            </w:pPr>
            <w:r>
              <w:rPr>
                <w:rFonts w:hint="eastAsia" w:ascii="Times New Roman" w:hAnsi="Times New Roman" w:eastAsia="宋体" w:cs="Times New Roman"/>
                <w:color w:val="000000"/>
                <w:kern w:val="2"/>
                <w:sz w:val="21"/>
                <w:szCs w:val="21"/>
                <w:highlight w:val="none"/>
                <w:lang w:val="en-US" w:eastAsia="zh-CN" w:bidi="ar-SA"/>
              </w:rPr>
              <w:t>6.具备防反接、过流、欠流、过压、过热、过功率、欠压、电网故障、断电等保护功能。</w:t>
            </w:r>
          </w:p>
        </w:tc>
      </w:tr>
      <w:tr w14:paraId="0E3F1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20" w:type="pct"/>
            <w:shd w:val="clear" w:color="auto" w:fill="auto"/>
            <w:vAlign w:val="center"/>
          </w:tcPr>
          <w:p w14:paraId="0C62295D">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1.2</w:t>
            </w:r>
          </w:p>
        </w:tc>
        <w:tc>
          <w:tcPr>
            <w:tcW w:w="1371" w:type="pct"/>
            <w:shd w:val="clear" w:color="auto" w:fill="auto"/>
            <w:vAlign w:val="center"/>
          </w:tcPr>
          <w:p w14:paraId="0BF3C97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固定式仿真设备</w:t>
            </w:r>
          </w:p>
          <w:p w14:paraId="4910CAE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控制终端</w:t>
            </w:r>
          </w:p>
          <w:p w14:paraId="3E2FD89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（含软件）</w:t>
            </w:r>
          </w:p>
        </w:tc>
        <w:tc>
          <w:tcPr>
            <w:tcW w:w="3108" w:type="pct"/>
            <w:shd w:val="clear" w:color="auto" w:fill="auto"/>
            <w:vAlign w:val="center"/>
          </w:tcPr>
          <w:p w14:paraId="3E9D0AF6">
            <w:pPr>
              <w:keepNext w:val="0"/>
              <w:keepLines w:val="0"/>
              <w:pageBreakBefore w:val="0"/>
              <w:widowControl w:val="0"/>
              <w:numPr>
                <w:ilvl w:val="0"/>
                <w:numId w:val="0"/>
              </w:numPr>
              <w:suppressLineNumbers w:val="0"/>
              <w:kinsoku/>
              <w:wordWrap/>
              <w:overflowPunct/>
              <w:topLinePunct w:val="0"/>
              <w:autoSpaceDE/>
              <w:autoSpaceDN/>
              <w:bidi w:val="0"/>
              <w:snapToGrid/>
              <w:spacing w:before="0" w:beforeAutospacing="0" w:after="0" w:afterAutospacing="0" w:line="240" w:lineRule="auto"/>
              <w:ind w:left="0" w:right="0" w:rightChars="0"/>
              <w:jc w:val="both"/>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w:t>
            </w:r>
            <w:r>
              <w:rPr>
                <w:rFonts w:hint="eastAsia" w:ascii="Times New Roman" w:hAnsi="Times New Roman" w:eastAsia="宋体" w:cs="Times New Roman"/>
                <w:color w:val="000000"/>
                <w:szCs w:val="21"/>
                <w:lang w:val="en-US" w:eastAsia="zh-CN"/>
              </w:rPr>
              <w:t>★</w:t>
            </w:r>
            <w:r>
              <w:rPr>
                <w:rFonts w:hint="eastAsia" w:ascii="Times New Roman" w:hAnsi="Times New Roman" w:eastAsia="宋体" w:cs="Times New Roman"/>
                <w:color w:val="000000"/>
                <w:kern w:val="2"/>
                <w:sz w:val="21"/>
                <w:szCs w:val="21"/>
                <w:highlight w:val="none"/>
                <w:lang w:val="en-US" w:eastAsia="zh-CN" w:bidi="ar-SA"/>
              </w:rPr>
              <w:t>控制终端附件物理核心数量不少于16，工作频率不低于4.0GHz，最大频率不低于5.5GHz，含水冷系统，具备采集、分析电池输入输出暂态过程的能力；</w:t>
            </w:r>
          </w:p>
          <w:p w14:paraId="097F18C6">
            <w:pPr>
              <w:pStyle w:val="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firstLine="0" w:firstLineChars="0"/>
              <w:textAlignment w:val="baseline"/>
              <w:rPr>
                <w:rFonts w:hint="eastAsia" w:ascii="Times New Roman" w:hAnsi="Times New Roman" w:eastAsia="宋体" w:cs="Times New Roman"/>
                <w:color w:val="000000"/>
                <w:kern w:val="2"/>
                <w:sz w:val="21"/>
                <w:szCs w:val="21"/>
                <w:highlight w:val="none"/>
                <w:lang w:val="en-US" w:eastAsia="zh-CN" w:bidi="ar-SA"/>
              </w:rPr>
            </w:pPr>
            <w:r>
              <w:rPr>
                <w:rFonts w:hint="default" w:ascii="Times New Roman" w:hAnsi="Times New Roman" w:cs="Times New Roman"/>
                <w:lang w:val="en-US" w:eastAsia="zh-CN"/>
              </w:rPr>
              <w:t>2</w:t>
            </w:r>
            <w:r>
              <w:rPr>
                <w:rFonts w:hint="default"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控制终端配置SSD固态存储器容量不少于2TB，具备存储大量储能电池充放电数据的能力；</w:t>
            </w:r>
          </w:p>
          <w:p w14:paraId="34FD0513">
            <w:pPr>
              <w:pStyle w:val="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firstLine="0" w:firstLineChars="0"/>
              <w:textAlignment w:val="baseline"/>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3.控制终端配置高速内存容量不少于64GB，工作频率不低于6000MT/s，具备开展大规模数值计算的能力；</w:t>
            </w:r>
          </w:p>
          <w:p w14:paraId="37D14C21">
            <w:pPr>
              <w:pStyle w:val="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firstLine="0" w:firstLineChars="0"/>
              <w:textAlignment w:val="baseline"/>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4.控制终端具备高速无线网卡，具备无线控制平台设备的能力；</w:t>
            </w:r>
          </w:p>
          <w:p w14:paraId="217568B6">
            <w:pPr>
              <w:pStyle w:val="2"/>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firstLine="0" w:firstLineChars="0"/>
              <w:textAlignment w:val="baseline"/>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5.控制终端高性能独立显卡（显存容量不少于32G）、2块2K显示屏并配支架（尺寸不小于27英寸），具备开展电池多物理场建模的能力；</w:t>
            </w:r>
          </w:p>
        </w:tc>
      </w:tr>
    </w:tbl>
    <w:p w14:paraId="5D9EEBBB">
      <w:pPr>
        <w:rPr>
          <w:rFonts w:hint="eastAsia"/>
          <w:lang w:val="en-US" w:eastAsia="zh-CN"/>
        </w:rPr>
      </w:pPr>
      <w:r>
        <w:rPr>
          <w:rFonts w:hint="eastAsia"/>
          <w:lang w:val="en-US" w:eastAsia="zh-CN"/>
        </w:rPr>
        <w:br w:type="page"/>
      </w:r>
    </w:p>
    <w:p w14:paraId="78C643E4">
      <w:pPr>
        <w:rPr>
          <w:rFonts w:hint="eastAsia"/>
          <w:lang w:val="en-US" w:eastAsia="zh-CN"/>
        </w:rPr>
      </w:pPr>
    </w:p>
    <w:p w14:paraId="3877DB6A">
      <w:pPr>
        <w:pStyle w:val="4"/>
        <w:rPr>
          <w:rFonts w:ascii="宋体" w:hAnsi="宋体" w:eastAsia="宋体" w:cs="宋体"/>
          <w:sz w:val="24"/>
          <w:szCs w:val="24"/>
        </w:rPr>
      </w:pPr>
      <w:bookmarkStart w:id="26" w:name="_Toc30096"/>
      <w:r>
        <w:rPr>
          <w:rFonts w:hint="eastAsia" w:ascii="宋体" w:hAnsi="宋体" w:eastAsia="宋体" w:cs="宋体"/>
          <w:sz w:val="24"/>
          <w:szCs w:val="24"/>
        </w:rPr>
        <w:t>四、包装、运输及安装调试要求</w:t>
      </w:r>
      <w:bookmarkEnd w:id="26"/>
    </w:p>
    <w:p w14:paraId="421A9E4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default" w:ascii="宋体" w:hAnsi="宋体" w:eastAsia="宋体" w:cs="宋体"/>
          <w:b/>
          <w:bCs/>
          <w:color w:val="auto"/>
          <w:sz w:val="24"/>
          <w:szCs w:val="24"/>
          <w:highlight w:val="none"/>
          <w:lang w:val="en-US" w:eastAsia="zh-CN"/>
        </w:rPr>
      </w:pPr>
      <w:bookmarkStart w:id="27" w:name="_Toc9224"/>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包装及运输</w:t>
      </w:r>
      <w:bookmarkEnd w:id="27"/>
    </w:p>
    <w:p w14:paraId="03D222C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包装要求</w:t>
      </w:r>
    </w:p>
    <w:p w14:paraId="642F3FCA">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sz w:val="24"/>
          <w:szCs w:val="24"/>
        </w:rPr>
        <w:t>卖方提供的所有合同设备应包装牢固，保证备免受潮湿、生锈，雨淋和振动。包装应能够承受大批量搬运和装卸以及长距离空运、陆运运输，保证设备安全抵达用户现场而无损坏。设备包装应符合下述条件：</w:t>
      </w:r>
    </w:p>
    <w:p w14:paraId="76E161DE">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sz w:val="24"/>
          <w:szCs w:val="24"/>
        </w:rPr>
        <w:t>（1）所有设备包装应便于装卸、转运和现场安装。</w:t>
      </w:r>
    </w:p>
    <w:p w14:paraId="16FF275F">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sz w:val="24"/>
          <w:szCs w:val="24"/>
        </w:rPr>
        <w:t>（2）在设备到达目的地后，由卖方组织，买方参加，进行开箱验收。如果发现软硬件有偏差、储存盘损坏、损失、遗漏或数量、质量、技术规范因卖方的责任与合同不符或隐藏的损坏，卖方应立即修复或更换损坏的软件和储存盘，所需费用由卖方承担，买方有权向卖方提出索赔。</w:t>
      </w:r>
    </w:p>
    <w:p w14:paraId="1D65561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运输要求</w:t>
      </w:r>
    </w:p>
    <w:p w14:paraId="1EC49FB3">
      <w:pPr>
        <w:pStyle w:val="2"/>
        <w:keepNext w:val="0"/>
        <w:keepLines w:val="0"/>
        <w:pageBreakBefore w:val="0"/>
        <w:widowControl w:val="0"/>
        <w:kinsoku/>
        <w:wordWrap/>
        <w:overflowPunct/>
        <w:topLinePunct w:val="0"/>
        <w:autoSpaceDE/>
        <w:autoSpaceDN/>
        <w:bidi w:val="0"/>
        <w:adjustRightInd w:val="0"/>
        <w:snapToGrid/>
        <w:spacing w:after="0" w:line="360" w:lineRule="auto"/>
        <w:ind w:firstLine="0" w:firstLineChars="0"/>
        <w:textAlignment w:val="baseline"/>
        <w:rPr>
          <w:rFonts w:hint="eastAsia" w:ascii="宋体" w:hAnsi="宋体" w:eastAsia="宋体"/>
          <w:sz w:val="24"/>
          <w:szCs w:val="24"/>
        </w:rPr>
      </w:pPr>
      <w:r>
        <w:rPr>
          <w:rFonts w:hint="eastAsia" w:ascii="宋体" w:hAnsi="宋体" w:eastAsia="宋体"/>
          <w:sz w:val="24"/>
          <w:szCs w:val="24"/>
        </w:rPr>
        <w:t>（1）从卖方到目的地的运输由卖方负责。目的地为</w:t>
      </w:r>
      <w:r>
        <w:rPr>
          <w:rFonts w:hint="eastAsia" w:ascii="宋体" w:hAnsi="宋体" w:eastAsia="宋体"/>
          <w:sz w:val="24"/>
          <w:szCs w:val="24"/>
          <w:u w:val="single"/>
        </w:rPr>
        <w:t>买方指定地点</w:t>
      </w:r>
      <w:r>
        <w:rPr>
          <w:rFonts w:hint="eastAsia" w:ascii="宋体" w:hAnsi="宋体" w:eastAsia="宋体"/>
          <w:sz w:val="24"/>
          <w:szCs w:val="24"/>
        </w:rPr>
        <w:t>。</w:t>
      </w:r>
    </w:p>
    <w:p w14:paraId="44588062">
      <w:pPr>
        <w:pStyle w:val="2"/>
        <w:keepNext w:val="0"/>
        <w:keepLines w:val="0"/>
        <w:pageBreakBefore w:val="0"/>
        <w:widowControl w:val="0"/>
        <w:kinsoku/>
        <w:wordWrap/>
        <w:overflowPunct/>
        <w:topLinePunct w:val="0"/>
        <w:autoSpaceDE/>
        <w:autoSpaceDN/>
        <w:bidi w:val="0"/>
        <w:adjustRightInd w:val="0"/>
        <w:snapToGrid/>
        <w:spacing w:after="0" w:line="360" w:lineRule="auto"/>
        <w:ind w:firstLine="0" w:firstLineChars="0"/>
        <w:textAlignment w:val="baseline"/>
        <w:rPr>
          <w:rFonts w:hint="eastAsia" w:ascii="宋体" w:hAnsi="宋体" w:eastAsia="宋体"/>
          <w:sz w:val="24"/>
          <w:szCs w:val="24"/>
        </w:rPr>
      </w:pPr>
      <w:r>
        <w:rPr>
          <w:rFonts w:hint="eastAsia" w:ascii="宋体" w:hAnsi="宋体" w:eastAsia="宋体"/>
          <w:sz w:val="24"/>
          <w:szCs w:val="24"/>
        </w:rPr>
        <w:t>（2）储存盘保存交付，快递运输。</w:t>
      </w:r>
    </w:p>
    <w:p w14:paraId="54B4DAFA">
      <w:pPr>
        <w:pStyle w:val="2"/>
        <w:keepNext w:val="0"/>
        <w:keepLines w:val="0"/>
        <w:pageBreakBefore w:val="0"/>
        <w:widowControl w:val="0"/>
        <w:kinsoku/>
        <w:wordWrap/>
        <w:overflowPunct/>
        <w:topLinePunct w:val="0"/>
        <w:autoSpaceDE/>
        <w:autoSpaceDN/>
        <w:bidi w:val="0"/>
        <w:adjustRightInd w:val="0"/>
        <w:snapToGrid/>
        <w:spacing w:after="0" w:line="360" w:lineRule="auto"/>
        <w:ind w:firstLine="0" w:firstLineChars="0"/>
        <w:textAlignment w:val="baseline"/>
        <w:rPr>
          <w:rFonts w:hint="eastAsia" w:ascii="宋体" w:hAnsi="宋体" w:eastAsia="宋体"/>
          <w:sz w:val="24"/>
          <w:szCs w:val="24"/>
        </w:rPr>
      </w:pPr>
      <w:r>
        <w:rPr>
          <w:rFonts w:hint="eastAsia" w:ascii="宋体" w:hAnsi="宋体" w:eastAsia="宋体"/>
          <w:sz w:val="24"/>
          <w:szCs w:val="24"/>
        </w:rPr>
        <w:t>（3）从卖方发货至买方收到期间，设备应完好无损。</w:t>
      </w:r>
    </w:p>
    <w:p w14:paraId="543BA11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default" w:ascii="宋体" w:hAnsi="宋体" w:eastAsia="宋体" w:cs="宋体"/>
          <w:b/>
          <w:bCs/>
          <w:color w:val="auto"/>
          <w:sz w:val="24"/>
          <w:szCs w:val="24"/>
          <w:highlight w:val="none"/>
          <w:lang w:val="en-US" w:eastAsia="zh-CN"/>
        </w:rPr>
      </w:pPr>
      <w:bookmarkStart w:id="28" w:name="_Toc15187"/>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安装调试</w:t>
      </w:r>
      <w:bookmarkEnd w:id="28"/>
    </w:p>
    <w:p w14:paraId="62F5BF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2.1</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合同设备的安装和连接线应由卖方自行完成，买方可给予必要的配合。</w:t>
      </w:r>
    </w:p>
    <w:p w14:paraId="590AD2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2.2</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到货软件的调试运行，将由买方在卖方的指导下进行。</w:t>
      </w:r>
    </w:p>
    <w:p w14:paraId="3CE987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2.3</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安装调试前，卖方应对买方进行必要的培训，就软件使用提供详细的辅助指导。</w:t>
      </w:r>
    </w:p>
    <w:p w14:paraId="4F2B0B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2.4</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在到货验收试验和调试期间所有损坏的供货范围内模型以及软件使用说明书等，卖方应免费给予更换。</w:t>
      </w:r>
    </w:p>
    <w:p w14:paraId="551420D0">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rPr>
        <w:t xml:space="preserve"> </w:t>
      </w:r>
      <w:r>
        <w:rPr>
          <w:rFonts w:hint="eastAsia" w:ascii="宋体" w:hAnsi="宋体" w:eastAsia="宋体"/>
          <w:sz w:val="24"/>
          <w:szCs w:val="24"/>
        </w:rPr>
        <w:t>卖方在安装调试过程中还需完成以下工作，包括：</w:t>
      </w:r>
    </w:p>
    <w:p w14:paraId="2C2CE38F">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1</w:t>
      </w:r>
      <w:r>
        <w:rPr>
          <w:rFonts w:hint="eastAsia" w:ascii="宋体" w:hAnsi="宋体" w:eastAsia="宋体"/>
          <w:sz w:val="24"/>
          <w:szCs w:val="24"/>
          <w:lang w:eastAsia="zh-CN"/>
        </w:rPr>
        <w:t>）</w:t>
      </w:r>
      <w:r>
        <w:rPr>
          <w:rFonts w:hint="eastAsia" w:ascii="宋体" w:hAnsi="宋体" w:eastAsia="宋体"/>
          <w:sz w:val="24"/>
          <w:szCs w:val="24"/>
        </w:rPr>
        <w:t>提供所供设备的安装手册，详细说明设备卸货、组装、安装和试运行；</w:t>
      </w:r>
    </w:p>
    <w:p w14:paraId="01624285">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2</w:t>
      </w:r>
      <w:r>
        <w:rPr>
          <w:rFonts w:hint="eastAsia" w:ascii="宋体" w:hAnsi="宋体" w:eastAsia="宋体"/>
          <w:sz w:val="24"/>
          <w:szCs w:val="24"/>
          <w:lang w:eastAsia="zh-CN"/>
        </w:rPr>
        <w:t>）</w:t>
      </w:r>
      <w:r>
        <w:rPr>
          <w:rFonts w:hint="eastAsia" w:ascii="宋体" w:hAnsi="宋体" w:eastAsia="宋体"/>
          <w:sz w:val="24"/>
          <w:szCs w:val="24"/>
        </w:rPr>
        <w:t>对安装人员提供确保安全装配/安装所需的必要培训；</w:t>
      </w:r>
    </w:p>
    <w:p w14:paraId="4055DF7B">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3</w:t>
      </w:r>
      <w:r>
        <w:rPr>
          <w:rFonts w:hint="eastAsia" w:ascii="宋体" w:hAnsi="宋体" w:eastAsia="宋体"/>
          <w:sz w:val="24"/>
          <w:szCs w:val="24"/>
          <w:lang w:eastAsia="zh-CN"/>
        </w:rPr>
        <w:t>）</w:t>
      </w:r>
      <w:r>
        <w:rPr>
          <w:rFonts w:hint="eastAsia" w:ascii="宋体" w:hAnsi="宋体" w:eastAsia="宋体"/>
          <w:sz w:val="24"/>
          <w:szCs w:val="24"/>
        </w:rPr>
        <w:t>提供安装必需的专用工具；</w:t>
      </w:r>
    </w:p>
    <w:p w14:paraId="07CAB0E2">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4</w:t>
      </w:r>
      <w:r>
        <w:rPr>
          <w:rFonts w:hint="eastAsia" w:ascii="宋体" w:hAnsi="宋体" w:eastAsia="宋体"/>
          <w:sz w:val="24"/>
          <w:szCs w:val="24"/>
          <w:lang w:eastAsia="zh-CN"/>
        </w:rPr>
        <w:t>）</w:t>
      </w:r>
      <w:r>
        <w:rPr>
          <w:rFonts w:hint="eastAsia" w:ascii="宋体" w:hAnsi="宋体" w:eastAsia="宋体"/>
          <w:sz w:val="24"/>
          <w:szCs w:val="24"/>
        </w:rPr>
        <w:t>检查安装现场的准备情况；</w:t>
      </w:r>
    </w:p>
    <w:p w14:paraId="08E03A83">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5</w:t>
      </w:r>
      <w:r>
        <w:rPr>
          <w:rFonts w:hint="eastAsia" w:ascii="宋体" w:hAnsi="宋体" w:eastAsia="宋体"/>
          <w:sz w:val="24"/>
          <w:szCs w:val="24"/>
          <w:lang w:eastAsia="zh-CN"/>
        </w:rPr>
        <w:t>）</w:t>
      </w:r>
      <w:r>
        <w:rPr>
          <w:rFonts w:hint="eastAsia" w:ascii="宋体" w:hAnsi="宋体" w:eastAsia="宋体"/>
          <w:sz w:val="24"/>
          <w:szCs w:val="24"/>
        </w:rPr>
        <w:t>对将要安装的设备进行检查和清点；</w:t>
      </w:r>
    </w:p>
    <w:p w14:paraId="4EC58AFE">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6</w:t>
      </w:r>
      <w:r>
        <w:rPr>
          <w:rFonts w:hint="eastAsia" w:ascii="宋体" w:hAnsi="宋体" w:eastAsia="宋体"/>
          <w:sz w:val="24"/>
          <w:szCs w:val="24"/>
          <w:lang w:eastAsia="zh-CN"/>
        </w:rPr>
        <w:t>）</w:t>
      </w:r>
      <w:r>
        <w:rPr>
          <w:rFonts w:hint="eastAsia" w:ascii="宋体" w:hAnsi="宋体" w:eastAsia="宋体"/>
          <w:sz w:val="24"/>
          <w:szCs w:val="24"/>
        </w:rPr>
        <w:t>对现场安装人员进行安装交底；</w:t>
      </w:r>
    </w:p>
    <w:p w14:paraId="624B75A2">
      <w:pPr>
        <w:pStyle w:val="2"/>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7</w:t>
      </w:r>
      <w:r>
        <w:rPr>
          <w:rFonts w:hint="eastAsia" w:ascii="宋体" w:hAnsi="宋体" w:eastAsia="宋体"/>
          <w:sz w:val="24"/>
          <w:szCs w:val="24"/>
          <w:lang w:eastAsia="zh-CN"/>
        </w:rPr>
        <w:t>）</w:t>
      </w:r>
      <w:r>
        <w:rPr>
          <w:rFonts w:hint="eastAsia" w:ascii="宋体" w:hAnsi="宋体" w:eastAsia="宋体"/>
          <w:sz w:val="24"/>
          <w:szCs w:val="24"/>
        </w:rPr>
        <w:t>现场监督所供设备的安装工作。</w:t>
      </w:r>
    </w:p>
    <w:p w14:paraId="0282E239">
      <w:pPr>
        <w:rPr>
          <w:rFonts w:hint="eastAsia" w:ascii="宋体" w:hAnsi="宋体" w:eastAsia="宋体"/>
          <w:sz w:val="24"/>
          <w:szCs w:val="24"/>
        </w:rPr>
      </w:pPr>
      <w:r>
        <w:rPr>
          <w:rFonts w:hint="eastAsia" w:ascii="宋体" w:hAnsi="宋体" w:eastAsia="宋体"/>
          <w:sz w:val="24"/>
          <w:szCs w:val="24"/>
        </w:rPr>
        <w:br w:type="page"/>
      </w:r>
    </w:p>
    <w:p w14:paraId="625BFD90">
      <w:pPr>
        <w:pStyle w:val="4"/>
        <w:rPr>
          <w:rFonts w:ascii="宋体" w:hAnsi="宋体" w:eastAsia="宋体" w:cs="Times New Roman"/>
          <w:sz w:val="24"/>
          <w:szCs w:val="24"/>
        </w:rPr>
      </w:pPr>
      <w:bookmarkStart w:id="29" w:name="_Toc23882"/>
      <w:r>
        <w:rPr>
          <w:rFonts w:hint="eastAsia" w:ascii="宋体" w:hAnsi="宋体" w:eastAsia="宋体" w:cs="Times New Roman"/>
          <w:sz w:val="24"/>
          <w:szCs w:val="24"/>
        </w:rPr>
        <w:t>五</w:t>
      </w:r>
      <w:r>
        <w:rPr>
          <w:rFonts w:ascii="宋体" w:hAnsi="宋体" w:eastAsia="宋体" w:cs="Times New Roman"/>
          <w:sz w:val="24"/>
          <w:szCs w:val="24"/>
        </w:rPr>
        <w:t>、</w:t>
      </w:r>
      <w:r>
        <w:rPr>
          <w:rFonts w:hint="eastAsia" w:ascii="宋体" w:hAnsi="宋体" w:eastAsia="宋体" w:cs="Times New Roman"/>
          <w:sz w:val="24"/>
          <w:szCs w:val="24"/>
          <w:lang w:val="en-US" w:eastAsia="zh-CN"/>
        </w:rPr>
        <w:t>验收</w:t>
      </w:r>
      <w:r>
        <w:rPr>
          <w:rFonts w:ascii="宋体" w:hAnsi="宋体" w:eastAsia="宋体" w:cs="Times New Roman"/>
          <w:sz w:val="24"/>
          <w:szCs w:val="24"/>
        </w:rPr>
        <w:t>要求</w:t>
      </w:r>
      <w:bookmarkEnd w:id="29"/>
    </w:p>
    <w:p w14:paraId="20AB4E4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lang w:val="en-US" w:eastAsia="zh-CN"/>
        </w:rPr>
      </w:pPr>
      <w:bookmarkStart w:id="30" w:name="_Toc4115"/>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出厂验收</w:t>
      </w:r>
      <w:bookmarkEnd w:id="30"/>
    </w:p>
    <w:p w14:paraId="60B48208">
      <w:pPr>
        <w:pStyle w:val="6"/>
        <w:keepNext/>
        <w:keepLines/>
        <w:pageBreakBefore w:val="0"/>
        <w:widowControl w:val="0"/>
        <w:numPr>
          <w:ilvl w:val="-1"/>
          <w:numId w:val="0"/>
        </w:numPr>
        <w:kinsoku/>
        <w:wordWrap/>
        <w:overflowPunct/>
        <w:topLinePunct w:val="0"/>
        <w:autoSpaceDE/>
        <w:autoSpaceDN/>
        <w:bidi w:val="0"/>
        <w:adjustRightInd/>
        <w:snapToGrid/>
        <w:spacing w:before="0" w:after="0" w:line="360" w:lineRule="auto"/>
        <w:ind w:left="0" w:firstLine="480" w:firstLineChars="200"/>
        <w:jc w:val="both"/>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.1.1合同中所有设备必须经设备生产厂家的完整的出厂试验以及本技术规范规定的所有试验，以确保系统达到本技术规范要求的性能指标。</w:t>
      </w:r>
    </w:p>
    <w:p w14:paraId="0E67EC62">
      <w:pPr>
        <w:pStyle w:val="6"/>
        <w:keepNext/>
        <w:keepLines/>
        <w:pageBreakBefore w:val="0"/>
        <w:widowControl w:val="0"/>
        <w:numPr>
          <w:ilvl w:val="-1"/>
          <w:numId w:val="0"/>
        </w:numPr>
        <w:kinsoku/>
        <w:wordWrap/>
        <w:overflowPunct/>
        <w:topLinePunct w:val="0"/>
        <w:autoSpaceDE/>
        <w:autoSpaceDN/>
        <w:bidi w:val="0"/>
        <w:adjustRightInd/>
        <w:snapToGrid/>
        <w:spacing w:before="0" w:after="0" w:line="360" w:lineRule="auto"/>
        <w:ind w:left="0" w:firstLine="480" w:firstLineChars="200"/>
        <w:jc w:val="both"/>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.1.2卖方在合同中所有设备出厂前须提供相关合格证明，包括但不限于出厂试验报告、合格证等。</w:t>
      </w:r>
    </w:p>
    <w:p w14:paraId="5354C31B">
      <w:pPr>
        <w:pStyle w:val="6"/>
        <w:keepNext/>
        <w:keepLines/>
        <w:pageBreakBefore w:val="0"/>
        <w:widowControl w:val="0"/>
        <w:numPr>
          <w:ilvl w:val="-1"/>
          <w:numId w:val="0"/>
        </w:numPr>
        <w:kinsoku/>
        <w:wordWrap/>
        <w:overflowPunct/>
        <w:topLinePunct w:val="0"/>
        <w:autoSpaceDE/>
        <w:autoSpaceDN/>
        <w:bidi w:val="0"/>
        <w:adjustRightInd/>
        <w:snapToGrid/>
        <w:spacing w:before="0" w:after="0" w:line="360" w:lineRule="auto"/>
        <w:ind w:left="0" w:firstLine="480" w:firstLineChars="200"/>
        <w:jc w:val="both"/>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.1.3如涉及代理采购的软硬件设备，卖方在该设备出厂前须提供相关授权代理证明。</w:t>
      </w:r>
    </w:p>
    <w:p w14:paraId="080F127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lang w:val="en-US" w:eastAsia="zh-CN"/>
        </w:rPr>
      </w:pPr>
      <w:bookmarkStart w:id="31" w:name="_Toc32032"/>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现场验收</w:t>
      </w:r>
      <w:bookmarkEnd w:id="31"/>
    </w:p>
    <w:p w14:paraId="3A6430B7">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5.2.1卖方须提供供货设备清单（包含附件等）。</w:t>
      </w:r>
    </w:p>
    <w:p w14:paraId="7AA3EF77">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5.2.2卖方应按本规范书的要求，向买方提供合同所有硬件设备说明书、软件手册。</w:t>
      </w:r>
    </w:p>
    <w:p w14:paraId="0D25587A">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5.2.3初验包括以下内容但不限于此：</w:t>
      </w:r>
    </w:p>
    <w:p w14:paraId="5F859A7A">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（1）供货设备抵达交付现场后，买卖双方按照供货范围一览表及供货设备清单，共同开箱核查到货软件、附属文件、存储盘等的外观、数量、软件使用版本；</w:t>
      </w:r>
    </w:p>
    <w:p w14:paraId="0611A1A0">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（2）安装前检查，核实内部接线、电源、设备部件等设备是否齐全；</w:t>
      </w:r>
    </w:p>
    <w:p w14:paraId="0428C759">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（3）设备启动前检查、操作检查；</w:t>
      </w:r>
    </w:p>
    <w:p w14:paraId="4DB18C5B">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（4）设备启动和功能测试；</w:t>
      </w:r>
    </w:p>
    <w:p w14:paraId="425158AD">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（5）设备试运行。</w:t>
      </w:r>
    </w:p>
    <w:p w14:paraId="3BDF87DF">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5.2.4初验在安装完毕的设备上进行，须有买方见证。任何部件不能满足本技术规范要求及制造厂的保证性能时，由制造厂无偿地加以更换，重新进行试验，并报告买方以便批准。</w:t>
      </w:r>
    </w:p>
    <w:p w14:paraId="40781244">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5.2.5卖方须提供完整的初验报告，以表明系统的特定部件或整个系统完全符合规定的性能要求。</w:t>
      </w:r>
    </w:p>
    <w:p w14:paraId="61BAE121">
      <w:pPr>
        <w:pStyle w:val="2"/>
        <w:keepNext w:val="0"/>
        <w:keepLines w:val="0"/>
        <w:pageBreakBefore w:val="0"/>
        <w:widowControl w:val="0"/>
        <w:kinsoku/>
        <w:wordWrap/>
        <w:overflowPunct/>
        <w:topLinePunct w:val="0"/>
        <w:autoSpaceDE/>
        <w:autoSpaceDN/>
        <w:bidi w:val="0"/>
        <w:adjustRightInd w:val="0"/>
        <w:snapToGrid/>
        <w:spacing w:after="0" w:line="360" w:lineRule="auto"/>
        <w:textAlignment w:val="baseline"/>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5.2.6初验报告格式由买卖双方共同确定，且有买卖双方签署确认，以表明合同所有软硬件设备通过初验。</w:t>
      </w:r>
    </w:p>
    <w:p w14:paraId="00B5596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lang w:val="en-US" w:eastAsia="zh-CN"/>
        </w:rPr>
      </w:pPr>
      <w:bookmarkStart w:id="32" w:name="_Toc30574"/>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终验</w:t>
      </w:r>
      <w:bookmarkEnd w:id="32"/>
    </w:p>
    <w:p w14:paraId="699892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.3.1合同所有设备通过初验后，进入为期2个月的试运行。</w:t>
      </w:r>
    </w:p>
    <w:p w14:paraId="56ECA0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.3.2试运行结束后，合同所有软硬件设备运行稳定可靠或交付成果全部完成，由买方出具书面的验收证书以表明设备通过最终验收。</w:t>
      </w:r>
    </w:p>
    <w:p w14:paraId="7A3266C2">
      <w:pPr>
        <w:rPr>
          <w:rFonts w:hint="default"/>
          <w:lang w:val="en-US" w:eastAsia="zh-CN"/>
        </w:rPr>
      </w:pPr>
      <w:r>
        <w:rPr>
          <w:rFonts w:hint="default"/>
          <w:lang w:val="en-US" w:eastAsia="zh-CN"/>
        </w:rPr>
        <w:br w:type="page"/>
      </w:r>
    </w:p>
    <w:bookmarkEnd w:id="19"/>
    <w:p w14:paraId="0B77706F">
      <w:pPr>
        <w:pStyle w:val="4"/>
        <w:numPr>
          <w:ilvl w:val="0"/>
          <w:numId w:val="4"/>
        </w:numPr>
        <w:rPr>
          <w:rFonts w:ascii="Times New Roman" w:hAnsi="Times New Roman" w:cs="Times New Roman"/>
          <w:color w:val="auto"/>
          <w:highlight w:val="none"/>
        </w:rPr>
      </w:pPr>
      <w:bookmarkStart w:id="33" w:name="_Toc3860"/>
      <w:r>
        <w:rPr>
          <w:rFonts w:hint="eastAsia" w:ascii="Times New Roman" w:hAnsi="Times New Roman" w:cs="Times New Roman"/>
          <w:color w:val="auto"/>
          <w:highlight w:val="none"/>
          <w:lang w:val="en-US" w:eastAsia="zh-CN"/>
        </w:rPr>
        <w:t>技术资料和培训</w:t>
      </w:r>
      <w:bookmarkEnd w:id="33"/>
    </w:p>
    <w:p w14:paraId="73DCFB4A">
      <w:pPr>
        <w:pStyle w:val="5"/>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highlight w:val="none"/>
          <w:lang w:val="en-US" w:eastAsia="zh-CN"/>
        </w:rPr>
      </w:pPr>
      <w:bookmarkStart w:id="34" w:name="_Toc18960"/>
      <w:bookmarkStart w:id="35" w:name="_Toc227276534"/>
      <w:bookmarkStart w:id="36" w:name="_Toc1200"/>
      <w:bookmarkStart w:id="37" w:name="_Toc16831"/>
      <w:bookmarkStart w:id="38" w:name="_Toc5031"/>
      <w:r>
        <w:rPr>
          <w:rFonts w:hint="eastAsia" w:ascii="宋体" w:hAnsi="宋体" w:eastAsia="宋体" w:cs="宋体"/>
          <w:color w:val="auto"/>
          <w:sz w:val="24"/>
          <w:szCs w:val="24"/>
          <w:highlight w:val="none"/>
        </w:rPr>
        <w:t>6.1</w:t>
      </w:r>
      <w:bookmarkEnd w:id="34"/>
      <w:bookmarkEnd w:id="35"/>
      <w:bookmarkEnd w:id="36"/>
      <w:bookmarkEnd w:id="37"/>
      <w:r>
        <w:rPr>
          <w:rFonts w:hint="eastAsia" w:ascii="宋体" w:hAnsi="宋体" w:eastAsia="宋体" w:cs="宋体"/>
          <w:color w:val="auto"/>
          <w:sz w:val="24"/>
          <w:szCs w:val="24"/>
          <w:highlight w:val="none"/>
          <w:lang w:val="en-US" w:eastAsia="zh-CN"/>
        </w:rPr>
        <w:t xml:space="preserve"> 技术资料</w:t>
      </w:r>
      <w:bookmarkEnd w:id="38"/>
    </w:p>
    <w:p w14:paraId="7000673B">
      <w:pPr>
        <w:pStyle w:val="6"/>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outlineLvl w:val="2"/>
        <w:rPr>
          <w:rFonts w:hint="eastAsia" w:ascii="宋体" w:hAnsi="宋体" w:eastAsia="宋体" w:cs="宋体"/>
          <w:b w:val="0"/>
          <w:bCs/>
          <w:color w:val="auto"/>
          <w:sz w:val="24"/>
          <w:szCs w:val="24"/>
          <w:highlight w:val="none"/>
        </w:rPr>
      </w:pPr>
      <w:bookmarkStart w:id="39" w:name="_Toc3770"/>
      <w:bookmarkStart w:id="40" w:name="_Toc24776"/>
      <w:bookmarkStart w:id="41" w:name="_Toc17032"/>
      <w:bookmarkStart w:id="42" w:name="_Toc227276535"/>
      <w:r>
        <w:rPr>
          <w:rFonts w:hint="eastAsia" w:ascii="宋体" w:hAnsi="宋体" w:eastAsia="宋体" w:cs="宋体"/>
          <w:b w:val="0"/>
          <w:bCs/>
          <w:color w:val="auto"/>
          <w:sz w:val="24"/>
          <w:szCs w:val="24"/>
          <w:highlight w:val="none"/>
        </w:rPr>
        <w:t>6.1.1卖方须在合同签订后15天内，向买方提供一般性资料，如报价书、说明书和主要技术参数。</w:t>
      </w:r>
    </w:p>
    <w:p w14:paraId="68DD0862">
      <w:pPr>
        <w:pStyle w:val="6"/>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6.1.2卖方须在出厂前20天内，向买方提供下列资料：</w:t>
      </w:r>
    </w:p>
    <w:p w14:paraId="2C30A018">
      <w:pPr>
        <w:keepNext/>
        <w:keepLines/>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所有软硬件设备的使用说明书；</w:t>
      </w:r>
    </w:p>
    <w:p w14:paraId="2D4DDAFA">
      <w:pPr>
        <w:keepNext/>
        <w:keepLines/>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所有硬件设备出厂测试报告；</w:t>
      </w:r>
    </w:p>
    <w:p w14:paraId="2AD17BEA">
      <w:pPr>
        <w:keepNext/>
        <w:keepLines/>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所有硬件设备合格证。</w:t>
      </w:r>
    </w:p>
    <w:p w14:paraId="731E9979">
      <w:pPr>
        <w:keepNext/>
        <w:keepLines/>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上述资料一式1份、电子版本（光盘或U盘）2份。</w:t>
      </w:r>
    </w:p>
    <w:p w14:paraId="1B80CA28">
      <w:pPr>
        <w:pStyle w:val="6"/>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firstLine="480" w:firstLineChars="200"/>
        <w:textAlignment w:val="auto"/>
        <w:outlineLvl w:val="2"/>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6.1.3卖方须在初验后20天内，向买方提供初验报告</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乙方职责</w:t>
      </w:r>
      <w:bookmarkEnd w:id="39"/>
      <w:bookmarkEnd w:id="40"/>
      <w:bookmarkEnd w:id="41"/>
      <w:bookmarkEnd w:id="42"/>
      <w:r>
        <w:rPr>
          <w:rFonts w:hint="eastAsia" w:ascii="宋体" w:hAnsi="宋体" w:eastAsia="宋体" w:cs="宋体"/>
          <w:b w:val="0"/>
          <w:bCs/>
          <w:color w:val="auto"/>
          <w:sz w:val="24"/>
          <w:szCs w:val="24"/>
          <w:highlight w:val="none"/>
          <w:lang w:eastAsia="zh-CN"/>
        </w:rPr>
        <w:t>。</w:t>
      </w:r>
    </w:p>
    <w:p w14:paraId="4B5849B9">
      <w:pPr>
        <w:pStyle w:val="5"/>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highlight w:val="none"/>
        </w:rPr>
      </w:pPr>
      <w:bookmarkStart w:id="43" w:name="_Toc17867"/>
      <w:r>
        <w:rPr>
          <w:rFonts w:hint="eastAsia" w:ascii="宋体" w:hAnsi="宋体" w:eastAsia="宋体" w:cs="宋体"/>
          <w:color w:val="auto"/>
          <w:sz w:val="24"/>
          <w:szCs w:val="24"/>
          <w:highlight w:val="none"/>
        </w:rPr>
        <w:t>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培训</w:t>
      </w:r>
      <w:bookmarkEnd w:id="43"/>
    </w:p>
    <w:p w14:paraId="1CAD0749">
      <w:pPr>
        <w:pStyle w:val="3"/>
        <w:keepNext w:val="0"/>
        <w:keepLines w:val="0"/>
        <w:pageBreakBefore w:val="0"/>
        <w:widowControl w:val="0"/>
        <w:kinsoku/>
        <w:wordWrap/>
        <w:overflowPunct/>
        <w:topLinePunct w:val="0"/>
        <w:autoSpaceDE/>
        <w:autoSpaceDN/>
        <w:bidi w:val="0"/>
        <w:adjustRightInd/>
        <w:snapToGrid/>
        <w:spacing w:before="0" w:after="0" w:line="360" w:lineRule="auto"/>
        <w:ind w:firstLine="643"/>
        <w:jc w:val="both"/>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6.2.1卖方负责技术培训工作，卖方可根据经验，推荐培训方案，并在投标时提交培训方案，方案内容包括但不限于培训方式、培训目标和培训内容。</w:t>
      </w:r>
    </w:p>
    <w:p w14:paraId="1E7160E3">
      <w:pPr>
        <w:pStyle w:val="3"/>
        <w:keepNext w:val="0"/>
        <w:keepLines w:val="0"/>
        <w:pageBreakBefore w:val="0"/>
        <w:widowControl w:val="0"/>
        <w:kinsoku/>
        <w:wordWrap/>
        <w:overflowPunct/>
        <w:topLinePunct w:val="0"/>
        <w:autoSpaceDE/>
        <w:autoSpaceDN/>
        <w:bidi w:val="0"/>
        <w:adjustRightInd/>
        <w:snapToGrid/>
        <w:spacing w:before="0" w:after="0" w:line="360" w:lineRule="auto"/>
        <w:ind w:firstLine="643"/>
        <w:jc w:val="both"/>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6.2.2设备安装、调试完毕后，卖方应就设备的安装、调试、维修、保养、使用等方面内容对用户操作人员、维修技术人员进行相关技术培训，培训时间不少于5个工作日，让培训人员熟练掌握设备操作技能、熟悉软件参数的设置；掌握维修、保养的基本方法，能分析排除简单故障。 </w:t>
      </w:r>
    </w:p>
    <w:p w14:paraId="0E5D724A">
      <w:pPr>
        <w:pStyle w:val="3"/>
        <w:keepNext w:val="0"/>
        <w:keepLines w:val="0"/>
        <w:pageBreakBefore w:val="0"/>
        <w:widowControl w:val="0"/>
        <w:kinsoku/>
        <w:wordWrap/>
        <w:overflowPunct/>
        <w:topLinePunct w:val="0"/>
        <w:autoSpaceDE/>
        <w:autoSpaceDN/>
        <w:bidi w:val="0"/>
        <w:adjustRightInd/>
        <w:snapToGrid/>
        <w:spacing w:before="0" w:after="0" w:line="360" w:lineRule="auto"/>
        <w:ind w:firstLine="643"/>
        <w:jc w:val="both"/>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6.2.3技术培训在买方培训点进行，卖方培训人员的差旅费、培训费等费用由卖方承担。</w:t>
      </w:r>
    </w:p>
    <w:p w14:paraId="35F4B6E5">
      <w:pPr>
        <w:pStyle w:val="3"/>
        <w:keepNext w:val="0"/>
        <w:keepLines w:val="0"/>
        <w:pageBreakBefore w:val="0"/>
        <w:widowControl w:val="0"/>
        <w:kinsoku/>
        <w:wordWrap/>
        <w:overflowPunct/>
        <w:topLinePunct w:val="0"/>
        <w:autoSpaceDE/>
        <w:autoSpaceDN/>
        <w:bidi w:val="0"/>
        <w:adjustRightInd/>
        <w:snapToGrid/>
        <w:spacing w:before="0" w:after="0" w:line="360" w:lineRule="auto"/>
        <w:ind w:firstLine="643"/>
        <w:jc w:val="both"/>
        <w:textAlignment w:val="auto"/>
        <w:outlineLvl w:val="2"/>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6.2.4如果卖方在中国境内有专门培训地点，则买方可派专人参加卖方培训，由此发生的培训费用（如报名费、人工费、材料费等）由卖方承担，往返培训地点的交通费、住宿费、伙食费由买方承担。</w:t>
      </w:r>
    </w:p>
    <w:p w14:paraId="155F0DF0">
      <w:pPr>
        <w:rPr>
          <w:rFonts w:ascii="宋体" w:hAnsi="宋体" w:eastAsia="宋体" w:cs="宋体"/>
          <w:color w:val="auto"/>
          <w:highlight w:val="none"/>
        </w:rPr>
      </w:pPr>
      <w:r>
        <w:rPr>
          <w:rFonts w:ascii="宋体" w:hAnsi="宋体" w:eastAsia="宋体" w:cs="宋体"/>
          <w:color w:val="auto"/>
          <w:highlight w:val="none"/>
        </w:rPr>
        <w:br w:type="page"/>
      </w:r>
    </w:p>
    <w:p w14:paraId="5E253C02">
      <w:pPr>
        <w:pageBreakBefore w:val="0"/>
        <w:widowControl w:val="0"/>
        <w:kinsoku/>
        <w:wordWrap/>
        <w:overflowPunct/>
        <w:topLinePunct w:val="0"/>
        <w:autoSpaceDE/>
        <w:autoSpaceDN/>
        <w:bidi w:val="0"/>
        <w:snapToGrid/>
        <w:spacing w:line="360" w:lineRule="auto"/>
        <w:outlineLvl w:val="0"/>
        <w:rPr>
          <w:rFonts w:hint="default" w:ascii="宋体" w:hAnsi="宋体" w:eastAsia="宋体" w:cs="宋体"/>
          <w:color w:val="auto"/>
          <w:sz w:val="24"/>
          <w:szCs w:val="24"/>
          <w:highlight w:val="none"/>
          <w:lang w:val="en-US"/>
        </w:rPr>
      </w:pPr>
      <w:bookmarkStart w:id="44" w:name="_Toc28174"/>
      <w:bookmarkStart w:id="45" w:name="_Toc18549"/>
      <w:r>
        <w:rPr>
          <w:rFonts w:hint="default" w:ascii="宋体" w:hAnsi="宋体" w:eastAsia="宋体" w:cs="宋体"/>
          <w:color w:val="auto"/>
          <w:sz w:val="24"/>
          <w:szCs w:val="24"/>
          <w:highlight w:val="none"/>
        </w:rPr>
        <w:t>附</w:t>
      </w:r>
      <w:r>
        <w:rPr>
          <w:rFonts w:hint="default" w:ascii="宋体" w:hAnsi="宋体" w:eastAsia="宋体" w:cs="宋体"/>
          <w:color w:val="auto"/>
          <w:sz w:val="24"/>
          <w:szCs w:val="24"/>
          <w:highlight w:val="none"/>
          <w:lang w:val="en-US" w:eastAsia="zh-CN"/>
        </w:rPr>
        <w:t>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投标人应提供的技术材料</w:t>
      </w:r>
      <w:bookmarkEnd w:id="44"/>
      <w:r>
        <w:rPr>
          <w:rFonts w:hint="eastAsia" w:ascii="宋体" w:hAnsi="宋体" w:eastAsia="宋体" w:cs="宋体"/>
          <w:color w:val="auto"/>
          <w:sz w:val="24"/>
          <w:szCs w:val="24"/>
          <w:highlight w:val="none"/>
          <w:lang w:val="en-US" w:eastAsia="zh-CN"/>
        </w:rPr>
        <w:t>清单</w:t>
      </w:r>
      <w:bookmarkEnd w:id="45"/>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7879"/>
      </w:tblGrid>
      <w:tr w14:paraId="63379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376" w:type="pct"/>
            <w:vAlign w:val="center"/>
          </w:tcPr>
          <w:p w14:paraId="5B2C8179">
            <w:pPr>
              <w:keepNext w:val="0"/>
              <w:keepLines w:val="0"/>
              <w:suppressLineNumbers w:val="0"/>
              <w:adjustRightInd w:val="0"/>
              <w:snapToGrid w:val="0"/>
              <w:spacing w:before="0" w:beforeAutospacing="0" w:after="0" w:afterAutospacing="0"/>
              <w:ind w:left="0" w:right="0"/>
              <w:jc w:val="center"/>
              <w:textAlignment w:val="baseline"/>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序号</w:t>
            </w:r>
          </w:p>
        </w:tc>
        <w:tc>
          <w:tcPr>
            <w:tcW w:w="4623" w:type="pct"/>
            <w:vAlign w:val="center"/>
          </w:tcPr>
          <w:p w14:paraId="4A688082">
            <w:pPr>
              <w:keepNext w:val="0"/>
              <w:keepLines w:val="0"/>
              <w:suppressLineNumbers w:val="0"/>
              <w:adjustRightInd w:val="0"/>
              <w:snapToGrid w:val="0"/>
              <w:spacing w:before="0" w:beforeAutospacing="0" w:after="0" w:afterAutospacing="0"/>
              <w:ind w:left="0" w:right="0"/>
              <w:jc w:val="center"/>
              <w:textAlignment w:val="baseline"/>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方案名称</w:t>
            </w:r>
          </w:p>
        </w:tc>
      </w:tr>
      <w:tr w14:paraId="20F1F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76" w:type="pct"/>
            <w:vAlign w:val="center"/>
          </w:tcPr>
          <w:p w14:paraId="2DCB456E">
            <w:pPr>
              <w:keepNext w:val="0"/>
              <w:keepLines w:val="0"/>
              <w:pageBreakBefore w:val="0"/>
              <w:widowControl w:val="0"/>
              <w:numPr>
                <w:ilvl w:val="0"/>
                <w:numId w:val="5"/>
              </w:numPr>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default" w:ascii="Times New Roman" w:hAnsi="Times New Roman" w:eastAsia="宋体" w:cs="Times New Roman"/>
                <w:sz w:val="21"/>
                <w:szCs w:val="21"/>
                <w:highlight w:val="none"/>
              </w:rPr>
            </w:pPr>
          </w:p>
        </w:tc>
        <w:tc>
          <w:tcPr>
            <w:tcW w:w="4623" w:type="pct"/>
            <w:vAlign w:val="center"/>
          </w:tcPr>
          <w:p w14:paraId="2D728F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应标技术文件</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对</w:t>
            </w:r>
            <w:r>
              <w:rPr>
                <w:rFonts w:hint="default" w:ascii="Times New Roman" w:hAnsi="Times New Roman" w:eastAsia="宋体" w:cs="Times New Roman"/>
                <w:sz w:val="21"/>
                <w:szCs w:val="21"/>
                <w:highlight w:val="none"/>
              </w:rPr>
              <w:t>本技术规范书</w:t>
            </w:r>
            <w:r>
              <w:rPr>
                <w:rFonts w:hint="eastAsia" w:ascii="Times New Roman" w:hAnsi="Times New Roman" w:eastAsia="宋体" w:cs="Times New Roman"/>
                <w:sz w:val="21"/>
                <w:szCs w:val="21"/>
                <w:highlight w:val="none"/>
                <w:lang w:val="en-US" w:eastAsia="zh-CN"/>
              </w:rPr>
              <w:t>的逐条响应</w:t>
            </w:r>
            <w:r>
              <w:rPr>
                <w:rFonts w:hint="eastAsia" w:ascii="Times New Roman" w:hAnsi="Times New Roman" w:eastAsia="宋体" w:cs="Times New Roman"/>
                <w:sz w:val="21"/>
                <w:szCs w:val="21"/>
                <w:highlight w:val="none"/>
                <w:lang w:eastAsia="zh-CN"/>
              </w:rPr>
              <w:t>）</w:t>
            </w:r>
          </w:p>
        </w:tc>
      </w:tr>
      <w:tr w14:paraId="103BC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76" w:type="pct"/>
            <w:vAlign w:val="center"/>
          </w:tcPr>
          <w:p w14:paraId="0CEE73C3">
            <w:pPr>
              <w:keepNext w:val="0"/>
              <w:keepLines w:val="0"/>
              <w:pageBreakBefore w:val="0"/>
              <w:widowControl w:val="0"/>
              <w:numPr>
                <w:ilvl w:val="0"/>
                <w:numId w:val="5"/>
              </w:numPr>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default" w:ascii="Times New Roman" w:hAnsi="Times New Roman" w:eastAsia="宋体" w:cs="Times New Roman"/>
                <w:sz w:val="21"/>
                <w:szCs w:val="21"/>
                <w:highlight w:val="none"/>
              </w:rPr>
            </w:pPr>
          </w:p>
        </w:tc>
        <w:tc>
          <w:tcPr>
            <w:tcW w:w="4623" w:type="pct"/>
            <w:vAlign w:val="center"/>
          </w:tcPr>
          <w:p w14:paraId="07BC53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锂离子电池充放电及电化学特性测试平台搭建</w:t>
            </w:r>
            <w:r>
              <w:rPr>
                <w:rFonts w:hint="default" w:ascii="Times New Roman" w:hAnsi="Times New Roman" w:eastAsia="宋体" w:cs="Times New Roman"/>
                <w:sz w:val="21"/>
                <w:szCs w:val="21"/>
                <w:highlight w:val="none"/>
              </w:rPr>
              <w:t>方案</w:t>
            </w:r>
          </w:p>
        </w:tc>
      </w:tr>
      <w:tr w14:paraId="1CB07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76" w:type="pct"/>
            <w:vAlign w:val="center"/>
          </w:tcPr>
          <w:p w14:paraId="3D3CB242">
            <w:pPr>
              <w:keepNext w:val="0"/>
              <w:keepLines w:val="0"/>
              <w:pageBreakBefore w:val="0"/>
              <w:widowControl w:val="0"/>
              <w:numPr>
                <w:ilvl w:val="0"/>
                <w:numId w:val="5"/>
              </w:numPr>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default" w:ascii="Times New Roman" w:hAnsi="Times New Roman" w:eastAsia="宋体" w:cs="Times New Roman"/>
                <w:sz w:val="21"/>
                <w:szCs w:val="21"/>
                <w:highlight w:val="none"/>
              </w:rPr>
            </w:pPr>
          </w:p>
        </w:tc>
        <w:tc>
          <w:tcPr>
            <w:tcW w:w="4623" w:type="pct"/>
            <w:vAlign w:val="center"/>
          </w:tcPr>
          <w:p w14:paraId="49AABF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项目项目执行推进方案（包括项目组</w:t>
            </w:r>
            <w:r>
              <w:rPr>
                <w:rFonts w:hint="eastAsia" w:ascii="Times New Roman" w:hAnsi="Times New Roman" w:eastAsia="宋体" w:cs="Times New Roman"/>
                <w:sz w:val="21"/>
                <w:szCs w:val="21"/>
                <w:highlight w:val="none"/>
                <w:lang w:val="en-US" w:eastAsia="zh-CN"/>
              </w:rPr>
              <w:t>人员及分工、</w:t>
            </w:r>
            <w:r>
              <w:rPr>
                <w:rFonts w:hint="default" w:ascii="Times New Roman" w:hAnsi="Times New Roman" w:eastAsia="宋体" w:cs="Times New Roman"/>
                <w:sz w:val="21"/>
                <w:szCs w:val="21"/>
                <w:highlight w:val="none"/>
              </w:rPr>
              <w:t>技术服务机制、</w:t>
            </w:r>
            <w:r>
              <w:rPr>
                <w:rFonts w:hint="eastAsia" w:ascii="Times New Roman" w:hAnsi="Times New Roman" w:eastAsia="宋体" w:cs="Times New Roman"/>
                <w:sz w:val="21"/>
                <w:szCs w:val="21"/>
                <w:highlight w:val="none"/>
                <w:lang w:val="en-US" w:eastAsia="zh-CN"/>
              </w:rPr>
              <w:t>供货进度</w:t>
            </w:r>
            <w:r>
              <w:rPr>
                <w:rFonts w:hint="default" w:ascii="Times New Roman" w:hAnsi="Times New Roman" w:eastAsia="宋体" w:cs="Times New Roman"/>
                <w:sz w:val="21"/>
                <w:szCs w:val="21"/>
                <w:highlight w:val="none"/>
              </w:rPr>
              <w:t>等内容）</w:t>
            </w:r>
          </w:p>
        </w:tc>
      </w:tr>
      <w:tr w14:paraId="4D32D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376" w:type="pct"/>
            <w:vAlign w:val="center"/>
          </w:tcPr>
          <w:p w14:paraId="5F5F36AD">
            <w:pPr>
              <w:keepNext w:val="0"/>
              <w:keepLines w:val="0"/>
              <w:pageBreakBefore w:val="0"/>
              <w:widowControl w:val="0"/>
              <w:numPr>
                <w:ilvl w:val="0"/>
                <w:numId w:val="5"/>
              </w:numPr>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default" w:ascii="Times New Roman" w:hAnsi="Times New Roman" w:eastAsia="宋体" w:cs="Times New Roman"/>
                <w:sz w:val="21"/>
                <w:szCs w:val="21"/>
                <w:highlight w:val="none"/>
              </w:rPr>
            </w:pPr>
          </w:p>
        </w:tc>
        <w:tc>
          <w:tcPr>
            <w:tcW w:w="4623" w:type="pct"/>
            <w:vAlign w:val="center"/>
          </w:tcPr>
          <w:p w14:paraId="1303B009">
            <w:pPr>
              <w:keepNext w:val="0"/>
              <w:keepLines w:val="0"/>
              <w:pageBreakBefore w:val="0"/>
              <w:widowControl w:val="0"/>
              <w:suppressLineNumbers w:val="0"/>
              <w:tabs>
                <w:tab w:val="left" w:pos="851"/>
                <w:tab w:val="left" w:pos="3960"/>
              </w:tabs>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质量保证方案（包括质保范围、质保期响应、对不满足技术要求项解决措施等内容）</w:t>
            </w:r>
          </w:p>
        </w:tc>
      </w:tr>
    </w:tbl>
    <w:p w14:paraId="522FB21B">
      <w:pPr>
        <w:pStyle w:val="11"/>
        <w:tabs>
          <w:tab w:val="clear" w:pos="567"/>
        </w:tabs>
        <w:snapToGrid w:val="0"/>
        <w:spacing w:line="500" w:lineRule="atLeast"/>
        <w:ind w:left="0"/>
        <w:rPr>
          <w:rFonts w:hint="default" w:ascii="Times New Roman" w:hAnsi="Times New Roman" w:eastAsia="宋体" w:cs="Times New Roman"/>
          <w:b w:val="0"/>
          <w:bCs/>
          <w:sz w:val="24"/>
          <w:szCs w:val="24"/>
          <w:highlight w:val="none"/>
          <w:lang w:val="en-US" w:eastAsia="zh-CN"/>
        </w:rPr>
      </w:pPr>
      <w:r>
        <w:rPr>
          <w:rFonts w:hint="eastAsia" w:ascii="Times New Roman" w:hAnsi="Times New Roman" w:cs="Times New Roman"/>
          <w:b w:val="0"/>
          <w:bCs/>
          <w:sz w:val="24"/>
          <w:szCs w:val="24"/>
          <w:highlight w:val="none"/>
          <w:lang w:val="en-US" w:eastAsia="zh-CN"/>
        </w:rPr>
        <w:t>注：以上卖方提供的方案作为本技术规范的一部分，与本技术规范具有同等效力。</w:t>
      </w:r>
    </w:p>
    <w:p w14:paraId="2DC05023">
      <w:r>
        <w:br w:type="page"/>
      </w:r>
    </w:p>
    <w:p w14:paraId="78A15308">
      <w:pPr>
        <w:pageBreakBefore w:val="0"/>
        <w:widowControl w:val="0"/>
        <w:kinsoku/>
        <w:wordWrap/>
        <w:overflowPunct/>
        <w:topLinePunct w:val="0"/>
        <w:autoSpaceDE/>
        <w:autoSpaceDN/>
        <w:bidi w:val="0"/>
        <w:snapToGrid/>
        <w:spacing w:line="360" w:lineRule="auto"/>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附件2：评分技术指标参数表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4"/>
        <w:gridCol w:w="2354"/>
        <w:gridCol w:w="2750"/>
        <w:gridCol w:w="1834"/>
      </w:tblGrid>
      <w:tr w14:paraId="5F5B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Align w:val="center"/>
          </w:tcPr>
          <w:p w14:paraId="2C5949E7">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设备</w:t>
            </w:r>
          </w:p>
        </w:tc>
        <w:tc>
          <w:tcPr>
            <w:tcW w:w="2354" w:type="dxa"/>
            <w:vAlign w:val="center"/>
          </w:tcPr>
          <w:p w14:paraId="5066DBE2">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kern w:val="2"/>
                <w:sz w:val="21"/>
                <w:szCs w:val="21"/>
                <w:lang w:val="en-US" w:eastAsia="zh-CN" w:bidi="ar-SA"/>
              </w:rPr>
              <w:t>指标项</w:t>
            </w:r>
          </w:p>
        </w:tc>
        <w:tc>
          <w:tcPr>
            <w:tcW w:w="2750" w:type="dxa"/>
            <w:vAlign w:val="center"/>
          </w:tcPr>
          <w:p w14:paraId="3FD70981">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kern w:val="2"/>
                <w:sz w:val="21"/>
                <w:szCs w:val="21"/>
                <w:lang w:val="en-US" w:eastAsia="zh-CN" w:bidi="ar-SA"/>
              </w:rPr>
              <w:t>指标要求</w:t>
            </w:r>
          </w:p>
        </w:tc>
        <w:tc>
          <w:tcPr>
            <w:tcW w:w="1834" w:type="dxa"/>
            <w:vAlign w:val="center"/>
          </w:tcPr>
          <w:p w14:paraId="072BE7E3">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kern w:val="2"/>
                <w:sz w:val="21"/>
                <w:szCs w:val="21"/>
                <w:lang w:val="en-US" w:eastAsia="zh-CN" w:bidi="ar-SA"/>
              </w:rPr>
              <w:t>响应值/响应情况</w:t>
            </w:r>
          </w:p>
        </w:tc>
      </w:tr>
      <w:tr w14:paraId="2092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restart"/>
            <w:vAlign w:val="center"/>
          </w:tcPr>
          <w:p w14:paraId="7EF12C6D">
            <w:pPr>
              <w:keepNext w:val="0"/>
              <w:keepLines w:val="0"/>
              <w:suppressLineNumbers w:val="0"/>
              <w:spacing w:before="0" w:beforeAutospacing="0" w:after="0" w:afterAutospacing="0"/>
              <w:ind w:left="0" w:right="0"/>
              <w:jc w:val="center"/>
              <w:rPr>
                <w:rFonts w:hint="eastAsia" w:eastAsiaTheme="minorEastAsia"/>
                <w:vertAlign w:val="baseline"/>
                <w:lang w:val="en-US" w:eastAsia="zh-CN"/>
              </w:rPr>
            </w:pPr>
            <w:r>
              <w:rPr>
                <w:rFonts w:hint="eastAsia" w:eastAsiaTheme="minorEastAsia"/>
                <w:vertAlign w:val="baseline"/>
                <w:lang w:val="en-US" w:eastAsia="zh-CN"/>
              </w:rPr>
              <w:t>锂离子电池动态工况模拟测试仪</w:t>
            </w:r>
          </w:p>
        </w:tc>
        <w:tc>
          <w:tcPr>
            <w:tcW w:w="2354" w:type="dxa"/>
            <w:vAlign w:val="center"/>
          </w:tcPr>
          <w:p w14:paraId="24B10D6A">
            <w:pPr>
              <w:keepNext w:val="0"/>
              <w:keepLines w:val="0"/>
              <w:suppressLineNumbers w:val="0"/>
              <w:spacing w:before="0" w:beforeAutospacing="0" w:after="0" w:afterAutospacing="0"/>
              <w:ind w:left="0" w:leftChars="0" w:right="0" w:rightChars="0"/>
              <w:jc w:val="center"/>
              <w:rPr>
                <w:rFonts w:hint="eastAsia" w:eastAsiaTheme="minorEastAsia"/>
                <w:vertAlign w:val="baseline"/>
                <w:lang w:val="en-US" w:eastAsia="zh-CN"/>
              </w:rPr>
            </w:pPr>
            <w:r>
              <w:rPr>
                <w:rFonts w:hint="eastAsia" w:ascii="Times New Roman" w:hAnsi="Times New Roman" w:eastAsia="宋体" w:cs="Times New Roman"/>
                <w:color w:val="000000"/>
                <w:szCs w:val="21"/>
                <w:lang w:val="en-US" w:eastAsia="zh-CN"/>
              </w:rPr>
              <w:t>整机效率</w:t>
            </w:r>
          </w:p>
        </w:tc>
        <w:tc>
          <w:tcPr>
            <w:tcW w:w="2750" w:type="dxa"/>
            <w:vAlign w:val="center"/>
          </w:tcPr>
          <w:p w14:paraId="6B180EE8">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≥75%（充电过程）</w:t>
            </w:r>
          </w:p>
          <w:p w14:paraId="4BAD4E8D">
            <w:pPr>
              <w:keepNext w:val="0"/>
              <w:keepLines w:val="0"/>
              <w:suppressLineNumbers w:val="0"/>
              <w:spacing w:before="0" w:beforeAutospacing="0" w:after="0" w:afterAutospacing="0"/>
              <w:ind w:left="0" w:leftChars="0" w:right="0" w:rightChars="0"/>
              <w:jc w:val="center"/>
              <w:rPr>
                <w:rFonts w:hint="eastAsia" w:eastAsiaTheme="minorEastAsia"/>
                <w:vertAlign w:val="baseline"/>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≥70%（放电过程）</w:t>
            </w:r>
          </w:p>
        </w:tc>
        <w:tc>
          <w:tcPr>
            <w:tcW w:w="1834" w:type="dxa"/>
          </w:tcPr>
          <w:p w14:paraId="046E661E">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04A0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84" w:type="dxa"/>
            <w:vMerge w:val="continue"/>
          </w:tcPr>
          <w:p w14:paraId="2BF4539F">
            <w:pPr>
              <w:keepNext w:val="0"/>
              <w:keepLines w:val="0"/>
              <w:suppressLineNumbers w:val="0"/>
              <w:spacing w:before="0" w:beforeAutospacing="0" w:after="0" w:afterAutospacing="0"/>
              <w:ind w:left="0" w:right="0"/>
              <w:jc w:val="center"/>
              <w:rPr>
                <w:rFonts w:hint="eastAsia" w:eastAsiaTheme="minorEastAsia"/>
                <w:vertAlign w:val="baseline"/>
                <w:lang w:val="en-US" w:eastAsia="zh-CN"/>
              </w:rPr>
            </w:pPr>
          </w:p>
        </w:tc>
        <w:tc>
          <w:tcPr>
            <w:tcW w:w="2354" w:type="dxa"/>
            <w:vAlign w:val="center"/>
          </w:tcPr>
          <w:p w14:paraId="3E9A0021">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数据采集时长</w:t>
            </w:r>
          </w:p>
        </w:tc>
        <w:tc>
          <w:tcPr>
            <w:tcW w:w="2750" w:type="dxa"/>
            <w:vAlign w:val="center"/>
          </w:tcPr>
          <w:p w14:paraId="48E52FB4">
            <w:pPr>
              <w:keepNext w:val="0"/>
              <w:keepLines w:val="0"/>
              <w:suppressLineNumbers w:val="0"/>
              <w:spacing w:before="0" w:beforeAutospacing="0" w:after="0" w:afterAutospacing="0"/>
              <w:ind w:left="0" w:leftChars="0" w:right="0" w:rightChars="0"/>
              <w:jc w:val="center"/>
              <w:rPr>
                <w:rFonts w:hint="default" w:ascii="Consolas" w:hAnsi="Consolas" w:eastAsia="Consolas" w:cs="Consolas"/>
                <w:color w:val="222222"/>
                <w:kern w:val="2"/>
                <w:sz w:val="21"/>
                <w:szCs w:val="21"/>
                <w:shd w:val="clear" w:fill="FFFFFF"/>
                <w:lang w:val="en-US" w:eastAsia="zh-CN" w:bidi="ar"/>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不设上限</w:t>
            </w:r>
          </w:p>
        </w:tc>
        <w:tc>
          <w:tcPr>
            <w:tcW w:w="1834" w:type="dxa"/>
          </w:tcPr>
          <w:p w14:paraId="104E4AD9">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3CFAD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tcPr>
          <w:p w14:paraId="103CFFF8">
            <w:pPr>
              <w:keepNext w:val="0"/>
              <w:keepLines w:val="0"/>
              <w:suppressLineNumbers w:val="0"/>
              <w:spacing w:before="0" w:beforeAutospacing="0" w:after="0" w:afterAutospacing="0"/>
              <w:ind w:left="0" w:right="0"/>
              <w:jc w:val="center"/>
              <w:rPr>
                <w:rFonts w:hint="eastAsia" w:eastAsiaTheme="minorEastAsia"/>
                <w:vertAlign w:val="baseline"/>
                <w:lang w:val="en-US" w:eastAsia="zh-CN"/>
              </w:rPr>
            </w:pPr>
          </w:p>
        </w:tc>
        <w:tc>
          <w:tcPr>
            <w:tcW w:w="2354" w:type="dxa"/>
            <w:vAlign w:val="center"/>
          </w:tcPr>
          <w:p w14:paraId="28AFB927">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数据不间断采集时长</w:t>
            </w:r>
          </w:p>
        </w:tc>
        <w:tc>
          <w:tcPr>
            <w:tcW w:w="2750" w:type="dxa"/>
            <w:vAlign w:val="center"/>
          </w:tcPr>
          <w:p w14:paraId="2C693449">
            <w:pPr>
              <w:keepNext w:val="0"/>
              <w:keepLines w:val="0"/>
              <w:suppressLineNumbers w:val="0"/>
              <w:spacing w:before="0" w:beforeAutospacing="0" w:after="0" w:afterAutospacing="0"/>
              <w:ind w:left="0" w:leftChars="0" w:right="0" w:rightChars="0"/>
              <w:jc w:val="center"/>
              <w:rPr>
                <w:rFonts w:hint="default" w:ascii="Consolas" w:hAnsi="Consolas" w:eastAsia="Consolas" w:cs="Consolas"/>
                <w:color w:val="222222"/>
                <w:kern w:val="2"/>
                <w:sz w:val="21"/>
                <w:szCs w:val="21"/>
                <w:shd w:val="clear" w:fill="FFFFFF"/>
                <w:lang w:val="en-US" w:eastAsia="zh-CN" w:bidi="ar"/>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≥3600s</w:t>
            </w:r>
          </w:p>
        </w:tc>
        <w:tc>
          <w:tcPr>
            <w:tcW w:w="1834" w:type="dxa"/>
          </w:tcPr>
          <w:p w14:paraId="03CF0984">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782BE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tcPr>
          <w:p w14:paraId="47880448">
            <w:pPr>
              <w:keepNext w:val="0"/>
              <w:keepLines w:val="0"/>
              <w:suppressLineNumbers w:val="0"/>
              <w:spacing w:before="0" w:beforeAutospacing="0" w:after="0" w:afterAutospacing="0"/>
              <w:ind w:left="0" w:right="0"/>
              <w:jc w:val="center"/>
              <w:rPr>
                <w:rFonts w:hint="eastAsia" w:eastAsiaTheme="minorEastAsia"/>
                <w:vertAlign w:val="baseline"/>
                <w:lang w:val="en-US" w:eastAsia="zh-CN"/>
              </w:rPr>
            </w:pPr>
          </w:p>
        </w:tc>
        <w:tc>
          <w:tcPr>
            <w:tcW w:w="2354" w:type="dxa"/>
            <w:shd w:val="clear" w:color="auto" w:fill="auto"/>
            <w:vAlign w:val="center"/>
          </w:tcPr>
          <w:p w14:paraId="56454EAB">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单通道温度测量范围</w:t>
            </w:r>
          </w:p>
        </w:tc>
        <w:tc>
          <w:tcPr>
            <w:tcW w:w="2750" w:type="dxa"/>
            <w:shd w:val="clear" w:color="auto" w:fill="auto"/>
            <w:vAlign w:val="center"/>
          </w:tcPr>
          <w:p w14:paraId="3D145AF0">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不少于-20~120℃</w:t>
            </w:r>
          </w:p>
        </w:tc>
        <w:tc>
          <w:tcPr>
            <w:tcW w:w="1834" w:type="dxa"/>
          </w:tcPr>
          <w:p w14:paraId="43F170DB">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1DE6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tcPr>
          <w:p w14:paraId="7E7A5037">
            <w:pPr>
              <w:keepNext w:val="0"/>
              <w:keepLines w:val="0"/>
              <w:suppressLineNumbers w:val="0"/>
              <w:spacing w:before="0" w:beforeAutospacing="0" w:after="0" w:afterAutospacing="0"/>
              <w:ind w:left="0" w:right="0"/>
              <w:jc w:val="center"/>
              <w:rPr>
                <w:rFonts w:hint="eastAsia" w:eastAsiaTheme="minorEastAsia"/>
                <w:vertAlign w:val="baseline"/>
                <w:lang w:val="en-US" w:eastAsia="zh-CN"/>
              </w:rPr>
            </w:pPr>
          </w:p>
        </w:tc>
        <w:tc>
          <w:tcPr>
            <w:tcW w:w="2354" w:type="dxa"/>
            <w:shd w:val="clear" w:color="auto" w:fill="auto"/>
            <w:vAlign w:val="center"/>
          </w:tcPr>
          <w:p w14:paraId="2A3932CC">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单通道温度采集精度</w:t>
            </w:r>
          </w:p>
        </w:tc>
        <w:tc>
          <w:tcPr>
            <w:tcW w:w="2750" w:type="dxa"/>
            <w:shd w:val="clear" w:color="auto" w:fill="auto"/>
            <w:vAlign w:val="center"/>
          </w:tcPr>
          <w:p w14:paraId="7DA19C41">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≤±1℃</w:t>
            </w:r>
          </w:p>
        </w:tc>
        <w:tc>
          <w:tcPr>
            <w:tcW w:w="1834" w:type="dxa"/>
          </w:tcPr>
          <w:p w14:paraId="4B6C61B7">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219AF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tcPr>
          <w:p w14:paraId="09680CB3">
            <w:pPr>
              <w:keepNext w:val="0"/>
              <w:keepLines w:val="0"/>
              <w:suppressLineNumbers w:val="0"/>
              <w:spacing w:before="0" w:beforeAutospacing="0" w:after="0" w:afterAutospacing="0"/>
              <w:ind w:left="0" w:right="0"/>
              <w:jc w:val="center"/>
              <w:rPr>
                <w:rFonts w:hint="eastAsia" w:eastAsiaTheme="minorEastAsia"/>
                <w:vertAlign w:val="baseline"/>
                <w:lang w:val="en-US" w:eastAsia="zh-CN"/>
              </w:rPr>
            </w:pPr>
          </w:p>
        </w:tc>
        <w:tc>
          <w:tcPr>
            <w:tcW w:w="2354" w:type="dxa"/>
            <w:shd w:val="clear" w:color="auto" w:fill="auto"/>
            <w:vAlign w:val="center"/>
          </w:tcPr>
          <w:p w14:paraId="11954637">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单通道温度采集分辨率</w:t>
            </w:r>
          </w:p>
        </w:tc>
        <w:tc>
          <w:tcPr>
            <w:tcW w:w="2750" w:type="dxa"/>
            <w:shd w:val="clear" w:color="auto" w:fill="auto"/>
            <w:vAlign w:val="center"/>
          </w:tcPr>
          <w:p w14:paraId="25A812E7">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≤0.1℃</w:t>
            </w:r>
          </w:p>
        </w:tc>
        <w:tc>
          <w:tcPr>
            <w:tcW w:w="1834" w:type="dxa"/>
          </w:tcPr>
          <w:p w14:paraId="7393398C">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51549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restart"/>
            <w:vAlign w:val="center"/>
          </w:tcPr>
          <w:p w14:paraId="411EEFE1">
            <w:pPr>
              <w:keepNext w:val="0"/>
              <w:keepLines w:val="0"/>
              <w:suppressLineNumbers w:val="0"/>
              <w:spacing w:before="0" w:beforeAutospacing="0" w:after="0" w:afterAutospacing="0"/>
              <w:ind w:left="0" w:leftChars="0" w:right="0" w:rightChars="0"/>
              <w:jc w:val="center"/>
              <w:textAlignment w:val="center"/>
              <w:rPr>
                <w:rFonts w:hint="eastAsia" w:eastAsiaTheme="minorEastAsia"/>
                <w:vertAlign w:val="baseline"/>
                <w:lang w:val="en-US" w:eastAsia="zh-CN"/>
              </w:rPr>
            </w:pPr>
            <w:r>
              <w:rPr>
                <w:rFonts w:hint="eastAsia" w:ascii="Times New Roman" w:hAnsi="Times New Roman" w:eastAsia="宋体" w:cs="Times New Roman"/>
                <w:color w:val="000000"/>
                <w:kern w:val="0"/>
                <w:sz w:val="21"/>
                <w:szCs w:val="21"/>
                <w:highlight w:val="none"/>
                <w:lang w:val="en-US" w:eastAsia="zh-CN" w:bidi="ar"/>
              </w:rPr>
              <w:t>锂离子电池多通道充放电测试仪</w:t>
            </w:r>
          </w:p>
        </w:tc>
        <w:tc>
          <w:tcPr>
            <w:tcW w:w="2354" w:type="dxa"/>
            <w:shd w:val="clear" w:color="auto" w:fill="auto"/>
            <w:vAlign w:val="center"/>
          </w:tcPr>
          <w:p w14:paraId="7B9CCA56">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整机效率</w:t>
            </w:r>
          </w:p>
        </w:tc>
        <w:tc>
          <w:tcPr>
            <w:tcW w:w="2750" w:type="dxa"/>
            <w:shd w:val="clear" w:color="auto" w:fill="auto"/>
            <w:vAlign w:val="center"/>
          </w:tcPr>
          <w:p w14:paraId="424DE352">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szCs w:val="21"/>
                <w:lang w:val="en-US" w:eastAsia="zh-CN"/>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≥80%（充电过程）</w:t>
            </w:r>
          </w:p>
          <w:p w14:paraId="0427D88D">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≥75%（放电过程）</w:t>
            </w:r>
          </w:p>
        </w:tc>
        <w:tc>
          <w:tcPr>
            <w:tcW w:w="1834" w:type="dxa"/>
          </w:tcPr>
          <w:p w14:paraId="2EED715D">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35FF3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vAlign w:val="center"/>
          </w:tcPr>
          <w:p w14:paraId="4E51CACB">
            <w:pPr>
              <w:keepNext w:val="0"/>
              <w:keepLines w:val="0"/>
              <w:suppressLineNumbers w:val="0"/>
              <w:spacing w:before="0" w:beforeAutospacing="0" w:after="0" w:afterAutospacing="0"/>
              <w:ind w:left="0" w:leftChars="0" w:right="0" w:rightChars="0"/>
              <w:jc w:val="center"/>
              <w:textAlignment w:val="center"/>
              <w:rPr>
                <w:rFonts w:hint="eastAsia" w:eastAsiaTheme="minorEastAsia"/>
                <w:vertAlign w:val="baseline"/>
                <w:lang w:val="en-US" w:eastAsia="zh-CN"/>
              </w:rPr>
            </w:pPr>
          </w:p>
        </w:tc>
        <w:tc>
          <w:tcPr>
            <w:tcW w:w="2354" w:type="dxa"/>
            <w:shd w:val="clear" w:color="auto" w:fill="auto"/>
            <w:vAlign w:val="center"/>
          </w:tcPr>
          <w:p w14:paraId="7D5BD4AE">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数据采集时长</w:t>
            </w:r>
          </w:p>
        </w:tc>
        <w:tc>
          <w:tcPr>
            <w:tcW w:w="2750" w:type="dxa"/>
            <w:shd w:val="clear" w:color="auto" w:fill="auto"/>
            <w:vAlign w:val="center"/>
          </w:tcPr>
          <w:p w14:paraId="7AFF7747">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不设上限</w:t>
            </w:r>
          </w:p>
        </w:tc>
        <w:tc>
          <w:tcPr>
            <w:tcW w:w="1834" w:type="dxa"/>
          </w:tcPr>
          <w:p w14:paraId="19EA2FA8">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197B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vAlign w:val="center"/>
          </w:tcPr>
          <w:p w14:paraId="02D057F4">
            <w:pPr>
              <w:keepNext w:val="0"/>
              <w:keepLines w:val="0"/>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000000"/>
                <w:kern w:val="0"/>
                <w:sz w:val="21"/>
                <w:szCs w:val="21"/>
                <w:highlight w:val="none"/>
                <w:lang w:val="en-US" w:eastAsia="zh-CN" w:bidi="ar"/>
              </w:rPr>
            </w:pPr>
          </w:p>
        </w:tc>
        <w:tc>
          <w:tcPr>
            <w:tcW w:w="2354" w:type="dxa"/>
            <w:shd w:val="clear" w:color="auto" w:fill="auto"/>
            <w:vAlign w:val="center"/>
          </w:tcPr>
          <w:p w14:paraId="70AAA7A5">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数据不间断采集时长</w:t>
            </w:r>
          </w:p>
        </w:tc>
        <w:tc>
          <w:tcPr>
            <w:tcW w:w="2750" w:type="dxa"/>
            <w:shd w:val="clear" w:color="auto" w:fill="auto"/>
            <w:vAlign w:val="center"/>
          </w:tcPr>
          <w:p w14:paraId="61B7DD87">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≥3600s</w:t>
            </w:r>
          </w:p>
        </w:tc>
        <w:tc>
          <w:tcPr>
            <w:tcW w:w="1834" w:type="dxa"/>
          </w:tcPr>
          <w:p w14:paraId="5EAED529">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078AE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vAlign w:val="center"/>
          </w:tcPr>
          <w:p w14:paraId="5E29B2D3">
            <w:pPr>
              <w:keepNext w:val="0"/>
              <w:keepLines w:val="0"/>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000000"/>
                <w:kern w:val="0"/>
                <w:sz w:val="21"/>
                <w:szCs w:val="21"/>
                <w:highlight w:val="none"/>
                <w:lang w:val="en-US" w:eastAsia="zh-CN" w:bidi="ar"/>
              </w:rPr>
            </w:pPr>
          </w:p>
        </w:tc>
        <w:tc>
          <w:tcPr>
            <w:tcW w:w="2354" w:type="dxa"/>
            <w:shd w:val="clear" w:color="auto" w:fill="auto"/>
            <w:vAlign w:val="center"/>
          </w:tcPr>
          <w:p w14:paraId="2C9AA563">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Cs w:val="21"/>
                <w:lang w:val="en-US" w:eastAsia="zh-CN"/>
              </w:rPr>
              <w:t>单通道温度测量范围</w:t>
            </w:r>
          </w:p>
        </w:tc>
        <w:tc>
          <w:tcPr>
            <w:tcW w:w="2750" w:type="dxa"/>
            <w:shd w:val="clear" w:color="auto" w:fill="auto"/>
            <w:vAlign w:val="center"/>
          </w:tcPr>
          <w:p w14:paraId="56C406F2">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szCs w:val="21"/>
                <w:lang w:val="en-US" w:eastAsia="zh-CN"/>
              </w:rPr>
              <w:t>-40~120℃</w:t>
            </w:r>
          </w:p>
        </w:tc>
        <w:tc>
          <w:tcPr>
            <w:tcW w:w="1834" w:type="dxa"/>
          </w:tcPr>
          <w:p w14:paraId="1D83E732">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22F1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vAlign w:val="center"/>
          </w:tcPr>
          <w:p w14:paraId="2E79A01E">
            <w:pPr>
              <w:keepNext w:val="0"/>
              <w:keepLines w:val="0"/>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000000"/>
                <w:kern w:val="0"/>
                <w:sz w:val="21"/>
                <w:szCs w:val="21"/>
                <w:highlight w:val="none"/>
                <w:lang w:val="en-US" w:eastAsia="zh-CN" w:bidi="ar"/>
              </w:rPr>
            </w:pPr>
          </w:p>
        </w:tc>
        <w:tc>
          <w:tcPr>
            <w:tcW w:w="2354" w:type="dxa"/>
            <w:shd w:val="clear" w:color="auto" w:fill="auto"/>
            <w:vAlign w:val="center"/>
          </w:tcPr>
          <w:p w14:paraId="263034E5">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单通道温度采集精度</w:t>
            </w:r>
          </w:p>
        </w:tc>
        <w:tc>
          <w:tcPr>
            <w:tcW w:w="2750" w:type="dxa"/>
            <w:shd w:val="clear" w:color="auto" w:fill="auto"/>
            <w:vAlign w:val="center"/>
          </w:tcPr>
          <w:p w14:paraId="350F78BF">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≤±1℃</w:t>
            </w:r>
          </w:p>
        </w:tc>
        <w:tc>
          <w:tcPr>
            <w:tcW w:w="1834" w:type="dxa"/>
          </w:tcPr>
          <w:p w14:paraId="2CD28ACD">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40BB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vAlign w:val="center"/>
          </w:tcPr>
          <w:p w14:paraId="02816055">
            <w:pPr>
              <w:keepNext w:val="0"/>
              <w:keepLines w:val="0"/>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000000"/>
                <w:kern w:val="0"/>
                <w:sz w:val="21"/>
                <w:szCs w:val="21"/>
                <w:highlight w:val="none"/>
                <w:lang w:val="en-US" w:eastAsia="zh-CN" w:bidi="ar"/>
              </w:rPr>
            </w:pPr>
          </w:p>
        </w:tc>
        <w:tc>
          <w:tcPr>
            <w:tcW w:w="2354" w:type="dxa"/>
            <w:shd w:val="clear" w:color="auto" w:fill="auto"/>
            <w:vAlign w:val="center"/>
          </w:tcPr>
          <w:p w14:paraId="0F82CA3E">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单通道温度采集分辨率</w:t>
            </w:r>
          </w:p>
        </w:tc>
        <w:tc>
          <w:tcPr>
            <w:tcW w:w="2750" w:type="dxa"/>
            <w:shd w:val="clear" w:color="auto" w:fill="auto"/>
            <w:vAlign w:val="center"/>
          </w:tcPr>
          <w:p w14:paraId="515CEA3B">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≤0.1℃</w:t>
            </w:r>
          </w:p>
        </w:tc>
        <w:tc>
          <w:tcPr>
            <w:tcW w:w="1834" w:type="dxa"/>
          </w:tcPr>
          <w:p w14:paraId="4B35DB37">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09AB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restart"/>
            <w:vAlign w:val="center"/>
          </w:tcPr>
          <w:p w14:paraId="03386E16">
            <w:pPr>
              <w:keepNext w:val="0"/>
              <w:keepLines w:val="0"/>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锂离子电池环境温度测试箱</w:t>
            </w:r>
          </w:p>
        </w:tc>
        <w:tc>
          <w:tcPr>
            <w:tcW w:w="2354" w:type="dxa"/>
            <w:shd w:val="clear" w:color="auto" w:fill="auto"/>
            <w:vAlign w:val="center"/>
          </w:tcPr>
          <w:p w14:paraId="28D20371">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供电功率</w:t>
            </w:r>
          </w:p>
        </w:tc>
        <w:tc>
          <w:tcPr>
            <w:tcW w:w="2750" w:type="dxa"/>
            <w:shd w:val="clear" w:color="auto" w:fill="auto"/>
            <w:vAlign w:val="center"/>
          </w:tcPr>
          <w:p w14:paraId="154CC475">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w:t>
            </w:r>
            <w:r>
              <w:rPr>
                <w:rFonts w:hint="eastAsia" w:ascii="Times New Roman" w:hAnsi="Times New Roman" w:eastAsia="宋体" w:cs="Times New Roman"/>
                <w:color w:val="000000"/>
                <w:szCs w:val="21"/>
                <w:lang w:val="en-US" w:eastAsia="zh-CN"/>
              </w:rPr>
              <w:t>17KW</w:t>
            </w:r>
          </w:p>
        </w:tc>
        <w:tc>
          <w:tcPr>
            <w:tcW w:w="1834" w:type="dxa"/>
          </w:tcPr>
          <w:p w14:paraId="176C557D">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0E59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vAlign w:val="center"/>
          </w:tcPr>
          <w:p w14:paraId="2264C940">
            <w:pPr>
              <w:keepNext w:val="0"/>
              <w:keepLines w:val="0"/>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000000"/>
                <w:kern w:val="0"/>
                <w:sz w:val="21"/>
                <w:szCs w:val="21"/>
                <w:highlight w:val="none"/>
                <w:lang w:val="en-US" w:eastAsia="zh-CN" w:bidi="ar"/>
              </w:rPr>
            </w:pPr>
          </w:p>
        </w:tc>
        <w:tc>
          <w:tcPr>
            <w:tcW w:w="2354" w:type="dxa"/>
            <w:shd w:val="clear" w:color="auto" w:fill="auto"/>
            <w:vAlign w:val="center"/>
          </w:tcPr>
          <w:p w14:paraId="46C6F149">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设备噪声</w:t>
            </w:r>
          </w:p>
        </w:tc>
        <w:tc>
          <w:tcPr>
            <w:tcW w:w="2750" w:type="dxa"/>
            <w:shd w:val="clear" w:color="auto" w:fill="auto"/>
            <w:vAlign w:val="center"/>
          </w:tcPr>
          <w:p w14:paraId="2DA31FCD">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≤75dB</w:t>
            </w:r>
          </w:p>
        </w:tc>
        <w:tc>
          <w:tcPr>
            <w:tcW w:w="1834" w:type="dxa"/>
          </w:tcPr>
          <w:p w14:paraId="32825033">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3025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restart"/>
            <w:vAlign w:val="center"/>
          </w:tcPr>
          <w:p w14:paraId="1DB9685E">
            <w:pPr>
              <w:keepNext w:val="0"/>
              <w:keepLines w:val="0"/>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000000"/>
                <w:kern w:val="0"/>
                <w:sz w:val="21"/>
                <w:szCs w:val="21"/>
                <w:highlight w:val="none"/>
                <w:lang w:val="en-US" w:eastAsia="zh-CN" w:bidi="ar"/>
              </w:rPr>
            </w:pPr>
            <w:r>
              <w:rPr>
                <w:rFonts w:hint="eastAsia" w:ascii="Times New Roman" w:hAnsi="Times New Roman" w:eastAsia="宋体" w:cs="Times New Roman"/>
                <w:color w:val="000000"/>
                <w:kern w:val="0"/>
                <w:sz w:val="21"/>
                <w:szCs w:val="21"/>
                <w:highlight w:val="none"/>
                <w:lang w:val="en-US" w:eastAsia="zh-CN" w:bidi="ar"/>
              </w:rPr>
              <w:t>锂离子电池高性能电化学阻抗特性测试仪</w:t>
            </w:r>
          </w:p>
        </w:tc>
        <w:tc>
          <w:tcPr>
            <w:tcW w:w="2354" w:type="dxa"/>
            <w:shd w:val="clear" w:color="auto" w:fill="auto"/>
            <w:vAlign w:val="center"/>
          </w:tcPr>
          <w:p w14:paraId="51A3DB9D">
            <w:pPr>
              <w:keepNext w:val="0"/>
              <w:keepLines w:val="0"/>
              <w:suppressLineNumbers w:val="0"/>
              <w:spacing w:before="0" w:beforeAutospacing="0" w:after="0" w:afterAutospacing="0"/>
              <w:ind w:left="0" w:leftChars="0" w:right="0" w:rightChars="0"/>
              <w:jc w:val="center"/>
              <w:rPr>
                <w:rFonts w:hint="eastAsia" w:asciiTheme="minorHAnsi" w:hAnsiTheme="minorHAnsi" w:eastAsiaTheme="minorEastAsia" w:cstheme="minorBidi"/>
                <w:kern w:val="2"/>
                <w:sz w:val="21"/>
                <w:szCs w:val="22"/>
                <w:lang w:val="en-US" w:eastAsia="zh-CN" w:bidi="ar-SA"/>
              </w:rPr>
            </w:pPr>
            <w:r>
              <w:rPr>
                <w:rFonts w:hint="eastAsia" w:ascii="Times New Roman" w:hAnsi="Times New Roman" w:eastAsia="宋体" w:cs="Times New Roman"/>
                <w:color w:val="000000"/>
                <w:kern w:val="2"/>
                <w:sz w:val="21"/>
                <w:szCs w:val="21"/>
                <w:lang w:val="en-US" w:eastAsia="zh-CN" w:bidi="ar-SA"/>
              </w:rPr>
              <w:t>阻抗幅值测量精度</w:t>
            </w:r>
          </w:p>
        </w:tc>
        <w:tc>
          <w:tcPr>
            <w:tcW w:w="2750" w:type="dxa"/>
            <w:shd w:val="clear" w:color="auto" w:fill="auto"/>
            <w:vAlign w:val="center"/>
          </w:tcPr>
          <w:p w14:paraId="7B81E24D">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≤0.1%（1mΩ~1Ω）</w:t>
            </w:r>
          </w:p>
        </w:tc>
        <w:tc>
          <w:tcPr>
            <w:tcW w:w="1834" w:type="dxa"/>
          </w:tcPr>
          <w:p w14:paraId="0415631C">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49C96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vAlign w:val="center"/>
          </w:tcPr>
          <w:p w14:paraId="3F55C763">
            <w:pPr>
              <w:keepNext w:val="0"/>
              <w:keepLines w:val="0"/>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000000"/>
                <w:kern w:val="0"/>
                <w:sz w:val="21"/>
                <w:szCs w:val="21"/>
                <w:highlight w:val="none"/>
                <w:lang w:val="en-US" w:eastAsia="zh-CN" w:bidi="ar"/>
              </w:rPr>
            </w:pPr>
          </w:p>
        </w:tc>
        <w:tc>
          <w:tcPr>
            <w:tcW w:w="2354" w:type="dxa"/>
            <w:shd w:val="clear" w:color="auto" w:fill="auto"/>
            <w:vAlign w:val="center"/>
          </w:tcPr>
          <w:p w14:paraId="188AA4C8">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阻抗相角测量精度</w:t>
            </w:r>
          </w:p>
        </w:tc>
        <w:tc>
          <w:tcPr>
            <w:tcW w:w="2750" w:type="dxa"/>
            <w:shd w:val="clear" w:color="auto" w:fill="auto"/>
            <w:vAlign w:val="center"/>
          </w:tcPr>
          <w:p w14:paraId="48295333">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Times New Roman" w:hAnsi="Times New Roman" w:eastAsia="宋体" w:cs="Times New Roman"/>
                <w:color w:val="000000"/>
                <w:kern w:val="2"/>
                <w:sz w:val="21"/>
                <w:szCs w:val="21"/>
                <w:lang w:val="en-US" w:eastAsia="zh-CN" w:bidi="ar-SA"/>
              </w:rPr>
              <w:t>≤0.1°（1mΩ~1Ω）</w:t>
            </w:r>
          </w:p>
        </w:tc>
        <w:tc>
          <w:tcPr>
            <w:tcW w:w="1834" w:type="dxa"/>
          </w:tcPr>
          <w:p w14:paraId="04EA3974">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r w14:paraId="2B96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4" w:type="dxa"/>
            <w:vMerge w:val="continue"/>
            <w:vAlign w:val="center"/>
          </w:tcPr>
          <w:p w14:paraId="1170FAF9">
            <w:pPr>
              <w:keepNext w:val="0"/>
              <w:keepLines w:val="0"/>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000000"/>
                <w:kern w:val="0"/>
                <w:sz w:val="21"/>
                <w:szCs w:val="21"/>
                <w:highlight w:val="none"/>
                <w:lang w:val="en-US" w:eastAsia="zh-CN" w:bidi="ar"/>
              </w:rPr>
            </w:pPr>
          </w:p>
        </w:tc>
        <w:tc>
          <w:tcPr>
            <w:tcW w:w="2354" w:type="dxa"/>
            <w:shd w:val="clear" w:color="auto" w:fill="auto"/>
            <w:vAlign w:val="center"/>
          </w:tcPr>
          <w:p w14:paraId="0B738200">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kern w:val="2"/>
                <w:sz w:val="21"/>
                <w:szCs w:val="21"/>
                <w:lang w:val="en-US" w:eastAsia="zh-CN" w:bidi="ar-SA"/>
              </w:rPr>
            </w:pPr>
            <w:r>
              <w:rPr>
                <w:rFonts w:hint="default" w:ascii="宋体" w:hAnsi="宋体" w:eastAsia="宋体" w:cs="Arial"/>
                <w:szCs w:val="21"/>
              </w:rPr>
              <w:t>阻抗频率分辨率</w:t>
            </w:r>
          </w:p>
        </w:tc>
        <w:tc>
          <w:tcPr>
            <w:tcW w:w="2750" w:type="dxa"/>
            <w:shd w:val="clear" w:color="auto" w:fill="auto"/>
            <w:vAlign w:val="center"/>
          </w:tcPr>
          <w:p w14:paraId="622009F6">
            <w:pPr>
              <w:keepNext w:val="0"/>
              <w:keepLines w:val="0"/>
              <w:suppressLineNumbers w:val="0"/>
              <w:spacing w:before="0" w:beforeAutospacing="0" w:after="0" w:afterAutospacing="0"/>
              <w:ind w:left="0" w:leftChars="0" w:right="0" w:rightChars="0"/>
              <w:jc w:val="center"/>
              <w:rPr>
                <w:rFonts w:hint="eastAsia" w:ascii="宋体" w:hAnsi="宋体" w:eastAsia="宋体" w:cs="宋体"/>
                <w:kern w:val="2"/>
                <w:sz w:val="21"/>
                <w:szCs w:val="21"/>
                <w:lang w:val="en-US" w:eastAsia="zh-CN" w:bidi="ar-SA"/>
              </w:rPr>
            </w:pPr>
            <w:r>
              <w:rPr>
                <w:rFonts w:hint="default" w:ascii="Consolas" w:hAnsi="Consolas" w:eastAsia="Consolas" w:cs="Consolas"/>
                <w:color w:val="222222"/>
                <w:kern w:val="2"/>
                <w:sz w:val="21"/>
                <w:szCs w:val="21"/>
                <w:shd w:val="clear" w:fill="FFFFFF"/>
                <w:lang w:val="en-US" w:eastAsia="zh-CN" w:bidi="ar"/>
              </w:rPr>
              <w:t>☆</w:t>
            </w:r>
            <w:r>
              <w:rPr>
                <w:rFonts w:hint="eastAsia" w:ascii="宋体" w:hAnsi="宋体" w:eastAsia="宋体" w:cs="宋体"/>
                <w:szCs w:val="21"/>
                <w:lang w:val="en-US" w:eastAsia="zh-CN"/>
              </w:rPr>
              <w:t>≤</w:t>
            </w:r>
            <w:r>
              <w:rPr>
                <w:rFonts w:hint="eastAsia" w:ascii="宋体" w:hAnsi="宋体" w:eastAsia="宋体" w:cs="宋体"/>
                <w:szCs w:val="21"/>
              </w:rPr>
              <w:t>1mHz</w:t>
            </w:r>
          </w:p>
        </w:tc>
        <w:tc>
          <w:tcPr>
            <w:tcW w:w="1834" w:type="dxa"/>
          </w:tcPr>
          <w:p w14:paraId="02C2F3D9">
            <w:pPr>
              <w:keepNext w:val="0"/>
              <w:keepLines w:val="0"/>
              <w:suppressLineNumbers w:val="0"/>
              <w:spacing w:before="0" w:beforeAutospacing="0" w:after="0" w:afterAutospacing="0"/>
              <w:ind w:left="0" w:right="0"/>
              <w:rPr>
                <w:rFonts w:hint="eastAsia" w:eastAsiaTheme="minorEastAsia"/>
                <w:vertAlign w:val="baseline"/>
                <w:lang w:val="en-US" w:eastAsia="zh-CN"/>
              </w:rPr>
            </w:pPr>
          </w:p>
        </w:tc>
      </w:tr>
    </w:tbl>
    <w:p w14:paraId="17612901">
      <w:pPr>
        <w:jc w:val="center"/>
        <w:rPr>
          <w:rFonts w:hint="eastAsia" w:eastAsiaTheme="minorEastAsia"/>
          <w:lang w:val="en-US" w:eastAsia="zh-CN"/>
        </w:rPr>
      </w:pPr>
      <w:bookmarkStart w:id="46" w:name="_GoBack"/>
      <w:bookmarkEnd w:id="46"/>
    </w:p>
    <w:p w14:paraId="27B0549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简中圆">
    <w:altName w:val="黑体"/>
    <w:panose1 w:val="00000000000000000000"/>
    <w:charset w:val="86"/>
    <w:family w:val="auto"/>
    <w:pitch w:val="default"/>
    <w:sig w:usb0="00000000" w:usb1="00000000" w:usb2="00000010" w:usb3="00000000" w:csb0="00040000" w:csb1="00000000"/>
  </w:font>
  <w:font w:name="MS Sans Serif">
    <w:altName w:val="Arial"/>
    <w:panose1 w:val="020B0500000000000000"/>
    <w:charset w:val="00"/>
    <w:family w:val="auto"/>
    <w:pitch w:val="default"/>
    <w:sig w:usb0="00000000" w:usb1="00000000" w:usb2="00000000" w:usb3="00000000" w:csb0="00040001" w:csb1="0000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55F7C">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D314F4">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2D314F4">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D20B9">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A8E0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48A8E0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50815B"/>
    <w:multiLevelType w:val="singleLevel"/>
    <w:tmpl w:val="9250815B"/>
    <w:lvl w:ilvl="0" w:tentative="0">
      <w:start w:val="1"/>
      <w:numFmt w:val="decimal"/>
      <w:suff w:val="nothing"/>
      <w:lvlText w:val="%1"/>
      <w:lvlJc w:val="left"/>
      <w:pPr>
        <w:ind w:left="425" w:hanging="425"/>
      </w:pPr>
      <w:rPr>
        <w:rFonts w:hint="default"/>
      </w:rPr>
    </w:lvl>
  </w:abstractNum>
  <w:abstractNum w:abstractNumId="1">
    <w:nsid w:val="CEE6920B"/>
    <w:multiLevelType w:val="singleLevel"/>
    <w:tmpl w:val="CEE6920B"/>
    <w:lvl w:ilvl="0" w:tentative="0">
      <w:start w:val="1"/>
      <w:numFmt w:val="decimal"/>
      <w:suff w:val="nothing"/>
      <w:lvlText w:val="%1"/>
      <w:lvlJc w:val="left"/>
      <w:pPr>
        <w:tabs>
          <w:tab w:val="left" w:pos="0"/>
        </w:tabs>
        <w:ind w:left="454" w:hanging="454"/>
      </w:pPr>
      <w:rPr>
        <w:rFonts w:hint="default"/>
      </w:rPr>
    </w:lvl>
  </w:abstractNum>
  <w:abstractNum w:abstractNumId="2">
    <w:nsid w:val="142762F3"/>
    <w:multiLevelType w:val="multilevel"/>
    <w:tmpl w:val="142762F3"/>
    <w:lvl w:ilvl="0" w:tentative="0">
      <w:start w:val="6"/>
      <w:numFmt w:val="japaneseCounting"/>
      <w:lvlText w:val="%1、"/>
      <w:lvlJc w:val="left"/>
      <w:pPr>
        <w:ind w:left="570" w:hanging="57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3AFC000B"/>
    <w:multiLevelType w:val="singleLevel"/>
    <w:tmpl w:val="3AFC000B"/>
    <w:lvl w:ilvl="0" w:tentative="0">
      <w:start w:val="1"/>
      <w:numFmt w:val="decimal"/>
      <w:suff w:val="nothing"/>
      <w:lvlText w:val="（%1）"/>
      <w:lvlJc w:val="left"/>
    </w:lvl>
  </w:abstractNum>
  <w:abstractNum w:abstractNumId="4">
    <w:nsid w:val="5E537055"/>
    <w:multiLevelType w:val="singleLevel"/>
    <w:tmpl w:val="5E537055"/>
    <w:lvl w:ilvl="0" w:tentative="0">
      <w:start w:val="1"/>
      <w:numFmt w:val="decimal"/>
      <w:lvlText w:val="%1."/>
      <w:lvlJc w:val="left"/>
      <w:pPr>
        <w:ind w:left="425" w:hanging="425"/>
      </w:pPr>
      <w:rPr>
        <w:rFont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60C"/>
    <w:rsid w:val="000130C1"/>
    <w:rsid w:val="00036DA0"/>
    <w:rsid w:val="00073F7D"/>
    <w:rsid w:val="0008037E"/>
    <w:rsid w:val="0013189D"/>
    <w:rsid w:val="001459FA"/>
    <w:rsid w:val="00146C63"/>
    <w:rsid w:val="00170E0A"/>
    <w:rsid w:val="00185811"/>
    <w:rsid w:val="001C10B3"/>
    <w:rsid w:val="002C091A"/>
    <w:rsid w:val="00331B0C"/>
    <w:rsid w:val="00365681"/>
    <w:rsid w:val="003809AC"/>
    <w:rsid w:val="003B1185"/>
    <w:rsid w:val="003B3622"/>
    <w:rsid w:val="003C74D6"/>
    <w:rsid w:val="00495E28"/>
    <w:rsid w:val="004D566E"/>
    <w:rsid w:val="004E38BD"/>
    <w:rsid w:val="005525AA"/>
    <w:rsid w:val="005B43EF"/>
    <w:rsid w:val="005F4704"/>
    <w:rsid w:val="00640C0C"/>
    <w:rsid w:val="006A147B"/>
    <w:rsid w:val="006C12E8"/>
    <w:rsid w:val="00734B92"/>
    <w:rsid w:val="00752FE8"/>
    <w:rsid w:val="00756D93"/>
    <w:rsid w:val="008307E0"/>
    <w:rsid w:val="0083160C"/>
    <w:rsid w:val="008909A5"/>
    <w:rsid w:val="008B627B"/>
    <w:rsid w:val="008F6B3B"/>
    <w:rsid w:val="00993E84"/>
    <w:rsid w:val="00A06214"/>
    <w:rsid w:val="00A72312"/>
    <w:rsid w:val="00A83855"/>
    <w:rsid w:val="00B3566E"/>
    <w:rsid w:val="00BB5463"/>
    <w:rsid w:val="00BC1850"/>
    <w:rsid w:val="00C165D6"/>
    <w:rsid w:val="00C63F1C"/>
    <w:rsid w:val="00CA164F"/>
    <w:rsid w:val="00D17516"/>
    <w:rsid w:val="00D22B31"/>
    <w:rsid w:val="00D410A9"/>
    <w:rsid w:val="00D53A6E"/>
    <w:rsid w:val="00D8007D"/>
    <w:rsid w:val="00DB2600"/>
    <w:rsid w:val="00DD5EF9"/>
    <w:rsid w:val="00E372D1"/>
    <w:rsid w:val="00EC70FD"/>
    <w:rsid w:val="012B2A13"/>
    <w:rsid w:val="01441E36"/>
    <w:rsid w:val="020B1958"/>
    <w:rsid w:val="030E2DD1"/>
    <w:rsid w:val="03184817"/>
    <w:rsid w:val="034D34A6"/>
    <w:rsid w:val="057A7CD5"/>
    <w:rsid w:val="05993DE2"/>
    <w:rsid w:val="06A452F3"/>
    <w:rsid w:val="07BD1346"/>
    <w:rsid w:val="083C6F06"/>
    <w:rsid w:val="083E2E96"/>
    <w:rsid w:val="09026457"/>
    <w:rsid w:val="090D2269"/>
    <w:rsid w:val="093F0D49"/>
    <w:rsid w:val="0A272E1C"/>
    <w:rsid w:val="0A405378"/>
    <w:rsid w:val="0C19093E"/>
    <w:rsid w:val="0C98565B"/>
    <w:rsid w:val="0C9F68C2"/>
    <w:rsid w:val="0DCC18B3"/>
    <w:rsid w:val="0E8335E0"/>
    <w:rsid w:val="0F5A3C5B"/>
    <w:rsid w:val="0FB51B9C"/>
    <w:rsid w:val="125B6C0C"/>
    <w:rsid w:val="13233149"/>
    <w:rsid w:val="170654D2"/>
    <w:rsid w:val="175F13E4"/>
    <w:rsid w:val="188E61A5"/>
    <w:rsid w:val="18CC3B2C"/>
    <w:rsid w:val="196A18F4"/>
    <w:rsid w:val="1A0B5B4A"/>
    <w:rsid w:val="1A3E2CCE"/>
    <w:rsid w:val="1A980C31"/>
    <w:rsid w:val="1AE9588B"/>
    <w:rsid w:val="1BEB0238"/>
    <w:rsid w:val="1C0D79D2"/>
    <w:rsid w:val="1C245278"/>
    <w:rsid w:val="1D33779A"/>
    <w:rsid w:val="1E791917"/>
    <w:rsid w:val="1E82371B"/>
    <w:rsid w:val="1F8A15BE"/>
    <w:rsid w:val="201F3F67"/>
    <w:rsid w:val="20B03D2F"/>
    <w:rsid w:val="213654BD"/>
    <w:rsid w:val="21843F32"/>
    <w:rsid w:val="21C834F2"/>
    <w:rsid w:val="21DB633E"/>
    <w:rsid w:val="23E4308A"/>
    <w:rsid w:val="23EC5AD3"/>
    <w:rsid w:val="261E78D1"/>
    <w:rsid w:val="26530ED1"/>
    <w:rsid w:val="279D515D"/>
    <w:rsid w:val="280A1254"/>
    <w:rsid w:val="28191771"/>
    <w:rsid w:val="282B24F8"/>
    <w:rsid w:val="283205FE"/>
    <w:rsid w:val="29324136"/>
    <w:rsid w:val="295A45F4"/>
    <w:rsid w:val="29C564A3"/>
    <w:rsid w:val="2AF660AC"/>
    <w:rsid w:val="2E3507E9"/>
    <w:rsid w:val="2F9B5627"/>
    <w:rsid w:val="30C1232E"/>
    <w:rsid w:val="31136AE9"/>
    <w:rsid w:val="32501D8E"/>
    <w:rsid w:val="32A11FE9"/>
    <w:rsid w:val="343C5504"/>
    <w:rsid w:val="3506060C"/>
    <w:rsid w:val="36C223D3"/>
    <w:rsid w:val="37426E40"/>
    <w:rsid w:val="38057C75"/>
    <w:rsid w:val="38D23B45"/>
    <w:rsid w:val="3B2E7228"/>
    <w:rsid w:val="3BBB11DD"/>
    <w:rsid w:val="3BC259C5"/>
    <w:rsid w:val="3BE1079B"/>
    <w:rsid w:val="3DFE230D"/>
    <w:rsid w:val="3F5E37CC"/>
    <w:rsid w:val="3F7F799B"/>
    <w:rsid w:val="3F9006D6"/>
    <w:rsid w:val="3FD73B36"/>
    <w:rsid w:val="40500053"/>
    <w:rsid w:val="40C00DC8"/>
    <w:rsid w:val="413B0711"/>
    <w:rsid w:val="413C4C01"/>
    <w:rsid w:val="415E251B"/>
    <w:rsid w:val="42A2369E"/>
    <w:rsid w:val="44C81F67"/>
    <w:rsid w:val="44FE03FA"/>
    <w:rsid w:val="45550AB8"/>
    <w:rsid w:val="456C4A67"/>
    <w:rsid w:val="45F14ECD"/>
    <w:rsid w:val="45FC0CDF"/>
    <w:rsid w:val="466177D2"/>
    <w:rsid w:val="46B4536A"/>
    <w:rsid w:val="47054D84"/>
    <w:rsid w:val="47570A7E"/>
    <w:rsid w:val="477B75D9"/>
    <w:rsid w:val="48B30F24"/>
    <w:rsid w:val="4D47627A"/>
    <w:rsid w:val="4E813629"/>
    <w:rsid w:val="50DF5A50"/>
    <w:rsid w:val="52B77529"/>
    <w:rsid w:val="52F96629"/>
    <w:rsid w:val="533E7B80"/>
    <w:rsid w:val="537014B2"/>
    <w:rsid w:val="539C75B5"/>
    <w:rsid w:val="53E91DD9"/>
    <w:rsid w:val="55640CA7"/>
    <w:rsid w:val="557F6BB8"/>
    <w:rsid w:val="571D09B3"/>
    <w:rsid w:val="578403BD"/>
    <w:rsid w:val="5796443F"/>
    <w:rsid w:val="57AE4002"/>
    <w:rsid w:val="57CE4E9A"/>
    <w:rsid w:val="583F13D4"/>
    <w:rsid w:val="58920E5F"/>
    <w:rsid w:val="59A4671D"/>
    <w:rsid w:val="5BF14820"/>
    <w:rsid w:val="5F335620"/>
    <w:rsid w:val="5F7E77B8"/>
    <w:rsid w:val="617C437E"/>
    <w:rsid w:val="61A44E75"/>
    <w:rsid w:val="62975771"/>
    <w:rsid w:val="63C225F9"/>
    <w:rsid w:val="641368E9"/>
    <w:rsid w:val="64FD7714"/>
    <w:rsid w:val="65186765"/>
    <w:rsid w:val="652D7BE4"/>
    <w:rsid w:val="65BE67CB"/>
    <w:rsid w:val="660D2624"/>
    <w:rsid w:val="672F41A4"/>
    <w:rsid w:val="6884594D"/>
    <w:rsid w:val="6907225D"/>
    <w:rsid w:val="6A152000"/>
    <w:rsid w:val="6A8416D9"/>
    <w:rsid w:val="6BC82A31"/>
    <w:rsid w:val="6C961BE6"/>
    <w:rsid w:val="6C9A59BC"/>
    <w:rsid w:val="6D1C328F"/>
    <w:rsid w:val="6DDF784E"/>
    <w:rsid w:val="6EC3212D"/>
    <w:rsid w:val="6FCE1C7C"/>
    <w:rsid w:val="6FF620BF"/>
    <w:rsid w:val="7018657D"/>
    <w:rsid w:val="711560EB"/>
    <w:rsid w:val="711841A1"/>
    <w:rsid w:val="712F68FF"/>
    <w:rsid w:val="713247D1"/>
    <w:rsid w:val="717402AD"/>
    <w:rsid w:val="71E03B95"/>
    <w:rsid w:val="72247ED5"/>
    <w:rsid w:val="736024D3"/>
    <w:rsid w:val="76385031"/>
    <w:rsid w:val="771D465B"/>
    <w:rsid w:val="77230004"/>
    <w:rsid w:val="777B6A63"/>
    <w:rsid w:val="79764FD6"/>
    <w:rsid w:val="7A6A16F6"/>
    <w:rsid w:val="7B82052E"/>
    <w:rsid w:val="7C345DD3"/>
    <w:rsid w:val="7DD542E7"/>
    <w:rsid w:val="7DF41AF2"/>
    <w:rsid w:val="7E012E27"/>
    <w:rsid w:val="7E93066E"/>
    <w:rsid w:val="7FCB3356"/>
    <w:rsid w:val="7FFB1E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spacing w:after="240" w:line="360" w:lineRule="auto"/>
      <w:jc w:val="center"/>
      <w:outlineLvl w:val="0"/>
    </w:pPr>
    <w:rPr>
      <w:rFonts w:ascii="黑体" w:hAnsi="黑体" w:eastAsia="黑体" w:cs="黑体"/>
      <w:b/>
      <w:bCs/>
      <w:kern w:val="44"/>
      <w:sz w:val="28"/>
      <w:szCs w:val="28"/>
    </w:rPr>
  </w:style>
  <w:style w:type="paragraph" w:styleId="5">
    <w:name w:val="heading 2"/>
    <w:basedOn w:val="1"/>
    <w:next w:val="1"/>
    <w:unhideWhenUsed/>
    <w:qFormat/>
    <w:uiPriority w:val="0"/>
    <w:pPr>
      <w:keepNext/>
      <w:keepLines/>
      <w:outlineLvl w:val="1"/>
    </w:pPr>
    <w:rPr>
      <w:b/>
    </w:rPr>
  </w:style>
  <w:style w:type="paragraph" w:styleId="6">
    <w:name w:val="heading 3"/>
    <w:basedOn w:val="1"/>
    <w:next w:val="1"/>
    <w:semiHidden/>
    <w:unhideWhenUsed/>
    <w:qFormat/>
    <w:uiPriority w:val="0"/>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3"/>
    <w:qFormat/>
    <w:uiPriority w:val="0"/>
    <w:pPr>
      <w:adjustRightInd w:val="0"/>
      <w:spacing w:after="120" w:line="312" w:lineRule="atLeast"/>
      <w:ind w:firstLine="200" w:firstLineChars="200"/>
      <w:textAlignment w:val="baseline"/>
    </w:pPr>
    <w:rPr>
      <w:rFonts w:cs="黑体"/>
      <w:kern w:val="0"/>
    </w:rPr>
  </w:style>
  <w:style w:type="paragraph" w:styleId="3">
    <w:name w:val="Title"/>
    <w:basedOn w:val="1"/>
    <w:next w:val="1"/>
    <w:qFormat/>
    <w:uiPriority w:val="0"/>
    <w:pPr>
      <w:spacing w:before="240" w:after="60"/>
      <w:ind w:firstLine="200" w:firstLineChars="200"/>
      <w:jc w:val="center"/>
      <w:outlineLvl w:val="0"/>
    </w:pPr>
    <w:rPr>
      <w:rFonts w:ascii="Arial" w:hAnsi="Arial" w:cs="Arial"/>
      <w:b/>
      <w:bCs/>
      <w:sz w:val="32"/>
      <w:szCs w:val="32"/>
    </w:rPr>
  </w:style>
  <w:style w:type="paragraph" w:styleId="7">
    <w:name w:val="Normal Indent"/>
    <w:basedOn w:val="1"/>
    <w:qFormat/>
    <w:uiPriority w:val="0"/>
    <w:pPr>
      <w:widowControl/>
      <w:spacing w:after="120" w:line="360" w:lineRule="auto"/>
      <w:ind w:firstLine="420"/>
      <w:jc w:val="left"/>
    </w:pPr>
    <w:rPr>
      <w:rFonts w:eastAsia="宋体" w:cs="Times New Roman"/>
      <w:kern w:val="44"/>
      <w:sz w:val="24"/>
      <w:szCs w:val="24"/>
    </w:rPr>
  </w:style>
  <w:style w:type="paragraph" w:styleId="8">
    <w:name w:val="annotation text"/>
    <w:basedOn w:val="1"/>
    <w:qFormat/>
    <w:uiPriority w:val="0"/>
    <w:pPr>
      <w:spacing w:line="360" w:lineRule="auto"/>
      <w:jc w:val="left"/>
    </w:pPr>
    <w:rPr>
      <w:rFonts w:ascii="Times New Roman" w:hAnsi="Times New Roman" w:eastAsia="宋体"/>
      <w:sz w:val="24"/>
    </w:rPr>
  </w:style>
  <w:style w:type="paragraph" w:styleId="9">
    <w:name w:val="Body Text Indent"/>
    <w:basedOn w:val="1"/>
    <w:qFormat/>
    <w:uiPriority w:val="0"/>
    <w:pPr>
      <w:adjustRightInd w:val="0"/>
      <w:snapToGrid w:val="0"/>
      <w:spacing w:line="440" w:lineRule="atLeast"/>
      <w:ind w:firstLine="425"/>
    </w:pPr>
    <w:rPr>
      <w:rFonts w:ascii="Arial" w:hAnsi="Arial" w:eastAsia="微软简中圆"/>
      <w:color w:val="008000"/>
    </w:rPr>
  </w:style>
  <w:style w:type="paragraph" w:styleId="10">
    <w:name w:val="toc 3"/>
    <w:basedOn w:val="1"/>
    <w:next w:val="1"/>
    <w:qFormat/>
    <w:uiPriority w:val="39"/>
    <w:pPr>
      <w:ind w:left="840" w:leftChars="400"/>
    </w:pPr>
  </w:style>
  <w:style w:type="paragraph" w:styleId="11">
    <w:name w:val="Body Text Indent 2"/>
    <w:basedOn w:val="1"/>
    <w:qFormat/>
    <w:uiPriority w:val="0"/>
    <w:pPr>
      <w:tabs>
        <w:tab w:val="left" w:pos="567"/>
      </w:tabs>
      <w:adjustRightInd w:val="0"/>
      <w:spacing w:line="360" w:lineRule="auto"/>
      <w:ind w:left="851"/>
      <w:jc w:val="left"/>
      <w:textAlignment w:val="baseline"/>
    </w:pPr>
    <w:rPr>
      <w:rFonts w:ascii="宋体" w:hAnsi="MS Sans Serif" w:eastAsia="宋体" w:cs="Times New Roman"/>
      <w:kern w:val="0"/>
      <w:sz w:val="24"/>
      <w:szCs w:val="24"/>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paragraph" w:styleId="15">
    <w:name w:val="Body Text First Indent"/>
    <w:basedOn w:val="1"/>
    <w:qFormat/>
    <w:uiPriority w:val="0"/>
    <w:pPr>
      <w:spacing w:after="120"/>
      <w:ind w:firstLine="420" w:firstLineChars="100"/>
    </w:pPr>
    <w:rPr>
      <w:sz w:val="21"/>
    </w:rPr>
  </w:style>
  <w:style w:type="paragraph" w:styleId="16">
    <w:name w:val="Body Text First Indent 2"/>
    <w:basedOn w:val="9"/>
    <w:next w:val="15"/>
    <w:qFormat/>
    <w:uiPriority w:val="0"/>
    <w:pPr>
      <w:adjustRightInd/>
      <w:snapToGrid/>
      <w:spacing w:after="120" w:line="240" w:lineRule="auto"/>
      <w:ind w:left="420" w:leftChars="200" w:firstLine="420"/>
    </w:pPr>
    <w:rPr>
      <w:rFonts w:ascii="Times New Roman" w:hAnsi="Times New Roman" w:eastAsia="宋体"/>
      <w:color w:val="auto"/>
      <w:sz w:val="21"/>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unhideWhenUsed/>
    <w:qFormat/>
    <w:uiPriority w:val="99"/>
    <w:rPr>
      <w:color w:val="0563C1" w:themeColor="hyperlink"/>
      <w:u w:val="single"/>
      <w14:textFill>
        <w14:solidFill>
          <w14:schemeClr w14:val="hlink"/>
        </w14:solidFill>
      </w14:textFill>
    </w:rPr>
  </w:style>
  <w:style w:type="character" w:styleId="21">
    <w:name w:val="annotation reference"/>
    <w:basedOn w:val="19"/>
    <w:qFormat/>
    <w:uiPriority w:val="0"/>
    <w:rPr>
      <w:sz w:val="21"/>
      <w:szCs w:val="21"/>
    </w:rPr>
  </w:style>
  <w:style w:type="paragraph" w:styleId="22">
    <w:name w:val="List Paragraph"/>
    <w:basedOn w:val="1"/>
    <w:unhideWhenUsed/>
    <w:qFormat/>
    <w:uiPriority w:val="99"/>
    <w:pPr>
      <w:ind w:firstLine="420" w:firstLineChars="200"/>
    </w:pPr>
  </w:style>
  <w:style w:type="paragraph" w:customStyle="1" w:styleId="23">
    <w:name w:val="表内容"/>
    <w:qFormat/>
    <w:uiPriority w:val="0"/>
    <w:pPr>
      <w:adjustRightInd w:val="0"/>
      <w:snapToGrid w:val="0"/>
      <w:spacing w:line="360" w:lineRule="auto"/>
      <w:jc w:val="both"/>
    </w:pPr>
    <w:rPr>
      <w:rFonts w:hint="eastAsia" w:ascii="Times New Roman" w:hAnsi="Times New Roman" w:eastAsia="宋体" w:cs="Times New Roman"/>
      <w:sz w:val="24"/>
    </w:rPr>
  </w:style>
  <w:style w:type="paragraph" w:customStyle="1" w:styleId="24">
    <w:name w:val="Table Text"/>
    <w:basedOn w:val="1"/>
    <w:semiHidden/>
    <w:qFormat/>
    <w:uiPriority w:val="0"/>
    <w:rPr>
      <w:rFonts w:ascii="宋体" w:hAnsi="宋体" w:eastAsia="宋体" w:cs="宋体"/>
      <w:sz w:val="24"/>
      <w:szCs w:val="24"/>
      <w:lang w:val="en-US" w:eastAsia="en-US" w:bidi="ar-SA"/>
    </w:rPr>
  </w:style>
  <w:style w:type="paragraph" w:customStyle="1" w:styleId="25">
    <w:name w:val="WPSOffice手动目录 1"/>
    <w:qFormat/>
    <w:uiPriority w:val="0"/>
    <w:pPr>
      <w:ind w:leftChars="0"/>
    </w:pPr>
    <w:rPr>
      <w:rFonts w:ascii="Times New Roman" w:hAnsi="Times New Roman" w:eastAsia="宋体" w:cs="Times New Roman"/>
      <w:sz w:val="20"/>
      <w:szCs w:val="20"/>
    </w:rPr>
  </w:style>
  <w:style w:type="paragraph" w:customStyle="1" w:styleId="26">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275</Words>
  <Characters>1569</Characters>
  <Lines>13</Lines>
  <Paragraphs>3</Paragraphs>
  <TotalTime>8</TotalTime>
  <ScaleCrop>false</ScaleCrop>
  <LinksUpToDate>false</LinksUpToDate>
  <CharactersWithSpaces>1841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2026-04-21T14:23:00Z</dcterms:created>
  <dc:creator>功全 王</dc:creator>
  <cp:lastModifiedBy>tftp</cp:lastModifiedBy>
  <dcterms:modified xsi:type="dcterms:W3CDTF">2026-10-26T09:01:58Z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09C71F99696F4D6A8E6E139897245E0E_12</vt:lpwstr>
  </property>
</Properties>
</file>