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eastAsia="宋体"/>
          <w:b/>
          <w:bCs/>
          <w:sz w:val="24"/>
          <w:szCs w:val="28"/>
          <w:lang w:val="en-US" w:eastAsia="zh-CN"/>
        </w:rPr>
      </w:pPr>
      <w:r>
        <w:rPr>
          <w:rFonts w:hint="eastAsia" w:eastAsia="宋体"/>
          <w:b/>
          <w:bCs/>
          <w:sz w:val="24"/>
          <w:szCs w:val="28"/>
          <w:lang w:eastAsia="zh-CN"/>
        </w:rPr>
        <w:t>技术</w:t>
      </w:r>
      <w:r>
        <w:rPr>
          <w:rFonts w:hint="eastAsia" w:eastAsia="宋体"/>
          <w:b/>
          <w:bCs/>
          <w:sz w:val="24"/>
          <w:szCs w:val="28"/>
          <w:lang w:val="en-US" w:eastAsia="zh-CN"/>
        </w:rPr>
        <w:t>规范书</w:t>
      </w:r>
    </w:p>
    <w:p>
      <w:pPr>
        <w:spacing w:line="360" w:lineRule="auto"/>
        <w:rPr>
          <w:rFonts w:hint="eastAsia"/>
          <w:sz w:val="24"/>
          <w:szCs w:val="28"/>
        </w:rPr>
      </w:pPr>
    </w:p>
    <w:p>
      <w:pPr>
        <w:widowControl w:val="0"/>
        <w:numPr>
          <w:ilvl w:val="0"/>
          <w:numId w:val="1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8"/>
          <w:lang w:eastAsia="zh-CN"/>
        </w:rPr>
        <w:t>对《南方电网数字传媒科技有限公司新闻宣传、企业文化、品牌建设服务和产品手册》进行价格评估；</w:t>
      </w:r>
    </w:p>
    <w:p>
      <w:pPr>
        <w:widowControl w:val="0"/>
        <w:numPr>
          <w:ilvl w:val="0"/>
          <w:numId w:val="1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8"/>
          <w:lang w:eastAsia="zh-CN"/>
        </w:rPr>
        <w:t>技术方案：符合项目需求，措施考虑全面、具体、可行、合理，对传媒、广告等同类行业针对性好。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4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项目团队配置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4"/>
          <w:szCs w:val="28"/>
          <w:lang w:eastAsia="zh-CN"/>
        </w:rPr>
        <w:t>提供具有专业能力和类似项目经验的人员团队，项目经理具有同类行业经验</w:t>
      </w:r>
      <w:r>
        <w:rPr>
          <w:rFonts w:hint="eastAsia" w:ascii="宋体" w:hAnsi="宋体" w:cs="宋体"/>
          <w:b w:val="0"/>
          <w:bCs w:val="0"/>
          <w:sz w:val="24"/>
          <w:szCs w:val="28"/>
          <w:lang w:val="en-US" w:eastAsia="zh-CN"/>
        </w:rPr>
        <w:t>5年及以上</w:t>
      </w:r>
      <w:r>
        <w:rPr>
          <w:rFonts w:hint="eastAsia" w:ascii="宋体" w:hAnsi="宋体" w:cs="宋体"/>
          <w:b w:val="0"/>
          <w:bCs w:val="0"/>
          <w:sz w:val="24"/>
          <w:szCs w:val="28"/>
          <w:lang w:eastAsia="zh-CN"/>
        </w:rPr>
        <w:t>；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4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8"/>
          <w:lang w:eastAsia="zh-CN"/>
        </w:rPr>
        <w:t>同类案例实施经验：具有较多同类项目经验，并附有完整合同证明或中标通知书。</w:t>
      </w:r>
      <w:bookmarkStart w:id="0" w:name="_GoBack"/>
      <w:bookmarkEnd w:id="0"/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4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8"/>
        </w:rPr>
        <w:t>项目进度保障及计划合理性</w:t>
      </w:r>
      <w:r>
        <w:rPr>
          <w:rFonts w:hint="eastAsia" w:ascii="宋体" w:hAnsi="宋体" w:eastAsia="宋体" w:cs="宋体"/>
          <w:b w:val="0"/>
          <w:bCs w:val="0"/>
          <w:sz w:val="24"/>
          <w:szCs w:val="28"/>
          <w:lang w:eastAsia="zh-CN"/>
        </w:rPr>
        <w:t>：结合项目实施方案制定详细的进度计划安排，计划科学、可行，符合项目要求。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4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8"/>
          <w:lang w:eastAsia="zh-CN"/>
        </w:rPr>
        <w:t>交付成果满足要求。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/>
          <w:b/>
          <w:bCs/>
          <w:sz w:val="24"/>
          <w:szCs w:val="28"/>
          <w:lang w:eastAsia="zh-CN"/>
        </w:rPr>
      </w:pPr>
      <w:r>
        <w:rPr>
          <w:rFonts w:hint="eastAsia"/>
          <w:b/>
          <w:bCs/>
          <w:sz w:val="24"/>
          <w:szCs w:val="28"/>
          <w:lang w:eastAsia="zh-CN"/>
        </w:rPr>
        <w:t>注：技术文件包括但不限于以上所列内容，具体根据招标文件及评分办法自行编制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0213B3"/>
    <w:multiLevelType w:val="singleLevel"/>
    <w:tmpl w:val="850213B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CD7372"/>
    <w:rsid w:val="12CD7372"/>
    <w:rsid w:val="4E49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2021-04-16T08:21:00Z</dcterms:created>
  <dc:creator>杨阳</dc:creator>
  <cp:lastModifiedBy>杨阳</cp:lastModifiedBy>
  <dcterms:modified xsi:type="dcterms:W3CDTF">2021-04-22T03:32:56Z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