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云南电网有限责任公司2021年通信、电力监控系统网络安全设备第一批省级集中专项采购项目（公开招标）</w:t>
      </w:r>
      <w:bookmarkStart w:id="0" w:name="_GoBack"/>
      <w:bookmarkEnd w:id="0"/>
      <w:r>
        <w:rPr>
          <w:rFonts w:hint="eastAsia"/>
          <w:lang w:val="en-US" w:eastAsia="zh-CN"/>
        </w:rPr>
        <w:t>采购清册及限价</w:t>
      </w:r>
    </w:p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</w:rPr>
        <w:t>标的1：</w:t>
      </w:r>
    </w:p>
    <w:tbl>
      <w:tblPr>
        <w:tblStyle w:val="7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8"/>
        <w:gridCol w:w="2013"/>
        <w:gridCol w:w="2909"/>
        <w:gridCol w:w="893"/>
        <w:gridCol w:w="1651"/>
        <w:gridCol w:w="2412"/>
        <w:gridCol w:w="849"/>
        <w:gridCol w:w="612"/>
        <w:gridCol w:w="15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tblHeader/>
          <w:jc w:val="center"/>
        </w:trPr>
        <w:tc>
          <w:tcPr>
            <w:tcW w:w="132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标的名称</w:t>
            </w:r>
          </w:p>
        </w:tc>
        <w:tc>
          <w:tcPr>
            <w:tcW w:w="201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标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包</w:t>
            </w:r>
          </w:p>
        </w:tc>
        <w:tc>
          <w:tcPr>
            <w:tcW w:w="29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分项项目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89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项目建设单位</w:t>
            </w:r>
          </w:p>
        </w:tc>
        <w:tc>
          <w:tcPr>
            <w:tcW w:w="165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货物名称</w:t>
            </w: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货物分项明细</w:t>
            </w:r>
          </w:p>
        </w:tc>
        <w:tc>
          <w:tcPr>
            <w:tcW w:w="84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需求数量</w:t>
            </w:r>
          </w:p>
        </w:tc>
        <w:tc>
          <w:tcPr>
            <w:tcW w:w="61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单位</w:t>
            </w:r>
          </w:p>
        </w:tc>
        <w:tc>
          <w:tcPr>
            <w:tcW w:w="150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最高限价（万元）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" w:hRule="atLeast"/>
          <w:jc w:val="center"/>
        </w:trPr>
        <w:tc>
          <w:tcPr>
            <w:tcW w:w="132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标1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：通信电源监控系统</w:t>
            </w:r>
          </w:p>
        </w:tc>
        <w:tc>
          <w:tcPr>
            <w:tcW w:w="2013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包1：曲靖、临沧供电局通信电源监控系统</w:t>
            </w:r>
          </w:p>
        </w:tc>
        <w:tc>
          <w:tcPr>
            <w:tcW w:w="290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曲靖供电局2021年通信电源监控平台及蓄电池远程核容系统建设</w:t>
            </w:r>
          </w:p>
        </w:tc>
        <w:tc>
          <w:tcPr>
            <w:tcW w:w="893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曲靖供电局</w:t>
            </w:r>
          </w:p>
        </w:tc>
        <w:tc>
          <w:tcPr>
            <w:tcW w:w="165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通信电源监控系统</w:t>
            </w:r>
          </w:p>
        </w:tc>
        <w:tc>
          <w:tcPr>
            <w:tcW w:w="24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zh-CN" w:eastAsia="zh-CN" w:bidi="ar"/>
              </w:rPr>
              <w:t>数据/应用服务器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zh-CN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zh-CN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4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采集工控机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监测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zh-CN" w:eastAsia="zh-CN" w:bidi="ar"/>
              </w:rPr>
              <w:t>工作站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机房综合监管系统软件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通信电源监控及蓄电池数据采集及远程充放电控制软件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智能放电控制单元（1拖1）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12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通用采集单元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1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08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zh-CN" w:eastAsia="zh-CN" w:bidi="ar"/>
              </w:rPr>
              <w:t>蓄电池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监测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zh-CN" w:eastAsia="zh-CN" w:bidi="ar"/>
              </w:rPr>
              <w:t>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zh-CN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612" w:type="dxa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zh-CN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安装辅料</w:t>
            </w:r>
          </w:p>
        </w:tc>
        <w:tc>
          <w:tcPr>
            <w:tcW w:w="849" w:type="dxa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临沧供电局通信电源监控系统建设</w:t>
            </w:r>
          </w:p>
        </w:tc>
        <w:tc>
          <w:tcPr>
            <w:tcW w:w="893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临沧供电局</w:t>
            </w:r>
          </w:p>
        </w:tc>
        <w:tc>
          <w:tcPr>
            <w:tcW w:w="165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通信电源监控系统</w:t>
            </w: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val="zh-CN"/>
              </w:rPr>
              <w:t>数据/应用服务器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21"/>
                <w:szCs w:val="21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采集工控机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监测</w:t>
            </w:r>
            <w:r>
              <w:rPr>
                <w:rFonts w:hint="eastAsia"/>
                <w:color w:val="auto"/>
                <w:sz w:val="18"/>
                <w:szCs w:val="18"/>
                <w:lang w:val="zh-CN"/>
              </w:rPr>
              <w:t>工作站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便携维护终端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机房综合监管系统软件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通信电源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监控</w:t>
            </w:r>
            <w:r>
              <w:rPr>
                <w:rFonts w:ascii="Times New Roman" w:hAnsi="Times New Roman"/>
                <w:color w:val="auto"/>
                <w:sz w:val="18"/>
                <w:szCs w:val="18"/>
              </w:rPr>
              <w:t>及蓄电池数据采集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及远程充放电控制</w:t>
            </w:r>
            <w:r>
              <w:rPr>
                <w:rFonts w:ascii="Times New Roman" w:hAnsi="Times New Roman"/>
                <w:color w:val="auto"/>
                <w:sz w:val="18"/>
                <w:szCs w:val="18"/>
              </w:rPr>
              <w:t>软件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21"/>
                <w:szCs w:val="21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智能放电控制单元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一拖一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21"/>
                <w:szCs w:val="21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智能放电控制单元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一拖二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通用采集单元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32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21"/>
                <w:szCs w:val="21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zh-CN"/>
              </w:rPr>
              <w:t>蓄电池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监测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zh-CN"/>
              </w:rPr>
              <w:t>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53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安装辅料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包2：普洱、楚雄供电局通信电源监控系统</w:t>
            </w:r>
          </w:p>
        </w:tc>
        <w:tc>
          <w:tcPr>
            <w:tcW w:w="290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普洱供电局通信电源远程监控及蓄电池组远程核容加装项目</w:t>
            </w:r>
          </w:p>
        </w:tc>
        <w:tc>
          <w:tcPr>
            <w:tcW w:w="893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普洱供电局</w:t>
            </w:r>
          </w:p>
        </w:tc>
        <w:tc>
          <w:tcPr>
            <w:tcW w:w="165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通信电源监控系统</w:t>
            </w: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val="zh-CN"/>
              </w:rPr>
              <w:t>数据/应用服务器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21"/>
                <w:szCs w:val="21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采集工控机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监测</w:t>
            </w:r>
            <w:r>
              <w:rPr>
                <w:rFonts w:hint="eastAsia"/>
                <w:color w:val="auto"/>
                <w:sz w:val="18"/>
                <w:szCs w:val="18"/>
                <w:lang w:val="zh-CN"/>
              </w:rPr>
              <w:t>工作站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便携式</w:t>
            </w:r>
            <w:r>
              <w:rPr>
                <w:rFonts w:hint="eastAsia"/>
                <w:color w:val="auto"/>
                <w:sz w:val="18"/>
                <w:szCs w:val="18"/>
                <w:lang w:val="zh-CN"/>
              </w:rPr>
              <w:t>工作站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机房综合监管系统软件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通用采集单元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  <w:highlight w:val="none"/>
                <w:lang w:val="en-US" w:eastAsia="zh-CN"/>
              </w:rPr>
              <w:t>52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通信电源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监控</w:t>
            </w:r>
            <w:r>
              <w:rPr>
                <w:rFonts w:ascii="Times New Roman" w:hAnsi="Times New Roman"/>
                <w:color w:val="auto"/>
                <w:sz w:val="18"/>
                <w:szCs w:val="18"/>
              </w:rPr>
              <w:t>及蓄电池数据采集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及远程充放电控制</w:t>
            </w:r>
            <w:r>
              <w:rPr>
                <w:rFonts w:ascii="Times New Roman" w:hAnsi="Times New Roman"/>
                <w:color w:val="auto"/>
                <w:sz w:val="18"/>
                <w:szCs w:val="18"/>
              </w:rPr>
              <w:t>软件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21"/>
                <w:szCs w:val="21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智能放电控制单元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一拖一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  <w:t>28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智能放电控制单元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一拖二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  <w:t>23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zh-CN"/>
              </w:rPr>
              <w:t>蓄电池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监测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zh-CN"/>
              </w:rPr>
              <w:t>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  <w:t>86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环境监测单元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Cs w:val="21"/>
                <w:lang w:val="en-US" w:eastAsia="zh-CN"/>
              </w:rPr>
              <w:t>2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安装辅料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楚雄供电局2021年110KV万马变等6个变电站远程充放电系统建设</w:t>
            </w:r>
          </w:p>
        </w:tc>
        <w:tc>
          <w:tcPr>
            <w:tcW w:w="893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楚雄供电局</w:t>
            </w:r>
          </w:p>
        </w:tc>
        <w:tc>
          <w:tcPr>
            <w:tcW w:w="165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变电站蓄电池组智能远程充放电系统</w:t>
            </w: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蓄电池数据采集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及远程充放电控制</w:t>
            </w:r>
            <w:r>
              <w:rPr>
                <w:rFonts w:ascii="Times New Roman" w:hAnsi="Times New Roman"/>
                <w:color w:val="auto"/>
                <w:sz w:val="18"/>
                <w:szCs w:val="18"/>
              </w:rPr>
              <w:t>软件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智能放电控制单元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1拖1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智能放电控制单元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/>
                <w:color w:val="auto"/>
                <w:sz w:val="18"/>
                <w:szCs w:val="18"/>
                <w:lang w:val="en-US" w:eastAsia="zh-CN"/>
              </w:rPr>
              <w:t>1拖2</w:t>
            </w:r>
            <w:r>
              <w:rPr>
                <w:rFonts w:hint="eastAsia"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zh-CN"/>
              </w:rPr>
              <w:t>蓄电池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监测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zh-CN"/>
              </w:rPr>
              <w:t>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89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安装辅料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楚雄供电局110kV及以上42个站点通信电源监控系统建设</w:t>
            </w:r>
          </w:p>
        </w:tc>
        <w:tc>
          <w:tcPr>
            <w:tcW w:w="893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楚雄供电局</w:t>
            </w:r>
          </w:p>
        </w:tc>
        <w:tc>
          <w:tcPr>
            <w:tcW w:w="165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通信电源监控系统</w:t>
            </w: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/>
                <w:color w:val="auto"/>
                <w:sz w:val="18"/>
                <w:szCs w:val="18"/>
                <w:lang w:val="zh-CN"/>
              </w:rPr>
              <w:t>数据/应用服务器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采集工控机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监测</w:t>
            </w:r>
            <w:r>
              <w:rPr>
                <w:rFonts w:hint="eastAsia" w:ascii="宋体"/>
                <w:color w:val="auto"/>
                <w:sz w:val="18"/>
                <w:szCs w:val="18"/>
                <w:lang w:val="zh-CN"/>
              </w:rPr>
              <w:t>工作站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通信电源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监控</w:t>
            </w: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软件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通用采集单元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55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/>
                <w:color w:val="auto"/>
                <w:sz w:val="18"/>
                <w:szCs w:val="18"/>
              </w:rPr>
              <w:t>安装辅料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包3：红河、怒江供电局通信电源监控系统</w:t>
            </w:r>
          </w:p>
        </w:tc>
        <w:tc>
          <w:tcPr>
            <w:tcW w:w="290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红河供电局2020年通信专业通信蓄电池远程核容装置加装</w:t>
            </w:r>
          </w:p>
        </w:tc>
        <w:tc>
          <w:tcPr>
            <w:tcW w:w="893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红河供电局</w:t>
            </w:r>
          </w:p>
        </w:tc>
        <w:tc>
          <w:tcPr>
            <w:tcW w:w="165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通信电源监控系统</w:t>
            </w:r>
          </w:p>
        </w:tc>
        <w:tc>
          <w:tcPr>
            <w:tcW w:w="24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lang w:val="zh-CN"/>
              </w:rPr>
              <w:t>数据/应用服务器</w:t>
            </w:r>
          </w:p>
        </w:tc>
        <w:tc>
          <w:tcPr>
            <w:tcW w:w="849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4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</w:rPr>
              <w:t>采集工控机</w:t>
            </w:r>
          </w:p>
        </w:tc>
        <w:tc>
          <w:tcPr>
            <w:tcW w:w="849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</w:rPr>
              <w:t>监测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lang w:val="zh-CN"/>
              </w:rPr>
              <w:t>工作站</w:t>
            </w:r>
          </w:p>
        </w:tc>
        <w:tc>
          <w:tcPr>
            <w:tcW w:w="849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  <w:t>机房综合监管系统软件</w:t>
            </w:r>
          </w:p>
        </w:tc>
        <w:tc>
          <w:tcPr>
            <w:tcW w:w="849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  <w:t>通信电源</w:t>
            </w: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</w:rPr>
              <w:t>监控</w:t>
            </w:r>
            <w:r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  <w:t>及蓄电池数据采集</w:t>
            </w: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</w:rPr>
              <w:t>及远程充放电控制</w:t>
            </w:r>
            <w:r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  <w:t>软件</w:t>
            </w:r>
          </w:p>
        </w:tc>
        <w:tc>
          <w:tcPr>
            <w:tcW w:w="849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1"/>
                <w:szCs w:val="21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hd w:val="clear"/>
              <w:adjustRightInd w:val="0"/>
              <w:snapToGrid w:val="0"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  <w:t>通用采集单元</w:t>
            </w:r>
          </w:p>
        </w:tc>
        <w:tc>
          <w:tcPr>
            <w:tcW w:w="849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6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</w:rPr>
              <w:t>智能放电控制单元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lang w:val="en-US" w:eastAsia="zh-CN"/>
              </w:rPr>
              <w:t>1拖1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49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6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hd w:val="clear"/>
              <w:adjustRightInd w:val="0"/>
              <w:snapToGrid w:val="0"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lang w:val="zh-CN"/>
              </w:rPr>
              <w:t>蓄电池</w:t>
            </w: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</w:rPr>
              <w:t>监测</w:t>
            </w: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lang w:val="zh-CN"/>
              </w:rPr>
              <w:t>单元</w:t>
            </w:r>
          </w:p>
        </w:tc>
        <w:tc>
          <w:tcPr>
            <w:tcW w:w="849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114</w:t>
            </w:r>
          </w:p>
        </w:tc>
        <w:tc>
          <w:tcPr>
            <w:tcW w:w="6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hd w:val="clear"/>
              <w:adjustRightInd w:val="0"/>
              <w:snapToGrid w:val="0"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环境监测单元</w:t>
            </w:r>
          </w:p>
        </w:tc>
        <w:tc>
          <w:tcPr>
            <w:tcW w:w="849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6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hd w:val="clear"/>
              <w:adjustRightInd w:val="0"/>
              <w:snapToGrid w:val="0"/>
              <w:spacing w:line="240" w:lineRule="atLeast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</w:rPr>
              <w:t>安装辅料</w:t>
            </w:r>
          </w:p>
        </w:tc>
        <w:tc>
          <w:tcPr>
            <w:tcW w:w="849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hd w:val="clear"/>
              <w:snapToGrid w:val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怒江供电局通信综合监控系统建设</w:t>
            </w:r>
          </w:p>
        </w:tc>
        <w:tc>
          <w:tcPr>
            <w:tcW w:w="893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怒江供电局</w:t>
            </w:r>
          </w:p>
        </w:tc>
        <w:tc>
          <w:tcPr>
            <w:tcW w:w="1651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通信电源监控系统</w:t>
            </w: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zh-CN"/>
              </w:rPr>
              <w:t>数据/应用服务器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</w:rPr>
              <w:t>采集工控机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</w:rPr>
              <w:t>监测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zh-CN"/>
              </w:rPr>
              <w:t>工作站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台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</w:rPr>
              <w:t>机房综合监管系统软件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</w:rPr>
              <w:t>通信电源监控及蓄电池数据采集及远程充放电控制软件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</w:rPr>
              <w:t>智能放电控制单元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一拖一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34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</w:rPr>
              <w:t>智能放电控制单元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一拖二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</w:rPr>
              <w:t>通用采集单元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b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56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b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zh-CN"/>
              </w:rPr>
              <w:t>蓄电池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</w:rPr>
              <w:t>监测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zh-CN"/>
              </w:rPr>
              <w:t>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68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18"/>
                <w:szCs w:val="18"/>
                <w:lang w:val="en-US" w:eastAsia="zh-CN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环境监测单元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  <w:lang w:val="en-US" w:eastAsia="zh-CN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" w:hRule="atLeast"/>
          <w:jc w:val="center"/>
        </w:trPr>
        <w:tc>
          <w:tcPr>
            <w:tcW w:w="1328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01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909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93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12" w:type="dxa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</w:rPr>
              <w:t>安装辅料</w:t>
            </w:r>
          </w:p>
        </w:tc>
        <w:tc>
          <w:tcPr>
            <w:tcW w:w="849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1</w:t>
            </w:r>
          </w:p>
        </w:tc>
        <w:tc>
          <w:tcPr>
            <w:tcW w:w="612" w:type="dxa"/>
            <w:vAlign w:val="center"/>
          </w:tcPr>
          <w:p>
            <w:pPr>
              <w:snapToGrid w:val="0"/>
              <w:jc w:val="center"/>
              <w:rPr>
                <w:rFonts w:hint="eastAsia" w:cs="Times New Roman" w:asciiTheme="minorEastAsia" w:hAnsiTheme="minorEastAsia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18"/>
                <w:szCs w:val="18"/>
              </w:rPr>
              <w:t>套</w:t>
            </w:r>
          </w:p>
        </w:tc>
        <w:tc>
          <w:tcPr>
            <w:tcW w:w="1507" w:type="dxa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18"/>
                <w:szCs w:val="18"/>
                <w:lang w:val="en-US" w:eastAsia="zh-CN" w:bidi="ar-SA"/>
              </w:rPr>
              <w:t>\</w:t>
            </w:r>
          </w:p>
        </w:tc>
      </w:tr>
    </w:tbl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</w:rPr>
      </w:pPr>
    </w:p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</w:rPr>
        <w:t>标的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</w:rPr>
        <w:t>报价表：</w:t>
      </w:r>
    </w:p>
    <w:tbl>
      <w:tblPr>
        <w:tblStyle w:val="7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2198"/>
        <w:gridCol w:w="2488"/>
        <w:gridCol w:w="949"/>
        <w:gridCol w:w="1805"/>
        <w:gridCol w:w="1969"/>
        <w:gridCol w:w="776"/>
        <w:gridCol w:w="605"/>
        <w:gridCol w:w="16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76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标的名称</w:t>
            </w:r>
          </w:p>
        </w:tc>
        <w:tc>
          <w:tcPr>
            <w:tcW w:w="219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标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包</w:t>
            </w:r>
          </w:p>
        </w:tc>
        <w:tc>
          <w:tcPr>
            <w:tcW w:w="24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分项项目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94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项目建设单位</w:t>
            </w:r>
          </w:p>
        </w:tc>
        <w:tc>
          <w:tcPr>
            <w:tcW w:w="180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货物名称</w:t>
            </w:r>
          </w:p>
        </w:tc>
        <w:tc>
          <w:tcPr>
            <w:tcW w:w="196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货物分项明细</w:t>
            </w:r>
          </w:p>
        </w:tc>
        <w:tc>
          <w:tcPr>
            <w:tcW w:w="77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需求数量</w:t>
            </w:r>
          </w:p>
        </w:tc>
        <w:tc>
          <w:tcPr>
            <w:tcW w:w="60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单位</w:t>
            </w:r>
          </w:p>
        </w:tc>
        <w:tc>
          <w:tcPr>
            <w:tcW w:w="161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最高限价（万元）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" w:hRule="atLeast"/>
          <w:jc w:val="center"/>
        </w:trPr>
        <w:tc>
          <w:tcPr>
            <w:tcW w:w="1769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标2：通信蓄电池组远程核容系统</w:t>
            </w:r>
          </w:p>
        </w:tc>
        <w:tc>
          <w:tcPr>
            <w:tcW w:w="219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包1：昭通供电局通信蓄电池组远程核容系统</w:t>
            </w:r>
          </w:p>
        </w:tc>
        <w:tc>
          <w:tcPr>
            <w:tcW w:w="2488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2021年昭通供电局通信蓄电池组远程放电系统建设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昭通供电局</w:t>
            </w:r>
          </w:p>
        </w:tc>
        <w:tc>
          <w:tcPr>
            <w:tcW w:w="180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变电站蓄电池组智能远程充放电系统</w:t>
            </w: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 w:bidi="ar-SA"/>
              </w:rPr>
              <w:t>远程核容管理平台软件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网管服务器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网管客户端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Calibri" w:hAnsi="Calibri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台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lang w:val="en-US" w:eastAsia="zh-CN" w:bidi="ar-SA"/>
              </w:rPr>
              <w:t>智能放电控制单元</w:t>
            </w:r>
            <w:r>
              <w:rPr>
                <w:rFonts w:hint="eastAsia" w:cs="Times New Roman"/>
                <w:color w:val="auto"/>
                <w:sz w:val="18"/>
                <w:szCs w:val="18"/>
                <w:lang w:val="en-US" w:eastAsia="zh-CN" w:bidi="ar-SA"/>
              </w:rPr>
              <w:t>（1拖1）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7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lang w:val="en-US" w:eastAsia="zh-CN" w:bidi="ar-SA"/>
              </w:rPr>
              <w:t>智能放电控制单元</w:t>
            </w:r>
            <w:r>
              <w:rPr>
                <w:rFonts w:hint="eastAsia" w:cs="Times New Roman"/>
                <w:color w:val="auto"/>
                <w:sz w:val="18"/>
                <w:szCs w:val="18"/>
                <w:lang w:val="en-US" w:eastAsia="zh-CN" w:bidi="ar-SA"/>
              </w:rPr>
              <w:t>（1拖2）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22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 w:bidi="ar-SA"/>
              </w:rPr>
              <w:t>通用采集单元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29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lang w:val="zh-CN" w:eastAsia="zh-CN" w:bidi="ar-SA"/>
              </w:rPr>
              <w:t>蓄电池</w:t>
            </w: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lang w:val="en-US" w:eastAsia="zh-CN" w:bidi="ar-SA"/>
              </w:rPr>
              <w:t>监测</w:t>
            </w: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lang w:val="zh-CN" w:eastAsia="zh-CN" w:bidi="ar-SA"/>
              </w:rPr>
              <w:t>单元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 w:bidi="ar-SA"/>
              </w:rPr>
              <w:t>51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安装辅料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包2：德宏供电局通信蓄电池组远程核容系统</w:t>
            </w:r>
          </w:p>
        </w:tc>
        <w:tc>
          <w:tcPr>
            <w:tcW w:w="2488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德宏供电局通信蓄电池远程核容装置加装</w:t>
            </w:r>
          </w:p>
        </w:tc>
        <w:tc>
          <w:tcPr>
            <w:tcW w:w="94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德宏供电局</w:t>
            </w:r>
          </w:p>
        </w:tc>
        <w:tc>
          <w:tcPr>
            <w:tcW w:w="1805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变电站蓄电池组智能远程充放电系统</w:t>
            </w: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 w:bidi="ar-SA"/>
              </w:rPr>
              <w:t>远程核容管理平台软件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网管服务器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网管客户端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Calibri" w:hAnsi="Calibri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sz w:val="18"/>
                <w:szCs w:val="18"/>
                <w:lang w:val="en-US" w:eastAsia="zh-CN" w:bidi="ar-SA"/>
              </w:rPr>
              <w:t>台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lang w:val="en-US" w:eastAsia="zh-CN" w:bidi="ar-SA"/>
              </w:rPr>
              <w:t>智能放电控制单元</w:t>
            </w:r>
            <w:r>
              <w:rPr>
                <w:rFonts w:hint="eastAsia" w:cs="Times New Roman"/>
                <w:color w:val="auto"/>
                <w:sz w:val="18"/>
                <w:szCs w:val="18"/>
                <w:lang w:val="en-US" w:eastAsia="zh-CN" w:bidi="ar-SA"/>
              </w:rPr>
              <w:t>（1拖1）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16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lang w:val="en-US" w:eastAsia="zh-CN" w:bidi="ar-SA"/>
              </w:rPr>
              <w:t>智能放电控制单元</w:t>
            </w:r>
            <w:r>
              <w:rPr>
                <w:rFonts w:hint="eastAsia" w:cs="Times New Roman"/>
                <w:color w:val="auto"/>
                <w:sz w:val="18"/>
                <w:szCs w:val="18"/>
                <w:lang w:val="en-US" w:eastAsia="zh-CN" w:bidi="ar-SA"/>
              </w:rPr>
              <w:t>（1拖2）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18"/>
                <w:szCs w:val="18"/>
                <w:lang w:val="en-US" w:eastAsia="zh-CN" w:bidi="ar-SA"/>
              </w:rPr>
              <w:t>通用采集单元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18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lang w:val="en-US" w:eastAsia="zh-CN" w:bidi="ar-SA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val="zh-CN" w:eastAsia="zh-CN" w:bidi="ar-SA"/>
              </w:rPr>
              <w:t>蓄电池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val="en-US" w:eastAsia="zh-CN" w:bidi="ar-SA"/>
              </w:rPr>
              <w:t>监测</w:t>
            </w:r>
            <w:r>
              <w:rPr>
                <w:rFonts w:hint="eastAsia" w:ascii="Times New Roman" w:hAnsi="Times New Roman" w:eastAsia="宋体" w:cs="Times New Roman"/>
                <w:sz w:val="18"/>
                <w:szCs w:val="18"/>
                <w:lang w:val="zh-CN" w:eastAsia="zh-CN" w:bidi="ar-SA"/>
              </w:rPr>
              <w:t>单元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20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en-US" w:eastAsia="zh-CN" w:bidi="ar-SA"/>
              </w:rPr>
              <w:t>IEC61850协议转换器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10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\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" w:hRule="atLeast"/>
          <w:jc w:val="center"/>
        </w:trPr>
        <w:tc>
          <w:tcPr>
            <w:tcW w:w="176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19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2488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4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805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969" w:type="dxa"/>
            <w:vAlign w:val="center"/>
          </w:tcPr>
          <w:p>
            <w:pPr>
              <w:adjustRightInd w:val="0"/>
              <w:snapToGrid w:val="0"/>
              <w:spacing w:line="240" w:lineRule="atLeast"/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</w:rPr>
              <w:t>安装辅料</w:t>
            </w:r>
          </w:p>
        </w:tc>
        <w:tc>
          <w:tcPr>
            <w:tcW w:w="776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60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1615" w:type="dxa"/>
            <w:vAlign w:val="center"/>
          </w:tcPr>
          <w:p>
            <w:pPr>
              <w:numPr>
                <w:ilvl w:val="0"/>
                <w:numId w:val="0"/>
              </w:numPr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lang w:val="en-US" w:eastAsia="zh-CN" w:bidi="ar-SA"/>
              </w:rPr>
              <w:t>\</w:t>
            </w:r>
          </w:p>
        </w:tc>
      </w:tr>
    </w:tbl>
    <w:p/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</w:pPr>
    </w:p>
    <w:p>
      <w:pPr>
        <w:adjustRightInd w:val="0"/>
        <w:snapToGrid w:val="0"/>
        <w:spacing w:line="360" w:lineRule="auto"/>
        <w:ind w:firstLine="562" w:firstLineChars="200"/>
      </w:pP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标的3报价表：</w:t>
      </w:r>
    </w:p>
    <w:tbl>
      <w:tblPr>
        <w:tblStyle w:val="7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  <w:gridCol w:w="1348"/>
        <w:gridCol w:w="3382"/>
        <w:gridCol w:w="1901"/>
        <w:gridCol w:w="2209"/>
        <w:gridCol w:w="1202"/>
        <w:gridCol w:w="1067"/>
        <w:gridCol w:w="17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标的名称</w:t>
            </w:r>
          </w:p>
        </w:tc>
        <w:tc>
          <w:tcPr>
            <w:tcW w:w="134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标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包</w:t>
            </w:r>
          </w:p>
        </w:tc>
        <w:tc>
          <w:tcPr>
            <w:tcW w:w="338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项目名称</w:t>
            </w:r>
          </w:p>
        </w:tc>
        <w:tc>
          <w:tcPr>
            <w:tcW w:w="19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项目建设单位</w:t>
            </w:r>
          </w:p>
        </w:tc>
        <w:tc>
          <w:tcPr>
            <w:tcW w:w="22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货物名称</w:t>
            </w:r>
          </w:p>
        </w:tc>
        <w:tc>
          <w:tcPr>
            <w:tcW w:w="12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数量</w:t>
            </w:r>
          </w:p>
        </w:tc>
        <w:tc>
          <w:tcPr>
            <w:tcW w:w="106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单位</w:t>
            </w:r>
          </w:p>
        </w:tc>
        <w:tc>
          <w:tcPr>
            <w:tcW w:w="17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最高限价（万元）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1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标3：云南电网应急通信设备</w:t>
            </w:r>
          </w:p>
        </w:tc>
        <w:tc>
          <w:tcPr>
            <w:tcW w:w="1348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包1：云南电网应急通信主站网管系统</w:t>
            </w:r>
          </w:p>
        </w:tc>
        <w:tc>
          <w:tcPr>
            <w:tcW w:w="338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云南电网应急通信系统改造升级</w:t>
            </w:r>
          </w:p>
        </w:tc>
        <w:tc>
          <w:tcPr>
            <w:tcW w:w="19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云南电力调度控制中心</w:t>
            </w:r>
          </w:p>
        </w:tc>
        <w:tc>
          <w:tcPr>
            <w:tcW w:w="22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卫星网管系统</w:t>
            </w:r>
          </w:p>
        </w:tc>
        <w:tc>
          <w:tcPr>
            <w:tcW w:w="12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06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1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4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包2：云南电网应急通信卫星便携站</w:t>
            </w:r>
          </w:p>
        </w:tc>
        <w:tc>
          <w:tcPr>
            <w:tcW w:w="338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西双版纳供电局2021年应急特勤队装备购置</w:t>
            </w:r>
          </w:p>
        </w:tc>
        <w:tc>
          <w:tcPr>
            <w:tcW w:w="19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西双版纳供电局</w:t>
            </w:r>
          </w:p>
        </w:tc>
        <w:tc>
          <w:tcPr>
            <w:tcW w:w="22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音视频回传终端</w:t>
            </w:r>
          </w:p>
        </w:tc>
        <w:tc>
          <w:tcPr>
            <w:tcW w:w="12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106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1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4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38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西双版纳供电局2021年应急特勤队装备购置</w:t>
            </w:r>
          </w:p>
        </w:tc>
        <w:tc>
          <w:tcPr>
            <w:tcW w:w="19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西双版纳供电局</w:t>
            </w:r>
          </w:p>
        </w:tc>
        <w:tc>
          <w:tcPr>
            <w:tcW w:w="22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卫星便携站</w:t>
            </w:r>
          </w:p>
        </w:tc>
        <w:tc>
          <w:tcPr>
            <w:tcW w:w="12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06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1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4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38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云南电网应急通信系统改造升级</w:t>
            </w:r>
          </w:p>
        </w:tc>
        <w:tc>
          <w:tcPr>
            <w:tcW w:w="19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云南电力调度控制中心</w:t>
            </w:r>
          </w:p>
        </w:tc>
        <w:tc>
          <w:tcPr>
            <w:tcW w:w="22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卫星便携站</w:t>
            </w:r>
          </w:p>
        </w:tc>
        <w:tc>
          <w:tcPr>
            <w:tcW w:w="12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06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</w:tbl>
    <w:p/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</w:pPr>
    </w:p>
    <w:p>
      <w:pPr>
        <w:adjustRightInd w:val="0"/>
        <w:snapToGrid w:val="0"/>
        <w:spacing w:line="360" w:lineRule="auto"/>
        <w:ind w:firstLine="562" w:firstLineChars="200"/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标的4报价表：</w:t>
      </w:r>
    </w:p>
    <w:tbl>
      <w:tblPr>
        <w:tblStyle w:val="7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  <w:gridCol w:w="1348"/>
        <w:gridCol w:w="3382"/>
        <w:gridCol w:w="1901"/>
        <w:gridCol w:w="2209"/>
        <w:gridCol w:w="1202"/>
        <w:gridCol w:w="1067"/>
        <w:gridCol w:w="17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标的名称</w:t>
            </w:r>
          </w:p>
        </w:tc>
        <w:tc>
          <w:tcPr>
            <w:tcW w:w="134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标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包</w:t>
            </w:r>
          </w:p>
        </w:tc>
        <w:tc>
          <w:tcPr>
            <w:tcW w:w="338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项目名称</w:t>
            </w:r>
          </w:p>
        </w:tc>
        <w:tc>
          <w:tcPr>
            <w:tcW w:w="19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项目建设单位</w:t>
            </w:r>
          </w:p>
        </w:tc>
        <w:tc>
          <w:tcPr>
            <w:tcW w:w="220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货物名称</w:t>
            </w:r>
          </w:p>
        </w:tc>
        <w:tc>
          <w:tcPr>
            <w:tcW w:w="12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数量</w:t>
            </w:r>
          </w:p>
        </w:tc>
        <w:tc>
          <w:tcPr>
            <w:tcW w:w="106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单位</w:t>
            </w:r>
          </w:p>
        </w:tc>
        <w:tc>
          <w:tcPr>
            <w:tcW w:w="17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最高限价（万元）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1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标4：光缆在线监测装置</w:t>
            </w:r>
          </w:p>
        </w:tc>
        <w:tc>
          <w:tcPr>
            <w:tcW w:w="134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包1：曲靖、昭通供电局光缆在线监测设备</w:t>
            </w:r>
          </w:p>
        </w:tc>
        <w:tc>
          <w:tcPr>
            <w:tcW w:w="338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曲靖供电局2021年500kV铜都变等4个站点光缆监测装置加装</w:t>
            </w:r>
          </w:p>
        </w:tc>
        <w:tc>
          <w:tcPr>
            <w:tcW w:w="19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曲靖供电局</w:t>
            </w:r>
          </w:p>
        </w:tc>
        <w:tc>
          <w:tcPr>
            <w:tcW w:w="22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在线监测终端</w:t>
            </w:r>
          </w:p>
        </w:tc>
        <w:tc>
          <w:tcPr>
            <w:tcW w:w="12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06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1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4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38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曲靖供电局2021年500kV铜都变等4个站点光缆监测装置加装</w:t>
            </w:r>
          </w:p>
        </w:tc>
        <w:tc>
          <w:tcPr>
            <w:tcW w:w="19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曲靖供电局</w:t>
            </w:r>
          </w:p>
        </w:tc>
        <w:tc>
          <w:tcPr>
            <w:tcW w:w="22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光缆监测中心站</w:t>
            </w:r>
          </w:p>
        </w:tc>
        <w:tc>
          <w:tcPr>
            <w:tcW w:w="12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06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1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4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38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2021年昭通供电局220kV西衙门变电站光缆融冰在线监测设备加装</w:t>
            </w:r>
          </w:p>
        </w:tc>
        <w:tc>
          <w:tcPr>
            <w:tcW w:w="19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昭通供电局</w:t>
            </w:r>
          </w:p>
        </w:tc>
        <w:tc>
          <w:tcPr>
            <w:tcW w:w="22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在线监测终端</w:t>
            </w:r>
          </w:p>
        </w:tc>
        <w:tc>
          <w:tcPr>
            <w:tcW w:w="120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06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</w:tbl>
    <w:p>
      <w:pPr>
        <w:pStyle w:val="2"/>
      </w:pPr>
    </w:p>
    <w:p>
      <w:pPr>
        <w:adjustRightInd w:val="0"/>
        <w:snapToGrid w:val="0"/>
        <w:spacing w:line="360" w:lineRule="auto"/>
        <w:ind w:firstLine="562" w:firstLineChars="200"/>
        <w:rPr>
          <w:rFonts w:hint="default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标的5报价表：</w:t>
      </w:r>
    </w:p>
    <w:tbl>
      <w:tblPr>
        <w:tblStyle w:val="7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1352"/>
        <w:gridCol w:w="3383"/>
        <w:gridCol w:w="1899"/>
        <w:gridCol w:w="2207"/>
        <w:gridCol w:w="1201"/>
        <w:gridCol w:w="1066"/>
        <w:gridCol w:w="17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标的名称</w:t>
            </w:r>
          </w:p>
        </w:tc>
        <w:tc>
          <w:tcPr>
            <w:tcW w:w="135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标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包</w:t>
            </w:r>
          </w:p>
        </w:tc>
        <w:tc>
          <w:tcPr>
            <w:tcW w:w="33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项目名称</w:t>
            </w:r>
          </w:p>
        </w:tc>
        <w:tc>
          <w:tcPr>
            <w:tcW w:w="189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项目建设单位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货物名称</w:t>
            </w:r>
          </w:p>
        </w:tc>
        <w:tc>
          <w:tcPr>
            <w:tcW w:w="12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数量</w:t>
            </w:r>
          </w:p>
        </w:tc>
        <w:tc>
          <w:tcPr>
            <w:tcW w:w="106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单位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最高限价（万元）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标5：视频会议系统</w:t>
            </w:r>
          </w:p>
        </w:tc>
        <w:tc>
          <w:tcPr>
            <w:tcW w:w="1352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包1：云南电力调度控制中心视频会议辅助设备</w:t>
            </w:r>
          </w:p>
        </w:tc>
        <w:tc>
          <w:tcPr>
            <w:tcW w:w="33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云南电网公司本部视频会议电视墙系统升级改造</w:t>
            </w:r>
          </w:p>
        </w:tc>
        <w:tc>
          <w:tcPr>
            <w:tcW w:w="18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云南电力调度控制中心</w:t>
            </w:r>
          </w:p>
        </w:tc>
        <w:tc>
          <w:tcPr>
            <w:tcW w:w="22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视频会议辅助设备</w:t>
            </w:r>
          </w:p>
        </w:tc>
        <w:tc>
          <w:tcPr>
            <w:tcW w:w="12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06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52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3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云南电网公司本部201视频会议室升级改造</w:t>
            </w:r>
          </w:p>
        </w:tc>
        <w:tc>
          <w:tcPr>
            <w:tcW w:w="18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云南电力调度控制中心</w:t>
            </w:r>
          </w:p>
        </w:tc>
        <w:tc>
          <w:tcPr>
            <w:tcW w:w="22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视频会议辅助设备</w:t>
            </w:r>
          </w:p>
        </w:tc>
        <w:tc>
          <w:tcPr>
            <w:tcW w:w="12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06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52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3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云南电网云电会堂视频会议设备及网络升级改造</w:t>
            </w:r>
          </w:p>
        </w:tc>
        <w:tc>
          <w:tcPr>
            <w:tcW w:w="18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云南电力调度控制中心</w:t>
            </w:r>
          </w:p>
        </w:tc>
        <w:tc>
          <w:tcPr>
            <w:tcW w:w="22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视频会议辅助设备</w:t>
            </w:r>
          </w:p>
        </w:tc>
        <w:tc>
          <w:tcPr>
            <w:tcW w:w="12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06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</w:tbl>
    <w:p/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</w:pPr>
    </w:p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标的6报价表：</w:t>
      </w:r>
    </w:p>
    <w:tbl>
      <w:tblPr>
        <w:tblStyle w:val="7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1352"/>
        <w:gridCol w:w="3383"/>
        <w:gridCol w:w="1899"/>
        <w:gridCol w:w="2207"/>
        <w:gridCol w:w="1201"/>
        <w:gridCol w:w="1066"/>
        <w:gridCol w:w="17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标的名称</w:t>
            </w:r>
          </w:p>
        </w:tc>
        <w:tc>
          <w:tcPr>
            <w:tcW w:w="135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标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包</w:t>
            </w:r>
          </w:p>
        </w:tc>
        <w:tc>
          <w:tcPr>
            <w:tcW w:w="33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项目名称</w:t>
            </w:r>
          </w:p>
        </w:tc>
        <w:tc>
          <w:tcPr>
            <w:tcW w:w="189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项目建设单位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货物名称</w:t>
            </w:r>
          </w:p>
        </w:tc>
        <w:tc>
          <w:tcPr>
            <w:tcW w:w="12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数量</w:t>
            </w:r>
          </w:p>
        </w:tc>
        <w:tc>
          <w:tcPr>
            <w:tcW w:w="106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单位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最高限价（万元）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标6：SPN设备</w:t>
            </w:r>
          </w:p>
        </w:tc>
        <w:tc>
          <w:tcPr>
            <w:tcW w:w="1352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包1：曲靖供电局SPN设备采购</w:t>
            </w:r>
          </w:p>
        </w:tc>
        <w:tc>
          <w:tcPr>
            <w:tcW w:w="3383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曲靖供电局数字电网之通信承载网建设工程</w:t>
            </w:r>
          </w:p>
        </w:tc>
        <w:tc>
          <w:tcPr>
            <w:tcW w:w="1899" w:type="dxa"/>
            <w:vMerge w:val="restar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曲靖供电局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2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SPN网管系统</w:t>
            </w:r>
          </w:p>
        </w:tc>
        <w:tc>
          <w:tcPr>
            <w:tcW w:w="12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0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52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383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9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2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SPN核心落地层光设备</w:t>
            </w:r>
          </w:p>
        </w:tc>
        <w:tc>
          <w:tcPr>
            <w:tcW w:w="12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0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52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383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9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2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SPN核心骨干层设备</w:t>
            </w:r>
          </w:p>
        </w:tc>
        <w:tc>
          <w:tcPr>
            <w:tcW w:w="12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56</w:t>
            </w:r>
          </w:p>
        </w:tc>
        <w:tc>
          <w:tcPr>
            <w:tcW w:w="10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52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383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9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2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SPN网络汇聚层设备</w:t>
            </w:r>
          </w:p>
        </w:tc>
        <w:tc>
          <w:tcPr>
            <w:tcW w:w="12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0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52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383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899" w:type="dxa"/>
            <w:vMerge w:val="continue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2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SPN网络接入层设备</w:t>
            </w:r>
          </w:p>
        </w:tc>
        <w:tc>
          <w:tcPr>
            <w:tcW w:w="12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06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  <w:t>/</w:t>
            </w:r>
          </w:p>
        </w:tc>
      </w:tr>
    </w:tbl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</w:pPr>
    </w:p>
    <w:p>
      <w:pPr>
        <w:adjustRightInd w:val="0"/>
        <w:snapToGrid w:val="0"/>
        <w:spacing w:line="360" w:lineRule="auto"/>
        <w:ind w:firstLine="562" w:firstLineChars="200"/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sz w:val="28"/>
          <w:szCs w:val="28"/>
          <w:highlight w:val="none"/>
          <w:lang w:val="en-US" w:eastAsia="zh-CN"/>
        </w:rPr>
        <w:t>标的7报价表：</w:t>
      </w:r>
    </w:p>
    <w:tbl>
      <w:tblPr>
        <w:tblStyle w:val="7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4"/>
        <w:gridCol w:w="1352"/>
        <w:gridCol w:w="3383"/>
        <w:gridCol w:w="1899"/>
        <w:gridCol w:w="2207"/>
        <w:gridCol w:w="1201"/>
        <w:gridCol w:w="1066"/>
        <w:gridCol w:w="17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标的名称</w:t>
            </w:r>
          </w:p>
        </w:tc>
        <w:tc>
          <w:tcPr>
            <w:tcW w:w="135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标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包</w:t>
            </w:r>
          </w:p>
        </w:tc>
        <w:tc>
          <w:tcPr>
            <w:tcW w:w="3383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项目名称</w:t>
            </w:r>
          </w:p>
        </w:tc>
        <w:tc>
          <w:tcPr>
            <w:tcW w:w="189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项目建设单位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货物名称</w:t>
            </w:r>
          </w:p>
        </w:tc>
        <w:tc>
          <w:tcPr>
            <w:tcW w:w="12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数量</w:t>
            </w:r>
          </w:p>
        </w:tc>
        <w:tc>
          <w:tcPr>
            <w:tcW w:w="106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单位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bCs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/>
                <w:bCs/>
                <w:sz w:val="18"/>
                <w:szCs w:val="18"/>
                <w:highlight w:val="none"/>
                <w:lang w:val="en-US" w:eastAsia="zh-CN"/>
              </w:rPr>
              <w:t>分项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Times New Roman" w:hAnsi="Times New Roman" w:eastAsia="宋体"/>
                <w:b/>
                <w:bCs/>
                <w:sz w:val="18"/>
                <w:szCs w:val="18"/>
                <w:highlight w:val="none"/>
              </w:rPr>
              <w:t>最高限价（万元）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Merge w:val="restart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标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  <w:t>病毒（恶意代码）防护系统</w:t>
            </w:r>
          </w:p>
        </w:tc>
        <w:tc>
          <w:tcPr>
            <w:tcW w:w="1352" w:type="dxa"/>
            <w:vMerge w:val="restart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包1：省调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、玉溪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</w:rPr>
              <w:t>病毒（恶意代码）防护系统</w:t>
            </w:r>
          </w:p>
        </w:tc>
        <w:tc>
          <w:tcPr>
            <w:tcW w:w="33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云南电力调度控制中心一体化防病毒系统建设项目</w:t>
            </w:r>
          </w:p>
        </w:tc>
        <w:tc>
          <w:tcPr>
            <w:tcW w:w="18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云南电力调度控制中心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病毒（恶意代码）防护及预警系统</w:t>
            </w:r>
          </w:p>
        </w:tc>
        <w:tc>
          <w:tcPr>
            <w:tcW w:w="12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06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  <w:jc w:val="center"/>
        </w:trPr>
        <w:tc>
          <w:tcPr>
            <w:tcW w:w="133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52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3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玉溪供电局2021年主站配网自动化系统网络安全设备新增改造项目</w:t>
            </w:r>
          </w:p>
        </w:tc>
        <w:tc>
          <w:tcPr>
            <w:tcW w:w="189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玉溪供电局</w:t>
            </w:r>
          </w:p>
        </w:tc>
        <w:tc>
          <w:tcPr>
            <w:tcW w:w="220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病毒（恶意代码）防护及预警系统</w:t>
            </w:r>
          </w:p>
        </w:tc>
        <w:tc>
          <w:tcPr>
            <w:tcW w:w="1201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 w:eastAsia="宋体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06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套</w:t>
            </w:r>
          </w:p>
        </w:tc>
        <w:tc>
          <w:tcPr>
            <w:tcW w:w="173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18"/>
                <w:szCs w:val="18"/>
                <w:highlight w:val="none"/>
                <w:lang w:val="en-US" w:eastAsia="zh-CN"/>
              </w:rPr>
              <w:t>20</w:t>
            </w:r>
          </w:p>
        </w:tc>
      </w:tr>
    </w:tbl>
    <w:p/>
    <w:p>
      <w:pPr>
        <w:pStyle w:val="2"/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55C6"/>
    <w:rsid w:val="01311A31"/>
    <w:rsid w:val="014F3B27"/>
    <w:rsid w:val="01AD4F5B"/>
    <w:rsid w:val="01C12DC4"/>
    <w:rsid w:val="01C97E7E"/>
    <w:rsid w:val="01FE45B6"/>
    <w:rsid w:val="025D06FC"/>
    <w:rsid w:val="02730EF4"/>
    <w:rsid w:val="02B535D6"/>
    <w:rsid w:val="03002DCC"/>
    <w:rsid w:val="03131DE0"/>
    <w:rsid w:val="03141278"/>
    <w:rsid w:val="037F40B5"/>
    <w:rsid w:val="04292931"/>
    <w:rsid w:val="04A6504D"/>
    <w:rsid w:val="04F775E3"/>
    <w:rsid w:val="05564DB9"/>
    <w:rsid w:val="05D60361"/>
    <w:rsid w:val="065862CF"/>
    <w:rsid w:val="066B5016"/>
    <w:rsid w:val="06BE2EB3"/>
    <w:rsid w:val="07032962"/>
    <w:rsid w:val="074C5916"/>
    <w:rsid w:val="07507CE1"/>
    <w:rsid w:val="076953DE"/>
    <w:rsid w:val="077A4765"/>
    <w:rsid w:val="085D66FB"/>
    <w:rsid w:val="08A67C9B"/>
    <w:rsid w:val="08D274C7"/>
    <w:rsid w:val="090F7A98"/>
    <w:rsid w:val="094C2BA6"/>
    <w:rsid w:val="0A3D4904"/>
    <w:rsid w:val="0A4B330E"/>
    <w:rsid w:val="0A5B45D8"/>
    <w:rsid w:val="0C0F33C9"/>
    <w:rsid w:val="0C4A1153"/>
    <w:rsid w:val="0C5B1CB1"/>
    <w:rsid w:val="0C8B4E29"/>
    <w:rsid w:val="0D1B2AB9"/>
    <w:rsid w:val="0D1D0A53"/>
    <w:rsid w:val="0D2B0A69"/>
    <w:rsid w:val="0D616580"/>
    <w:rsid w:val="0D870FC3"/>
    <w:rsid w:val="0DB86F9D"/>
    <w:rsid w:val="0DD3710B"/>
    <w:rsid w:val="0E7C6CD7"/>
    <w:rsid w:val="0E991824"/>
    <w:rsid w:val="0EB16932"/>
    <w:rsid w:val="0F194EA2"/>
    <w:rsid w:val="0F5E08E8"/>
    <w:rsid w:val="0FF13A13"/>
    <w:rsid w:val="10044CDB"/>
    <w:rsid w:val="105A14FD"/>
    <w:rsid w:val="105C7E75"/>
    <w:rsid w:val="106C6715"/>
    <w:rsid w:val="10982A00"/>
    <w:rsid w:val="10AA00FA"/>
    <w:rsid w:val="10AB66E2"/>
    <w:rsid w:val="113B7E1B"/>
    <w:rsid w:val="117808D5"/>
    <w:rsid w:val="11CF7AFA"/>
    <w:rsid w:val="12485D61"/>
    <w:rsid w:val="127F6AD4"/>
    <w:rsid w:val="128D6D88"/>
    <w:rsid w:val="12BA53BA"/>
    <w:rsid w:val="12FB1602"/>
    <w:rsid w:val="13105B62"/>
    <w:rsid w:val="1330738E"/>
    <w:rsid w:val="13936408"/>
    <w:rsid w:val="13A30B84"/>
    <w:rsid w:val="13B970D2"/>
    <w:rsid w:val="14A422EF"/>
    <w:rsid w:val="14A53FFB"/>
    <w:rsid w:val="14D7546B"/>
    <w:rsid w:val="14FF2A3F"/>
    <w:rsid w:val="151270F4"/>
    <w:rsid w:val="15433A9C"/>
    <w:rsid w:val="16C21036"/>
    <w:rsid w:val="17C20315"/>
    <w:rsid w:val="183A4B5D"/>
    <w:rsid w:val="18DB4CFD"/>
    <w:rsid w:val="190A5B04"/>
    <w:rsid w:val="194933A3"/>
    <w:rsid w:val="19A82C5B"/>
    <w:rsid w:val="1AEA57B7"/>
    <w:rsid w:val="1AEA6C95"/>
    <w:rsid w:val="1AFE0A95"/>
    <w:rsid w:val="1B3779D6"/>
    <w:rsid w:val="1C251790"/>
    <w:rsid w:val="1C3738D0"/>
    <w:rsid w:val="1C7E64EC"/>
    <w:rsid w:val="1CB478C5"/>
    <w:rsid w:val="1CBA63E5"/>
    <w:rsid w:val="1D06638D"/>
    <w:rsid w:val="1D0C168F"/>
    <w:rsid w:val="1D3E4B23"/>
    <w:rsid w:val="1D957C73"/>
    <w:rsid w:val="1DE71DAF"/>
    <w:rsid w:val="1E1D1616"/>
    <w:rsid w:val="1E493F01"/>
    <w:rsid w:val="1E4F0D88"/>
    <w:rsid w:val="1F6F3170"/>
    <w:rsid w:val="1F8406A3"/>
    <w:rsid w:val="2010647F"/>
    <w:rsid w:val="2018204C"/>
    <w:rsid w:val="203E405A"/>
    <w:rsid w:val="20704C10"/>
    <w:rsid w:val="20776332"/>
    <w:rsid w:val="214E70F0"/>
    <w:rsid w:val="21B05DC4"/>
    <w:rsid w:val="22263CBB"/>
    <w:rsid w:val="230C611A"/>
    <w:rsid w:val="23BE726A"/>
    <w:rsid w:val="23D41D7A"/>
    <w:rsid w:val="2455200F"/>
    <w:rsid w:val="24A6576D"/>
    <w:rsid w:val="24C02231"/>
    <w:rsid w:val="24F669A3"/>
    <w:rsid w:val="253719CD"/>
    <w:rsid w:val="25394720"/>
    <w:rsid w:val="254357BA"/>
    <w:rsid w:val="257B5E7D"/>
    <w:rsid w:val="26F01AB4"/>
    <w:rsid w:val="2742392A"/>
    <w:rsid w:val="278F4AA6"/>
    <w:rsid w:val="286C60B4"/>
    <w:rsid w:val="29431886"/>
    <w:rsid w:val="298E395C"/>
    <w:rsid w:val="29C948BE"/>
    <w:rsid w:val="2A361990"/>
    <w:rsid w:val="2A835BB0"/>
    <w:rsid w:val="2A982DE8"/>
    <w:rsid w:val="2B5B2B3E"/>
    <w:rsid w:val="2BBD778A"/>
    <w:rsid w:val="2C4059C5"/>
    <w:rsid w:val="2CDE23A4"/>
    <w:rsid w:val="2D0A0691"/>
    <w:rsid w:val="2D6E7A4E"/>
    <w:rsid w:val="2DEF7B77"/>
    <w:rsid w:val="2DFB3718"/>
    <w:rsid w:val="2ED53E09"/>
    <w:rsid w:val="2F611F51"/>
    <w:rsid w:val="2FB144A0"/>
    <w:rsid w:val="3012437B"/>
    <w:rsid w:val="30825388"/>
    <w:rsid w:val="3130745B"/>
    <w:rsid w:val="31315588"/>
    <w:rsid w:val="3380491B"/>
    <w:rsid w:val="33894D5B"/>
    <w:rsid w:val="33CA1B4C"/>
    <w:rsid w:val="33CF5BA8"/>
    <w:rsid w:val="33E45F6B"/>
    <w:rsid w:val="34726D72"/>
    <w:rsid w:val="3474163D"/>
    <w:rsid w:val="347D4C1B"/>
    <w:rsid w:val="34DA0AA3"/>
    <w:rsid w:val="34ED7CB1"/>
    <w:rsid w:val="356B5EE6"/>
    <w:rsid w:val="35B35856"/>
    <w:rsid w:val="36251D17"/>
    <w:rsid w:val="367C2953"/>
    <w:rsid w:val="36B925EE"/>
    <w:rsid w:val="371F7206"/>
    <w:rsid w:val="382E7373"/>
    <w:rsid w:val="384C250C"/>
    <w:rsid w:val="38734DE4"/>
    <w:rsid w:val="388778BE"/>
    <w:rsid w:val="38AF2D64"/>
    <w:rsid w:val="3950539A"/>
    <w:rsid w:val="39601248"/>
    <w:rsid w:val="3A2F353B"/>
    <w:rsid w:val="3ABA6507"/>
    <w:rsid w:val="3B325B85"/>
    <w:rsid w:val="3B3523D8"/>
    <w:rsid w:val="3BF43836"/>
    <w:rsid w:val="3BF67AAE"/>
    <w:rsid w:val="3C0126B5"/>
    <w:rsid w:val="3CF9743C"/>
    <w:rsid w:val="3D703D3B"/>
    <w:rsid w:val="3DF1030C"/>
    <w:rsid w:val="3ECB43AA"/>
    <w:rsid w:val="3F65455E"/>
    <w:rsid w:val="3FF47E28"/>
    <w:rsid w:val="3FFB1587"/>
    <w:rsid w:val="40085343"/>
    <w:rsid w:val="40A33ED5"/>
    <w:rsid w:val="410A0C8A"/>
    <w:rsid w:val="41F511AE"/>
    <w:rsid w:val="422F4B1F"/>
    <w:rsid w:val="425865D2"/>
    <w:rsid w:val="42840357"/>
    <w:rsid w:val="42B90EC5"/>
    <w:rsid w:val="42C456A5"/>
    <w:rsid w:val="4345163F"/>
    <w:rsid w:val="43D7642F"/>
    <w:rsid w:val="44B01F43"/>
    <w:rsid w:val="44FE0A8E"/>
    <w:rsid w:val="453225DB"/>
    <w:rsid w:val="45D669F1"/>
    <w:rsid w:val="46897E02"/>
    <w:rsid w:val="470269BA"/>
    <w:rsid w:val="4858592E"/>
    <w:rsid w:val="48754A69"/>
    <w:rsid w:val="489819E8"/>
    <w:rsid w:val="498F1D51"/>
    <w:rsid w:val="4B1769C6"/>
    <w:rsid w:val="4B3642EA"/>
    <w:rsid w:val="4B9A47E8"/>
    <w:rsid w:val="4C0A02E7"/>
    <w:rsid w:val="4C1F586E"/>
    <w:rsid w:val="4C255AE8"/>
    <w:rsid w:val="4C9E5B2D"/>
    <w:rsid w:val="4CB5182B"/>
    <w:rsid w:val="4D4F5B70"/>
    <w:rsid w:val="4DAC35B6"/>
    <w:rsid w:val="4DDB7635"/>
    <w:rsid w:val="4DE52A07"/>
    <w:rsid w:val="4E4F2BE3"/>
    <w:rsid w:val="4E7C7AC2"/>
    <w:rsid w:val="4EFD3348"/>
    <w:rsid w:val="4F146462"/>
    <w:rsid w:val="4F185493"/>
    <w:rsid w:val="4F3D0C7E"/>
    <w:rsid w:val="4FFC267E"/>
    <w:rsid w:val="5096565D"/>
    <w:rsid w:val="50EB3B04"/>
    <w:rsid w:val="51041EEA"/>
    <w:rsid w:val="510523C1"/>
    <w:rsid w:val="51B53BF6"/>
    <w:rsid w:val="51C570F4"/>
    <w:rsid w:val="523B379D"/>
    <w:rsid w:val="533826D1"/>
    <w:rsid w:val="53876DE9"/>
    <w:rsid w:val="53E42667"/>
    <w:rsid w:val="53E82CF0"/>
    <w:rsid w:val="545C590B"/>
    <w:rsid w:val="548749DA"/>
    <w:rsid w:val="54B7627B"/>
    <w:rsid w:val="54E84FC4"/>
    <w:rsid w:val="54F207F1"/>
    <w:rsid w:val="55516DDD"/>
    <w:rsid w:val="568B61C1"/>
    <w:rsid w:val="58182E14"/>
    <w:rsid w:val="58534955"/>
    <w:rsid w:val="5896603E"/>
    <w:rsid w:val="58B520ED"/>
    <w:rsid w:val="594825A2"/>
    <w:rsid w:val="596E1E59"/>
    <w:rsid w:val="5A004520"/>
    <w:rsid w:val="5A5F07D5"/>
    <w:rsid w:val="5ADD51A7"/>
    <w:rsid w:val="5B1B5321"/>
    <w:rsid w:val="5B1F2897"/>
    <w:rsid w:val="5B6F5B0C"/>
    <w:rsid w:val="5B843B32"/>
    <w:rsid w:val="5BB50F00"/>
    <w:rsid w:val="5C032DD7"/>
    <w:rsid w:val="5C970CA2"/>
    <w:rsid w:val="5D016B07"/>
    <w:rsid w:val="5D671F5F"/>
    <w:rsid w:val="5DCB2EDF"/>
    <w:rsid w:val="5DF4064A"/>
    <w:rsid w:val="5E1F07AD"/>
    <w:rsid w:val="5E2D45F2"/>
    <w:rsid w:val="5EC4317B"/>
    <w:rsid w:val="5ED56E85"/>
    <w:rsid w:val="5EFA759B"/>
    <w:rsid w:val="5F0E3007"/>
    <w:rsid w:val="5F2B3F5D"/>
    <w:rsid w:val="5F7D2D8E"/>
    <w:rsid w:val="60074D7C"/>
    <w:rsid w:val="600C7588"/>
    <w:rsid w:val="607251F2"/>
    <w:rsid w:val="60A675E6"/>
    <w:rsid w:val="60FA26CB"/>
    <w:rsid w:val="6140379C"/>
    <w:rsid w:val="616E50C2"/>
    <w:rsid w:val="618E2C73"/>
    <w:rsid w:val="61B9610F"/>
    <w:rsid w:val="62367F1E"/>
    <w:rsid w:val="626664AE"/>
    <w:rsid w:val="62BC4A92"/>
    <w:rsid w:val="62E366B1"/>
    <w:rsid w:val="632866EC"/>
    <w:rsid w:val="63AA7089"/>
    <w:rsid w:val="641C7214"/>
    <w:rsid w:val="6431181F"/>
    <w:rsid w:val="6464050B"/>
    <w:rsid w:val="64982779"/>
    <w:rsid w:val="652A1B92"/>
    <w:rsid w:val="658E31E2"/>
    <w:rsid w:val="65DB171A"/>
    <w:rsid w:val="6643470B"/>
    <w:rsid w:val="66531B2C"/>
    <w:rsid w:val="66B822C3"/>
    <w:rsid w:val="66D9148D"/>
    <w:rsid w:val="671C764A"/>
    <w:rsid w:val="67771A17"/>
    <w:rsid w:val="678056BF"/>
    <w:rsid w:val="68295737"/>
    <w:rsid w:val="687D3854"/>
    <w:rsid w:val="68EE7E52"/>
    <w:rsid w:val="691D08B3"/>
    <w:rsid w:val="692B35B0"/>
    <w:rsid w:val="69491907"/>
    <w:rsid w:val="698962B3"/>
    <w:rsid w:val="699E0F30"/>
    <w:rsid w:val="6A003D89"/>
    <w:rsid w:val="6A251BFE"/>
    <w:rsid w:val="6A5965B7"/>
    <w:rsid w:val="6A6C5184"/>
    <w:rsid w:val="6A74324A"/>
    <w:rsid w:val="6AC84124"/>
    <w:rsid w:val="6AC8623E"/>
    <w:rsid w:val="6BC74E2C"/>
    <w:rsid w:val="6BF62C43"/>
    <w:rsid w:val="6D301C2A"/>
    <w:rsid w:val="6D3518F6"/>
    <w:rsid w:val="6D6736A0"/>
    <w:rsid w:val="6DB25D1B"/>
    <w:rsid w:val="6DF63F8B"/>
    <w:rsid w:val="6E41249D"/>
    <w:rsid w:val="6E5D1A23"/>
    <w:rsid w:val="6E765FB3"/>
    <w:rsid w:val="6E922973"/>
    <w:rsid w:val="6EAA7077"/>
    <w:rsid w:val="6EC00859"/>
    <w:rsid w:val="6F873185"/>
    <w:rsid w:val="701F7775"/>
    <w:rsid w:val="703756F1"/>
    <w:rsid w:val="706C3DB2"/>
    <w:rsid w:val="71B111C6"/>
    <w:rsid w:val="71C861DA"/>
    <w:rsid w:val="71E46EC2"/>
    <w:rsid w:val="72070433"/>
    <w:rsid w:val="724528D3"/>
    <w:rsid w:val="72562976"/>
    <w:rsid w:val="728D618F"/>
    <w:rsid w:val="72EB1327"/>
    <w:rsid w:val="73040B94"/>
    <w:rsid w:val="73621CF9"/>
    <w:rsid w:val="73887D10"/>
    <w:rsid w:val="73AB7977"/>
    <w:rsid w:val="73C46772"/>
    <w:rsid w:val="7445277D"/>
    <w:rsid w:val="74501C2F"/>
    <w:rsid w:val="748C580F"/>
    <w:rsid w:val="74932DF4"/>
    <w:rsid w:val="74CA2A04"/>
    <w:rsid w:val="74CC7B9F"/>
    <w:rsid w:val="74E47841"/>
    <w:rsid w:val="753D1DDD"/>
    <w:rsid w:val="754819A8"/>
    <w:rsid w:val="76301D6F"/>
    <w:rsid w:val="764C5C1C"/>
    <w:rsid w:val="76A60207"/>
    <w:rsid w:val="773E3048"/>
    <w:rsid w:val="775901F7"/>
    <w:rsid w:val="784A7135"/>
    <w:rsid w:val="78C868A8"/>
    <w:rsid w:val="79AC5882"/>
    <w:rsid w:val="79BD60EF"/>
    <w:rsid w:val="7A195FBF"/>
    <w:rsid w:val="7ABA303A"/>
    <w:rsid w:val="7B266834"/>
    <w:rsid w:val="7BC4633C"/>
    <w:rsid w:val="7BF21FB1"/>
    <w:rsid w:val="7C727454"/>
    <w:rsid w:val="7C7947CF"/>
    <w:rsid w:val="7C840C52"/>
    <w:rsid w:val="7CAF4109"/>
    <w:rsid w:val="7CFD1DD5"/>
    <w:rsid w:val="7D897F8A"/>
    <w:rsid w:val="7DFE28EF"/>
    <w:rsid w:val="7E1D2059"/>
    <w:rsid w:val="7EEB1941"/>
    <w:rsid w:val="7FD2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"/>
    <w:lsdException w:unhideWhenUsed="0" w:uiPriority="0" w:semiHidden="0" w:name="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正文缩进2字符"/>
    <w:basedOn w:val="1"/>
    <w:qFormat/>
    <w:uiPriority w:val="0"/>
    <w:pPr>
      <w:widowControl/>
      <w:spacing w:before="100" w:beforeAutospacing="1" w:after="100" w:afterAutospacing="1" w:line="300" w:lineRule="auto"/>
      <w:ind w:left="357" w:firstLine="420" w:firstLineChars="200"/>
      <w:jc w:val="left"/>
    </w:pPr>
    <w:rPr>
      <w:rFonts w:ascii="ˎ̥" w:hAnsi="ˎ̥"/>
      <w:color w:val="51585D"/>
      <w:kern w:val="0"/>
      <w:sz w:val="20"/>
      <w:szCs w:val="20"/>
    </w:rPr>
  </w:style>
  <w:style w:type="paragraph" w:styleId="6">
    <w:name w:val="Body Text"/>
    <w:basedOn w:val="1"/>
    <w:qFormat/>
    <w:uiPriority w:val="99"/>
    <w:pPr>
      <w:spacing w:after="120"/>
    </w:pPr>
  </w:style>
  <w:style w:type="table" w:styleId="8">
    <w:name w:val="Table Grid"/>
    <w:basedOn w:val="7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FollowedHyperlink"/>
    <w:basedOn w:val="9"/>
    <w:uiPriority w:val="0"/>
    <w:rPr>
      <w:color w:val="000000"/>
      <w:u w:val="none"/>
    </w:rPr>
  </w:style>
  <w:style w:type="character" w:styleId="11">
    <w:name w:val="Emphasis"/>
    <w:basedOn w:val="9"/>
    <w:qFormat/>
    <w:uiPriority w:val="0"/>
    <w:rPr>
      <w:rFonts w:ascii="微软雅黑" w:hAnsi="微软雅黑" w:eastAsia="微软雅黑" w:cs="微软雅黑"/>
      <w:bdr w:val="none" w:color="auto" w:sz="0" w:space="0"/>
    </w:rPr>
  </w:style>
  <w:style w:type="character" w:styleId="12">
    <w:name w:val="Hyperlink"/>
    <w:basedOn w:val="9"/>
    <w:uiPriority w:val="0"/>
    <w:rPr>
      <w:color w:val="000000"/>
      <w:u w:val="none"/>
    </w:rPr>
  </w:style>
  <w:style w:type="paragraph" w:customStyle="1" w:styleId="13">
    <w:name w:val="样式 正文首行缩进 + 段前: 0.5 行 段后: 0.5 行"/>
    <w:qFormat/>
    <w:uiPriority w:val="0"/>
    <w:pPr>
      <w:widowControl w:val="0"/>
      <w:adjustRightInd w:val="0"/>
      <w:spacing w:beforeLines="50" w:afterLines="50" w:line="480" w:lineRule="exact"/>
      <w:jc w:val="both"/>
    </w:pPr>
    <w:rPr>
      <w:rFonts w:ascii="Calibri" w:hAnsi="Calibri" w:eastAsia="宋体" w:cs="宋体"/>
      <w:kern w:val="2"/>
      <w:sz w:val="24"/>
      <w:szCs w:val="20"/>
      <w:lang w:val="en-US" w:eastAsia="zh-CN" w:bidi="ar-SA"/>
    </w:rPr>
  </w:style>
  <w:style w:type="character" w:customStyle="1" w:styleId="14">
    <w:name w:val="icon_db_ht"/>
    <w:basedOn w:val="9"/>
    <w:uiPriority w:val="0"/>
  </w:style>
  <w:style w:type="character" w:customStyle="1" w:styleId="15">
    <w:name w:val="work_zt_riskwarningnormal"/>
    <w:basedOn w:val="9"/>
    <w:uiPriority w:val="0"/>
  </w:style>
  <w:style w:type="character" w:customStyle="1" w:styleId="16">
    <w:name w:val="zt_th"/>
    <w:basedOn w:val="9"/>
    <w:uiPriority w:val="0"/>
    <w:rPr>
      <w:color w:val="FFFFFF"/>
      <w:sz w:val="18"/>
      <w:szCs w:val="18"/>
      <w:bdr w:val="none" w:color="auto" w:sz="0" w:space="0"/>
      <w:shd w:val="clear" w:fill="FF0000"/>
    </w:rPr>
  </w:style>
  <w:style w:type="character" w:customStyle="1" w:styleId="17">
    <w:name w:val="work_zt_cg"/>
    <w:basedOn w:val="9"/>
    <w:uiPriority w:val="0"/>
  </w:style>
  <w:style w:type="character" w:customStyle="1" w:styleId="18">
    <w:name w:val="editinfortdbg"/>
    <w:basedOn w:val="9"/>
    <w:uiPriority w:val="0"/>
  </w:style>
  <w:style w:type="character" w:customStyle="1" w:styleId="19">
    <w:name w:val="fx-yu"/>
    <w:basedOn w:val="9"/>
    <w:uiPriority w:val="0"/>
  </w:style>
  <w:style w:type="character" w:customStyle="1" w:styleId="20">
    <w:name w:val="work_zt_cgls"/>
    <w:basedOn w:val="9"/>
    <w:uiPriority w:val="0"/>
  </w:style>
  <w:style w:type="character" w:customStyle="1" w:styleId="21">
    <w:name w:val="zt_tj"/>
    <w:basedOn w:val="9"/>
    <w:uiPriority w:val="0"/>
    <w:rPr>
      <w:color w:val="FFFFFF"/>
      <w:sz w:val="18"/>
      <w:szCs w:val="18"/>
      <w:bdr w:val="none" w:color="auto" w:sz="0" w:space="0"/>
      <w:shd w:val="clear" w:fill="37B335"/>
    </w:rPr>
  </w:style>
  <w:style w:type="character" w:customStyle="1" w:styleId="22">
    <w:name w:val="work_dcrw"/>
    <w:basedOn w:val="9"/>
    <w:uiPriority w:val="0"/>
    <w:rPr>
      <w:bdr w:val="single" w:color="DBDBBD" w:sz="6" w:space="0"/>
    </w:rPr>
  </w:style>
  <w:style w:type="character" w:customStyle="1" w:styleId="23">
    <w:name w:val="work_zt_xm"/>
    <w:basedOn w:val="9"/>
    <w:uiPriority w:val="0"/>
  </w:style>
  <w:style w:type="character" w:customStyle="1" w:styleId="24">
    <w:name w:val="work_zt_hsjg"/>
    <w:basedOn w:val="9"/>
    <w:uiPriority w:val="0"/>
  </w:style>
  <w:style w:type="character" w:customStyle="1" w:styleId="25">
    <w:name w:val="zt_cs"/>
    <w:basedOn w:val="9"/>
    <w:uiPriority w:val="0"/>
    <w:rPr>
      <w:color w:val="FFFFFF"/>
      <w:bdr w:val="none" w:color="auto" w:sz="0" w:space="0"/>
      <w:shd w:val="clear" w:fill="FF9933"/>
    </w:rPr>
  </w:style>
  <w:style w:type="character" w:customStyle="1" w:styleId="26">
    <w:name w:val="h-operating"/>
    <w:basedOn w:val="9"/>
    <w:uiPriority w:val="0"/>
  </w:style>
  <w:style w:type="character" w:customStyle="1" w:styleId="27">
    <w:name w:val="h-operating1"/>
    <w:basedOn w:val="9"/>
    <w:uiPriority w:val="0"/>
  </w:style>
  <w:style w:type="character" w:customStyle="1" w:styleId="28">
    <w:name w:val="zt_zc"/>
    <w:basedOn w:val="9"/>
    <w:uiPriority w:val="0"/>
    <w:rPr>
      <w:color w:val="FFFFFF"/>
      <w:bdr w:val="none" w:color="auto" w:sz="0" w:space="0"/>
      <w:shd w:val="clear" w:fill="4CBF4A"/>
    </w:rPr>
  </w:style>
  <w:style w:type="character" w:customStyle="1" w:styleId="29">
    <w:name w:val="icon_db_gys"/>
    <w:basedOn w:val="9"/>
    <w:uiPriority w:val="0"/>
  </w:style>
  <w:style w:type="character" w:customStyle="1" w:styleId="30">
    <w:name w:val="icon_db_cg"/>
    <w:basedOn w:val="9"/>
    <w:uiPriority w:val="0"/>
  </w:style>
  <w:style w:type="character" w:customStyle="1" w:styleId="31">
    <w:name w:val="icon_db_cgls"/>
    <w:basedOn w:val="9"/>
    <w:uiPriority w:val="0"/>
  </w:style>
  <w:style w:type="character" w:customStyle="1" w:styleId="32">
    <w:name w:val="icon_db_zj"/>
    <w:basedOn w:val="9"/>
    <w:uiPriority w:val="0"/>
  </w:style>
  <w:style w:type="character" w:customStyle="1" w:styleId="33">
    <w:name w:val="icon_db_splc"/>
    <w:basedOn w:val="9"/>
    <w:uiPriority w:val="0"/>
  </w:style>
  <w:style w:type="character" w:customStyle="1" w:styleId="34">
    <w:name w:val="work_zt_zgys"/>
    <w:basedOn w:val="9"/>
    <w:uiPriority w:val="0"/>
  </w:style>
  <w:style w:type="character" w:customStyle="1" w:styleId="35">
    <w:name w:val="work_zt_gys"/>
    <w:basedOn w:val="9"/>
    <w:uiPriority w:val="0"/>
  </w:style>
  <w:style w:type="character" w:customStyle="1" w:styleId="36">
    <w:name w:val="work_zt_ht"/>
    <w:basedOn w:val="9"/>
    <w:uiPriority w:val="0"/>
  </w:style>
  <w:style w:type="character" w:customStyle="1" w:styleId="37">
    <w:name w:val="work_zt_zj"/>
    <w:basedOn w:val="9"/>
    <w:uiPriority w:val="0"/>
  </w:style>
  <w:style w:type="character" w:customStyle="1" w:styleId="38">
    <w:name w:val="work_zt_splc"/>
    <w:basedOn w:val="9"/>
    <w:uiPriority w:val="0"/>
  </w:style>
  <w:style w:type="character" w:customStyle="1" w:styleId="39">
    <w:name w:val="work_zt_sp"/>
    <w:basedOn w:val="9"/>
    <w:uiPriority w:val="0"/>
  </w:style>
  <w:style w:type="character" w:customStyle="1" w:styleId="40">
    <w:name w:val="work_zt_riskwarningrelieve"/>
    <w:basedOn w:val="9"/>
    <w:uiPriority w:val="0"/>
  </w:style>
  <w:style w:type="character" w:customStyle="1" w:styleId="41">
    <w:name w:val="t_rw"/>
    <w:basedOn w:val="9"/>
    <w:uiPriority w:val="0"/>
    <w:rPr>
      <w:b/>
      <w:sz w:val="25"/>
      <w:szCs w:val="25"/>
      <w:bdr w:val="none" w:color="auto" w:sz="0" w:space="0"/>
    </w:rPr>
  </w:style>
  <w:style w:type="character" w:customStyle="1" w:styleId="42">
    <w:name w:val="kb_bmc"/>
    <w:basedOn w:val="9"/>
    <w:uiPriority w:val="0"/>
  </w:style>
  <w:style w:type="character" w:customStyle="1" w:styleId="43">
    <w:name w:val="kb_bmc1"/>
    <w:basedOn w:val="9"/>
    <w:uiPriority w:val="0"/>
    <w:rPr>
      <w:color w:val="666666"/>
      <w:sz w:val="19"/>
      <w:szCs w:val="19"/>
    </w:rPr>
  </w:style>
  <w:style w:type="character" w:customStyle="1" w:styleId="44">
    <w:name w:val="kb_bzt"/>
    <w:basedOn w:val="9"/>
    <w:uiPriority w:val="0"/>
    <w:rPr>
      <w:color w:val="666666"/>
      <w:sz w:val="18"/>
      <w:szCs w:val="18"/>
    </w:rPr>
  </w:style>
  <w:style w:type="character" w:customStyle="1" w:styleId="45">
    <w:name w:val="kb_bzt1"/>
    <w:basedOn w:val="9"/>
    <w:uiPriority w:val="0"/>
    <w:rPr>
      <w:sz w:val="19"/>
      <w:szCs w:val="19"/>
    </w:rPr>
  </w:style>
  <w:style w:type="character" w:customStyle="1" w:styleId="46">
    <w:name w:val="icon_pbywc"/>
    <w:basedOn w:val="9"/>
    <w:uiPriority w:val="0"/>
    <w:rPr>
      <w:bdr w:val="none" w:color="auto" w:sz="0" w:space="0"/>
    </w:rPr>
  </w:style>
  <w:style w:type="paragraph" w:styleId="47">
    <w:name w:val="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styleId="48">
    <w:name w:val="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49">
    <w:name w:val="menutitle13"/>
    <w:basedOn w:val="9"/>
    <w:uiPriority w:val="0"/>
    <w:rPr>
      <w:b/>
      <w:color w:val="333333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yndw</dc:creator>
  <cp:lastModifiedBy>YH</cp:lastModifiedBy>
  <dcterms:modified xsi:type="dcterms:W3CDTF">2021-06-24T01:58:11Z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91E5E3B22CC14316AE17C0B9C12E7BC4</vt:lpwstr>
  </property>
</Properties>
</file>