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20" w:line="360" w:lineRule="auto"/>
        <w:jc w:val="both"/>
        <w:rPr>
          <w:b/>
          <w:i/>
          <w:color w:val="000000"/>
          <w:kern w:val="0"/>
          <w:sz w:val="24"/>
          <w:szCs w:val="24"/>
          <w:lang w:val="en-US" w:eastAsia="zh-CN"/>
        </w:rPr>
      </w:pPr>
      <w:r>
        <w:rPr>
          <w:rFonts w:hint="eastAsia"/>
          <w:b/>
          <w:color w:val="000000"/>
          <w:kern w:val="0"/>
          <w:sz w:val="24"/>
          <w:szCs w:val="24"/>
          <w:lang w:val="en-US" w:eastAsia="zh-CN"/>
        </w:rPr>
        <w:t>评审办法</w:t>
      </w:r>
    </w:p>
    <w:p>
      <w:pPr>
        <w:numPr>
          <w:ilvl w:val="0"/>
          <w:numId w:val="1"/>
        </w:numPr>
        <w:tabs>
          <w:tab w:val="left" w:pos="567"/>
        </w:tabs>
        <w:adjustRightInd w:val="0"/>
        <w:snapToGrid w:val="0"/>
        <w:spacing w:before="120" w:line="360" w:lineRule="auto"/>
        <w:jc w:val="both"/>
        <w:rPr>
          <w:color w:val="000000"/>
          <w:kern w:val="0"/>
          <w:sz w:val="24"/>
          <w:szCs w:val="24"/>
          <w:lang w:val="en-US" w:eastAsia="zh-CN"/>
        </w:rPr>
      </w:pPr>
      <w:r>
        <w:rPr>
          <w:rFonts w:hint="eastAsia"/>
          <w:color w:val="000000"/>
          <w:kern w:val="0"/>
          <w:sz w:val="24"/>
          <w:szCs w:val="24"/>
          <w:lang w:val="en-US" w:eastAsia="zh-CN"/>
        </w:rPr>
        <w:t>综合评估法</w:t>
      </w:r>
    </w:p>
    <w:p>
      <w:pPr>
        <w:pStyle w:val="3"/>
        <w:adjustRightInd w:val="0"/>
        <w:snapToGrid w:val="0"/>
        <w:spacing w:before="156"/>
        <w:ind w:firstLine="480"/>
        <w:jc w:val="both"/>
        <w:rPr>
          <w:color w:val="000000"/>
          <w:lang w:val="en-US" w:eastAsia="zh-CN"/>
        </w:rPr>
      </w:pPr>
      <w:r>
        <w:rPr>
          <w:rFonts w:hint="eastAsia"/>
          <w:color w:val="000000"/>
          <w:lang w:val="en-US" w:eastAsia="zh-CN"/>
        </w:rPr>
        <w:t>采购工作组按照以下“评审办法”规定的方法、评审因素、标准和程序对响应文件进行初步评审和详细评审，只对通过初评的单位进行详评，详评时先评技术和商务分，再评价格分。“评审办法”没有规定的方法、评审因素和标准，不作为评价依据。</w:t>
      </w:r>
    </w:p>
    <w:p>
      <w:pPr>
        <w:pStyle w:val="3"/>
        <w:adjustRightInd w:val="0"/>
        <w:snapToGrid w:val="0"/>
        <w:spacing w:before="156"/>
        <w:ind w:firstLine="480"/>
        <w:jc w:val="both"/>
        <w:rPr>
          <w:color w:val="000000"/>
          <w:lang w:val="en-US" w:eastAsia="zh-CN"/>
        </w:rPr>
      </w:pPr>
      <w:r>
        <w:rPr>
          <w:rFonts w:hint="eastAsia"/>
          <w:color w:val="000000"/>
          <w:lang w:val="en-US" w:eastAsia="zh-CN"/>
        </w:rPr>
        <w:t>本项目采用</w:t>
      </w:r>
      <w:bookmarkStart w:id="0" w:name="XmInfoEntity_PBBF_0_2"/>
      <w:r>
        <w:rPr>
          <w:rFonts w:hint="eastAsia" w:ascii="Calibri" w:hAnsi="Calibri"/>
          <w:color w:val="000000"/>
          <w:u w:val="single"/>
          <w:lang w:val="en-US" w:eastAsia="zh-CN"/>
        </w:rPr>
        <w:t>综合评估法</w:t>
      </w:r>
      <w:bookmarkEnd w:id="0"/>
      <w:r>
        <w:rPr>
          <w:rFonts w:hint="eastAsia"/>
          <w:color w:val="000000"/>
          <w:lang w:val="en-US" w:eastAsia="zh-CN"/>
        </w:rPr>
        <w:t>。分为初评和详评两个阶段。</w:t>
      </w:r>
    </w:p>
    <w:p>
      <w:pPr>
        <w:spacing w:beforeLines="0" w:afterLines="0"/>
        <w:rPr>
          <w:rFonts w:hint="default"/>
          <w:sz w:val="24"/>
        </w:rPr>
      </w:pPr>
      <w:bookmarkStart w:id="1" w:name="XmInfoEntity_pfbfjjsqzTable_1_1"/>
    </w:p>
    <w:tbl>
      <w:tblPr>
        <w:tblStyle w:val="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33"/>
        <w:gridCol w:w="1713"/>
        <w:gridCol w:w="571"/>
        <w:gridCol w:w="571"/>
        <w:gridCol w:w="571"/>
        <w:gridCol w:w="571"/>
        <w:gridCol w:w="571"/>
        <w:gridCol w:w="571"/>
        <w:gridCol w:w="1378"/>
        <w:gridCol w:w="1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433"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2"/>
              </w:rPr>
            </w:pPr>
            <w:r>
              <w:rPr>
                <w:rFonts w:hint="eastAsia" w:ascii="宋体" w:hAnsi="宋体" w:eastAsia="宋体"/>
                <w:sz w:val="22"/>
              </w:rPr>
              <w:t>序号</w:t>
            </w:r>
          </w:p>
        </w:tc>
        <w:tc>
          <w:tcPr>
            <w:tcW w:w="1713"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2"/>
              </w:rPr>
            </w:pPr>
            <w:r>
              <w:rPr>
                <w:rFonts w:hint="eastAsia" w:ascii="宋体" w:hAnsi="宋体" w:eastAsia="宋体"/>
                <w:sz w:val="22"/>
              </w:rPr>
              <w:t>标的</w:t>
            </w:r>
          </w:p>
        </w:tc>
        <w:tc>
          <w:tcPr>
            <w:tcW w:w="3426" w:type="dxa"/>
            <w:gridSpan w:val="6"/>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2"/>
              </w:rPr>
            </w:pPr>
            <w:r>
              <w:rPr>
                <w:rFonts w:hint="eastAsia" w:ascii="宋体" w:hAnsi="宋体" w:eastAsia="宋体"/>
                <w:sz w:val="22"/>
              </w:rPr>
              <w:t>分值权重</w:t>
            </w:r>
          </w:p>
        </w:tc>
        <w:tc>
          <w:tcPr>
            <w:tcW w:w="1378"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2"/>
              </w:rPr>
            </w:pPr>
            <w:r>
              <w:rPr>
                <w:rFonts w:hint="eastAsia" w:ascii="宋体" w:hAnsi="宋体" w:eastAsia="宋体"/>
                <w:sz w:val="22"/>
              </w:rPr>
              <w:t>价格分计算方法</w:t>
            </w:r>
          </w:p>
        </w:tc>
        <w:tc>
          <w:tcPr>
            <w:tcW w:w="1949"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eastAsia" w:ascii="宋体" w:hAnsi="宋体" w:eastAsia="宋体"/>
                <w:sz w:val="22"/>
              </w:rPr>
            </w:pPr>
            <w:r>
              <w:rPr>
                <w:rFonts w:hint="eastAsia" w:ascii="宋体" w:hAnsi="宋体" w:eastAsia="宋体"/>
                <w:sz w:val="22"/>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40" w:hRule="atLeast"/>
          <w:jc w:val="center"/>
        </w:trPr>
        <w:tc>
          <w:tcPr>
            <w:tcW w:w="433"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eastAsia" w:ascii="宋体" w:hAnsi="宋体" w:eastAsia="宋体"/>
                <w:sz w:val="22"/>
              </w:rPr>
            </w:pPr>
          </w:p>
        </w:tc>
        <w:tc>
          <w:tcPr>
            <w:tcW w:w="1713"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eastAsia" w:ascii="宋体" w:hAnsi="宋体" w:eastAsia="宋体"/>
                <w:sz w:val="22"/>
              </w:rPr>
            </w:pP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商务分</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技术分</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价格分</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资质能力分</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履约评价分</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运行评价分</w:t>
            </w:r>
          </w:p>
        </w:tc>
        <w:tc>
          <w:tcPr>
            <w:tcW w:w="1378"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eastAsia="宋体"/>
                <w:sz w:val="22"/>
              </w:rPr>
            </w:pPr>
          </w:p>
        </w:tc>
        <w:tc>
          <w:tcPr>
            <w:tcW w:w="1949"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eastAsia="宋体"/>
                <w:sz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0" w:hRule="atLeast"/>
          <w:jc w:val="center"/>
        </w:trPr>
        <w:tc>
          <w:tcPr>
            <w:tcW w:w="43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r>
              <w:rPr>
                <w:rFonts w:hint="default" w:ascii="Dialog" w:hAnsi="Dialog" w:eastAsia="宋体"/>
                <w:sz w:val="22"/>
              </w:rPr>
              <w:t>1</w:t>
            </w:r>
          </w:p>
        </w:tc>
        <w:tc>
          <w:tcPr>
            <w:tcW w:w="171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南方电网数字电网集团信息通信科技有限公司2022年广珠西线高速中山段加装路灯工程场区供电工程（10-18号箱变）施工物资采购项目</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10%</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40%</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50%</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w:t>
            </w:r>
          </w:p>
        </w:tc>
        <w:tc>
          <w:tcPr>
            <w:tcW w:w="571"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w:t>
            </w:r>
          </w:p>
        </w:tc>
        <w:tc>
          <w:tcPr>
            <w:tcW w:w="137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cs="Times New Roman"/>
                <w:sz w:val="22"/>
              </w:rPr>
            </w:pPr>
            <w:r>
              <w:rPr>
                <w:rFonts w:hint="default" w:ascii="Dialog" w:hAnsi="Dialog" w:eastAsia="宋体" w:cs="Times New Roman"/>
                <w:sz w:val="22"/>
              </w:rPr>
              <w:t>单边法</w:t>
            </w:r>
          </w:p>
        </w:tc>
        <w:tc>
          <w:tcPr>
            <w:tcW w:w="1949"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eastAsia="宋体"/>
                <w:sz w:val="22"/>
              </w:rPr>
            </w:pPr>
          </w:p>
        </w:tc>
      </w:tr>
      <w:bookmarkEnd w:id="1"/>
    </w:tbl>
    <w:p>
      <w:pPr>
        <w:pStyle w:val="3"/>
        <w:adjustRightInd w:val="0"/>
        <w:snapToGrid w:val="0"/>
        <w:spacing w:before="156"/>
        <w:ind w:firstLine="480"/>
        <w:jc w:val="center"/>
        <w:rPr>
          <w:color w:val="000000"/>
          <w:lang w:val="en-US" w:eastAsia="zh-CN"/>
        </w:rPr>
      </w:pPr>
    </w:p>
    <w:p>
      <w:pPr>
        <w:pStyle w:val="3"/>
        <w:adjustRightInd w:val="0"/>
        <w:snapToGrid w:val="0"/>
        <w:spacing w:before="156"/>
        <w:ind w:firstLine="480"/>
        <w:jc w:val="both"/>
        <w:rPr>
          <w:color w:val="000000"/>
          <w:lang w:val="en-US" w:eastAsia="zh-CN"/>
        </w:rPr>
      </w:pPr>
      <w:r>
        <w:rPr>
          <w:color w:val="000000"/>
          <w:lang w:val="en-US" w:eastAsia="zh-CN"/>
        </w:rPr>
        <w:t>1</w:t>
      </w:r>
      <w:r>
        <w:rPr>
          <w:rFonts w:hint="eastAsia"/>
          <w:color w:val="000000"/>
          <w:lang w:val="en-US" w:eastAsia="zh-CN"/>
        </w:rPr>
        <w:t>．初步评审：</w:t>
      </w:r>
    </w:p>
    <w:p>
      <w:pPr>
        <w:pStyle w:val="3"/>
        <w:adjustRightInd w:val="0"/>
        <w:snapToGrid w:val="0"/>
        <w:spacing w:before="156"/>
        <w:ind w:firstLine="480"/>
        <w:jc w:val="both"/>
        <w:rPr>
          <w:color w:val="000000"/>
          <w:lang w:val="en-US" w:eastAsia="zh-CN"/>
        </w:rPr>
      </w:pPr>
      <w:r>
        <w:rPr>
          <w:rFonts w:hint="eastAsia"/>
          <w:color w:val="000000"/>
          <w:lang w:val="en-US" w:eastAsia="zh-CN"/>
        </w:rPr>
        <w:t>采购工作组依据</w:t>
      </w:r>
      <w:r>
        <w:rPr>
          <w:color w:val="000000"/>
          <w:lang w:val="en-US" w:eastAsia="zh-CN"/>
        </w:rPr>
        <w:t>“</w:t>
      </w:r>
      <w:r>
        <w:rPr>
          <w:rFonts w:hint="eastAsia"/>
          <w:color w:val="000000"/>
          <w:lang w:val="en-US" w:eastAsia="zh-CN"/>
        </w:rPr>
        <w:t>初评要素表</w:t>
      </w:r>
      <w:r>
        <w:rPr>
          <w:color w:val="000000"/>
          <w:lang w:val="en-US" w:eastAsia="zh-CN"/>
        </w:rPr>
        <w:t>”</w:t>
      </w:r>
      <w:r>
        <w:rPr>
          <w:rFonts w:hint="eastAsia"/>
          <w:color w:val="000000"/>
          <w:lang w:val="en-US" w:eastAsia="zh-CN"/>
        </w:rPr>
        <w:t>规定的标准，对参与谈判供应商提交的响应文件的有效性、完整性、谈判供应商资格等进行初步评审。有一项不符合评审标准的，采购工作组应当否决其响应文件。谈判供应商不得通过修改或撤销其响应文件有关条款从而使其成为实质性响应的响应文件。</w:t>
      </w:r>
    </w:p>
    <w:p>
      <w:pPr>
        <w:pStyle w:val="3"/>
        <w:adjustRightInd w:val="0"/>
        <w:snapToGrid w:val="0"/>
        <w:spacing w:before="156"/>
        <w:ind w:firstLine="480"/>
        <w:jc w:val="both"/>
        <w:rPr>
          <w:color w:val="000000"/>
          <w:lang w:val="en-US" w:eastAsia="zh-CN"/>
        </w:rPr>
      </w:pPr>
      <w:r>
        <w:rPr>
          <w:rFonts w:hint="eastAsia"/>
          <w:color w:val="000000"/>
          <w:lang w:val="en-US" w:eastAsia="zh-CN"/>
        </w:rPr>
        <w:t>在评价过程中，采购工作组可以书面形式要求谈判供应商对所提交响应文件中不明确的内容进行书面澄清或说明，或者对细微偏差进行补正。澄清和答复应为书面形式，但对响应文件不得做实质性变更。采购工作组要求谈判供应商提供的澄清文件作为响应文件的组成部分。</w:t>
      </w:r>
    </w:p>
    <w:p>
      <w:pPr>
        <w:pStyle w:val="3"/>
        <w:adjustRightInd w:val="0"/>
        <w:snapToGrid w:val="0"/>
        <w:spacing w:before="156"/>
        <w:ind w:firstLine="480"/>
        <w:jc w:val="both"/>
        <w:rPr>
          <w:color w:val="000000"/>
          <w:lang w:val="en-US" w:eastAsia="zh-CN"/>
        </w:rPr>
      </w:pPr>
      <w:r>
        <w:rPr>
          <w:rFonts w:hint="eastAsia"/>
          <w:color w:val="000000"/>
          <w:lang w:val="en-US" w:eastAsia="zh-CN"/>
        </w:rPr>
        <w:t>初步评审内容详见下表：</w:t>
      </w:r>
    </w:p>
    <w:p>
      <w:pPr>
        <w:spacing w:beforeLines="0" w:afterLines="0"/>
        <w:rPr>
          <w:rFonts w:hint="default"/>
          <w:sz w:val="24"/>
        </w:rPr>
      </w:pPr>
      <w:bookmarkStart w:id="2" w:name="XmInfoEntity_cbscTable_1_1"/>
    </w:p>
    <w:tbl>
      <w:tblPr>
        <w:tblStyle w:val="4"/>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63"/>
        <w:gridCol w:w="1967"/>
        <w:gridCol w:w="42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序号</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初评要素</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详细内容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8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1</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初评要素1</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1.1  报价文件格式是否满足采购文件要求（主要审查：报价文件的密封、份数、签署以及法人代表授权书等）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2</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初评要素2</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2.1  质量和服务是否满足要求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3</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初评要素3</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3.1  是否存在“无效报价”的情形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4</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初评要素4</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4.1  报价是否合理且在最高限价范围内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5</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初评要素5</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5.1  具有独立承担民事责任的能力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6</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初评要素6</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6.1  没有因违反规定被南方电网公司限制参与采购资格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7</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初评要素7</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7.1  按报价文件要求提供有效的营业执照（组织机构代码证、税务登记证）等相关证书的复印件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84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8</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初审要素8</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8.1  1.“硬件特征码”：没有出现以下任一情形：1.与其他报价人下载采购文件的IP地址、响应文件的CPU序列号及硬盘序列号三者同时一致；2.与其他报价人上传响应文件的IP地址、响应文件的CPU序列号及硬盘序列号三者同时一致；3.与其他报价人的响应文件网卡MAC地址一致。如采购项目最小独立评审单元（标的/标包/标段）出现上述任一情形，将否决报价人响应该采购项目及同一采购项目后续采购的全部报价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63"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4"/>
              </w:rPr>
            </w:pPr>
            <w:r>
              <w:rPr>
                <w:rFonts w:hint="default" w:ascii="Dialog" w:hAnsi="Dialog"/>
                <w:sz w:val="24"/>
              </w:rPr>
              <w:t>9</w:t>
            </w:r>
          </w:p>
        </w:tc>
        <w:tc>
          <w:tcPr>
            <w:tcW w:w="196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初审要素9</w:t>
            </w:r>
          </w:p>
        </w:tc>
        <w:tc>
          <w:tcPr>
            <w:tcW w:w="426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70"/>
              <w:rPr>
                <w:rFonts w:hint="default" w:ascii="Dialog" w:hAnsi="Dialog"/>
                <w:sz w:val="24"/>
              </w:rPr>
            </w:pPr>
            <w:r>
              <w:rPr>
                <w:rFonts w:hint="default" w:ascii="Dialog" w:hAnsi="Dialog"/>
                <w:sz w:val="24"/>
              </w:rPr>
              <w:t>9.1  “满足通用资格和专用资格”</w:t>
            </w:r>
          </w:p>
        </w:tc>
      </w:tr>
      <w:bookmarkEnd w:id="2"/>
    </w:tbl>
    <w:p>
      <w:pPr>
        <w:pStyle w:val="3"/>
        <w:adjustRightInd w:val="0"/>
        <w:snapToGrid w:val="0"/>
        <w:spacing w:before="156"/>
        <w:ind w:firstLine="480"/>
        <w:jc w:val="center"/>
        <w:rPr>
          <w:color w:val="000000"/>
          <w:lang w:val="en-US" w:eastAsia="zh-CN"/>
        </w:rPr>
      </w:pPr>
    </w:p>
    <w:p>
      <w:pPr>
        <w:pStyle w:val="3"/>
        <w:adjustRightInd w:val="0"/>
        <w:snapToGrid w:val="0"/>
        <w:spacing w:before="156"/>
        <w:ind w:firstLine="480"/>
        <w:jc w:val="both"/>
        <w:rPr>
          <w:color w:val="000000"/>
          <w:lang w:val="en-US" w:eastAsia="zh-CN"/>
        </w:rPr>
      </w:pPr>
      <w:r>
        <w:rPr>
          <w:color w:val="000000"/>
          <w:lang w:val="en-US" w:eastAsia="zh-CN"/>
        </w:rPr>
        <w:t>2</w:t>
      </w:r>
      <w:r>
        <w:rPr>
          <w:rFonts w:hint="eastAsia"/>
          <w:color w:val="000000"/>
          <w:lang w:val="en-US" w:eastAsia="zh-CN"/>
        </w:rPr>
        <w:t>．详细评审</w:t>
      </w:r>
    </w:p>
    <w:p>
      <w:pPr>
        <w:pStyle w:val="3"/>
        <w:ind w:firstLine="480"/>
        <w:jc w:val="both"/>
        <w:rPr>
          <w:color w:val="000000"/>
          <w:lang w:val="en-US" w:eastAsia="zh-CN"/>
        </w:rPr>
      </w:pPr>
      <w:r>
        <w:rPr>
          <w:rFonts w:hint="eastAsia"/>
          <w:color w:val="000000"/>
          <w:lang w:val="en-US" w:eastAsia="zh-CN"/>
        </w:rPr>
        <w:t>（1）采购工作组按照采购文件的详细评审要素，对谈判供应商提交的响应文件进行技术、商务详细评审，详见技术商务评审要素。</w:t>
      </w:r>
    </w:p>
    <w:p>
      <w:pPr>
        <w:pStyle w:val="3"/>
        <w:ind w:firstLine="480"/>
        <w:jc w:val="both"/>
        <w:rPr>
          <w:color w:val="000000"/>
          <w:lang w:val="en-US" w:eastAsia="zh-CN"/>
        </w:rPr>
      </w:pPr>
      <w:r>
        <w:rPr>
          <w:rFonts w:hint="eastAsia"/>
          <w:color w:val="000000"/>
          <w:lang w:val="en-US" w:eastAsia="zh-CN"/>
        </w:rPr>
        <w:t>（2）价格评分前应对各谈判供应商的最终报价进行详细复核，检查是否有计算上的错误或报价范围上的错误。如未发现错误，则该报价作为最后的评审价格，如发现错误，将进行修正，修正后的价格作为最后的评审价格。谈判供应商不接受修正价格的，采购工作组会应当否决其报价。</w:t>
      </w:r>
    </w:p>
    <w:p>
      <w:pPr>
        <w:pStyle w:val="3"/>
        <w:ind w:firstLine="480"/>
        <w:jc w:val="both"/>
        <w:rPr>
          <w:color w:val="000000"/>
          <w:lang w:val="en-US" w:eastAsia="zh-CN"/>
        </w:rPr>
      </w:pPr>
      <w:r>
        <w:rPr>
          <w:rFonts w:hint="eastAsia"/>
          <w:color w:val="000000"/>
          <w:lang w:val="en-US" w:eastAsia="zh-CN"/>
        </w:rPr>
        <w:t>报价错误修正的原则如下：</w:t>
      </w:r>
    </w:p>
    <w:p>
      <w:pPr>
        <w:pStyle w:val="3"/>
        <w:ind w:firstLine="480"/>
        <w:jc w:val="both"/>
        <w:rPr>
          <w:color w:val="000000"/>
          <w:lang w:val="en-US" w:eastAsia="zh-CN"/>
        </w:rPr>
      </w:pPr>
      <w:r>
        <w:rPr>
          <w:color w:val="000000"/>
          <w:lang w:val="en-US" w:eastAsia="zh-CN"/>
        </w:rPr>
        <w:t>a.</w:t>
      </w:r>
      <w:r>
        <w:rPr>
          <w:rFonts w:hint="eastAsia"/>
          <w:color w:val="000000"/>
          <w:lang w:val="en-US" w:eastAsia="zh-CN"/>
        </w:rPr>
        <w:t>总价金额与依据单价计算出的结果不一致的，以单价金额为准修正总价，但单价金额小数点有明显错误的除外。</w:t>
      </w:r>
    </w:p>
    <w:p>
      <w:pPr>
        <w:pStyle w:val="3"/>
        <w:ind w:firstLine="480"/>
        <w:jc w:val="both"/>
        <w:rPr>
          <w:color w:val="000000"/>
          <w:lang w:val="en-US" w:eastAsia="zh-CN"/>
        </w:rPr>
      </w:pPr>
      <w:r>
        <w:rPr>
          <w:color w:val="000000"/>
          <w:lang w:val="en-US" w:eastAsia="zh-CN"/>
        </w:rPr>
        <w:t>b.</w:t>
      </w:r>
      <w:r>
        <w:rPr>
          <w:rFonts w:hint="eastAsia"/>
          <w:color w:val="000000"/>
          <w:lang w:val="en-US" w:eastAsia="zh-CN"/>
        </w:rPr>
        <w:t>如果用数字表示的金额与用文字表示的金额不一致，应以文字表示的金额为准。</w:t>
      </w:r>
    </w:p>
    <w:p>
      <w:pPr>
        <w:pStyle w:val="3"/>
        <w:ind w:firstLine="480"/>
        <w:jc w:val="both"/>
        <w:rPr>
          <w:color w:val="000000"/>
          <w:lang w:val="en-US" w:eastAsia="zh-CN"/>
        </w:rPr>
      </w:pPr>
      <w:r>
        <w:rPr>
          <w:rFonts w:hint="eastAsia"/>
          <w:color w:val="000000"/>
          <w:lang w:val="en-US" w:eastAsia="zh-CN"/>
        </w:rPr>
        <w:t>（3）技术、商务、价格评审要素</w:t>
      </w:r>
    </w:p>
    <w:p>
      <w:pPr>
        <w:pStyle w:val="3"/>
        <w:ind w:firstLine="0" w:firstLineChars="0"/>
        <w:jc w:val="both"/>
        <w:rPr>
          <w:color w:val="000000"/>
          <w:lang w:val="en-US" w:eastAsia="zh-CN"/>
        </w:rPr>
      </w:pPr>
      <w:r>
        <w:rPr>
          <w:rFonts w:ascii="Dialog" w:hAnsi="Dialog" w:cs="Dialog"/>
          <w:b/>
          <w:bCs/>
          <w:color w:val="000000"/>
          <w:lang w:val="en-US" w:eastAsia="zh-CN"/>
        </w:rPr>
        <w:t>评分办法名称：综合评估法</w:t>
      </w:r>
    </w:p>
    <w:p>
      <w:pPr>
        <w:pStyle w:val="3"/>
        <w:ind w:firstLine="0" w:firstLineChars="0"/>
        <w:jc w:val="both"/>
        <w:rPr>
          <w:rFonts w:ascii="Dialog" w:hAnsi="Dialog" w:cs="Dialog"/>
          <w:b/>
          <w:bCs/>
          <w:color w:val="000000"/>
          <w:lang w:val="en-US" w:eastAsia="zh-CN"/>
        </w:rPr>
      </w:pPr>
      <w:r>
        <w:rPr>
          <w:rFonts w:ascii="Dialog" w:hAnsi="Dialog" w:cs="Dialog"/>
          <w:b/>
          <w:bCs/>
          <w:color w:val="000000"/>
          <w:lang w:val="en-US" w:eastAsia="zh-CN"/>
        </w:rPr>
        <w:t>适用标的：</w:t>
      </w:r>
    </w:p>
    <w:p>
      <w:pPr>
        <w:spacing w:beforeLines="0" w:afterLines="0"/>
        <w:rPr>
          <w:rFonts w:hint="default"/>
          <w:sz w:val="24"/>
        </w:rPr>
      </w:pPr>
      <w:bookmarkStart w:id="3" w:name="XmInfoEntity_xxpsTable_1_1"/>
    </w:p>
    <w:tbl>
      <w:tblPr>
        <w:tblStyle w:val="4"/>
        <w:tblW w:w="94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27"/>
        <w:gridCol w:w="1616"/>
        <w:gridCol w:w="2838"/>
        <w:gridCol w:w="3054"/>
        <w:gridCol w:w="11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9497" w:type="dxa"/>
            <w:gridSpan w:val="5"/>
            <w:tcBorders>
              <w:top w:val="nil"/>
              <w:left w:val="nil"/>
              <w:bottom w:val="nil"/>
              <w:right w:val="nil"/>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评分办法名称：综合评估法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40" w:hRule="atLeast"/>
          <w:jc w:val="center"/>
        </w:trPr>
        <w:tc>
          <w:tcPr>
            <w:tcW w:w="9497" w:type="dxa"/>
            <w:gridSpan w:val="5"/>
            <w:tcBorders>
              <w:top w:val="nil"/>
              <w:left w:val="nil"/>
              <w:bottom w:val="single" w:color="000000" w:sz="6" w:space="0"/>
              <w:right w:val="nil"/>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适用标的：南方电网数字电网集团信息通信科技有限公司2022年广珠西线高速中山段加装路灯工程场区供电工程（10-18号箱变）施工物资采购项目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0" w:hRule="atLeast"/>
          <w:jc w:val="center"/>
        </w:trPr>
        <w:tc>
          <w:tcPr>
            <w:tcW w:w="9497"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（一）、技术评审  （100）分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82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序号</w:t>
            </w:r>
          </w:p>
        </w:tc>
        <w:tc>
          <w:tcPr>
            <w:tcW w:w="161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评分要素</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详细评审项</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技术详细评审分项要素</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80" w:hRule="atLeast"/>
          <w:jc w:val="center"/>
        </w:trPr>
        <w:tc>
          <w:tcPr>
            <w:tcW w:w="82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1</w:t>
            </w:r>
          </w:p>
        </w:tc>
        <w:tc>
          <w:tcPr>
            <w:tcW w:w="161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技术条款响应性</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产品技术响应情况</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得20-30分：产品技术能完全响应及以上，完全满足招标技术规范书中设备的工艺要求，具有关键技术指标优于项，并根据关键技术指标优于项数量进行排名打分；</w:t>
            </w:r>
          </w:p>
          <w:p>
            <w:pPr>
              <w:spacing w:beforeLines="0" w:afterLines="0"/>
              <w:ind w:left="113"/>
              <w:rPr>
                <w:rFonts w:hint="default" w:ascii="Dialog" w:hAnsi="Dialog"/>
                <w:sz w:val="28"/>
              </w:rPr>
            </w:pPr>
            <w:r>
              <w:rPr>
                <w:rFonts w:hint="default" w:ascii="Dialog" w:hAnsi="Dialog"/>
                <w:sz w:val="28"/>
              </w:rPr>
              <w:t>得11-20分：技术响应度良好，总体上满足招标技术要求，存在少数非关键技术参数的不符合或未响应的情况；</w:t>
            </w:r>
          </w:p>
          <w:p>
            <w:pPr>
              <w:spacing w:beforeLines="0" w:afterLines="0"/>
              <w:ind w:left="113" w:leftChars="0"/>
              <w:rPr>
                <w:rFonts w:hint="default" w:ascii="Dialog" w:hAnsi="Dialog"/>
                <w:kern w:val="2"/>
                <w:sz w:val="28"/>
                <w:szCs w:val="22"/>
                <w:lang w:val="en-US" w:eastAsia="zh-CN" w:bidi="ar-SA"/>
              </w:rPr>
            </w:pPr>
            <w:r>
              <w:rPr>
                <w:rFonts w:hint="default" w:ascii="Dialog" w:hAnsi="Dialog"/>
                <w:sz w:val="28"/>
              </w:rPr>
              <w:t>得1-10分：技术响应度一般，基本上能满足招标技术规范要求，存在多项非关键技术参数不符合或未响应情况。</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0-30分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20" w:hRule="atLeast"/>
          <w:jc w:val="center"/>
        </w:trPr>
        <w:tc>
          <w:tcPr>
            <w:tcW w:w="827"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2</w:t>
            </w:r>
          </w:p>
        </w:tc>
        <w:tc>
          <w:tcPr>
            <w:tcW w:w="161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产品的先进性</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技术创新</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得6-10分：具备生产技 术、工艺的创新且具备改造能力，能提供方案和实例。</w:t>
            </w:r>
          </w:p>
          <w:p>
            <w:pPr>
              <w:spacing w:beforeLines="0" w:afterLines="0"/>
              <w:ind w:left="113"/>
              <w:rPr>
                <w:rFonts w:hint="default" w:ascii="Dialog" w:hAnsi="Dialog"/>
                <w:sz w:val="28"/>
              </w:rPr>
            </w:pPr>
            <w:r>
              <w:rPr>
                <w:rFonts w:hint="default" w:ascii="Dialog" w:hAnsi="Dialog"/>
                <w:sz w:val="28"/>
              </w:rPr>
              <w:t>得1-5分：具备生产技 术、工艺的创新或改造 能力，能提供方案和实例；</w:t>
            </w:r>
          </w:p>
          <w:p>
            <w:pPr>
              <w:spacing w:beforeLines="0" w:afterLines="0"/>
              <w:ind w:left="113" w:leftChars="0"/>
              <w:rPr>
                <w:rFonts w:hint="default" w:ascii="Dialog" w:hAnsi="Dialog" w:eastAsia="宋体"/>
                <w:kern w:val="2"/>
                <w:sz w:val="28"/>
                <w:szCs w:val="22"/>
                <w:lang w:val="en-US" w:eastAsia="zh-CN" w:bidi="ar-SA"/>
              </w:rPr>
            </w:pPr>
            <w:r>
              <w:rPr>
                <w:rFonts w:hint="default" w:ascii="Dialog" w:hAnsi="Dialog"/>
                <w:sz w:val="28"/>
              </w:rPr>
              <w:t>得0分：不具备生产技术、工艺的创新或改造能力不能提供方案和实例</w:t>
            </w:r>
            <w:r>
              <w:rPr>
                <w:rFonts w:hint="eastAsia" w:ascii="Dialog" w:hAnsi="Dialog"/>
                <w:sz w:val="28"/>
                <w:lang w:eastAsia="zh-CN"/>
              </w:rPr>
              <w:t>。</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6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产品应用证明</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leftChars="0"/>
              <w:rPr>
                <w:rFonts w:hint="default" w:ascii="Dialog" w:hAnsi="Dialog" w:eastAsia="宋体"/>
                <w:kern w:val="2"/>
                <w:sz w:val="28"/>
                <w:szCs w:val="22"/>
                <w:lang w:val="en-US" w:eastAsia="zh-CN" w:bidi="ar-SA"/>
              </w:rPr>
            </w:pPr>
            <w:r>
              <w:rPr>
                <w:rFonts w:hint="default" w:ascii="Dialog" w:hAnsi="Dialog"/>
                <w:sz w:val="28"/>
              </w:rPr>
              <w:t>提供2019年至今产品应用案例，并提供合同证明材料，不得涂抹合同金额：每提供一项得2分，满分10分，不提供不得分</w:t>
            </w:r>
            <w:r>
              <w:rPr>
                <w:rFonts w:hint="eastAsia" w:ascii="Dialog" w:hAnsi="Dialog"/>
                <w:sz w:val="28"/>
                <w:lang w:eastAsia="zh-CN"/>
              </w:rPr>
              <w:t>。</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52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产品检验报告</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能提供具有国家认证或第三方检测机构出具的检验报告等认证资料每一份得3分，满分15</w:t>
            </w:r>
          </w:p>
          <w:p>
            <w:pPr>
              <w:spacing w:beforeLines="0" w:afterLines="0"/>
              <w:ind w:left="113"/>
              <w:rPr>
                <w:rFonts w:hint="default" w:ascii="Dialog" w:hAnsi="Dialog"/>
                <w:sz w:val="28"/>
              </w:rPr>
            </w:pPr>
            <w:r>
              <w:rPr>
                <w:rFonts w:hint="default" w:ascii="Dialog" w:hAnsi="Dialog"/>
                <w:sz w:val="28"/>
              </w:rPr>
              <w:t>分；</w:t>
            </w:r>
          </w:p>
          <w:p>
            <w:pPr>
              <w:spacing w:beforeLines="0" w:afterLines="0"/>
              <w:ind w:left="113"/>
              <w:rPr>
                <w:rFonts w:hint="default" w:ascii="Dialog" w:hAnsi="Dialog"/>
                <w:sz w:val="28"/>
              </w:rPr>
            </w:pPr>
            <w:r>
              <w:rPr>
                <w:rFonts w:hint="default" w:ascii="Dialog" w:hAnsi="Dialog"/>
                <w:sz w:val="28"/>
              </w:rPr>
              <w:t>需提供报告扫描件，不</w:t>
            </w:r>
          </w:p>
          <w:p>
            <w:pPr>
              <w:spacing w:beforeLines="0" w:afterLines="0"/>
              <w:ind w:left="113" w:leftChars="0"/>
              <w:rPr>
                <w:rFonts w:hint="default" w:ascii="Dialog" w:hAnsi="Dialog"/>
                <w:kern w:val="2"/>
                <w:sz w:val="28"/>
                <w:szCs w:val="22"/>
                <w:lang w:val="en-US" w:eastAsia="zh-CN" w:bidi="ar-SA"/>
              </w:rPr>
            </w:pPr>
            <w:r>
              <w:rPr>
                <w:rFonts w:hint="default" w:ascii="Dialog" w:hAnsi="Dialog"/>
                <w:sz w:val="28"/>
              </w:rPr>
              <w:t>提供不得分。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2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原材料、配件</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得6-10分：断路器、刀间等电气设备选用制定了入厂检验标准，入厂检验标准符合国家、行业和南方电网的相关标准要求；</w:t>
            </w:r>
          </w:p>
          <w:p>
            <w:pPr>
              <w:spacing w:beforeLines="0" w:afterLines="0"/>
              <w:ind w:left="113" w:leftChars="0"/>
              <w:rPr>
                <w:rFonts w:hint="default" w:ascii="Dialog" w:hAnsi="Dialog"/>
                <w:kern w:val="2"/>
                <w:sz w:val="28"/>
                <w:szCs w:val="22"/>
                <w:lang w:val="en-US" w:eastAsia="zh-CN" w:bidi="ar-SA"/>
              </w:rPr>
            </w:pPr>
            <w:r>
              <w:rPr>
                <w:rFonts w:hint="default" w:ascii="Dialog" w:hAnsi="Dialog"/>
                <w:sz w:val="28"/>
              </w:rPr>
              <w:t>得1-5分：断路器、刀闸等电气设备选用制定了入厂检验标准，但入厂检</w:t>
            </w:r>
            <w:r>
              <w:rPr>
                <w:rFonts w:hint="eastAsia" w:ascii="Dialog" w:hAnsi="Dialog"/>
                <w:sz w:val="28"/>
                <w:lang w:val="en-US" w:eastAsia="zh-CN"/>
              </w:rPr>
              <w:t>验</w:t>
            </w:r>
            <w:r>
              <w:rPr>
                <w:rFonts w:hint="default" w:ascii="Dialog" w:hAnsi="Dialog"/>
                <w:sz w:val="28"/>
              </w:rPr>
              <w:t>项目低于国家、行业和南方电网的相关标准要求。</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00" w:hRule="atLeast"/>
          <w:jc w:val="center"/>
        </w:trPr>
        <w:tc>
          <w:tcPr>
            <w:tcW w:w="82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3</w:t>
            </w:r>
          </w:p>
        </w:tc>
        <w:tc>
          <w:tcPr>
            <w:tcW w:w="161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服务承诺</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服务承诺</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得10-15分：有完善的质量保证</w:t>
            </w:r>
            <w:r>
              <w:rPr>
                <w:rFonts w:hint="eastAsia" w:ascii="Dialog" w:hAnsi="Dialog"/>
                <w:sz w:val="28"/>
                <w:lang w:eastAsia="zh-CN"/>
              </w:rPr>
              <w:t>措施</w:t>
            </w:r>
            <w:r>
              <w:rPr>
                <w:rFonts w:hint="default" w:ascii="Dialog" w:hAnsi="Dialog"/>
                <w:sz w:val="28"/>
              </w:rPr>
              <w:t>，且材料质保期≥3年，服务响应时间为7*24小时；</w:t>
            </w:r>
          </w:p>
          <w:p>
            <w:pPr>
              <w:spacing w:beforeLines="0" w:afterLines="0"/>
              <w:ind w:left="113"/>
              <w:rPr>
                <w:rFonts w:hint="default" w:ascii="Dialog" w:hAnsi="Dialog"/>
                <w:sz w:val="28"/>
              </w:rPr>
            </w:pPr>
            <w:r>
              <w:rPr>
                <w:rFonts w:hint="default" w:ascii="Dialog" w:hAnsi="Dialog"/>
                <w:sz w:val="28"/>
              </w:rPr>
              <w:t>得5-9分：有较为完</w:t>
            </w:r>
            <w:r>
              <w:rPr>
                <w:rFonts w:hint="eastAsia" w:ascii="Dialog" w:hAnsi="Dialog"/>
                <w:sz w:val="28"/>
                <w:lang w:val="en-US" w:eastAsia="zh-CN"/>
              </w:rPr>
              <w:t>善</w:t>
            </w:r>
            <w:r>
              <w:rPr>
                <w:rFonts w:hint="default" w:ascii="Dialog" w:hAnsi="Dialog"/>
                <w:sz w:val="28"/>
              </w:rPr>
              <w:t>的质量保证</w:t>
            </w:r>
            <w:r>
              <w:rPr>
                <w:rFonts w:hint="eastAsia" w:ascii="Dialog" w:hAnsi="Dialog"/>
                <w:sz w:val="28"/>
                <w:lang w:eastAsia="zh-CN"/>
              </w:rPr>
              <w:t>措施</w:t>
            </w:r>
            <w:r>
              <w:rPr>
                <w:rFonts w:hint="default" w:ascii="Dialog" w:hAnsi="Dialog"/>
                <w:sz w:val="28"/>
              </w:rPr>
              <w:t>，且2年&lt;材料质保期&lt;3年，服务响应时间为7*24小时；</w:t>
            </w:r>
          </w:p>
          <w:p>
            <w:pPr>
              <w:spacing w:beforeLines="0" w:afterLines="0"/>
              <w:ind w:left="113"/>
              <w:rPr>
                <w:rFonts w:hint="default" w:ascii="Dialog" w:hAnsi="Dialog"/>
                <w:sz w:val="28"/>
              </w:rPr>
            </w:pPr>
            <w:r>
              <w:rPr>
                <w:rFonts w:hint="default" w:ascii="Dialog" w:hAnsi="Dialog"/>
                <w:sz w:val="28"/>
              </w:rPr>
              <w:t>得0-4分：无完善的保证</w:t>
            </w:r>
            <w:r>
              <w:rPr>
                <w:rFonts w:hint="eastAsia" w:ascii="Dialog" w:hAnsi="Dialog"/>
                <w:sz w:val="28"/>
                <w:lang w:eastAsia="zh-CN"/>
              </w:rPr>
              <w:t>措施</w:t>
            </w:r>
            <w:r>
              <w:rPr>
                <w:rFonts w:hint="default" w:ascii="Dialog" w:hAnsi="Dialog"/>
                <w:sz w:val="28"/>
              </w:rPr>
              <w:t>，材料质保期为2年，无服务响应时间；</w:t>
            </w:r>
          </w:p>
          <w:p>
            <w:pPr>
              <w:spacing w:beforeLines="0" w:afterLines="0"/>
              <w:ind w:left="113" w:leftChars="0"/>
              <w:rPr>
                <w:rFonts w:hint="default" w:ascii="Dialog" w:hAnsi="Dialog" w:eastAsia="宋体"/>
                <w:kern w:val="2"/>
                <w:sz w:val="28"/>
                <w:szCs w:val="22"/>
                <w:lang w:val="en-US" w:eastAsia="zh-CN" w:bidi="ar-SA"/>
              </w:rPr>
            </w:pPr>
            <w:r>
              <w:rPr>
                <w:rFonts w:hint="default" w:ascii="Dialog" w:hAnsi="Dialog"/>
                <w:sz w:val="28"/>
              </w:rPr>
              <w:t>质保期承诺符提供质保函，不提供不得分</w:t>
            </w:r>
            <w:r>
              <w:rPr>
                <w:rFonts w:hint="eastAsia" w:ascii="Dialog" w:hAnsi="Dialog"/>
                <w:sz w:val="28"/>
                <w:lang w:eastAsia="zh-CN"/>
              </w:rPr>
              <w:t>。</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0-15分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60" w:hRule="atLeast"/>
          <w:jc w:val="center"/>
        </w:trPr>
        <w:tc>
          <w:tcPr>
            <w:tcW w:w="82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4</w:t>
            </w:r>
          </w:p>
        </w:tc>
        <w:tc>
          <w:tcPr>
            <w:tcW w:w="161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供货期</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供货期</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得7-10分：承诺下单后5天内供货，进度违约责任承诺具体；</w:t>
            </w:r>
          </w:p>
          <w:p>
            <w:pPr>
              <w:spacing w:beforeLines="0" w:afterLines="0"/>
              <w:ind w:left="113"/>
              <w:rPr>
                <w:rFonts w:hint="default" w:ascii="Dialog" w:hAnsi="Dialog"/>
                <w:sz w:val="28"/>
              </w:rPr>
            </w:pPr>
            <w:r>
              <w:rPr>
                <w:rFonts w:hint="default" w:ascii="Dialog" w:hAnsi="Dialog"/>
                <w:sz w:val="28"/>
              </w:rPr>
              <w:t>得3-6分：承诺下单后10天内供货，有进度违约责任承诺；</w:t>
            </w:r>
          </w:p>
          <w:p>
            <w:pPr>
              <w:spacing w:beforeLines="0" w:afterLines="0"/>
              <w:ind w:left="113"/>
              <w:rPr>
                <w:rFonts w:hint="default" w:ascii="Dialog" w:hAnsi="Dialog"/>
                <w:sz w:val="28"/>
              </w:rPr>
            </w:pPr>
            <w:r>
              <w:rPr>
                <w:rFonts w:hint="default" w:ascii="Dialog" w:hAnsi="Dialog"/>
                <w:sz w:val="28"/>
              </w:rPr>
              <w:t>得1-3分：承诺下单后15天内供货，有进度违约责任承诺。</w:t>
            </w:r>
          </w:p>
          <w:p>
            <w:pPr>
              <w:spacing w:beforeLines="0" w:afterLines="0"/>
              <w:ind w:left="113" w:leftChars="0"/>
              <w:rPr>
                <w:rFonts w:hint="default" w:ascii="Dialog" w:hAnsi="Dialog"/>
                <w:kern w:val="2"/>
                <w:sz w:val="28"/>
                <w:szCs w:val="22"/>
                <w:lang w:val="en-US" w:eastAsia="zh-CN" w:bidi="ar-SA"/>
              </w:rPr>
            </w:pPr>
            <w:r>
              <w:rPr>
                <w:rFonts w:hint="default" w:ascii="Dialog" w:hAnsi="Dialog"/>
                <w:sz w:val="28"/>
              </w:rPr>
              <w:t>(投标时</w:t>
            </w:r>
            <w:r>
              <w:rPr>
                <w:rFonts w:hint="eastAsia" w:ascii="Dialog" w:hAnsi="Dialog"/>
                <w:sz w:val="28"/>
                <w:lang w:val="en-US" w:eastAsia="zh-CN"/>
              </w:rPr>
              <w:t>需</w:t>
            </w:r>
            <w:r>
              <w:rPr>
                <w:rFonts w:hint="default" w:ascii="Dialog" w:hAnsi="Dialog"/>
                <w:sz w:val="28"/>
              </w:rPr>
              <w:t>提供供货承诺书，不提供不得分)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0" w:hRule="atLeast"/>
          <w:jc w:val="center"/>
        </w:trPr>
        <w:tc>
          <w:tcPr>
            <w:tcW w:w="9497"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 xml:space="preserve"> （二）、商务评审（100）分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0" w:hRule="atLeast"/>
          <w:jc w:val="center"/>
        </w:trPr>
        <w:tc>
          <w:tcPr>
            <w:tcW w:w="82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序号</w:t>
            </w:r>
          </w:p>
        </w:tc>
        <w:tc>
          <w:tcPr>
            <w:tcW w:w="161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评分要素</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详细评审项</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商务详细评审分项要素</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20" w:hRule="atLeast"/>
          <w:jc w:val="center"/>
        </w:trPr>
        <w:tc>
          <w:tcPr>
            <w:tcW w:w="827"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1</w:t>
            </w:r>
          </w:p>
        </w:tc>
        <w:tc>
          <w:tcPr>
            <w:tcW w:w="161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财务状况</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盈利能力（营业利润率）</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根据投标人的财务报告、利润表等材料，横向比较所有有效投标人过去3年营业利润率（营业利润/营业收入*100%）情况：</w:t>
            </w:r>
          </w:p>
          <w:p>
            <w:pPr>
              <w:spacing w:beforeLines="0" w:afterLines="0"/>
              <w:ind w:left="113"/>
              <w:rPr>
                <w:rFonts w:hint="default" w:ascii="Dialog" w:hAnsi="Dialog"/>
                <w:sz w:val="28"/>
              </w:rPr>
            </w:pPr>
            <w:r>
              <w:rPr>
                <w:rFonts w:hint="default" w:ascii="Dialog" w:hAnsi="Dialog"/>
                <w:sz w:val="28"/>
              </w:rPr>
              <w:t>过去3年平均营业利润率&gt;8%，得6-4分；</w:t>
            </w:r>
          </w:p>
          <w:p>
            <w:pPr>
              <w:spacing w:beforeLines="0" w:afterLines="0"/>
              <w:ind w:left="113"/>
              <w:rPr>
                <w:rFonts w:hint="default" w:ascii="Dialog" w:hAnsi="Dialog"/>
                <w:sz w:val="28"/>
              </w:rPr>
            </w:pPr>
            <w:r>
              <w:rPr>
                <w:rFonts w:hint="default" w:ascii="Dialog" w:hAnsi="Dialog"/>
                <w:sz w:val="28"/>
              </w:rPr>
              <w:t>过去3年7%≤平均营业利润率≤8%，得3分；</w:t>
            </w:r>
          </w:p>
          <w:p>
            <w:pPr>
              <w:spacing w:beforeLines="0" w:afterLines="0"/>
              <w:ind w:left="113"/>
              <w:rPr>
                <w:rFonts w:hint="default" w:ascii="Dialog" w:hAnsi="Dialog"/>
                <w:sz w:val="28"/>
              </w:rPr>
            </w:pPr>
            <w:r>
              <w:rPr>
                <w:rFonts w:hint="default" w:ascii="Dialog" w:hAnsi="Dialog"/>
                <w:sz w:val="28"/>
              </w:rPr>
              <w:t>过去3年平均营业利润率&lt;7%，得2-0分。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68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资产运营状况（流动资产周转率）</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根据投标人的财务报告、利润表等材料，横向比较所有有效投标人上年度流动资产周转率（主营业务收入净额/平均流动资产总额）情况：</w:t>
            </w:r>
          </w:p>
          <w:p>
            <w:pPr>
              <w:spacing w:beforeLines="0" w:afterLines="0"/>
              <w:ind w:left="113"/>
              <w:rPr>
                <w:rFonts w:hint="default" w:ascii="Dialog" w:hAnsi="Dialog"/>
                <w:sz w:val="28"/>
              </w:rPr>
            </w:pPr>
            <w:r>
              <w:rPr>
                <w:rFonts w:hint="default" w:ascii="Dialog" w:hAnsi="Dialog"/>
                <w:sz w:val="28"/>
              </w:rPr>
              <w:t>流动资产周转率≥3，得6-4分；</w:t>
            </w:r>
          </w:p>
          <w:p>
            <w:pPr>
              <w:spacing w:beforeLines="0" w:afterLines="0"/>
              <w:ind w:left="113"/>
              <w:rPr>
                <w:rFonts w:hint="default" w:ascii="Dialog" w:hAnsi="Dialog"/>
                <w:sz w:val="28"/>
              </w:rPr>
            </w:pPr>
            <w:r>
              <w:rPr>
                <w:rFonts w:hint="default" w:ascii="Dialog" w:hAnsi="Dialog"/>
                <w:sz w:val="28"/>
              </w:rPr>
              <w:t>2≤流动资产周转率&lt;3，得3-2分；</w:t>
            </w:r>
          </w:p>
          <w:p>
            <w:pPr>
              <w:spacing w:beforeLines="0" w:afterLines="0"/>
              <w:ind w:left="113"/>
              <w:rPr>
                <w:rFonts w:hint="default" w:ascii="Dialog" w:hAnsi="Dialog"/>
                <w:sz w:val="28"/>
              </w:rPr>
            </w:pPr>
            <w:r>
              <w:rPr>
                <w:rFonts w:hint="default" w:ascii="Dialog" w:hAnsi="Dialog"/>
                <w:sz w:val="28"/>
              </w:rPr>
              <w:t>流动资产周转率&lt;2，得1-0分。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32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偿债能力状况（资产负债率）</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根据投标人的财务报告、利润表等材料，横向比较所有有效投标人上年度资产负债率（负债总额/资产总额*100%）情况：</w:t>
            </w:r>
          </w:p>
          <w:p>
            <w:pPr>
              <w:spacing w:beforeLines="0" w:afterLines="0"/>
              <w:ind w:left="113"/>
              <w:rPr>
                <w:rFonts w:hint="default" w:ascii="Dialog" w:hAnsi="Dialog"/>
                <w:sz w:val="28"/>
              </w:rPr>
            </w:pPr>
            <w:r>
              <w:rPr>
                <w:rFonts w:hint="default" w:ascii="Dialog" w:hAnsi="Dialog"/>
                <w:sz w:val="28"/>
              </w:rPr>
              <w:t>资产负债率&lt;30%，得6-4分；</w:t>
            </w:r>
          </w:p>
          <w:p>
            <w:pPr>
              <w:spacing w:beforeLines="0" w:afterLines="0"/>
              <w:ind w:left="113"/>
              <w:rPr>
                <w:rFonts w:hint="default" w:ascii="Dialog" w:hAnsi="Dialog"/>
                <w:sz w:val="28"/>
              </w:rPr>
            </w:pPr>
            <w:r>
              <w:rPr>
                <w:rFonts w:hint="default" w:ascii="Dialog" w:hAnsi="Dialog"/>
                <w:sz w:val="28"/>
              </w:rPr>
              <w:t>30%≤资产负债率≤50%，得3-2分；</w:t>
            </w:r>
          </w:p>
          <w:p>
            <w:pPr>
              <w:spacing w:beforeLines="0" w:afterLines="0"/>
              <w:ind w:left="113"/>
              <w:rPr>
                <w:rFonts w:hint="default" w:ascii="Dialog" w:hAnsi="Dialog"/>
                <w:sz w:val="28"/>
              </w:rPr>
            </w:pPr>
            <w:r>
              <w:rPr>
                <w:rFonts w:hint="default" w:ascii="Dialog" w:hAnsi="Dialog"/>
                <w:sz w:val="28"/>
              </w:rPr>
              <w:t>资产负债率＞50%，得1-0分。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6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偿债能力状况（上年度流动比率）</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根据投标人的财务报告、利润表等材料，横向比较所有有效投标人（上年度流动资产/上年度流动负债*100%）情况：</w:t>
            </w:r>
          </w:p>
          <w:p>
            <w:pPr>
              <w:spacing w:beforeLines="0" w:afterLines="0"/>
              <w:ind w:left="113"/>
              <w:rPr>
                <w:rFonts w:hint="default" w:ascii="Dialog" w:hAnsi="Dialog"/>
                <w:sz w:val="28"/>
              </w:rPr>
            </w:pPr>
            <w:r>
              <w:rPr>
                <w:rFonts w:hint="default" w:ascii="Dialog" w:hAnsi="Dialog"/>
                <w:sz w:val="28"/>
              </w:rPr>
              <w:t>上年度流动比率大于200%（含本数），得6-4分；</w:t>
            </w:r>
          </w:p>
          <w:p>
            <w:pPr>
              <w:spacing w:beforeLines="0" w:afterLines="0"/>
              <w:ind w:left="113"/>
              <w:rPr>
                <w:rFonts w:hint="default" w:ascii="Dialog" w:hAnsi="Dialog"/>
                <w:sz w:val="28"/>
              </w:rPr>
            </w:pPr>
            <w:r>
              <w:rPr>
                <w:rFonts w:hint="default" w:ascii="Dialog" w:hAnsi="Dialog"/>
                <w:sz w:val="28"/>
              </w:rPr>
              <w:t>上年度流动比率大于100%（含本数）小于200%，得3-2分；</w:t>
            </w:r>
          </w:p>
          <w:p>
            <w:pPr>
              <w:spacing w:beforeLines="0" w:afterLines="0"/>
              <w:ind w:left="113"/>
              <w:rPr>
                <w:rFonts w:hint="default" w:ascii="Dialog" w:hAnsi="Dialog"/>
                <w:sz w:val="28"/>
              </w:rPr>
            </w:pPr>
            <w:r>
              <w:rPr>
                <w:rFonts w:hint="default" w:ascii="Dialog" w:hAnsi="Dialog"/>
                <w:sz w:val="28"/>
              </w:rPr>
              <w:t>上年度流动比率小于100%。得1-0分。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6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资金承受能力（净现金比率）</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根据投标人的财务报告、利润表等材料，横向比较所有有效投标人情况：</w:t>
            </w:r>
          </w:p>
          <w:p>
            <w:pPr>
              <w:spacing w:beforeLines="0" w:afterLines="0"/>
              <w:ind w:left="113"/>
              <w:rPr>
                <w:rFonts w:hint="default" w:ascii="Dialog" w:hAnsi="Dialog"/>
                <w:sz w:val="28"/>
              </w:rPr>
            </w:pPr>
            <w:r>
              <w:rPr>
                <w:rFonts w:hint="default" w:ascii="Dialog" w:hAnsi="Dialog"/>
                <w:sz w:val="28"/>
              </w:rPr>
              <w:t>净现金比率：（货币资金+应收票据）/（银行借款+应付票据）&gt;2，得6-4分；</w:t>
            </w:r>
          </w:p>
          <w:p>
            <w:pPr>
              <w:spacing w:beforeLines="0" w:afterLines="0"/>
              <w:ind w:left="113"/>
              <w:rPr>
                <w:rFonts w:hint="default" w:ascii="Dialog" w:hAnsi="Dialog"/>
                <w:sz w:val="28"/>
              </w:rPr>
            </w:pPr>
            <w:r>
              <w:rPr>
                <w:rFonts w:hint="default" w:ascii="Dialog" w:hAnsi="Dialog"/>
                <w:sz w:val="28"/>
              </w:rPr>
              <w:t>净现金比率：（货币资金+应收票据）/（银行借款+应付票据）&gt;1且≤2，得3-2分；</w:t>
            </w:r>
          </w:p>
          <w:p>
            <w:pPr>
              <w:spacing w:beforeLines="0" w:afterLines="0"/>
              <w:ind w:left="113"/>
              <w:rPr>
                <w:rFonts w:hint="default" w:ascii="Dialog" w:hAnsi="Dialog"/>
                <w:sz w:val="28"/>
              </w:rPr>
            </w:pPr>
            <w:r>
              <w:rPr>
                <w:rFonts w:hint="default" w:ascii="Dialog" w:hAnsi="Dialog"/>
                <w:sz w:val="28"/>
              </w:rPr>
              <w:t>净现金比率：（货币资金+应收票据）/（银行借款+应付票据）≤1，得1-0分。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120" w:hRule="atLeast"/>
          <w:jc w:val="center"/>
        </w:trPr>
        <w:tc>
          <w:tcPr>
            <w:tcW w:w="827"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2</w:t>
            </w:r>
          </w:p>
        </w:tc>
        <w:tc>
          <w:tcPr>
            <w:tcW w:w="1616"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信誉评价</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银行授信评级</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银行授信评级</w:t>
            </w:r>
            <w:r>
              <w:rPr>
                <w:rFonts w:hint="default" w:ascii="Dialog" w:hAnsi="Dialog"/>
                <w:sz w:val="28"/>
              </w:rPr>
              <w:tab/>
            </w:r>
            <w:r>
              <w:rPr>
                <w:rFonts w:hint="default" w:ascii="Dialog" w:hAnsi="Dialog"/>
                <w:sz w:val="28"/>
              </w:rPr>
              <w:t>根据各投标单位提供近一年的银行授信评级证明材料，横向比较所有有效投标人情况：</w:t>
            </w:r>
          </w:p>
          <w:p>
            <w:pPr>
              <w:spacing w:beforeLines="0" w:afterLines="0"/>
              <w:ind w:left="113"/>
              <w:rPr>
                <w:rFonts w:hint="default" w:ascii="Dialog" w:hAnsi="Dialog"/>
                <w:sz w:val="28"/>
              </w:rPr>
            </w:pPr>
            <w:r>
              <w:rPr>
                <w:rFonts w:hint="default" w:ascii="Dialog" w:hAnsi="Dialog"/>
                <w:sz w:val="28"/>
              </w:rPr>
              <w:t>银行授信评级达到AA+——AAA，得6分；</w:t>
            </w:r>
          </w:p>
          <w:p>
            <w:pPr>
              <w:spacing w:beforeLines="0" w:afterLines="0"/>
              <w:ind w:left="113"/>
              <w:rPr>
                <w:rFonts w:hint="default" w:ascii="Dialog" w:hAnsi="Dialog"/>
                <w:sz w:val="28"/>
              </w:rPr>
            </w:pPr>
            <w:r>
              <w:rPr>
                <w:rFonts w:hint="default" w:ascii="Dialog" w:hAnsi="Dialog"/>
                <w:sz w:val="28"/>
              </w:rPr>
              <w:t>银行授信评级达到A+——AA，得5分；</w:t>
            </w:r>
          </w:p>
          <w:p>
            <w:pPr>
              <w:spacing w:beforeLines="0" w:afterLines="0"/>
              <w:ind w:left="113"/>
              <w:rPr>
                <w:rFonts w:hint="default" w:ascii="Dialog" w:hAnsi="Dialog"/>
                <w:sz w:val="28"/>
              </w:rPr>
            </w:pPr>
            <w:r>
              <w:rPr>
                <w:rFonts w:hint="default" w:ascii="Dialog" w:hAnsi="Dialog"/>
                <w:sz w:val="28"/>
              </w:rPr>
              <w:t>银行授信评级达到A-——A，得4分；</w:t>
            </w:r>
          </w:p>
          <w:p>
            <w:pPr>
              <w:spacing w:beforeLines="0" w:afterLines="0"/>
              <w:ind w:left="113"/>
              <w:rPr>
                <w:rFonts w:hint="default" w:ascii="Dialog" w:hAnsi="Dialog"/>
                <w:sz w:val="28"/>
              </w:rPr>
            </w:pPr>
            <w:r>
              <w:rPr>
                <w:rFonts w:hint="default" w:ascii="Dialog" w:hAnsi="Dialog"/>
                <w:sz w:val="28"/>
              </w:rPr>
              <w:t>银行授信评级达到B，得2分；</w:t>
            </w:r>
          </w:p>
          <w:p>
            <w:pPr>
              <w:spacing w:beforeLines="0" w:afterLines="0"/>
              <w:ind w:left="113"/>
              <w:rPr>
                <w:rFonts w:hint="default" w:ascii="Dialog" w:hAnsi="Dialog"/>
                <w:sz w:val="28"/>
              </w:rPr>
            </w:pPr>
            <w:r>
              <w:rPr>
                <w:rFonts w:hint="default" w:ascii="Dialog" w:hAnsi="Dialog"/>
                <w:sz w:val="28"/>
              </w:rPr>
              <w:t>银行授信评级达到C或C以下，得1分。</w:t>
            </w:r>
          </w:p>
          <w:p>
            <w:pPr>
              <w:spacing w:beforeLines="0" w:afterLines="0"/>
              <w:ind w:left="113"/>
              <w:rPr>
                <w:rFonts w:hint="default" w:ascii="Dialog" w:hAnsi="Dialog"/>
                <w:sz w:val="28"/>
              </w:rPr>
            </w:pPr>
            <w:r>
              <w:rPr>
                <w:rFonts w:hint="default" w:ascii="Dialog" w:hAnsi="Dialog"/>
                <w:sz w:val="28"/>
              </w:rPr>
              <w:t>未提供银行授信评级，得0分。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40" w:hRule="atLeast"/>
          <w:jc w:val="center"/>
        </w:trPr>
        <w:tc>
          <w:tcPr>
            <w:tcW w:w="827"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3</w:t>
            </w:r>
          </w:p>
        </w:tc>
        <w:tc>
          <w:tcPr>
            <w:tcW w:w="161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保障能力</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服务保障能力（企业质量管理机制）</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根据各投标单位提供的企业质量管理机制证明材料，横向比较所有有效投标人情况：</w:t>
            </w:r>
          </w:p>
          <w:p>
            <w:pPr>
              <w:spacing w:beforeLines="0" w:afterLines="0"/>
              <w:ind w:left="113"/>
              <w:rPr>
                <w:rFonts w:hint="default" w:ascii="Dialog" w:hAnsi="Dialog"/>
                <w:sz w:val="28"/>
              </w:rPr>
            </w:pPr>
            <w:r>
              <w:rPr>
                <w:rFonts w:hint="default" w:ascii="Dialog" w:hAnsi="Dialog"/>
                <w:sz w:val="28"/>
              </w:rPr>
              <w:t>具有完备的企业质量管理体系、机制及措施，日常工作中常态化应用，并能根据过程问题持续改进，得8-5分；</w:t>
            </w:r>
          </w:p>
          <w:p>
            <w:pPr>
              <w:spacing w:beforeLines="0" w:afterLines="0"/>
              <w:ind w:left="113"/>
              <w:rPr>
                <w:rFonts w:hint="default" w:ascii="Dialog" w:hAnsi="Dialog"/>
                <w:sz w:val="28"/>
              </w:rPr>
            </w:pPr>
            <w:r>
              <w:rPr>
                <w:rFonts w:hint="default" w:ascii="Dialog" w:hAnsi="Dialog"/>
                <w:sz w:val="28"/>
              </w:rPr>
              <w:t>建立企业质量管理体系、机制及措施，日常工作中常态化应用，并能根据过程问题持续改进，但有关体系、机制及措施完备度一般，得4-1分；</w:t>
            </w:r>
          </w:p>
          <w:p>
            <w:pPr>
              <w:spacing w:beforeLines="0" w:afterLines="0"/>
              <w:ind w:left="113"/>
              <w:rPr>
                <w:rFonts w:hint="default" w:ascii="Dialog" w:hAnsi="Dialog"/>
                <w:sz w:val="28"/>
              </w:rPr>
            </w:pPr>
            <w:r>
              <w:rPr>
                <w:rFonts w:hint="default" w:ascii="Dialog" w:hAnsi="Dialog"/>
                <w:sz w:val="28"/>
              </w:rPr>
              <w:t>未建立企业质量管理体系、机制及措施，得0分。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0-8分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6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服务保障能力（质量管理过程方法应用情况）</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根据各投标单位提供的质量管理过程方法应用情况证明材料，横向比较所有有效投标人情况：</w:t>
            </w:r>
          </w:p>
          <w:p>
            <w:pPr>
              <w:spacing w:beforeLines="0" w:afterLines="0"/>
              <w:ind w:left="113"/>
              <w:rPr>
                <w:rFonts w:hint="default" w:ascii="Dialog" w:hAnsi="Dialog"/>
                <w:sz w:val="28"/>
              </w:rPr>
            </w:pPr>
            <w:r>
              <w:rPr>
                <w:rFonts w:hint="default" w:ascii="Dialog" w:hAnsi="Dialog"/>
                <w:sz w:val="28"/>
              </w:rPr>
              <w:t>具有完备的企业质量管理过程方法，日常工作中常态化应用，并能根据过程问题持续改进，得8-5分；</w:t>
            </w:r>
          </w:p>
          <w:p>
            <w:pPr>
              <w:spacing w:beforeLines="0" w:afterLines="0"/>
              <w:ind w:left="113"/>
              <w:rPr>
                <w:rFonts w:hint="default" w:ascii="Dialog" w:hAnsi="Dialog"/>
                <w:sz w:val="28"/>
              </w:rPr>
            </w:pPr>
            <w:r>
              <w:rPr>
                <w:rFonts w:hint="default" w:ascii="Dialog" w:hAnsi="Dialog"/>
                <w:sz w:val="28"/>
              </w:rPr>
              <w:t>制定企业质量管理过程方法，日常工作中常态化应用，但有关方法举措一般，得4-1分；</w:t>
            </w:r>
          </w:p>
          <w:p>
            <w:pPr>
              <w:spacing w:beforeLines="0" w:afterLines="0"/>
              <w:ind w:left="113"/>
              <w:rPr>
                <w:rFonts w:hint="default" w:ascii="Dialog" w:hAnsi="Dialog"/>
                <w:sz w:val="28"/>
              </w:rPr>
            </w:pPr>
            <w:r>
              <w:rPr>
                <w:rFonts w:hint="default" w:ascii="Dialog" w:hAnsi="Dialog"/>
                <w:sz w:val="28"/>
              </w:rPr>
              <w:t>未制定企业质量管理过程方法，得0分。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0-8分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80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交付保障能力（风险和机遇的应对机制及措施）</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采取的任何风险和机遇的应对机制及措施都应与其对产品、服务的符合性和顾客满意的潜在影响相适应。其中：</w:t>
            </w:r>
          </w:p>
          <w:p>
            <w:pPr>
              <w:spacing w:beforeLines="0" w:afterLines="0"/>
              <w:ind w:left="113"/>
              <w:rPr>
                <w:rFonts w:hint="default" w:ascii="Dialog" w:hAnsi="Dialog"/>
                <w:sz w:val="28"/>
              </w:rPr>
            </w:pPr>
            <w:r>
              <w:rPr>
                <w:rFonts w:hint="default" w:ascii="Dialog" w:hAnsi="Dialog"/>
                <w:sz w:val="28"/>
              </w:rPr>
              <w:t>具有完备的企业风险和机遇应对机制及措施，机制与措施能确保质量管理体系实现期望的结果；能稳定地实现产品、服务符合要求和顾客满意；预防或减少非预期的影响；实现持续改进，得10-7分；</w:t>
            </w:r>
          </w:p>
          <w:p>
            <w:pPr>
              <w:spacing w:beforeLines="0" w:afterLines="0"/>
              <w:ind w:left="113"/>
              <w:rPr>
                <w:rFonts w:hint="default" w:ascii="Dialog" w:hAnsi="Dialog"/>
                <w:sz w:val="28"/>
              </w:rPr>
            </w:pPr>
            <w:r>
              <w:rPr>
                <w:rFonts w:hint="default" w:ascii="Dialog" w:hAnsi="Dialog"/>
                <w:sz w:val="28"/>
              </w:rPr>
              <w:t>具有企业风险和机遇应对机制及措施，机制与措施能确保质量管理体系实现期望的结果；能稳定地实现产品、服务符合要求和顾客满意；预防或减少非预期的影响；未具备持续改进，得6-3分；</w:t>
            </w:r>
          </w:p>
          <w:p>
            <w:pPr>
              <w:spacing w:beforeLines="0" w:afterLines="0"/>
              <w:ind w:left="113"/>
              <w:rPr>
                <w:rFonts w:hint="default" w:ascii="Dialog" w:hAnsi="Dialog"/>
                <w:sz w:val="28"/>
              </w:rPr>
            </w:pPr>
            <w:r>
              <w:rPr>
                <w:rFonts w:hint="default" w:ascii="Dialog" w:hAnsi="Dialog"/>
                <w:sz w:val="28"/>
              </w:rPr>
              <w:t>制定企业风险和机遇应对机制及措施，但有关机制与措施管理粗犷，管控效果一般，得2-1分；</w:t>
            </w:r>
          </w:p>
          <w:p>
            <w:pPr>
              <w:spacing w:beforeLines="0" w:afterLines="0"/>
              <w:ind w:left="113"/>
              <w:rPr>
                <w:rFonts w:hint="default" w:ascii="Dialog" w:hAnsi="Dialog"/>
                <w:sz w:val="28"/>
              </w:rPr>
            </w:pPr>
            <w:r>
              <w:rPr>
                <w:rFonts w:hint="default" w:ascii="Dialog" w:hAnsi="Dialog"/>
                <w:sz w:val="28"/>
              </w:rPr>
              <w:t>未制定企业风险和机遇应对措施，得0分。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48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交付保障能力（不合格工作交付控制）</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根据各投标单位提供的不合格工作交付控制证明材料，横向比较所有有效投标人情况：</w:t>
            </w:r>
          </w:p>
          <w:p>
            <w:pPr>
              <w:spacing w:beforeLines="0" w:afterLines="0"/>
              <w:ind w:left="113"/>
              <w:rPr>
                <w:rFonts w:hint="default" w:ascii="Dialog" w:hAnsi="Dialog"/>
                <w:sz w:val="28"/>
              </w:rPr>
            </w:pPr>
            <w:r>
              <w:rPr>
                <w:rFonts w:hint="default" w:ascii="Dialog" w:hAnsi="Dialog"/>
                <w:sz w:val="28"/>
              </w:rPr>
              <w:t>具备完善的不合格工作交付识别和控制能力，能有效防止其非预期对使用或交付，具备交付后应急方案，得8-5分；</w:t>
            </w:r>
          </w:p>
          <w:p>
            <w:pPr>
              <w:spacing w:beforeLines="0" w:afterLines="0"/>
              <w:ind w:left="113"/>
              <w:rPr>
                <w:rFonts w:hint="default" w:ascii="Dialog" w:hAnsi="Dialog"/>
                <w:sz w:val="28"/>
              </w:rPr>
            </w:pPr>
            <w:r>
              <w:rPr>
                <w:rFonts w:hint="default" w:ascii="Dialog" w:hAnsi="Dialog"/>
                <w:sz w:val="28"/>
              </w:rPr>
              <w:t>不合格工作交付识别和控制存在随意性，防止其非预期的使用或交付存在风险，得4-1分；</w:t>
            </w:r>
          </w:p>
          <w:p>
            <w:pPr>
              <w:spacing w:beforeLines="0" w:afterLines="0"/>
              <w:ind w:left="113"/>
              <w:rPr>
                <w:rFonts w:hint="default" w:ascii="Dialog" w:hAnsi="Dialog"/>
                <w:sz w:val="28"/>
              </w:rPr>
            </w:pPr>
            <w:r>
              <w:rPr>
                <w:rFonts w:hint="default" w:ascii="Dialog" w:hAnsi="Dialog"/>
                <w:sz w:val="28"/>
              </w:rPr>
              <w:t>未具备不合格工作交付识别和控制举措，不能防止其非预期的使用或交付，得0分。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0-8分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480" w:hRule="atLeast"/>
          <w:jc w:val="center"/>
        </w:trPr>
        <w:tc>
          <w:tcPr>
            <w:tcW w:w="827"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4</w:t>
            </w:r>
          </w:p>
        </w:tc>
        <w:tc>
          <w:tcPr>
            <w:tcW w:w="161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客户服务</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服务支持（服务支持体系及机制）</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根据各投标单位提供的服务支持体系及机制证明材料，横向比较所有有效投标人情况：</w:t>
            </w:r>
          </w:p>
          <w:p>
            <w:pPr>
              <w:spacing w:beforeLines="0" w:afterLines="0"/>
              <w:ind w:left="113"/>
              <w:rPr>
                <w:rFonts w:hint="default" w:ascii="Dialog" w:hAnsi="Dialog"/>
                <w:sz w:val="28"/>
              </w:rPr>
            </w:pPr>
            <w:r>
              <w:rPr>
                <w:rFonts w:hint="default" w:ascii="Dialog" w:hAnsi="Dialog"/>
                <w:sz w:val="28"/>
              </w:rPr>
              <w:t>建立服务及售后响应体系与机制，制定紧急计划并细化到关键工序等方面，实现标准化管理，客户满意程度，其中：</w:t>
            </w:r>
          </w:p>
          <w:p>
            <w:pPr>
              <w:spacing w:beforeLines="0" w:afterLines="0"/>
              <w:ind w:left="113"/>
              <w:rPr>
                <w:rFonts w:hint="default" w:ascii="Dialog" w:hAnsi="Dialog"/>
                <w:sz w:val="28"/>
              </w:rPr>
            </w:pPr>
            <w:r>
              <w:rPr>
                <w:rFonts w:hint="default" w:ascii="Dialog" w:hAnsi="Dialog"/>
                <w:sz w:val="28"/>
              </w:rPr>
              <w:t>建立完善服务及售后响应体系与机制，紧急计划完善，并细化到关键工序等方面，实现标准化管理，客户满意度优秀或95分及以上，得8分；</w:t>
            </w:r>
          </w:p>
          <w:p>
            <w:pPr>
              <w:spacing w:beforeLines="0" w:afterLines="0"/>
              <w:ind w:left="113"/>
              <w:rPr>
                <w:rFonts w:hint="default" w:ascii="Dialog" w:hAnsi="Dialog"/>
                <w:sz w:val="28"/>
              </w:rPr>
            </w:pPr>
            <w:r>
              <w:rPr>
                <w:rFonts w:hint="default" w:ascii="Dialog" w:hAnsi="Dialog"/>
                <w:sz w:val="28"/>
              </w:rPr>
              <w:t>建立服务及售后响应体系与机制，紧急计划内容全面，实际运用有详实的记录，执行情况良好，顾客满意度良好或90-94分，得6分；</w:t>
            </w:r>
          </w:p>
          <w:p>
            <w:pPr>
              <w:spacing w:beforeLines="0" w:afterLines="0"/>
              <w:ind w:left="113"/>
              <w:rPr>
                <w:rFonts w:hint="default" w:ascii="Dialog" w:hAnsi="Dialog"/>
                <w:sz w:val="28"/>
              </w:rPr>
            </w:pPr>
            <w:r>
              <w:rPr>
                <w:rFonts w:hint="default" w:ascii="Dialog" w:hAnsi="Dialog"/>
                <w:sz w:val="28"/>
              </w:rPr>
              <w:t>未建立服务及售后响应体系与机制，未制定全面的紧急计划，有对客户抱怨制定的纳入到程序文件中的紧急计划，顾客满意度中等或80-89分，得4分；</w:t>
            </w:r>
          </w:p>
          <w:p>
            <w:pPr>
              <w:spacing w:beforeLines="0" w:afterLines="0"/>
              <w:ind w:left="113"/>
              <w:rPr>
                <w:rFonts w:hint="default" w:ascii="Dialog" w:hAnsi="Dialog"/>
                <w:sz w:val="28"/>
              </w:rPr>
            </w:pPr>
            <w:r>
              <w:rPr>
                <w:rFonts w:hint="default" w:ascii="Dialog" w:hAnsi="Dialog"/>
                <w:sz w:val="28"/>
              </w:rPr>
              <w:t>未建立服务及售后响应体系与机制，未制定全面的紧急计划，有对顾客抱怨制定的相关紧急计划，但没有纳入到程序文件中执行，顾客满意度一般或70-79分，得2分；</w:t>
            </w:r>
          </w:p>
          <w:p>
            <w:pPr>
              <w:spacing w:beforeLines="0" w:afterLines="0"/>
              <w:ind w:left="113"/>
              <w:rPr>
                <w:rFonts w:hint="default" w:ascii="Dialog" w:hAnsi="Dialog"/>
                <w:sz w:val="28"/>
              </w:rPr>
            </w:pPr>
            <w:r>
              <w:rPr>
                <w:rFonts w:hint="default" w:ascii="Dialog" w:hAnsi="Dialog"/>
                <w:sz w:val="28"/>
              </w:rPr>
              <w:t>未建立服务及售后响应体系与机制，未制定全面的紧急计划，缺乏对顾客抱怨制定的文件性紧急计划，得0分。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0-8分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64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服务团队</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服务团队情况，其中：</w:t>
            </w:r>
          </w:p>
          <w:p>
            <w:pPr>
              <w:spacing w:beforeLines="0" w:afterLines="0"/>
              <w:ind w:left="113"/>
              <w:rPr>
                <w:rFonts w:hint="default" w:ascii="Dialog" w:hAnsi="Dialog"/>
                <w:sz w:val="28"/>
              </w:rPr>
            </w:pPr>
            <w:r>
              <w:rPr>
                <w:rFonts w:hint="default" w:ascii="Dialog" w:hAnsi="Dialog"/>
                <w:sz w:val="28"/>
              </w:rPr>
              <w:t>1、除在项目所在地设有服务团队外，在国内外建有完备的服务网络，提供4s服务，得10分；</w:t>
            </w:r>
          </w:p>
          <w:p>
            <w:pPr>
              <w:spacing w:beforeLines="0" w:afterLines="0"/>
              <w:ind w:left="113"/>
              <w:rPr>
                <w:rFonts w:hint="default" w:ascii="Dialog" w:hAnsi="Dialog"/>
                <w:sz w:val="28"/>
              </w:rPr>
            </w:pPr>
            <w:r>
              <w:rPr>
                <w:rFonts w:hint="default" w:ascii="Dialog" w:hAnsi="Dialog"/>
                <w:sz w:val="28"/>
              </w:rPr>
              <w:t>2、除在项目所在地设有服务团队外，在国内设有完备的服务网络，当客户出现抱怨或需求时能够及时响应，快速解决，得7分；</w:t>
            </w:r>
          </w:p>
          <w:p>
            <w:pPr>
              <w:spacing w:beforeLines="0" w:afterLines="0"/>
              <w:ind w:left="113"/>
              <w:rPr>
                <w:rFonts w:hint="default" w:ascii="Dialog" w:hAnsi="Dialog"/>
                <w:sz w:val="28"/>
              </w:rPr>
            </w:pPr>
            <w:r>
              <w:rPr>
                <w:rFonts w:hint="default" w:ascii="Dialog" w:hAnsi="Dialog"/>
                <w:sz w:val="28"/>
              </w:rPr>
              <w:t>3、在项目所在地设有服务团队，当客户出现抱怨或需求时，可机动处理，得4分；</w:t>
            </w:r>
          </w:p>
          <w:p>
            <w:pPr>
              <w:spacing w:beforeLines="0" w:afterLines="0"/>
              <w:ind w:left="113"/>
              <w:rPr>
                <w:rFonts w:hint="default" w:ascii="Dialog" w:hAnsi="Dialog"/>
                <w:sz w:val="28"/>
              </w:rPr>
            </w:pPr>
            <w:r>
              <w:rPr>
                <w:rFonts w:hint="default" w:ascii="Dialog" w:hAnsi="Dialog"/>
                <w:sz w:val="28"/>
              </w:rPr>
              <w:t>4、在项目所在地未设有服务团队，或仅提供远程在线服务支持，得1分；</w:t>
            </w:r>
          </w:p>
          <w:p>
            <w:pPr>
              <w:spacing w:beforeLines="0" w:afterLines="0"/>
              <w:ind w:left="113"/>
              <w:rPr>
                <w:rFonts w:hint="default" w:ascii="Dialog" w:hAnsi="Dialog"/>
                <w:sz w:val="28"/>
              </w:rPr>
            </w:pPr>
            <w:r>
              <w:rPr>
                <w:rFonts w:hint="default" w:ascii="Dialog" w:hAnsi="Dialog"/>
                <w:sz w:val="28"/>
              </w:rPr>
              <w:t>其余情况，得0分。（以上需提供服务团队人员社保证明作为证明材料）</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60" w:hRule="atLeast"/>
          <w:jc w:val="center"/>
        </w:trPr>
        <w:tc>
          <w:tcPr>
            <w:tcW w:w="827"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5</w:t>
            </w:r>
          </w:p>
        </w:tc>
        <w:tc>
          <w:tcPr>
            <w:tcW w:w="1616" w:type="dxa"/>
            <w:vMerge w:val="restart"/>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物资仓储</w:t>
            </w: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物资仓储管理</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对投标人提供的物资仓储管理制度、物资养护制度、出入库流程进行横向对比：</w:t>
            </w:r>
          </w:p>
          <w:p>
            <w:pPr>
              <w:spacing w:beforeLines="0" w:afterLines="0"/>
              <w:ind w:left="113"/>
              <w:rPr>
                <w:rFonts w:hint="default" w:ascii="Dialog" w:hAnsi="Dialog"/>
                <w:sz w:val="28"/>
              </w:rPr>
            </w:pPr>
            <w:r>
              <w:rPr>
                <w:rFonts w:hint="default" w:ascii="Dialog" w:hAnsi="Dialog"/>
                <w:sz w:val="28"/>
              </w:rPr>
              <w:t>物资仓储管理制度和出入库流程规范，物资存储保障性高，得6分；</w:t>
            </w:r>
          </w:p>
          <w:p>
            <w:pPr>
              <w:spacing w:beforeLines="0" w:afterLines="0"/>
              <w:ind w:left="113"/>
              <w:rPr>
                <w:rFonts w:hint="default" w:ascii="Dialog" w:hAnsi="Dialog"/>
                <w:sz w:val="28"/>
              </w:rPr>
            </w:pPr>
            <w:r>
              <w:rPr>
                <w:rFonts w:hint="default" w:ascii="Dialog" w:hAnsi="Dialog"/>
                <w:sz w:val="28"/>
              </w:rPr>
              <w:t>物资仓储管理制度和出入库流程规范程度一般，物资存储保障性较低，得3分；</w:t>
            </w:r>
          </w:p>
          <w:p>
            <w:pPr>
              <w:spacing w:beforeLines="0" w:afterLines="0"/>
              <w:ind w:left="113"/>
              <w:rPr>
                <w:rFonts w:hint="default" w:ascii="Dialog" w:hAnsi="Dialog"/>
                <w:sz w:val="28"/>
              </w:rPr>
            </w:pPr>
            <w:r>
              <w:rPr>
                <w:rFonts w:hint="default" w:ascii="Dialog" w:hAnsi="Dialog"/>
                <w:sz w:val="28"/>
              </w:rPr>
              <w:t>未制定合理得物资仓储管理制度和出入库流程的，不得分。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060" w:hRule="atLeast"/>
          <w:jc w:val="center"/>
        </w:trPr>
        <w:tc>
          <w:tcPr>
            <w:tcW w:w="827"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1616" w:type="dxa"/>
            <w:vMerge w:val="continue"/>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rPr>
                <w:rFonts w:hint="default" w:ascii="Dialog" w:hAnsi="Dialog"/>
                <w:sz w:val="28"/>
              </w:rPr>
            </w:pPr>
          </w:p>
        </w:tc>
        <w:tc>
          <w:tcPr>
            <w:tcW w:w="2838"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配送服务</w:t>
            </w:r>
          </w:p>
        </w:tc>
        <w:tc>
          <w:tcPr>
            <w:tcW w:w="305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投标人提供相关配送证明材料：（如果配送服务为第三方服务，需提供与第三方签订的协议或合同）</w:t>
            </w:r>
          </w:p>
          <w:p>
            <w:pPr>
              <w:spacing w:beforeLines="0" w:afterLines="0"/>
              <w:ind w:left="113"/>
              <w:rPr>
                <w:rFonts w:hint="default" w:ascii="Dialog" w:hAnsi="Dialog"/>
                <w:sz w:val="28"/>
              </w:rPr>
            </w:pPr>
            <w:r>
              <w:rPr>
                <w:rFonts w:hint="default" w:ascii="Dialog" w:hAnsi="Dialog"/>
                <w:sz w:val="28"/>
              </w:rPr>
              <w:t>安全配送保障制度完善程度高，能提供自主配送资源，得6分；</w:t>
            </w:r>
          </w:p>
          <w:p>
            <w:pPr>
              <w:spacing w:beforeLines="0" w:afterLines="0"/>
              <w:ind w:left="113"/>
              <w:rPr>
                <w:rFonts w:hint="default" w:ascii="Dialog" w:hAnsi="Dialog"/>
                <w:sz w:val="28"/>
              </w:rPr>
            </w:pPr>
            <w:r>
              <w:rPr>
                <w:rFonts w:hint="default" w:ascii="Dialog" w:hAnsi="Dialog"/>
                <w:sz w:val="28"/>
              </w:rPr>
              <w:t>安全配送制度完善程度较低或通过第三方配送，得3分；</w:t>
            </w:r>
          </w:p>
          <w:p>
            <w:pPr>
              <w:spacing w:beforeLines="0" w:afterLines="0"/>
              <w:ind w:left="113"/>
              <w:rPr>
                <w:rFonts w:hint="default" w:ascii="Dialog" w:hAnsi="Dialog"/>
                <w:sz w:val="28"/>
              </w:rPr>
            </w:pPr>
            <w:r>
              <w:rPr>
                <w:rFonts w:hint="default" w:ascii="Dialog" w:hAnsi="Dialog"/>
                <w:sz w:val="28"/>
              </w:rPr>
              <w:t>无法提供仓储配送或没有安全配送保障制度的不得分。</w:t>
            </w:r>
          </w:p>
        </w:tc>
        <w:tc>
          <w:tcPr>
            <w:tcW w:w="1162"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0-6分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8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top"/>
          </w:tcPr>
          <w:p>
            <w:pPr>
              <w:spacing w:beforeLines="0" w:afterLines="0"/>
              <w:ind w:left="113"/>
              <w:rPr>
                <w:rFonts w:hint="default" w:ascii="Dialog" w:hAnsi="Dialog"/>
                <w:sz w:val="28"/>
              </w:rPr>
            </w:pPr>
            <w:r>
              <w:rPr>
                <w:rFonts w:hint="default" w:ascii="Dialog" w:hAnsi="Dialog"/>
                <w:b/>
                <w:sz w:val="28"/>
              </w:rPr>
              <w:t>技术、商务分计算方法</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top"/>
          </w:tcPr>
          <w:p>
            <w:pPr>
              <w:spacing w:beforeLines="0" w:afterLines="0"/>
              <w:ind w:left="113"/>
              <w:rPr>
                <w:rFonts w:hint="default" w:ascii="Dialog" w:hAnsi="Dialog"/>
                <w:sz w:val="28"/>
              </w:rPr>
            </w:pPr>
            <w:r>
              <w:rPr>
                <w:rFonts w:hint="default" w:ascii="Dialog" w:hAnsi="Dialog"/>
                <w:sz w:val="28"/>
              </w:rPr>
              <w:t>评标专家打分完毕后，计算各标包供应商的技术和商务分时，所有专家打分的平均分作为该供应商的技术和商务得分。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jc w:val="center"/>
        </w:trPr>
        <w:tc>
          <w:tcPr>
            <w:tcW w:w="9497" w:type="dxa"/>
            <w:gridSpan w:val="5"/>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top"/>
          </w:tcPr>
          <w:p>
            <w:pPr>
              <w:spacing w:beforeLines="0" w:afterLines="0"/>
              <w:ind w:left="113"/>
              <w:rPr>
                <w:rFonts w:hint="default" w:ascii="Dialog" w:hAnsi="Dialog"/>
                <w:sz w:val="28"/>
              </w:rPr>
            </w:pPr>
            <w:r>
              <w:rPr>
                <w:rFonts w:hint="default" w:ascii="Dialog" w:hAnsi="Dialog"/>
                <w:b/>
                <w:sz w:val="28"/>
              </w:rPr>
              <w:t>（三）、价格评审（100）分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价格分计算方法名称</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单边法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6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评标基准价计算方法</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1、进入价格分计算的投标人取技术商务加权总分排名前BP%的投标人，按比例HP%、LP%分别去掉最高、最低价格后（当排名前BP%的投标人个数少于等于L个时，不去最高最低价），计算平均价作为Y平均</w:t>
            </w:r>
          </w:p>
          <w:p>
            <w:pPr>
              <w:spacing w:beforeLines="0" w:afterLines="0"/>
              <w:ind w:left="113"/>
              <w:rPr>
                <w:rFonts w:hint="default" w:ascii="Dialog" w:hAnsi="Dialog"/>
                <w:sz w:val="28"/>
              </w:rPr>
            </w:pPr>
            <w:r>
              <w:rPr>
                <w:rFonts w:hint="default" w:ascii="Dialog" w:hAnsi="Dialog"/>
                <w:sz w:val="28"/>
              </w:rPr>
              <w:t>2、计算评标基准价，Y基准＝Y平均×（1-X），X为下浮率，Y基准按四舍五入法保留两位小数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价格分计算公式</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1、Yi为某投标人的投标价格；Qi为计算得分，按四舍五入法保留两位小数</w:t>
            </w:r>
          </w:p>
          <w:p>
            <w:pPr>
              <w:spacing w:beforeLines="0" w:afterLines="0"/>
              <w:ind w:left="113"/>
              <w:rPr>
                <w:rFonts w:hint="default" w:ascii="Dialog" w:hAnsi="Dialog"/>
                <w:sz w:val="28"/>
              </w:rPr>
            </w:pPr>
            <w:r>
              <w:rPr>
                <w:rFonts w:hint="default" w:ascii="Dialog" w:hAnsi="Dialog"/>
                <w:sz w:val="28"/>
              </w:rPr>
              <w:t>2、当Yi＞Y基准，Qi＝报价满分－（Yi－Y基准）/Y基准×报价满分×RH</w:t>
            </w:r>
          </w:p>
          <w:p>
            <w:pPr>
              <w:spacing w:beforeLines="0" w:afterLines="0"/>
              <w:ind w:left="113"/>
              <w:rPr>
                <w:rFonts w:hint="default" w:ascii="Dialog" w:hAnsi="Dialog"/>
                <w:sz w:val="28"/>
              </w:rPr>
            </w:pPr>
            <w:r>
              <w:rPr>
                <w:rFonts w:hint="default" w:ascii="Dialog" w:hAnsi="Dialog"/>
                <w:sz w:val="28"/>
              </w:rPr>
              <w:t>3、当Yi=Y基准，Qi=报价满分</w:t>
            </w:r>
          </w:p>
          <w:p>
            <w:pPr>
              <w:spacing w:beforeLines="0" w:afterLines="0"/>
              <w:ind w:left="113"/>
              <w:rPr>
                <w:rFonts w:hint="default" w:ascii="Dialog" w:hAnsi="Dialog"/>
                <w:sz w:val="28"/>
              </w:rPr>
            </w:pPr>
            <w:r>
              <w:rPr>
                <w:rFonts w:hint="default" w:ascii="Dialog" w:hAnsi="Dialog"/>
                <w:sz w:val="28"/>
              </w:rPr>
              <w:t>4、当Yi＜Y基准，Qi＝报价满分－（Y基准－Yi）/Y基准×报价满分×RL</w:t>
            </w:r>
          </w:p>
          <w:p>
            <w:pPr>
              <w:spacing w:beforeLines="0" w:afterLines="0"/>
              <w:ind w:left="113"/>
              <w:rPr>
                <w:rFonts w:hint="default" w:ascii="Dialog" w:hAnsi="Dialog"/>
                <w:sz w:val="28"/>
              </w:rPr>
            </w:pPr>
            <w:r>
              <w:rPr>
                <w:rFonts w:hint="default" w:ascii="Dialog" w:hAnsi="Dialog"/>
                <w:sz w:val="28"/>
              </w:rPr>
              <w:t>5、当Qi＜0，按Qi=0分计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进入价格评分厂家数量</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本次评标不设置技术商务末位淘汰。进入技术商务评分范围的投标人全部进入价格评分。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6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b/>
                <w:sz w:val="28"/>
              </w:rPr>
              <w:t>参数设置</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ind w:left="113"/>
              <w:rPr>
                <w:rFonts w:hint="default" w:ascii="Dialog" w:hAnsi="Dialog"/>
                <w:sz w:val="28"/>
              </w:rPr>
            </w:pPr>
            <w:r>
              <w:rPr>
                <w:rFonts w:hint="default" w:ascii="Dialog" w:hAnsi="Dialog"/>
                <w:sz w:val="28"/>
              </w:rPr>
              <w:t>1、0%≤X＜100%，X缺省值为2%。</w:t>
            </w:r>
          </w:p>
          <w:p>
            <w:pPr>
              <w:spacing w:beforeLines="0" w:afterLines="0"/>
              <w:ind w:left="113"/>
              <w:rPr>
                <w:rFonts w:hint="default" w:ascii="Dialog" w:hAnsi="Dialog"/>
                <w:sz w:val="28"/>
              </w:rPr>
            </w:pPr>
            <w:r>
              <w:rPr>
                <w:rFonts w:hint="default" w:ascii="Dialog" w:hAnsi="Dialog"/>
                <w:sz w:val="28"/>
              </w:rPr>
              <w:t>2、RL=0。</w:t>
            </w:r>
          </w:p>
          <w:p>
            <w:pPr>
              <w:spacing w:beforeLines="0" w:afterLines="0"/>
              <w:ind w:left="113"/>
              <w:rPr>
                <w:rFonts w:hint="default" w:ascii="Dialog" w:hAnsi="Dialog"/>
                <w:sz w:val="28"/>
              </w:rPr>
            </w:pPr>
            <w:r>
              <w:rPr>
                <w:rFonts w:hint="default" w:ascii="Dialog" w:hAnsi="Dialog"/>
                <w:sz w:val="28"/>
              </w:rPr>
              <w:t>3、0.00≤RH≤100，RH缺省值为1。</w:t>
            </w:r>
          </w:p>
          <w:p>
            <w:pPr>
              <w:spacing w:beforeLines="0" w:afterLines="0"/>
              <w:ind w:left="113"/>
              <w:rPr>
                <w:rFonts w:hint="default" w:ascii="Dialog" w:hAnsi="Dialog"/>
                <w:sz w:val="28"/>
              </w:rPr>
            </w:pPr>
            <w:r>
              <w:rPr>
                <w:rFonts w:hint="default" w:ascii="Dialog" w:hAnsi="Dialog"/>
                <w:sz w:val="28"/>
              </w:rPr>
              <w:t>4、RL＜RH。</w:t>
            </w:r>
          </w:p>
          <w:p>
            <w:pPr>
              <w:spacing w:beforeLines="0" w:afterLines="0"/>
              <w:ind w:left="113"/>
              <w:rPr>
                <w:rFonts w:hint="default" w:ascii="Dialog" w:hAnsi="Dialog"/>
                <w:sz w:val="28"/>
              </w:rPr>
            </w:pPr>
            <w:r>
              <w:rPr>
                <w:rFonts w:hint="default" w:ascii="Dialog" w:hAnsi="Dialog"/>
                <w:sz w:val="28"/>
              </w:rPr>
              <w:t>5、BP%为技术商务分排名靠前的比例，BP%缺省值为80%，进入价格分技术的投标人数量向上取整</w:t>
            </w:r>
          </w:p>
          <w:p>
            <w:pPr>
              <w:spacing w:beforeLines="0" w:afterLines="0"/>
              <w:ind w:left="113"/>
              <w:rPr>
                <w:rFonts w:hint="default" w:ascii="Dialog" w:hAnsi="Dialog"/>
                <w:sz w:val="28"/>
              </w:rPr>
            </w:pPr>
            <w:r>
              <w:rPr>
                <w:rFonts w:hint="default" w:ascii="Dialog" w:hAnsi="Dialog"/>
                <w:sz w:val="28"/>
              </w:rPr>
              <w:t>6、HP%去掉最高价的比例，HP%缺省值为10%，计算结果按四舍五入方法取整。</w:t>
            </w:r>
          </w:p>
          <w:p>
            <w:pPr>
              <w:spacing w:beforeLines="0" w:afterLines="0"/>
              <w:ind w:left="113"/>
              <w:rPr>
                <w:rFonts w:hint="default" w:ascii="Dialog" w:hAnsi="Dialog"/>
                <w:sz w:val="28"/>
              </w:rPr>
            </w:pPr>
            <w:r>
              <w:rPr>
                <w:rFonts w:hint="default" w:ascii="Dialog" w:hAnsi="Dialog"/>
                <w:sz w:val="28"/>
              </w:rPr>
              <w:t>7、LP%为去掉最低价的比例，LP%缺省值为10%，计算结果按四舍五入方法取整。</w:t>
            </w:r>
          </w:p>
          <w:p>
            <w:pPr>
              <w:spacing w:beforeLines="0" w:afterLines="0"/>
              <w:ind w:left="113"/>
              <w:rPr>
                <w:rFonts w:hint="default" w:ascii="Dialog" w:hAnsi="Dialog"/>
                <w:sz w:val="28"/>
              </w:rPr>
            </w:pPr>
            <w:r>
              <w:rPr>
                <w:rFonts w:hint="default" w:ascii="Dialog" w:hAnsi="Dialog"/>
                <w:sz w:val="28"/>
              </w:rPr>
              <w:t>8、L为自定义的供应商数量临界值，L缺省值为6。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下浮率</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BP%</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HP%</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LP%</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L值</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RH</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0" w:hRule="atLeast"/>
          <w:jc w:val="center"/>
        </w:trPr>
        <w:tc>
          <w:tcPr>
            <w:tcW w:w="2443"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b/>
                <w:sz w:val="28"/>
              </w:rPr>
              <w:t>RL</w:t>
            </w:r>
          </w:p>
        </w:tc>
        <w:tc>
          <w:tcPr>
            <w:tcW w:w="7054" w:type="dxa"/>
            <w:gridSpan w:val="3"/>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jc w:val="center"/>
              <w:rPr>
                <w:rFonts w:hint="default" w:ascii="Dialog" w:hAnsi="Dialog"/>
                <w:sz w:val="28"/>
              </w:rPr>
            </w:pPr>
            <w:r>
              <w:rPr>
                <w:rFonts w:hint="default" w:ascii="Dialog" w:hAnsi="Dialog"/>
                <w:sz w:val="28"/>
              </w:rPr>
              <w:t>0</w:t>
            </w:r>
          </w:p>
        </w:tc>
      </w:tr>
      <w:bookmarkEnd w:id="3"/>
    </w:tbl>
    <w:p>
      <w:pPr>
        <w:pStyle w:val="3"/>
        <w:ind w:firstLine="480"/>
        <w:jc w:val="center"/>
        <w:rPr>
          <w:color w:val="000000"/>
          <w:lang w:val="en-US" w:eastAsia="zh-CN"/>
        </w:rPr>
      </w:pPr>
    </w:p>
    <w:p>
      <w:pPr>
        <w:ind w:firstLine="566" w:firstLineChars="236"/>
        <w:jc w:val="both"/>
        <w:rPr>
          <w:rFonts w:ascii="Times New Roman" w:hAnsi="Times New Roman"/>
          <w:color w:val="000000"/>
          <w:sz w:val="24"/>
          <w:szCs w:val="24"/>
          <w:lang w:val="en-US" w:eastAsia="zh-CN"/>
        </w:rPr>
      </w:pPr>
      <w:r>
        <w:rPr>
          <w:rFonts w:hint="eastAsia" w:ascii="Times New Roman" w:hAnsi="Times New Roman"/>
          <w:color w:val="000000"/>
          <w:sz w:val="24"/>
          <w:szCs w:val="24"/>
          <w:lang w:val="en-US" w:eastAsia="zh-CN"/>
        </w:rPr>
        <w:t>3．综合分计算方法</w:t>
      </w:r>
    </w:p>
    <w:p>
      <w:pPr>
        <w:pStyle w:val="3"/>
        <w:adjustRightInd w:val="0"/>
        <w:snapToGrid w:val="0"/>
        <w:spacing w:before="156"/>
        <w:ind w:firstLine="0" w:firstLineChars="0"/>
        <w:jc w:val="both"/>
        <w:rPr>
          <w:rFonts w:hint="eastAsia"/>
          <w:color w:val="000000"/>
          <w:u w:val="single"/>
          <w:lang w:val="en-US" w:eastAsia="zh-CN"/>
        </w:rPr>
      </w:pPr>
      <w:bookmarkStart w:id="4" w:name="XmInfoEntity_ZHFSM_0_1"/>
      <w:r>
        <w:rPr>
          <w:rFonts w:hint="eastAsia"/>
          <w:color w:val="000000"/>
          <w:u w:val="single"/>
          <w:lang w:val="en-US" w:eastAsia="zh-CN"/>
        </w:rPr>
        <w:t>综合分=商务分*商务分所占权重+技术分*技术分所占权重+价格分*价格分所占权重</w:t>
      </w:r>
      <w:bookmarkEnd w:id="4"/>
    </w:p>
    <w:p>
      <w:pPr>
        <w:jc w:val="both"/>
        <w:rPr>
          <w:sz w:val="24"/>
          <w:szCs w:val="24"/>
          <w:lang w:val="en-US" w:eastAsia="zh-CN"/>
        </w:rPr>
      </w:pPr>
    </w:p>
    <w:p>
      <w:pPr>
        <w:jc w:val="both"/>
        <w:rPr>
          <w:sz w:val="24"/>
          <w:szCs w:val="24"/>
          <w:lang w:val="en-US" w:eastAsia="zh-CN"/>
        </w:rPr>
      </w:pPr>
    </w:p>
    <w:p/>
    <w:p/>
    <w:p>
      <w:bookmarkStart w:id="5" w:name="_GoBack"/>
      <w:bookmarkEnd w:id="5"/>
    </w:p>
    <w:sectPr>
      <w:footerReference r:id="rId3" w:type="default"/>
      <w:footerReference r:id="rId4" w:type="even"/>
      <w:pgSz w:w="11906" w:h="16838"/>
      <w:pgMar w:top="1134" w:right="1797" w:bottom="1134" w:left="1797" w:header="851" w:footer="680" w:gutter="0"/>
      <w:pgBorders>
        <w:top w:val="none" w:sz="0" w:space="0"/>
        <w:left w:val="none" w:sz="0" w:space="0"/>
        <w:bottom w:val="none" w:sz="0" w:space="0"/>
        <w:right w:val="none" w:sz="0" w:space="0"/>
      </w:pgBorders>
      <w:pgNumType w:start="2"/>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ialog">
    <w:altName w:val="宋体"/>
    <w:panose1 w:val="00000000000000000000"/>
    <w:charset w:val="00"/>
    <w:family w:val="roman"/>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jc w:val="left"/>
      <w:rPr>
        <w:rStyle w:val="6"/>
        <w:lang w:val="en-US" w:eastAsia="zh-CN"/>
      </w:rPr>
    </w:pPr>
    <w:r>
      <w:rPr>
        <w:rStyle w:val="6"/>
        <w:rFonts w:hint="eastAsia"/>
        <w:lang w:val="en-US" w:eastAsia="zh-CN"/>
      </w:rPr>
      <w:t>第</w:t>
    </w:r>
    <w:r>
      <w:rPr>
        <w:lang w:val="en-US" w:eastAsia="zh-CN"/>
      </w:rPr>
      <w:fldChar w:fldCharType="begin"/>
    </w:r>
    <w:r>
      <w:rPr>
        <w:lang w:val="en-US" w:eastAsia="zh-CN"/>
      </w:rPr>
      <w:instrText xml:space="preserve">PAGE  </w:instrText>
    </w:r>
    <w:r>
      <w:rPr>
        <w:lang w:val="en-US" w:eastAsia="zh-CN"/>
      </w:rPr>
      <w:fldChar w:fldCharType="separate"/>
    </w:r>
    <w:r>
      <w:rPr>
        <w:rStyle w:val="6"/>
      </w:rPr>
      <w:t>11</w:t>
    </w:r>
    <w:r>
      <w:rPr>
        <w:lang w:val="en-US" w:eastAsia="zh-CN"/>
      </w:rPr>
      <w:fldChar w:fldCharType="end"/>
    </w:r>
    <w:r>
      <w:rPr>
        <w:rStyle w:val="6"/>
        <w:rFonts w:hint="eastAsia"/>
        <w:lang w:val="en-US" w:eastAsia="zh-CN"/>
      </w:rPr>
      <w:t>页/共</w:t>
    </w:r>
    <w:r>
      <w:rPr>
        <w:lang w:val="en-US" w:eastAsia="zh-CN"/>
      </w:rPr>
      <w:fldChar w:fldCharType="begin"/>
    </w:r>
    <w:r>
      <w:rPr>
        <w:lang w:val="en-US" w:eastAsia="zh-CN"/>
      </w:rPr>
      <w:instrText xml:space="preserve"> NUMPAGES </w:instrText>
    </w:r>
    <w:r>
      <w:rPr>
        <w:lang w:val="en-US" w:eastAsia="zh-CN"/>
      </w:rPr>
      <w:fldChar w:fldCharType="separate"/>
    </w:r>
    <w:r>
      <w:rPr>
        <w:rStyle w:val="6"/>
      </w:rPr>
      <w:t>13</w:t>
    </w:r>
    <w:r>
      <w:rPr>
        <w:lang w:val="en-US" w:eastAsia="zh-CN"/>
      </w:rPr>
      <w:fldChar w:fldCharType="end"/>
    </w:r>
    <w:r>
      <w:rPr>
        <w:rStyle w:val="6"/>
        <w:rFonts w:hint="eastAsia"/>
        <w:lang w:val="en-US" w:eastAsia="zh-CN"/>
      </w:rPr>
      <w:t>页</w:t>
    </w:r>
  </w:p>
  <w:p>
    <w:pPr>
      <w:pStyle w:val="2"/>
      <w:jc w:val="left"/>
      <w:rPr>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jc w:val="left"/>
      <w:rPr>
        <w:rStyle w:val="6"/>
        <w:lang w:val="en-US" w:eastAsia="zh-CN"/>
      </w:rPr>
    </w:pPr>
    <w:r>
      <w:rPr>
        <w:lang w:val="en-US" w:eastAsia="zh-CN"/>
      </w:rPr>
      <w:fldChar w:fldCharType="begin"/>
    </w:r>
    <w:r>
      <w:rPr>
        <w:lang w:val="en-US" w:eastAsia="zh-CN"/>
      </w:rPr>
      <w:instrText xml:space="preserve">PAGE  </w:instrText>
    </w:r>
    <w:r>
      <w:rPr>
        <w:lang w:val="en-US" w:eastAsia="zh-CN"/>
      </w:rPr>
      <w:fldChar w:fldCharType="separate"/>
    </w:r>
    <w:r>
      <w:rPr>
        <w:lang w:val="en-US" w:eastAsia="zh-CN"/>
      </w:rPr>
      <w:fldChar w:fldCharType="end"/>
    </w:r>
  </w:p>
  <w:p>
    <w:pPr>
      <w:pStyle w:val="2"/>
      <w:jc w:val="left"/>
      <w:rPr>
        <w:lang w:val="en-US" w:eastAsia="zh-C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1OTgwYjkwNzc4YjQ4MTE1ZTVlNjJmYWQyODAwZjcifQ=="/>
  </w:docVars>
  <w:rsids>
    <w:rsidRoot w:val="244C77A0"/>
    <w:rsid w:val="244C7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 w:type="paragraph" w:styleId="3">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character" w:styleId="6">
    <w:name w:val="page numb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2022-12-20T00:18:00Z</dcterms:created>
  <dc:creator>梁凯博</dc:creator>
  <cp:lastModifiedBy>梁凯博</cp:lastModifiedBy>
  <dcterms:modified xsi:type="dcterms:W3CDTF">2022-12-20T00:18:22Z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3E3410B5F15D4C0C8F4E942EBC040E9E</vt:lpwstr>
  </property>
</Properties>
</file>