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  <w:u w:val="none"/>
        </w:rPr>
      </w:pPr>
      <w:r>
        <w:rPr>
          <w:sz w:val="28"/>
          <w:szCs w:val="32"/>
          <w:u w:val="none"/>
        </w:rPr>
        <w:t>技术负责人</w:t>
      </w:r>
    </w:p>
    <w:p>
      <w:pPr>
        <w:jc w:val="both"/>
        <w:rPr>
          <w:rFonts w:hint="eastAsia" w:eastAsiaTheme="minor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1、请根据招标文件评标办法提供担任过合同或结算金额1000万元（含）以上的水利水电安全监测项目技术负责人，提供合同或其他经验证明文件扫描件。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B0F"/>
    <w:rsid w:val="004F0B0F"/>
    <w:rsid w:val="00AD0785"/>
    <w:rsid w:val="1F3E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Zhuozhengsoft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2012-06-22T17:41:00Z</dcterms:created>
  <dc:creator>somebody</dc:creator>
  <cp:lastModifiedBy>尹海庆</cp:lastModifiedBy>
  <dcterms:modified xsi:type="dcterms:W3CDTF">2023-02-22T06:28:10Z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