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32"/>
          <w:u w:val="none"/>
        </w:rPr>
      </w:pPr>
      <w:r>
        <w:rPr>
          <w:sz w:val="28"/>
          <w:szCs w:val="32"/>
          <w:u w:val="none"/>
        </w:rPr>
        <w:t>施工方案</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请根据招标文件评标办法提供仪器设备的检验、率定、埋设、安装、调试方案。</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请根据招标文件评标办法提供施工组织设计方案。</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请根据招标文件评标办法提供配备的施工辅助仪器的合理性。</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请根据招标文件评标办法提供对已埋设仪器、电缆的安全防护措施。</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请根据招标文件评标办法提供仪器电缆敷设方案及穿过堵头的防渗措施。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E8D31D"/>
    <w:multiLevelType w:val="singleLevel"/>
    <w:tmpl w:val="FBE8D31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0B0F"/>
    <w:rsid w:val="004F0B0F"/>
    <w:rsid w:val="00AD0785"/>
    <w:rsid w:val="52B7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Zhuozhengsoft</Company>
  <Pages>1</Pages>
  <Words>0</Words>
  <Characters>0</Characters>
  <Lines>1</Lines>
  <Paragraphs>1</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2012-06-22T17:41:00Z</dcterms:created>
  <dc:creator>somebody</dc:creator>
  <cp:lastModifiedBy>尹海庆</cp:lastModifiedBy>
  <dcterms:modified xsi:type="dcterms:W3CDTF">2023-02-22T06:34:05Z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