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28"/>
          <w:szCs w:val="32"/>
          <w:u w:val="none"/>
        </w:rPr>
      </w:pPr>
      <w:r>
        <w:rPr>
          <w:sz w:val="28"/>
          <w:szCs w:val="32"/>
          <w:u w:val="none"/>
        </w:rPr>
        <w:t>施工进度计划及工期保证措施</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请根据招标文件评标办法提供进度控制关键因素分析及应对措施。</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请根据招标文件评标办法提供施工进度计划的合理性。</w:t>
      </w:r>
    </w:p>
    <w:p>
      <w:pPr>
        <w:numPr>
          <w:ilvl w:val="0"/>
          <w:numId w:val="1"/>
        </w:numPr>
        <w:jc w:val="both"/>
        <w:rPr>
          <w:rFonts w:hint="eastAsia"/>
          <w:sz w:val="28"/>
          <w:szCs w:val="32"/>
          <w:u w:val="none"/>
          <w:lang w:val="en-US" w:eastAsia="zh-CN"/>
        </w:rPr>
      </w:pPr>
      <w:r>
        <w:rPr>
          <w:rFonts w:hint="eastAsia"/>
          <w:sz w:val="28"/>
          <w:szCs w:val="32"/>
          <w:u w:val="none"/>
          <w:lang w:val="en-US" w:eastAsia="zh-CN"/>
        </w:rPr>
        <w:t>请根据招标文件评标办法提供在水道充水前协助保障实现监测自动化的专项措施。</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50EFE3"/>
    <w:multiLevelType w:val="singleLevel"/>
    <w:tmpl w:val="8850EFE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B0F"/>
    <w:rsid w:val="004F0B0F"/>
    <w:rsid w:val="00AD0785"/>
    <w:rsid w:val="3AD815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Zhuozhengsoft</Company>
  <Pages>1</Pages>
  <Words>0</Words>
  <Characters>0</Characters>
  <Lines>1</Lines>
  <Paragraphs>1</Paragraphs>
  <TotalTime>0</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2012-06-22T17:41:00Z</dcterms:created>
  <dc:creator>somebody</dc:creator>
  <cp:lastModifiedBy>尹海庆</cp:lastModifiedBy>
  <dcterms:modified xsi:type="dcterms:W3CDTF">2023-02-22T06:36:10Z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