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组织机构及人员配备</w:t>
      </w:r>
    </w:p>
    <w:p>
      <w:pPr>
        <w:numPr>
          <w:ilvl w:val="0"/>
          <w:numId w:val="1"/>
        </w:numPr>
        <w:jc w:val="both"/>
        <w:rPr>
          <w:rFonts w:hint="default" w:eastAsiaTheme="minor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请根据招标文件评标办法提供组织机构设置。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请根据招标</w:t>
      </w:r>
      <w:bookmarkStart w:id="0" w:name="_GoBack"/>
      <w:bookmarkEnd w:id="0"/>
      <w:r>
        <w:rPr>
          <w:rFonts w:hint="eastAsia"/>
          <w:sz w:val="28"/>
          <w:szCs w:val="32"/>
          <w:u w:val="none"/>
          <w:lang w:val="en-US" w:eastAsia="zh-CN"/>
        </w:rPr>
        <w:t>文件评标办法提供人员配备数量和持证情况。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14E959"/>
    <w:multiLevelType w:val="singleLevel"/>
    <w:tmpl w:val="A314E9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4FCE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