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shd w:val="clear" w:fill="FFFFFF"/>
        </w:rPr>
        <w:t>标的4：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shd w:val="clear" w:fill="FFFFFF"/>
        </w:rPr>
        <w:t>配网委托保供电服务</w:t>
      </w:r>
    </w:p>
    <w:p>
      <w:r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shd w:val="clear" w:fill="FFFFFF"/>
        </w:rPr>
        <w:t>计价依据：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shd w:val="clear" w:fill="FFFFFF"/>
        </w:rPr>
        <w:t>1.对于发电车到场发电的，以广东电行（2020）3号文《广东省电力行业10kV配电网不停电作业收费标准》中、低压移动发电转供系统接入及退出单价按次计取，接入持续运行时长超过24小时，开始计算车辆施工占用费，施工占用费按附录一中的折旧费，按天计算，不足一天按一天计算。值守按实际发生带电技工工日签量，值守人员数量依据施工方案计取。如产生燃油消耗，则按广东电行（2020）3号文《广东省电力行业10kV配电网不停电作业收费标准》附录二“发电台时费明细表”执行，缺项部分按现场发电实际消耗的燃油费签证结算。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shd w:val="clear" w:fill="FFFFFF"/>
        </w:rPr>
        <w:t>2.对于发电车到场未发电的，以签证实际发生的带电技工+电力工程车+发电车计取。带电技工、电力工程车按《20kV及以下配电网工程预算定额2016年版》计取，发电车台班按《广东省电力行业10kV配电网不停电作业收费标准(2019年版)》（广东电行[2020]3号）附录一中台班单价计取。现场勘查按1个带电技工工日签量，施工、值守按实际发生的带电技工工日、电力工程车台班签量，施工人员、值守人员、工程车数量依据施工方案计取。发电车按每12小时计算1个发电车台班签量，据实签量；如发电车为甲供，则无需签量。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shd w:val="clear" w:fill="FFFFFF"/>
        </w:rPr>
        <w:t>3.对于采用了UPS电源车的保供电作业现场，以签证实际发生的带电技工+电力工程车+UPS电源车计取。带电技工、电力工程车按《20kV及以下配电网工程预算定额2016年版》计取，UPS电源车台班按《广东省电力行业10kV配电网不停电作业收费标准(2019年版)》（广东电行[2020]3号）附录一中台班单价计取。现场勘查按1个带电技工工日签量，施工、值守按实际发生的带电技工工日、电力工程车台班签量，施工人员、值守人员、工程车数量依据施工方案计取。UPS电源车按每12小时计算1个UPS电源车台班签量，据实签量；如UPS电源车为甲供，则无需签量。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shd w:val="clear" w:fill="FFFFFF"/>
        </w:rPr>
        <w:t>4.对于采用了发电车+UPS电源车的保供电作业现场，以签证实际发生的带电技工+电力工程车+发电车+UPS电源车计取。带电技工、电力工程车按《20kV及以下配电网工程预算定额2016年版》计取，发电车、UPS电源车台班按《广东省电力行业10kV配电网不停电作业收费标准(2019年版)》（广东电行[2020]3号）附录一中台班单价计取。现场勘查按1个带电技工工日签量，施工、值守按实际发生带电技工工日、电力工程车台班签量，施工人员、值守人员、工程车数量依据施工方案计取。 发电车、UPS电源车按每12小时计算1个发电车、UPS电源车台班签量，据实签量；如发电车、UPS电源车为甲供，则无需签量。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shd w:val="clear" w:fill="FFFFFF"/>
        </w:rPr>
        <w:t>5.如另外增加采用了STS、ATS等特殊保供电设备，该部分设备租赁单价依据市场价按天计算，据实签量。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shd w:val="clear" w:fill="FFFFFF"/>
        </w:rPr>
        <w:t>6.签量时长以甲方通知的要求到场与退场时间为准，如乙方到场晚于要求到场时间，则按实际到场时间开始计算；如乙方退场时间晚于要求退场时间，则按要求退场时间计算。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2226ED"/>
    <w:rsid w:val="2A2226ED"/>
    <w:rsid w:val="65633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2023-03-20T08:32:00Z</dcterms:created>
  <dc:creator>魏佩莹</dc:creator>
  <cp:lastModifiedBy>魏佩莹</cp:lastModifiedBy>
  <dcterms:modified xsi:type="dcterms:W3CDTF">2023-03-24T02:54:25Z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