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360" w:lineRule="auto"/>
        <w:ind w:left="1"/>
        <w:rPr>
          <w:rFonts w:ascii="Times New Roman"/>
          <w:sz w:val="40"/>
          <w:szCs w:val="24"/>
        </w:rPr>
      </w:pPr>
      <w:bookmarkStart w:id="0" w:name="_Toc182908449"/>
      <w:bookmarkStart w:id="1" w:name="_Toc183227357"/>
      <w:r>
        <w:drawing>
          <wp:anchor distT="0" distB="0" distL="114300" distR="114300" simplePos="0" relativeHeight="251659264" behindDoc="1" locked="0" layoutInCell="1" allowOverlap="1">
            <wp:simplePos x="0" y="0"/>
            <wp:positionH relativeFrom="column">
              <wp:posOffset>-1148080</wp:posOffset>
            </wp:positionH>
            <wp:positionV relativeFrom="paragraph">
              <wp:posOffset>-912495</wp:posOffset>
            </wp:positionV>
            <wp:extent cx="7788910" cy="2714625"/>
            <wp:effectExtent l="0" t="0" r="2540" b="9525"/>
            <wp:wrapNone/>
            <wp:docPr id="5" name="图片 5" descr="说明: 广东电网封面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说明: 广东电网封面图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788910" cy="2714625"/>
                    </a:xfrm>
                    <a:prstGeom prst="rect">
                      <a:avLst/>
                    </a:prstGeom>
                    <a:noFill/>
                    <a:ln>
                      <a:noFill/>
                    </a:ln>
                  </pic:spPr>
                </pic:pic>
              </a:graphicData>
            </a:graphic>
          </wp:anchor>
        </w:drawing>
      </w:r>
    </w:p>
    <w:p>
      <w:pPr>
        <w:spacing w:line="360" w:lineRule="auto"/>
        <w:ind w:left="-2394" w:leftChars="-855"/>
        <w:jc w:val="center"/>
        <w:rPr>
          <w:rFonts w:ascii="宋体"/>
          <w:sz w:val="40"/>
        </w:rPr>
      </w:pPr>
    </w:p>
    <w:p>
      <w:pPr>
        <w:spacing w:line="360" w:lineRule="auto"/>
        <w:jc w:val="center"/>
        <w:rPr>
          <w:rFonts w:ascii="宋体"/>
          <w:sz w:val="40"/>
        </w:rPr>
      </w:pPr>
    </w:p>
    <w:p>
      <w:pPr>
        <w:spacing w:line="360" w:lineRule="auto"/>
        <w:jc w:val="center"/>
        <w:rPr>
          <w:rFonts w:ascii="宋体"/>
          <w:sz w:val="40"/>
        </w:rPr>
      </w:pPr>
    </w:p>
    <w:p>
      <w:pPr>
        <w:pStyle w:val="12"/>
        <w:adjustRightInd w:val="0"/>
        <w:snapToGrid w:val="0"/>
        <w:spacing w:before="0" w:beforeLines="-2147483648" w:line="360" w:lineRule="auto"/>
        <w:rPr>
          <w:rFonts w:hint="eastAsia"/>
          <w:color w:val="auto"/>
        </w:rPr>
      </w:pPr>
    </w:p>
    <w:p>
      <w:pPr>
        <w:pStyle w:val="12"/>
        <w:adjustRightInd w:val="0"/>
        <w:snapToGrid w:val="0"/>
        <w:spacing w:before="0" w:beforeLines="-2147483648" w:line="360" w:lineRule="auto"/>
        <w:rPr>
          <w:rFonts w:hint="eastAsia"/>
          <w:color w:val="auto"/>
        </w:rPr>
      </w:pPr>
    </w:p>
    <w:p>
      <w:pPr>
        <w:pStyle w:val="12"/>
        <w:adjustRightInd w:val="0"/>
        <w:snapToGrid w:val="0"/>
        <w:spacing w:before="0" w:beforeLines="-2147483648" w:line="360" w:lineRule="auto"/>
        <w:rPr>
          <w:rFonts w:hint="eastAsia"/>
          <w:color w:val="auto"/>
        </w:rPr>
      </w:pPr>
      <w:r>
        <w:rPr>
          <w:rFonts w:hint="eastAsia"/>
          <w:color w:val="auto"/>
          <w:lang w:val="en-US" w:eastAsia="zh-CN"/>
        </w:rPr>
        <w:t>广东电网有限责任公司</w:t>
      </w:r>
      <w:r>
        <w:rPr>
          <w:rFonts w:hint="eastAsia"/>
          <w:color w:val="auto"/>
        </w:rPr>
        <w:t>800kW/10.5kV柴油发电机（含控制及差动保护装置）</w:t>
      </w:r>
    </w:p>
    <w:p>
      <w:pPr>
        <w:pStyle w:val="12"/>
        <w:adjustRightInd w:val="0"/>
        <w:snapToGrid w:val="0"/>
        <w:spacing w:before="0" w:beforeLines="-2147483648" w:line="360" w:lineRule="auto"/>
        <w:rPr>
          <w:rFonts w:hint="default" w:eastAsia="黑体"/>
          <w:color w:val="auto"/>
          <w:szCs w:val="52"/>
          <w:lang w:val="en-US" w:eastAsia="zh-CN"/>
        </w:rPr>
      </w:pPr>
      <w:r>
        <w:rPr>
          <w:rFonts w:hint="eastAsia"/>
          <w:color w:val="auto"/>
          <w:szCs w:val="24"/>
          <w:lang w:val="en-US" w:eastAsia="zh-CN"/>
        </w:rPr>
        <w:t>技术规范书</w:t>
      </w:r>
    </w:p>
    <w:p>
      <w:pPr>
        <w:spacing w:line="360" w:lineRule="auto"/>
        <w:jc w:val="both"/>
        <w:rPr>
          <w:rFonts w:ascii="宋体"/>
          <w:b/>
          <w:sz w:val="26"/>
          <w:szCs w:val="26"/>
        </w:rPr>
      </w:pPr>
    </w:p>
    <w:p>
      <w:pPr>
        <w:spacing w:line="360" w:lineRule="auto"/>
        <w:jc w:val="center"/>
        <w:rPr>
          <w:rFonts w:ascii="宋体"/>
          <w:b/>
          <w:sz w:val="26"/>
          <w:szCs w:val="26"/>
        </w:rPr>
      </w:pPr>
    </w:p>
    <w:p>
      <w:pPr>
        <w:spacing w:line="360" w:lineRule="auto"/>
        <w:jc w:val="center"/>
        <w:rPr>
          <w:rFonts w:ascii="宋体"/>
          <w:b/>
          <w:sz w:val="26"/>
          <w:szCs w:val="26"/>
        </w:rPr>
      </w:pPr>
    </w:p>
    <w:p>
      <w:pPr>
        <w:spacing w:line="360" w:lineRule="auto"/>
        <w:jc w:val="center"/>
        <w:rPr>
          <w:rFonts w:ascii="宋体"/>
          <w:b/>
          <w:sz w:val="26"/>
          <w:szCs w:val="26"/>
        </w:rPr>
      </w:pPr>
    </w:p>
    <w:p>
      <w:pPr>
        <w:spacing w:line="360" w:lineRule="auto"/>
        <w:jc w:val="center"/>
        <w:rPr>
          <w:rFonts w:ascii="宋体"/>
          <w:b/>
          <w:sz w:val="26"/>
          <w:szCs w:val="26"/>
        </w:rPr>
      </w:pPr>
    </w:p>
    <w:p>
      <w:pPr>
        <w:spacing w:line="360" w:lineRule="auto"/>
        <w:rPr>
          <w:rFonts w:ascii="宋体"/>
          <w:b/>
          <w:sz w:val="26"/>
          <w:szCs w:val="26"/>
        </w:rPr>
      </w:pPr>
    </w:p>
    <w:p>
      <w:pPr>
        <w:spacing w:after="190" w:afterLines="50" w:line="360" w:lineRule="auto"/>
        <w:jc w:val="center"/>
        <w:rPr>
          <w:rFonts w:hint="default" w:eastAsia="黑体"/>
          <w:b/>
          <w:bCs/>
          <w:sz w:val="40"/>
          <w:szCs w:val="40"/>
          <w:lang w:val="en-US" w:eastAsia="zh-CN"/>
        </w:rPr>
      </w:pPr>
      <w:r>
        <w:rPr>
          <w:rFonts w:eastAsia="黑体"/>
          <w:b/>
          <w:bCs/>
          <w:sz w:val="40"/>
          <w:szCs w:val="40"/>
        </w:rPr>
        <w:t>广东电网</w:t>
      </w:r>
      <w:r>
        <w:rPr>
          <w:rFonts w:hint="eastAsia" w:eastAsia="黑体"/>
          <w:b/>
          <w:bCs/>
          <w:sz w:val="40"/>
          <w:szCs w:val="40"/>
        </w:rPr>
        <w:t>有限责任</w:t>
      </w:r>
      <w:r>
        <w:rPr>
          <w:rFonts w:eastAsia="黑体"/>
          <w:b/>
          <w:bCs/>
          <w:sz w:val="40"/>
          <w:szCs w:val="40"/>
        </w:rPr>
        <w:t>公司</w:t>
      </w:r>
    </w:p>
    <w:p>
      <w:pPr>
        <w:spacing w:line="360" w:lineRule="auto"/>
        <w:jc w:val="center"/>
        <w:rPr>
          <w:rFonts w:ascii="宋体"/>
          <w:szCs w:val="28"/>
        </w:rPr>
      </w:pPr>
      <w:r>
        <w:rPr>
          <w:rFonts w:hint="eastAsia" w:eastAsia="黑体"/>
          <w:b/>
          <w:bCs/>
          <w:sz w:val="40"/>
          <w:szCs w:val="40"/>
          <w:lang w:val="en-US" w:eastAsia="zh-CN"/>
        </w:rPr>
        <w:t>2023</w:t>
      </w:r>
      <w:r>
        <w:rPr>
          <w:rFonts w:eastAsia="黑体"/>
          <w:b/>
          <w:bCs/>
          <w:sz w:val="40"/>
          <w:szCs w:val="40"/>
        </w:rPr>
        <w:t>年</w:t>
      </w:r>
      <w:r>
        <w:rPr>
          <w:rFonts w:hint="eastAsia" w:eastAsia="黑体"/>
          <w:b/>
          <w:bCs/>
          <w:sz w:val="40"/>
          <w:szCs w:val="40"/>
          <w:lang w:val="en-US" w:eastAsia="zh-CN"/>
        </w:rPr>
        <w:t>5</w:t>
      </w:r>
      <w:r>
        <w:rPr>
          <w:rFonts w:eastAsia="黑体"/>
          <w:b/>
          <w:bCs/>
          <w:sz w:val="40"/>
          <w:szCs w:val="40"/>
        </w:rPr>
        <w:t>月</w:t>
      </w:r>
    </w:p>
    <w:p>
      <w:pPr>
        <w:widowControl/>
        <w:jc w:val="left"/>
        <w:rPr>
          <w:kern w:val="0"/>
          <w:szCs w:val="20"/>
        </w:rPr>
      </w:pPr>
    </w:p>
    <w:p>
      <w:pPr>
        <w:widowControl/>
        <w:jc w:val="left"/>
        <w:rPr>
          <w:kern w:val="0"/>
          <w:szCs w:val="20"/>
        </w:rPr>
      </w:pPr>
    </w:p>
    <w:p>
      <w:pPr>
        <w:widowControl/>
        <w:jc w:val="left"/>
        <w:rPr>
          <w:kern w:val="0"/>
          <w:szCs w:val="20"/>
        </w:rPr>
      </w:pPr>
    </w:p>
    <w:p>
      <w:pPr>
        <w:pStyle w:val="13"/>
        <w:spacing w:line="360" w:lineRule="auto"/>
        <w:ind w:firstLine="0" w:firstLineChars="0"/>
        <w:jc w:val="center"/>
        <w:rPr>
          <w:kern w:val="2"/>
          <w:sz w:val="36"/>
          <w:szCs w:val="36"/>
        </w:rPr>
      </w:pPr>
      <w:r>
        <w:rPr>
          <w:rFonts w:hint="eastAsia"/>
          <w:kern w:val="2"/>
          <w:sz w:val="36"/>
          <w:szCs w:val="36"/>
        </w:rPr>
        <w:t>目  录</w:t>
      </w:r>
    </w:p>
    <w:p>
      <w:pPr>
        <w:pStyle w:val="13"/>
        <w:spacing w:line="360" w:lineRule="auto"/>
        <w:ind w:firstLine="0" w:firstLineChars="0"/>
        <w:jc w:val="center"/>
        <w:rPr>
          <w:kern w:val="2"/>
          <w:sz w:val="36"/>
          <w:szCs w:val="36"/>
        </w:rPr>
      </w:pPr>
    </w:p>
    <w:p>
      <w:pPr>
        <w:pStyle w:val="7"/>
        <w:tabs>
          <w:tab w:val="right" w:leader="dot" w:pos="9027"/>
          <w:tab w:val="clear" w:pos="420"/>
          <w:tab w:val="clear" w:pos="8587"/>
          <w:tab w:val="clear" w:pos="9119"/>
        </w:tabs>
      </w:pPr>
      <w:r>
        <w:rPr>
          <w:kern w:val="2"/>
          <w:sz w:val="36"/>
          <w:szCs w:val="36"/>
        </w:rPr>
        <w:fldChar w:fldCharType="begin"/>
      </w:r>
      <w:r>
        <w:rPr>
          <w:rFonts w:hint="eastAsia"/>
          <w:kern w:val="2"/>
          <w:sz w:val="36"/>
          <w:szCs w:val="36"/>
        </w:rPr>
        <w:instrText xml:space="preserve">TOC \o "1-2" \h \z \u</w:instrText>
      </w:r>
      <w:r>
        <w:rPr>
          <w:kern w:val="2"/>
          <w:sz w:val="36"/>
          <w:szCs w:val="36"/>
        </w:rPr>
        <w:fldChar w:fldCharType="separate"/>
      </w:r>
      <w:r>
        <w:rPr>
          <w:kern w:val="2"/>
          <w:szCs w:val="36"/>
        </w:rPr>
        <w:fldChar w:fldCharType="begin"/>
      </w:r>
      <w:r>
        <w:rPr>
          <w:kern w:val="2"/>
          <w:szCs w:val="36"/>
        </w:rPr>
        <w:instrText xml:space="preserve"> HYPERLINK \l _Toc11439 </w:instrText>
      </w:r>
      <w:r>
        <w:rPr>
          <w:kern w:val="2"/>
          <w:szCs w:val="36"/>
        </w:rPr>
        <w:fldChar w:fldCharType="separate"/>
      </w:r>
      <w:r>
        <w:rPr>
          <w:rFonts w:hint="eastAsia"/>
        </w:rPr>
        <w:t>1 总则</w:t>
      </w:r>
      <w:r>
        <w:tab/>
      </w:r>
      <w:r>
        <w:fldChar w:fldCharType="begin"/>
      </w:r>
      <w:r>
        <w:instrText xml:space="preserve"> PAGEREF _Toc11439 \h </w:instrText>
      </w:r>
      <w:r>
        <w:fldChar w:fldCharType="separate"/>
      </w:r>
      <w:r>
        <w:t>1</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_Toc13005 </w:instrText>
      </w:r>
      <w:r>
        <w:rPr>
          <w:kern w:val="2"/>
          <w:szCs w:val="36"/>
        </w:rPr>
        <w:fldChar w:fldCharType="separate"/>
      </w:r>
      <w:r>
        <w:t>2</w:t>
      </w:r>
      <w:r>
        <w:rPr>
          <w:rFonts w:hint="eastAsia"/>
        </w:rPr>
        <w:t xml:space="preserve"> 使用环境条件</w:t>
      </w:r>
      <w:r>
        <w:tab/>
      </w:r>
      <w:r>
        <w:fldChar w:fldCharType="begin"/>
      </w:r>
      <w:r>
        <w:instrText xml:space="preserve"> PAGEREF _Toc13005 \h </w:instrText>
      </w:r>
      <w:r>
        <w:fldChar w:fldCharType="separate"/>
      </w:r>
      <w:r>
        <w:t>1</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_Toc29350 </w:instrText>
      </w:r>
      <w:r>
        <w:rPr>
          <w:kern w:val="2"/>
          <w:szCs w:val="36"/>
        </w:rPr>
        <w:fldChar w:fldCharType="separate"/>
      </w:r>
      <w:r>
        <w:rPr>
          <w:rFonts w:hint="eastAsia"/>
        </w:rPr>
        <w:t>3 标的物清单</w:t>
      </w:r>
      <w:r>
        <w:tab/>
      </w:r>
      <w:r>
        <w:fldChar w:fldCharType="begin"/>
      </w:r>
      <w:r>
        <w:instrText xml:space="preserve"> PAGEREF _Toc29350 \h </w:instrText>
      </w:r>
      <w:r>
        <w:fldChar w:fldCharType="separate"/>
      </w:r>
      <w:r>
        <w:t>2</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_Toc3185 </w:instrText>
      </w:r>
      <w:r>
        <w:rPr>
          <w:kern w:val="2"/>
          <w:szCs w:val="36"/>
        </w:rPr>
        <w:fldChar w:fldCharType="separate"/>
      </w:r>
      <w:r>
        <w:rPr>
          <w:rFonts w:hint="eastAsia"/>
        </w:rPr>
        <w:t>4 技术要求</w:t>
      </w:r>
      <w:r>
        <w:tab/>
      </w:r>
      <w:r>
        <w:fldChar w:fldCharType="begin"/>
      </w:r>
      <w:r>
        <w:instrText xml:space="preserve"> PAGEREF _Toc3185 \h </w:instrText>
      </w:r>
      <w:r>
        <w:fldChar w:fldCharType="separate"/>
      </w:r>
      <w:r>
        <w:t>2</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_Toc3871 </w:instrText>
      </w:r>
      <w:r>
        <w:rPr>
          <w:kern w:val="2"/>
          <w:szCs w:val="36"/>
        </w:rPr>
        <w:fldChar w:fldCharType="separate"/>
      </w:r>
      <w:r>
        <w:rPr>
          <w:rFonts w:hint="eastAsia"/>
        </w:rPr>
        <w:t>5 颜色、标识</w:t>
      </w:r>
      <w:r>
        <w:tab/>
      </w:r>
      <w:r>
        <w:fldChar w:fldCharType="begin"/>
      </w:r>
      <w:r>
        <w:instrText xml:space="preserve"> PAGEREF _Toc3871 \h </w:instrText>
      </w:r>
      <w:r>
        <w:fldChar w:fldCharType="separate"/>
      </w:r>
      <w:r>
        <w:t>4</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_Toc14112 </w:instrText>
      </w:r>
      <w:r>
        <w:rPr>
          <w:kern w:val="2"/>
          <w:szCs w:val="36"/>
        </w:rPr>
        <w:fldChar w:fldCharType="separate"/>
      </w:r>
      <w:r>
        <w:rPr>
          <w:rFonts w:hint="eastAsia"/>
        </w:rPr>
        <w:t>6 技术培训</w:t>
      </w:r>
      <w:r>
        <w:tab/>
      </w:r>
      <w:r>
        <w:fldChar w:fldCharType="begin"/>
      </w:r>
      <w:r>
        <w:instrText xml:space="preserve"> PAGEREF _Toc14112 \h </w:instrText>
      </w:r>
      <w:r>
        <w:fldChar w:fldCharType="separate"/>
      </w:r>
      <w:r>
        <w:t>4</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_Toc20003 </w:instrText>
      </w:r>
      <w:r>
        <w:rPr>
          <w:kern w:val="2"/>
          <w:szCs w:val="36"/>
        </w:rPr>
        <w:fldChar w:fldCharType="separate"/>
      </w:r>
      <w:r>
        <w:rPr>
          <w:rFonts w:hint="eastAsia"/>
        </w:rPr>
        <w:t>7 售后服务</w:t>
      </w:r>
      <w:r>
        <w:tab/>
      </w:r>
      <w:r>
        <w:fldChar w:fldCharType="begin"/>
      </w:r>
      <w:r>
        <w:instrText xml:space="preserve"> PAGEREF _Toc20003 \h </w:instrText>
      </w:r>
      <w:r>
        <w:fldChar w:fldCharType="separate"/>
      </w:r>
      <w:r>
        <w:t>4</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_Toc32376 </w:instrText>
      </w:r>
      <w:r>
        <w:rPr>
          <w:kern w:val="2"/>
          <w:szCs w:val="36"/>
        </w:rPr>
        <w:fldChar w:fldCharType="separate"/>
      </w:r>
      <w:r>
        <w:rPr>
          <w:rFonts w:hint="eastAsia"/>
        </w:rPr>
        <w:t>8 交货地点</w:t>
      </w:r>
      <w:r>
        <w:tab/>
      </w:r>
      <w:r>
        <w:fldChar w:fldCharType="begin"/>
      </w:r>
      <w:r>
        <w:instrText xml:space="preserve"> PAGEREF _Toc32376 \h </w:instrText>
      </w:r>
      <w:r>
        <w:fldChar w:fldCharType="separate"/>
      </w:r>
      <w:r>
        <w:t>5</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_Toc26125 </w:instrText>
      </w:r>
      <w:r>
        <w:rPr>
          <w:kern w:val="2"/>
          <w:szCs w:val="36"/>
        </w:rPr>
        <w:fldChar w:fldCharType="separate"/>
      </w:r>
      <w:r>
        <w:rPr>
          <w:rFonts w:hint="eastAsia"/>
        </w:rPr>
        <w:t>9 验收标准</w:t>
      </w:r>
      <w:r>
        <w:tab/>
      </w:r>
      <w:r>
        <w:fldChar w:fldCharType="begin"/>
      </w:r>
      <w:r>
        <w:instrText xml:space="preserve"> PAGEREF _Toc26125 \h </w:instrText>
      </w:r>
      <w:r>
        <w:fldChar w:fldCharType="separate"/>
      </w:r>
      <w:r>
        <w:t>5</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_Toc31616 </w:instrText>
      </w:r>
      <w:r>
        <w:rPr>
          <w:kern w:val="2"/>
          <w:szCs w:val="36"/>
        </w:rPr>
        <w:fldChar w:fldCharType="separate"/>
      </w:r>
      <w:r>
        <w:rPr>
          <w:rFonts w:hint="eastAsia"/>
        </w:rPr>
        <w:t>10 供货要求</w:t>
      </w:r>
      <w:r>
        <w:tab/>
      </w:r>
      <w:r>
        <w:fldChar w:fldCharType="begin"/>
      </w:r>
      <w:r>
        <w:instrText xml:space="preserve"> PAGEREF _Toc31616 \h </w:instrText>
      </w:r>
      <w:r>
        <w:fldChar w:fldCharType="separate"/>
      </w:r>
      <w:r>
        <w:t>5</w:t>
      </w:r>
      <w:r>
        <w:fldChar w:fldCharType="end"/>
      </w:r>
      <w:r>
        <w:rPr>
          <w:kern w:val="2"/>
          <w:szCs w:val="36"/>
        </w:rPr>
        <w:fldChar w:fldCharType="end"/>
      </w:r>
    </w:p>
    <w:p>
      <w:pPr>
        <w:pStyle w:val="7"/>
        <w:tabs>
          <w:tab w:val="right" w:leader="dot" w:pos="9027"/>
          <w:tab w:val="clear" w:pos="420"/>
          <w:tab w:val="clear" w:pos="8587"/>
          <w:tab w:val="clear" w:pos="9119"/>
        </w:tabs>
      </w:pPr>
      <w:r>
        <w:rPr>
          <w:kern w:val="2"/>
          <w:szCs w:val="36"/>
        </w:rPr>
        <w:fldChar w:fldCharType="begin"/>
      </w:r>
      <w:r>
        <w:rPr>
          <w:kern w:val="2"/>
          <w:szCs w:val="36"/>
        </w:rPr>
        <w:instrText xml:space="preserve"> HYPERLINK \l _Toc29890 </w:instrText>
      </w:r>
      <w:r>
        <w:rPr>
          <w:kern w:val="2"/>
          <w:szCs w:val="36"/>
        </w:rPr>
        <w:fldChar w:fldCharType="separate"/>
      </w:r>
      <w:r>
        <w:rPr>
          <w:rFonts w:hint="eastAsia"/>
        </w:rPr>
        <w:t>11 质量保证</w:t>
      </w:r>
      <w:r>
        <w:tab/>
      </w:r>
      <w:r>
        <w:fldChar w:fldCharType="begin"/>
      </w:r>
      <w:r>
        <w:instrText xml:space="preserve"> PAGEREF _Toc29890 \h </w:instrText>
      </w:r>
      <w:r>
        <w:fldChar w:fldCharType="separate"/>
      </w:r>
      <w:r>
        <w:t>5</w:t>
      </w:r>
      <w:r>
        <w:fldChar w:fldCharType="end"/>
      </w:r>
      <w:r>
        <w:rPr>
          <w:kern w:val="2"/>
          <w:szCs w:val="36"/>
        </w:rPr>
        <w:fldChar w:fldCharType="end"/>
      </w:r>
    </w:p>
    <w:p>
      <w:pPr>
        <w:pStyle w:val="13"/>
        <w:spacing w:line="360" w:lineRule="auto"/>
        <w:ind w:firstLine="0" w:firstLineChars="0"/>
        <w:jc w:val="center"/>
        <w:rPr>
          <w:kern w:val="2"/>
          <w:sz w:val="36"/>
          <w:szCs w:val="36"/>
        </w:rPr>
      </w:pPr>
      <w:r>
        <w:rPr>
          <w:kern w:val="2"/>
          <w:szCs w:val="36"/>
        </w:rPr>
        <w:fldChar w:fldCharType="end"/>
      </w:r>
    </w:p>
    <w:p>
      <w:pPr>
        <w:pStyle w:val="13"/>
        <w:spacing w:line="360" w:lineRule="auto"/>
        <w:ind w:firstLine="0" w:firstLineChars="0"/>
        <w:jc w:val="center"/>
        <w:rPr>
          <w:kern w:val="2"/>
          <w:sz w:val="36"/>
          <w:szCs w:val="36"/>
        </w:rPr>
        <w:sectPr>
          <w:footerReference r:id="rId3" w:type="default"/>
          <w:pgSz w:w="11907" w:h="16840"/>
          <w:pgMar w:top="1440" w:right="1440" w:bottom="1440" w:left="1440" w:header="720" w:footer="720" w:gutter="0"/>
          <w:cols w:space="720" w:num="1"/>
          <w:docGrid w:type="lines" w:linePitch="381" w:charSpace="0"/>
        </w:sectPr>
      </w:pPr>
      <w:r>
        <w:rPr>
          <w:kern w:val="2"/>
          <w:sz w:val="36"/>
          <w:szCs w:val="36"/>
        </w:rPr>
        <w:tab/>
      </w:r>
    </w:p>
    <w:p>
      <w:pPr>
        <w:pStyle w:val="9"/>
        <w:rPr>
          <w:color w:val="auto"/>
        </w:rPr>
      </w:pPr>
      <w:bookmarkStart w:id="2" w:name="_Toc3727"/>
      <w:bookmarkStart w:id="3" w:name="_Toc11439"/>
      <w:bookmarkStart w:id="4" w:name="_Toc460489944"/>
      <w:r>
        <w:rPr>
          <w:rFonts w:hint="eastAsia"/>
          <w:color w:val="auto"/>
        </w:rPr>
        <w:t>1 总则</w:t>
      </w:r>
      <w:bookmarkEnd w:id="0"/>
      <w:bookmarkEnd w:id="1"/>
      <w:bookmarkEnd w:id="2"/>
      <w:bookmarkEnd w:id="3"/>
      <w:bookmarkEnd w:id="4"/>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w:t>
      </w:r>
      <w:r>
        <w:rPr>
          <w:rFonts w:hint="eastAsia" w:asciiTheme="minorEastAsia" w:hAnsiTheme="minorEastAsia" w:eastAsiaTheme="minorEastAsia"/>
          <w:sz w:val="24"/>
        </w:rPr>
        <w:t>1概述</w:t>
      </w:r>
    </w:p>
    <w:p>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w:t>1.1.1</w:t>
      </w:r>
      <w:r>
        <w:rPr>
          <w:rFonts w:hint="eastAsia" w:asciiTheme="minorEastAsia" w:hAnsiTheme="minorEastAsia" w:eastAsiaTheme="minorEastAsia"/>
          <w:sz w:val="24"/>
        </w:rPr>
        <w:t xml:space="preserve"> 本技术规范书适用于广东电网有限责任公司800kW/10.5kV柴油发电机（含控制及差动保护装置）招标。投标方应仔细阅读本技术条件中的所有条款，投标方应保证提供符合本技术条件和国家、部颁有关规程规范和标准的的产品。</w:t>
      </w:r>
    </w:p>
    <w:p>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2 投标人或供货厂(商) (包括外购件)应按已设计、制造和提供过同类设备，且技术参数应与本项目类似，或较规定的条件更严格，所提供的800kW/10.5kV柴油发电机（含控制及差动保护装置）符合国标要求。若发现投标人提供的应标材料有失真情况，有权拒绝该投标。</w:t>
      </w:r>
    </w:p>
    <w:p>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3 投标人应仔细阅读招标文件</w:t>
      </w:r>
      <w:r>
        <w:rPr>
          <w:rFonts w:asciiTheme="minorEastAsia" w:hAnsiTheme="minorEastAsia" w:eastAsiaTheme="minorEastAsia"/>
          <w:sz w:val="24"/>
        </w:rPr>
        <w:t>，</w:t>
      </w:r>
      <w:r>
        <w:rPr>
          <w:rFonts w:hint="eastAsia" w:asciiTheme="minorEastAsia" w:hAnsiTheme="minorEastAsia" w:eastAsiaTheme="minorEastAsia"/>
          <w:sz w:val="24"/>
        </w:rPr>
        <w:t>包括商务和技术部分的所有规定。由投标人提供的设备的技术规范应与本技术规范书中规定的要求相一致</w:t>
      </w:r>
      <w:r>
        <w:rPr>
          <w:rFonts w:asciiTheme="minorEastAsia" w:hAnsiTheme="minorEastAsia" w:eastAsiaTheme="minorEastAsia"/>
          <w:sz w:val="24"/>
        </w:rPr>
        <w:t>，</w:t>
      </w:r>
      <w:r>
        <w:rPr>
          <w:rFonts w:hint="eastAsia" w:asciiTheme="minorEastAsia" w:hAnsiTheme="minorEastAsia" w:eastAsiaTheme="minorEastAsia"/>
          <w:sz w:val="24"/>
        </w:rPr>
        <w:t>投标人也可以推荐满足本技术规范要求的类似定型产品</w:t>
      </w:r>
      <w:r>
        <w:rPr>
          <w:rFonts w:asciiTheme="minorEastAsia" w:hAnsiTheme="minorEastAsia" w:eastAsiaTheme="minorEastAsia"/>
          <w:sz w:val="24"/>
        </w:rPr>
        <w:t>，</w:t>
      </w:r>
      <w:r>
        <w:rPr>
          <w:rFonts w:hint="eastAsia" w:asciiTheme="minorEastAsia" w:hAnsiTheme="minorEastAsia" w:eastAsiaTheme="minorEastAsia"/>
          <w:sz w:val="24"/>
        </w:rPr>
        <w:t>但必须提出详细的技术偏差。</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1.1.4 投标方需提供800kW/10.5kV柴油发电机（含控制及差动保护装置）整体设计方案，并提供针对沿海使用的技术方案。</w:t>
      </w:r>
    </w:p>
    <w:p>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5 本规范书正文提出了对设备的技术参数、性能等方面的技术要求。</w:t>
      </w:r>
    </w:p>
    <w:p>
      <w:pPr>
        <w:adjustRightInd w:val="0"/>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.1.</w:t>
      </w:r>
      <w:r>
        <w:rPr>
          <w:rFonts w:hint="eastAsia" w:asciiTheme="minorEastAsia" w:hAnsiTheme="minorEastAsia" w:eastAsiaTheme="minorEastAsia"/>
          <w:sz w:val="24"/>
        </w:rPr>
        <w:t>6 本规范书提出的是最低限度的技术要求，并未对一切技术细节作出规定，投标人应提供符合最新版本GB标准和本规范书的优质产品。</w:t>
      </w:r>
    </w:p>
    <w:p>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7 规范书所使用的标准如遇与投标方所执行的标准不一致时，按较高标准执行。</w:t>
      </w:r>
    </w:p>
    <w:p>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8 规范书经买卖双方确认后，作为合同的附件，与合同正文具有同等的法律效力。</w:t>
      </w:r>
    </w:p>
    <w:p>
      <w:pPr>
        <w:adjustRightInd w:val="0"/>
        <w:snapToGrid w:val="0"/>
        <w:spacing w:line="360" w:lineRule="auto"/>
        <w:rPr>
          <w:rFonts w:asciiTheme="minorEastAsia" w:hAnsiTheme="minorEastAsia" w:eastAsiaTheme="minorEastAsia"/>
          <w:sz w:val="24"/>
        </w:rPr>
      </w:pPr>
      <w:r>
        <w:rPr>
          <w:rFonts w:asciiTheme="minorEastAsia" w:hAnsiTheme="minorEastAsia" w:eastAsiaTheme="minorEastAsia"/>
          <w:sz w:val="24"/>
        </w:rPr>
        <w:t>1.1.</w:t>
      </w:r>
      <w:r>
        <w:rPr>
          <w:rFonts w:hint="eastAsia" w:asciiTheme="minorEastAsia" w:hAnsiTheme="minorEastAsia" w:eastAsiaTheme="minorEastAsia"/>
          <w:sz w:val="24"/>
        </w:rPr>
        <w:t>9 本规范书未尽事宜，由招标人和投标人在合同技术谈判时双方协商确定。</w:t>
      </w:r>
      <w:bookmarkStart w:id="5" w:name="_Toc487358381"/>
      <w:bookmarkStart w:id="6" w:name="_Toc506689361"/>
      <w:bookmarkStart w:id="7" w:name="_Toc502462589"/>
      <w:bookmarkStart w:id="8" w:name="_Toc503066517"/>
      <w:bookmarkStart w:id="9" w:name="_Toc487356723"/>
    </w:p>
    <w:bookmarkEnd w:id="5"/>
    <w:bookmarkEnd w:id="6"/>
    <w:bookmarkEnd w:id="7"/>
    <w:bookmarkEnd w:id="8"/>
    <w:bookmarkEnd w:id="9"/>
    <w:p>
      <w:pPr>
        <w:pStyle w:val="9"/>
        <w:rPr>
          <w:bCs/>
          <w:color w:val="auto"/>
        </w:rPr>
      </w:pPr>
      <w:bookmarkStart w:id="10" w:name="_Toc183227358"/>
      <w:bookmarkStart w:id="11" w:name="_Toc2524"/>
      <w:bookmarkStart w:id="12" w:name="_Toc460489945"/>
      <w:bookmarkStart w:id="13" w:name="_Toc13005"/>
      <w:bookmarkStart w:id="14" w:name="_Toc511040624"/>
      <w:bookmarkStart w:id="15" w:name="_Toc506690781"/>
      <w:r>
        <w:rPr>
          <w:color w:val="auto"/>
        </w:rPr>
        <w:t>2</w:t>
      </w:r>
      <w:r>
        <w:rPr>
          <w:rFonts w:hint="eastAsia"/>
          <w:color w:val="auto"/>
        </w:rPr>
        <w:t xml:space="preserve"> 使用环境条件</w:t>
      </w:r>
      <w:bookmarkEnd w:id="10"/>
      <w:bookmarkEnd w:id="11"/>
      <w:bookmarkEnd w:id="12"/>
      <w:bookmarkEnd w:id="13"/>
    </w:p>
    <w:bookmarkEnd w:id="14"/>
    <w:bookmarkEnd w:id="15"/>
    <w:p>
      <w:pPr>
        <w:pStyle w:val="4"/>
        <w:spacing w:after="0" w:line="360" w:lineRule="auto"/>
        <w:ind w:firstLine="480" w:firstLineChars="200"/>
        <w:rPr>
          <w:rFonts w:asciiTheme="minorEastAsia" w:hAnsiTheme="minorEastAsia" w:eastAsiaTheme="minorEastAsia"/>
          <w:sz w:val="24"/>
        </w:rPr>
      </w:pPr>
      <w:bookmarkStart w:id="16" w:name="_Toc460489946"/>
      <w:bookmarkStart w:id="17" w:name="_Toc183227359"/>
      <w:bookmarkStart w:id="18" w:name="_Toc182908450"/>
      <w:r>
        <w:rPr>
          <w:rFonts w:hint="eastAsia" w:asciiTheme="minorEastAsia" w:hAnsiTheme="minorEastAsia" w:eastAsiaTheme="minorEastAsia"/>
          <w:sz w:val="24"/>
        </w:rPr>
        <w:t>本规范所规定的设备应能在下列条件使用：</w:t>
      </w:r>
    </w:p>
    <w:p>
      <w:pPr>
        <w:pStyle w:val="4"/>
        <w:spacing w:after="0" w:line="360" w:lineRule="auto"/>
        <w:rPr>
          <w:rFonts w:asciiTheme="minorEastAsia" w:hAnsiTheme="minorEastAsia" w:eastAsiaTheme="minorEastAsia"/>
          <w:sz w:val="24"/>
        </w:rPr>
      </w:pPr>
      <w:bookmarkStart w:id="19" w:name="_Toc435794672"/>
      <w:bookmarkStart w:id="20" w:name="_Toc419746473"/>
      <w:bookmarkStart w:id="21" w:name="_Toc419906341"/>
      <w:bookmarkStart w:id="22" w:name="_Toc419906045"/>
      <w:r>
        <w:rPr>
          <w:rFonts w:hint="eastAsia" w:asciiTheme="minorEastAsia" w:hAnsiTheme="minorEastAsia" w:eastAsiaTheme="minorEastAsia"/>
          <w:sz w:val="24"/>
        </w:rPr>
        <w:t>2.1环境条件</w:t>
      </w:r>
      <w:bookmarkEnd w:id="19"/>
      <w:bookmarkEnd w:id="20"/>
      <w:bookmarkEnd w:id="21"/>
      <w:bookmarkEnd w:id="22"/>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最低温度：           -10℃ </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最高气温：           +</w:t>
      </w:r>
      <w:r>
        <w:rPr>
          <w:rFonts w:asciiTheme="minorEastAsia" w:hAnsiTheme="minorEastAsia" w:eastAsiaTheme="minorEastAsia"/>
          <w:sz w:val="24"/>
        </w:rPr>
        <w:t>40</w:t>
      </w:r>
      <w:r>
        <w:rPr>
          <w:rFonts w:hint="eastAsia" w:asciiTheme="minorEastAsia" w:hAnsiTheme="minorEastAsia" w:eastAsiaTheme="minorEastAsia"/>
          <w:sz w:val="24"/>
        </w:rPr>
        <w:t>℃</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最大日平均温差：     25℃</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空气相对湿度：       95%(25℃) </w:t>
      </w:r>
    </w:p>
    <w:p>
      <w:pPr>
        <w:pStyle w:val="9"/>
        <w:rPr>
          <w:color w:val="auto"/>
        </w:rPr>
      </w:pPr>
      <w:bookmarkStart w:id="23" w:name="_Toc29350"/>
      <w:bookmarkStart w:id="24" w:name="_Toc24218"/>
      <w:r>
        <w:rPr>
          <w:rFonts w:hint="eastAsia"/>
          <w:color w:val="auto"/>
        </w:rPr>
        <w:t>3 标的物清单</w:t>
      </w:r>
      <w:bookmarkEnd w:id="23"/>
      <w:bookmarkEnd w:id="24"/>
    </w:p>
    <w:tbl>
      <w:tblPr>
        <w:tblStyle w:val="10"/>
        <w:tblW w:w="8570" w:type="dxa"/>
        <w:jc w:val="center"/>
        <w:tblLayout w:type="fixed"/>
        <w:tblCellMar>
          <w:top w:w="0" w:type="dxa"/>
          <w:left w:w="108" w:type="dxa"/>
          <w:bottom w:w="0" w:type="dxa"/>
          <w:right w:w="108" w:type="dxa"/>
        </w:tblCellMar>
      </w:tblPr>
      <w:tblGrid>
        <w:gridCol w:w="778"/>
        <w:gridCol w:w="5608"/>
        <w:gridCol w:w="2184"/>
      </w:tblGrid>
      <w:tr>
        <w:tblPrEx>
          <w:tblCellMar>
            <w:top w:w="0" w:type="dxa"/>
            <w:left w:w="108" w:type="dxa"/>
            <w:bottom w:w="0" w:type="dxa"/>
            <w:right w:w="108" w:type="dxa"/>
          </w:tblCellMar>
        </w:tblPrEx>
        <w:trPr>
          <w:trHeight w:val="660" w:hRule="atLeast"/>
          <w:jc w:val="center"/>
        </w:trPr>
        <w:tc>
          <w:tcPr>
            <w:tcW w:w="77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kern w:val="0"/>
                <w:szCs w:val="21"/>
              </w:rPr>
            </w:pPr>
            <w:r>
              <w:rPr>
                <w:rFonts w:hint="eastAsia" w:ascii="宋体" w:hAnsi="宋体" w:cs="宋体"/>
                <w:bCs/>
                <w:kern w:val="0"/>
                <w:szCs w:val="21"/>
              </w:rPr>
              <w:t>序号</w:t>
            </w:r>
          </w:p>
        </w:tc>
        <w:tc>
          <w:tcPr>
            <w:tcW w:w="5608"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szCs w:val="21"/>
              </w:rPr>
            </w:pPr>
            <w:r>
              <w:rPr>
                <w:rFonts w:hint="eastAsia" w:ascii="宋体" w:hAnsi="宋体" w:cs="宋体"/>
                <w:bCs/>
                <w:kern w:val="0"/>
                <w:szCs w:val="21"/>
              </w:rPr>
              <w:t>标的物名称</w:t>
            </w:r>
          </w:p>
        </w:tc>
        <w:tc>
          <w:tcPr>
            <w:tcW w:w="218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szCs w:val="21"/>
              </w:rPr>
            </w:pPr>
            <w:r>
              <w:rPr>
                <w:rFonts w:hint="eastAsia" w:ascii="宋体" w:hAnsi="宋体" w:cs="宋体"/>
                <w:bCs/>
                <w:kern w:val="0"/>
                <w:szCs w:val="21"/>
              </w:rPr>
              <w:t>分类</w:t>
            </w:r>
          </w:p>
        </w:tc>
      </w:tr>
      <w:tr>
        <w:tblPrEx>
          <w:tblCellMar>
            <w:top w:w="0" w:type="dxa"/>
            <w:left w:w="108" w:type="dxa"/>
            <w:bottom w:w="0" w:type="dxa"/>
            <w:right w:w="108" w:type="dxa"/>
          </w:tblCellMar>
        </w:tblPrEx>
        <w:trPr>
          <w:trHeight w:val="2333" w:hRule="atLeast"/>
          <w:jc w:val="center"/>
        </w:trPr>
        <w:tc>
          <w:tcPr>
            <w:tcW w:w="778" w:type="dxa"/>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cs="宋体"/>
                <w:kern w:val="0"/>
                <w:szCs w:val="21"/>
              </w:rPr>
            </w:pPr>
            <w:r>
              <w:rPr>
                <w:rFonts w:hint="eastAsia" w:ascii="宋体" w:hAnsi="宋体" w:cs="宋体"/>
                <w:kern w:val="0"/>
                <w:szCs w:val="21"/>
              </w:rPr>
              <w:t>1</w:t>
            </w:r>
          </w:p>
        </w:tc>
        <w:tc>
          <w:tcPr>
            <w:tcW w:w="5608" w:type="dxa"/>
            <w:tcBorders>
              <w:top w:val="single" w:color="auto" w:sz="4" w:space="0"/>
              <w:left w:val="nil"/>
              <w:right w:val="single" w:color="auto" w:sz="4" w:space="0"/>
            </w:tcBorders>
            <w:shd w:val="clear" w:color="auto" w:fill="auto"/>
            <w:vAlign w:val="center"/>
          </w:tcPr>
          <w:p>
            <w:pPr>
              <w:jc w:val="center"/>
              <w:rPr>
                <w:rFonts w:ascii="宋体" w:hAnsi="宋体"/>
                <w:szCs w:val="21"/>
                <w:highlight w:val="none"/>
              </w:rPr>
            </w:pPr>
            <w:r>
              <w:rPr>
                <w:rFonts w:hint="eastAsia" w:ascii="宋体" w:hAnsi="宋体"/>
                <w:szCs w:val="21"/>
                <w:highlight w:val="none"/>
                <w:lang w:val="en-US" w:eastAsia="zh-CN"/>
              </w:rPr>
              <w:t>800kW/10.5kV</w:t>
            </w:r>
            <w:r>
              <w:rPr>
                <w:rFonts w:ascii="宋体" w:hAnsi="宋体"/>
                <w:szCs w:val="21"/>
                <w:highlight w:val="none"/>
              </w:rPr>
              <w:t>柴油发电机</w:t>
            </w:r>
          </w:p>
          <w:p>
            <w:pPr>
              <w:jc w:val="center"/>
              <w:rPr>
                <w:rFonts w:hint="eastAsia" w:ascii="宋体" w:hAnsi="宋体" w:eastAsia="仿宋_GB2312"/>
                <w:szCs w:val="21"/>
                <w:highlight w:val="none"/>
                <w:lang w:eastAsia="zh-CN"/>
              </w:rPr>
            </w:pPr>
            <w:r>
              <w:rPr>
                <w:rFonts w:hint="eastAsia" w:ascii="宋体" w:hAnsi="宋体"/>
                <w:szCs w:val="21"/>
                <w:highlight w:val="none"/>
                <w:lang w:eastAsia="zh-CN"/>
              </w:rPr>
              <w:t>（含控制</w:t>
            </w:r>
            <w:r>
              <w:rPr>
                <w:rFonts w:hint="eastAsia" w:ascii="宋体" w:hAnsi="宋体"/>
                <w:szCs w:val="21"/>
                <w:highlight w:val="none"/>
                <w:lang w:val="en-US" w:eastAsia="zh-CN"/>
              </w:rPr>
              <w:t>及差动保护装置</w:t>
            </w:r>
            <w:r>
              <w:rPr>
                <w:rFonts w:hint="eastAsia" w:ascii="宋体" w:hAnsi="宋体"/>
                <w:szCs w:val="21"/>
                <w:highlight w:val="none"/>
                <w:lang w:eastAsia="zh-CN"/>
              </w:rPr>
              <w:t>）</w:t>
            </w:r>
          </w:p>
        </w:tc>
        <w:tc>
          <w:tcPr>
            <w:tcW w:w="2184" w:type="dxa"/>
            <w:tcBorders>
              <w:top w:val="single" w:color="auto" w:sz="4" w:space="0"/>
              <w:left w:val="nil"/>
              <w:right w:val="single" w:color="auto" w:sz="4" w:space="0"/>
            </w:tcBorders>
            <w:shd w:val="clear" w:color="auto" w:fill="auto"/>
            <w:vAlign w:val="center"/>
          </w:tcPr>
          <w:p>
            <w:pPr>
              <w:jc w:val="center"/>
              <w:rPr>
                <w:rFonts w:hint="eastAsia" w:ascii="宋体" w:hAnsi="宋体"/>
                <w:szCs w:val="21"/>
                <w:highlight w:val="none"/>
              </w:rPr>
            </w:pPr>
            <w:r>
              <w:rPr>
                <w:rFonts w:ascii="宋体" w:hAnsi="宋体"/>
                <w:szCs w:val="21"/>
                <w:highlight w:val="none"/>
              </w:rPr>
              <w:t>发电机</w:t>
            </w:r>
          </w:p>
        </w:tc>
      </w:tr>
    </w:tbl>
    <w:p>
      <w:pPr>
        <w:pStyle w:val="4"/>
        <w:spacing w:after="0" w:line="360" w:lineRule="auto"/>
        <w:rPr>
          <w:rFonts w:asciiTheme="minorEastAsia" w:hAnsiTheme="minorEastAsia" w:eastAsiaTheme="minorEastAsia"/>
          <w:sz w:val="24"/>
        </w:rPr>
      </w:pPr>
    </w:p>
    <w:p>
      <w:pPr>
        <w:pStyle w:val="9"/>
        <w:rPr>
          <w:color w:val="auto"/>
          <w:sz w:val="24"/>
        </w:rPr>
      </w:pPr>
      <w:bookmarkStart w:id="25" w:name="_Toc171088951"/>
      <w:bookmarkStart w:id="26" w:name="_Toc3185"/>
      <w:bookmarkStart w:id="27" w:name="_Toc32678"/>
      <w:r>
        <w:rPr>
          <w:rFonts w:hint="eastAsia"/>
          <w:color w:val="auto"/>
        </w:rPr>
        <w:t>4 技术要求</w:t>
      </w:r>
      <w:bookmarkEnd w:id="16"/>
      <w:bookmarkEnd w:id="17"/>
      <w:bookmarkEnd w:id="18"/>
      <w:bookmarkEnd w:id="25"/>
      <w:bookmarkEnd w:id="26"/>
      <w:bookmarkEnd w:id="27"/>
      <w:bookmarkStart w:id="28" w:name="_Toc460489947"/>
    </w:p>
    <w:p>
      <w:pPr>
        <w:pStyle w:val="3"/>
        <w:adjustRightInd/>
        <w:spacing w:line="240" w:lineRule="auto"/>
        <w:ind w:firstLine="1"/>
        <w:jc w:val="both"/>
        <w:textAlignment w:val="auto"/>
        <w:rPr>
          <w:color w:val="auto"/>
          <w:sz w:val="24"/>
          <w:szCs w:val="24"/>
        </w:rPr>
      </w:pPr>
      <w:bookmarkStart w:id="29" w:name="_Toc828"/>
      <w:bookmarkStart w:id="30" w:name="_Toc1287"/>
      <w:bookmarkStart w:id="31" w:name="_Toc25099"/>
      <w:r>
        <w:rPr>
          <w:rFonts w:hint="eastAsia"/>
          <w:color w:val="auto"/>
          <w:sz w:val="24"/>
          <w:szCs w:val="24"/>
        </w:rPr>
        <w:t xml:space="preserve">4.1 </w:t>
      </w:r>
      <w:r>
        <w:rPr>
          <w:rFonts w:hint="eastAsia"/>
          <w:color w:val="auto"/>
          <w:sz w:val="24"/>
          <w:szCs w:val="24"/>
          <w:lang w:val="en-US" w:eastAsia="zh-CN"/>
        </w:rPr>
        <w:t>800kW/10.5kV柴油发电机（含控制及差动保护装置）</w:t>
      </w:r>
      <w:r>
        <w:rPr>
          <w:rFonts w:hint="eastAsia"/>
          <w:color w:val="auto"/>
          <w:sz w:val="24"/>
          <w:szCs w:val="24"/>
        </w:rPr>
        <w:t>技术规范要求</w:t>
      </w:r>
      <w:bookmarkEnd w:id="29"/>
      <w:bookmarkEnd w:id="30"/>
      <w:bookmarkEnd w:id="31"/>
    </w:p>
    <w:p>
      <w:pPr>
        <w:spacing w:after="50" w:line="360" w:lineRule="auto"/>
        <w:rPr>
          <w:rFonts w:asciiTheme="minorEastAsia" w:hAnsiTheme="minorEastAsia" w:eastAsiaTheme="minorEastAsia"/>
          <w:b/>
          <w:sz w:val="24"/>
        </w:rPr>
      </w:pPr>
      <w:r>
        <w:rPr>
          <w:rFonts w:hint="eastAsia" w:asciiTheme="minorEastAsia" w:hAnsiTheme="minorEastAsia" w:eastAsiaTheme="minorEastAsia"/>
          <w:b/>
          <w:sz w:val="24"/>
        </w:rPr>
        <w:t>4.1.1产品设计、制造、验收所遵照的主要规范和标准：</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《往复式内燃机驱动的交流电发电机组 第5部分：发电机组》GB/T 2820.5-2009</w:t>
      </w:r>
    </w:p>
    <w:p>
      <w:pPr>
        <w:pStyle w:val="4"/>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宋体" w:hAnsi="宋体" w:eastAsia="宋体"/>
          <w:sz w:val="24"/>
          <w:lang w:val="en-US" w:eastAsia="zh-CN"/>
        </w:rPr>
      </w:pPr>
      <w:r>
        <w:rPr>
          <w:rFonts w:hint="eastAsia" w:ascii="宋体" w:hAnsi="宋体" w:eastAsia="宋体"/>
          <w:sz w:val="24"/>
          <w:lang w:val="en-US" w:eastAsia="zh-CN"/>
        </w:rPr>
        <w:t>《高压柴油发电机组通用技术条件》GB/T 31038-2014</w:t>
      </w:r>
    </w:p>
    <w:p>
      <w:pPr>
        <w:spacing w:after="50" w:line="360" w:lineRule="auto"/>
        <w:rPr>
          <w:rFonts w:asciiTheme="minorEastAsia" w:hAnsiTheme="minorEastAsia" w:eastAsiaTheme="minorEastAsia"/>
          <w:b/>
          <w:sz w:val="24"/>
        </w:rPr>
      </w:pPr>
      <w:r>
        <w:rPr>
          <w:rFonts w:hint="eastAsia" w:asciiTheme="minorEastAsia" w:hAnsiTheme="minorEastAsia" w:eastAsiaTheme="minorEastAsia"/>
          <w:b/>
          <w:sz w:val="24"/>
        </w:rPr>
        <w:t>4.1.2 技术要求：</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电机总效率大于</w:t>
      </w:r>
      <w:r>
        <w:rPr>
          <w:rFonts w:hint="eastAsia" w:asciiTheme="minorEastAsia" w:hAnsiTheme="minorEastAsia" w:eastAsiaTheme="minorEastAsia"/>
          <w:sz w:val="24"/>
          <w:lang w:val="en-US" w:eastAsia="zh-CN"/>
        </w:rPr>
        <w:t>93</w:t>
      </w:r>
      <w:bookmarkStart w:id="61" w:name="_GoBack"/>
      <w:bookmarkEnd w:id="61"/>
      <w:r>
        <w:rPr>
          <w:rFonts w:hint="eastAsia" w:asciiTheme="minorEastAsia" w:hAnsiTheme="minorEastAsia" w:eastAsiaTheme="minorEastAsia"/>
          <w:sz w:val="24"/>
        </w:rPr>
        <w:t>%；</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负载瞬态电压偏差低于10%，稳态电压偏差小于或等于0.5%，线电压正弦性畸变率不大于2%，电话谐波因数小于或等于2%，可带精密仪器仪表；</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可启动相当于自身容量的感性负载；</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独立油箱容量1</w:t>
      </w:r>
      <w:r>
        <w:rPr>
          <w:rFonts w:hint="eastAsia" w:asciiTheme="minorEastAsia" w:hAnsiTheme="minorEastAsia" w:eastAsiaTheme="minorEastAsia"/>
          <w:sz w:val="24"/>
          <w:lang w:val="en-US" w:eastAsia="zh-CN"/>
        </w:rPr>
        <w:t>5</w:t>
      </w:r>
      <w:r>
        <w:rPr>
          <w:rFonts w:hint="eastAsia" w:asciiTheme="minorEastAsia" w:hAnsiTheme="minorEastAsia" w:eastAsiaTheme="minorEastAsia"/>
          <w:sz w:val="24"/>
        </w:rPr>
        <w:t>0</w:t>
      </w:r>
      <w:r>
        <w:rPr>
          <w:rFonts w:asciiTheme="minorEastAsia" w:hAnsiTheme="minorEastAsia" w:eastAsiaTheme="minorEastAsia"/>
          <w:sz w:val="24"/>
        </w:rPr>
        <w:t>0</w:t>
      </w:r>
      <w:r>
        <w:rPr>
          <w:rFonts w:hint="eastAsia" w:asciiTheme="minorEastAsia" w:hAnsiTheme="minorEastAsia" w:eastAsiaTheme="minorEastAsia"/>
          <w:sz w:val="24"/>
        </w:rPr>
        <w:t>L</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配置DC24V直流油泵1台并配套控制箱</w:t>
      </w:r>
      <w:r>
        <w:rPr>
          <w:rFonts w:hint="eastAsia" w:asciiTheme="minorEastAsia" w:hAnsiTheme="minorEastAsia" w:eastAsiaTheme="minorEastAsia"/>
          <w:sz w:val="24"/>
        </w:rPr>
        <w:t>；</w:t>
      </w:r>
    </w:p>
    <w:p>
      <w:pPr>
        <w:spacing w:after="50" w:line="360" w:lineRule="auto"/>
        <w:rPr>
          <w:rFonts w:asciiTheme="minorEastAsia" w:hAnsiTheme="minorEastAsia" w:eastAsiaTheme="minorEastAsia"/>
          <w:b/>
          <w:sz w:val="24"/>
        </w:rPr>
      </w:pPr>
      <w:r>
        <w:rPr>
          <w:rFonts w:hint="eastAsia" w:asciiTheme="minorEastAsia" w:hAnsiTheme="minorEastAsia" w:eastAsiaTheme="minorEastAsia"/>
          <w:b/>
          <w:sz w:val="24"/>
        </w:rPr>
        <w:t>4.1.3 柴油机主要技术参数：</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相数接法： 三相</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lang w:val="en-US" w:eastAsia="zh-CN"/>
        </w:rPr>
        <w:t>额定</w:t>
      </w:r>
      <w:r>
        <w:rPr>
          <w:rFonts w:hint="eastAsia" w:asciiTheme="minorEastAsia" w:hAnsiTheme="minorEastAsia" w:eastAsiaTheme="minorEastAsia"/>
          <w:sz w:val="24"/>
        </w:rPr>
        <w:t>功率：</w:t>
      </w:r>
      <w:r>
        <w:rPr>
          <w:rFonts w:hint="eastAsia" w:asciiTheme="minorEastAsia" w:hAnsiTheme="minorEastAsia" w:eastAsiaTheme="minorEastAsia"/>
          <w:sz w:val="24"/>
          <w:lang w:val="en-US" w:eastAsia="zh-CN"/>
        </w:rPr>
        <w:t>8</w:t>
      </w:r>
      <w:r>
        <w:rPr>
          <w:rFonts w:hint="eastAsia" w:asciiTheme="minorEastAsia" w:hAnsiTheme="minorEastAsia" w:eastAsiaTheme="minorEastAsia"/>
          <w:sz w:val="24"/>
        </w:rPr>
        <w:t>00kW</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额定电压：</w:t>
      </w:r>
      <w:r>
        <w:rPr>
          <w:rFonts w:hint="eastAsia" w:asciiTheme="minorEastAsia" w:hAnsiTheme="minorEastAsia" w:eastAsiaTheme="minorEastAsia"/>
          <w:sz w:val="24"/>
          <w:lang w:val="en-US" w:eastAsia="zh-CN"/>
        </w:rPr>
        <w:t>105</w:t>
      </w:r>
      <w:r>
        <w:rPr>
          <w:rFonts w:hint="eastAsia" w:asciiTheme="minorEastAsia" w:hAnsiTheme="minorEastAsia" w:eastAsiaTheme="minorEastAsia"/>
          <w:sz w:val="24"/>
        </w:rPr>
        <w:t>00V</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额定电流：</w:t>
      </w:r>
      <w:r>
        <w:rPr>
          <w:rFonts w:hint="eastAsia" w:asciiTheme="minorEastAsia" w:hAnsiTheme="minorEastAsia" w:eastAsiaTheme="minorEastAsia"/>
          <w:sz w:val="24"/>
          <w:lang w:val="en-US" w:eastAsia="zh-CN"/>
        </w:rPr>
        <w:t>54.86</w:t>
      </w:r>
      <w:r>
        <w:rPr>
          <w:rFonts w:hint="eastAsia" w:asciiTheme="minorEastAsia" w:hAnsiTheme="minorEastAsia" w:eastAsiaTheme="minorEastAsia"/>
          <w:sz w:val="24"/>
        </w:rPr>
        <w:t>A</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额定频率：50HZ</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额定功率因素：COS=0.8（ 滞后）</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稳态电压调整率：≤1%</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瞬态电压调整率： -15%~ +20%</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电压稳定时间： ≤1.5sec </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电压波动率： ≤1.0%</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稳态频率调整率： ≤3%</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瞬态频率调整率： ≤±10%</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频率稳定时间： 3sec</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频率波动率： ≤1%</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满载燃油耗量： 20</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g/kwh</w:t>
      </w:r>
    </w:p>
    <w:p>
      <w:pPr>
        <w:pStyle w:val="4"/>
        <w:spacing w:after="0"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外形尺寸（mm）： </w:t>
      </w:r>
      <w:r>
        <w:rPr>
          <w:rFonts w:asciiTheme="minorEastAsia" w:hAnsiTheme="minorEastAsia" w:eastAsiaTheme="minorEastAsia"/>
          <w:sz w:val="24"/>
          <w:highlight w:val="none"/>
        </w:rPr>
        <w:t xml:space="preserve"> </w:t>
      </w:r>
      <w:r>
        <w:rPr>
          <w:rFonts w:hint="eastAsia" w:asciiTheme="minorEastAsia" w:hAnsiTheme="minorEastAsia" w:eastAsiaTheme="minorEastAsia"/>
          <w:sz w:val="24"/>
          <w:highlight w:val="none"/>
          <w:lang w:val="en-US" w:eastAsia="zh-CN"/>
        </w:rPr>
        <w:t>/</w:t>
      </w:r>
    </w:p>
    <w:p>
      <w:pPr>
        <w:pStyle w:val="4"/>
        <w:spacing w:after="0" w:line="360" w:lineRule="auto"/>
        <w:ind w:firstLine="480"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rPr>
        <w:t>重量：</w:t>
      </w:r>
      <w:r>
        <w:rPr>
          <w:rFonts w:hint="eastAsia" w:asciiTheme="minorEastAsia" w:hAnsiTheme="minorEastAsia" w:eastAsiaTheme="minorEastAsia"/>
          <w:sz w:val="24"/>
          <w:highlight w:val="none"/>
          <w:lang w:val="en-US" w:eastAsia="zh-CN"/>
        </w:rPr>
        <w:t>/</w:t>
      </w:r>
    </w:p>
    <w:p>
      <w:pPr>
        <w:pStyle w:val="4"/>
        <w:spacing w:after="0" w:line="360" w:lineRule="auto"/>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发动机常用功率（kW）:880</w:t>
      </w:r>
    </w:p>
    <w:p>
      <w:pPr>
        <w:pStyle w:val="4"/>
        <w:spacing w:after="0" w:line="360" w:lineRule="auto"/>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发动机备用功率（kW）：968</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气缸数： </w:t>
      </w:r>
      <w:r>
        <w:rPr>
          <w:rFonts w:asciiTheme="minorEastAsia" w:hAnsiTheme="minorEastAsia" w:eastAsiaTheme="minorEastAsia"/>
          <w:sz w:val="24"/>
        </w:rPr>
        <w:t>1</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缸</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冷却方式： 闭式内循环水冷</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排列型式：  </w:t>
      </w:r>
      <w:r>
        <w:rPr>
          <w:rFonts w:asciiTheme="minorEastAsia" w:hAnsiTheme="minorEastAsia" w:eastAsiaTheme="minorEastAsia"/>
          <w:sz w:val="24"/>
        </w:rPr>
        <w:t>V列</w:t>
      </w:r>
    </w:p>
    <w:p>
      <w:pPr>
        <w:pStyle w:val="4"/>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lang w:val="en-US" w:eastAsia="zh-CN"/>
        </w:rPr>
        <w:t>缸径/行程：159/159</w:t>
      </w:r>
    </w:p>
    <w:p>
      <w:pPr>
        <w:pStyle w:val="4"/>
        <w:spacing w:after="0" w:line="360" w:lineRule="auto"/>
        <w:ind w:firstLine="480" w:firstLineChars="200"/>
        <w:rPr>
          <w:rFonts w:hint="default"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排 量： 38L</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转 速： 1500r/min</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启动方式： DC24V</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类 型： 无刷（AVR自动调压）</w:t>
      </w:r>
    </w:p>
    <w:p>
      <w:pPr>
        <w:spacing w:after="50" w:line="360" w:lineRule="auto"/>
        <w:rPr>
          <w:rFonts w:asciiTheme="minorEastAsia" w:hAnsiTheme="minorEastAsia" w:eastAsiaTheme="minorEastAsia"/>
          <w:b/>
          <w:sz w:val="24"/>
        </w:rPr>
      </w:pPr>
      <w:r>
        <w:rPr>
          <w:rFonts w:hint="eastAsia" w:asciiTheme="minorEastAsia" w:hAnsiTheme="minorEastAsia" w:eastAsiaTheme="minorEastAsia"/>
          <w:b/>
          <w:sz w:val="24"/>
        </w:rPr>
        <w:t>4.1.4 控制屏主要技术参数：</w:t>
      </w:r>
    </w:p>
    <w:p>
      <w:pPr>
        <w:pStyle w:val="9"/>
        <w:ind w:firstLine="480" w:firstLineChars="200"/>
        <w:rPr>
          <w:rFonts w:hint="eastAsia" w:asciiTheme="minorEastAsia" w:hAnsiTheme="minorEastAsia" w:eastAsiaTheme="minorEastAsia"/>
          <w:b w:val="0"/>
          <w:bCs/>
          <w:sz w:val="24"/>
          <w:szCs w:val="24"/>
          <w:lang w:eastAsia="zh-CN"/>
        </w:rPr>
      </w:pPr>
      <w:bookmarkStart w:id="32" w:name="_Toc8645"/>
      <w:r>
        <w:rPr>
          <w:rFonts w:hint="eastAsia" w:asciiTheme="minorEastAsia" w:hAnsiTheme="minorEastAsia" w:eastAsiaTheme="minorEastAsia"/>
          <w:b w:val="0"/>
          <w:bCs/>
          <w:sz w:val="24"/>
          <w:szCs w:val="24"/>
        </w:rPr>
        <w:t>控制屏为液晶显示自启动控制屏。具有手动和自启动功能（时间10秒-50秒可调）。带有三相电压、频率、三相电流、千瓦小时、功率因数、机油压力、机油温度、冷却液温度、机组转速、运行小时、电池电压等显示。柴油机具有超速报警停机、低油压报警及停机、高水温报警及停机、发电机电压过高、过低报警及停机、频率过高、过低报警及停机、短路电流及IDMT特性过流保护。</w:t>
      </w:r>
      <w:bookmarkEnd w:id="28"/>
      <w:bookmarkEnd w:id="32"/>
      <w:bookmarkStart w:id="33" w:name="_Toc16186"/>
      <w:bookmarkStart w:id="34" w:name="_Toc183227361"/>
    </w:p>
    <w:p>
      <w:pPr>
        <w:pStyle w:val="9"/>
        <w:rPr>
          <w:color w:val="auto"/>
        </w:rPr>
      </w:pPr>
      <w:bookmarkStart w:id="35" w:name="_Toc3871"/>
      <w:r>
        <w:rPr>
          <w:rFonts w:hint="eastAsia"/>
          <w:color w:val="auto"/>
        </w:rPr>
        <w:t>5 颜色、标识</w:t>
      </w:r>
      <w:bookmarkEnd w:id="33"/>
      <w:bookmarkEnd w:id="35"/>
    </w:p>
    <w:bookmarkEnd w:id="34"/>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整体原厂颜色</w:t>
      </w:r>
      <w:r>
        <w:rPr>
          <w:rFonts w:asciiTheme="minorEastAsia" w:hAnsiTheme="minorEastAsia" w:eastAsiaTheme="minorEastAsia"/>
          <w:sz w:val="24"/>
        </w:rPr>
        <w:t>，</w:t>
      </w:r>
      <w:r>
        <w:rPr>
          <w:rFonts w:hint="eastAsia" w:asciiTheme="minorEastAsia" w:hAnsiTheme="minorEastAsia" w:eastAsiaTheme="minorEastAsia"/>
          <w:sz w:val="24"/>
        </w:rPr>
        <w:t>标识符合南网VI要求。</w:t>
      </w:r>
    </w:p>
    <w:p>
      <w:pPr>
        <w:pStyle w:val="9"/>
        <w:rPr>
          <w:color w:val="auto"/>
        </w:rPr>
      </w:pPr>
      <w:bookmarkStart w:id="36" w:name="_Toc14112"/>
      <w:bookmarkStart w:id="37" w:name="_Toc3733"/>
      <w:bookmarkStart w:id="38" w:name="_Toc460489949"/>
      <w:r>
        <w:rPr>
          <w:rFonts w:hint="eastAsia"/>
          <w:color w:val="auto"/>
        </w:rPr>
        <w:t>6 技</w:t>
      </w:r>
      <w:bookmarkStart w:id="39" w:name="_Toc142712647"/>
      <w:bookmarkStart w:id="40" w:name="_Toc183227362"/>
      <w:bookmarkStart w:id="41" w:name="_Toc182908451"/>
      <w:r>
        <w:rPr>
          <w:rFonts w:hint="eastAsia"/>
          <w:color w:val="auto"/>
        </w:rPr>
        <w:t>术培训</w:t>
      </w:r>
      <w:bookmarkEnd w:id="36"/>
      <w:bookmarkEnd w:id="37"/>
      <w:bookmarkEnd w:id="38"/>
    </w:p>
    <w:bookmarkEnd w:id="39"/>
    <w:bookmarkEnd w:id="40"/>
    <w:bookmarkEnd w:id="41"/>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技术培训的对象为应急发电机维护、使用人员。</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培训要求到招标方现场培训，供应商应制定详细培训计划，培训的时间、人数由需求单位确认。</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培训主要内容：</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800kW/10.5kV柴油发电机（含控制及差动保护装置）的基本构造、维护注意事项</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800kW/10.5kV柴油发电机（含控制及差动保护装置）日常维护、保养常识培训</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800kW/10.5kV柴油发电机（含控制及差动保护装置）常见故障及解决方案培训</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800kW/10.5kV柴油发电机（含控制及差动保护装置）现场操作使用培训   </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培训结束后，视培训效果而定，要求延长培训时间或增加培训轮数。培训结束将培训教材交使用单位使用。</w:t>
      </w:r>
    </w:p>
    <w:p>
      <w:pPr>
        <w:pStyle w:val="9"/>
        <w:rPr>
          <w:color w:val="auto"/>
        </w:rPr>
      </w:pPr>
      <w:bookmarkStart w:id="42" w:name="_Toc8380"/>
      <w:bookmarkStart w:id="43" w:name="_Toc460489950"/>
      <w:bookmarkStart w:id="44" w:name="_Toc20003"/>
      <w:r>
        <w:rPr>
          <w:rFonts w:hint="eastAsia"/>
          <w:color w:val="auto"/>
        </w:rPr>
        <w:t>7 售</w:t>
      </w:r>
      <w:bookmarkStart w:id="45" w:name="_Toc183227363"/>
      <w:r>
        <w:rPr>
          <w:rFonts w:hint="eastAsia"/>
          <w:color w:val="auto"/>
        </w:rPr>
        <w:t>后服务</w:t>
      </w:r>
      <w:bookmarkEnd w:id="42"/>
      <w:bookmarkEnd w:id="43"/>
      <w:bookmarkEnd w:id="44"/>
    </w:p>
    <w:bookmarkEnd w:id="45"/>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在设备安装、调试过程中，厂方派技术人员免费提供现场服务，现场负责技术指导，协助使用单位按标准要求检查安装质量，解决投运中出现的质量问题。</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产品质量保证期三年。质量保证期内厂方免费进行设备维护及更换非人为损坏的元器件。</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800kW/10.5kV柴油发电机（含控制及差动保护装置）需提供一套完备的备品备件及专用工具，其配置必须满足应急发电机正常使用要求；应急发电机出现故障供应商能够保证在24小时内响应，当使用方需要提供备品备件更换时，供应商必需保证在3个工作日内提供到指定地点。</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供应商应具备在设备使用地维护、检修能力。</w:t>
      </w:r>
    </w:p>
    <w:p>
      <w:pPr>
        <w:pStyle w:val="9"/>
        <w:rPr>
          <w:color w:val="auto"/>
        </w:rPr>
      </w:pPr>
      <w:bookmarkStart w:id="46" w:name="_Toc2772"/>
      <w:bookmarkStart w:id="47" w:name="_Toc32376"/>
      <w:bookmarkStart w:id="48" w:name="_Toc460489951"/>
      <w:r>
        <w:rPr>
          <w:rFonts w:hint="eastAsia"/>
          <w:color w:val="auto"/>
        </w:rPr>
        <w:t>8 交</w:t>
      </w:r>
      <w:bookmarkStart w:id="49" w:name="_Toc183227364"/>
      <w:r>
        <w:rPr>
          <w:rFonts w:hint="eastAsia"/>
          <w:color w:val="auto"/>
        </w:rPr>
        <w:t>货地点</w:t>
      </w:r>
      <w:bookmarkEnd w:id="46"/>
      <w:bookmarkEnd w:id="47"/>
      <w:bookmarkEnd w:id="48"/>
    </w:p>
    <w:bookmarkEnd w:id="49"/>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产品于合同签订后60天内，交付</w:t>
      </w:r>
      <w:r>
        <w:rPr>
          <w:rFonts w:hint="eastAsia" w:asciiTheme="minorEastAsia" w:hAnsiTheme="minorEastAsia" w:eastAsiaTheme="minorEastAsia"/>
          <w:sz w:val="24"/>
          <w:lang w:val="en-US" w:eastAsia="zh-CN"/>
        </w:rPr>
        <w:t>广东省湛江供电局</w:t>
      </w:r>
      <w:r>
        <w:rPr>
          <w:rFonts w:hint="eastAsia" w:asciiTheme="minorEastAsia" w:hAnsiTheme="minorEastAsia" w:eastAsiaTheme="minorEastAsia"/>
          <w:sz w:val="24"/>
        </w:rPr>
        <w:t>使用地点进行验收交接。</w:t>
      </w:r>
    </w:p>
    <w:p>
      <w:pPr>
        <w:pStyle w:val="9"/>
        <w:rPr>
          <w:color w:val="auto"/>
        </w:rPr>
      </w:pPr>
      <w:bookmarkStart w:id="50" w:name="_Toc26125"/>
      <w:bookmarkStart w:id="51" w:name="_Toc18262"/>
      <w:bookmarkStart w:id="52" w:name="_Toc460489952"/>
      <w:r>
        <w:rPr>
          <w:rFonts w:hint="eastAsia"/>
          <w:color w:val="auto"/>
        </w:rPr>
        <w:t>9 验</w:t>
      </w:r>
      <w:bookmarkStart w:id="53" w:name="_Toc183227365"/>
      <w:r>
        <w:rPr>
          <w:rFonts w:hint="eastAsia"/>
          <w:color w:val="auto"/>
        </w:rPr>
        <w:t>收标准</w:t>
      </w:r>
      <w:bookmarkEnd w:id="50"/>
      <w:bookmarkEnd w:id="51"/>
      <w:bookmarkEnd w:id="52"/>
    </w:p>
    <w:bookmarkEnd w:id="53"/>
    <w:p>
      <w:pPr>
        <w:pStyle w:val="4"/>
        <w:spacing w:after="0" w:line="360" w:lineRule="auto"/>
        <w:ind w:firstLine="480" w:firstLineChars="200"/>
        <w:rPr>
          <w:rFonts w:asciiTheme="minorEastAsia" w:hAnsiTheme="minorEastAsia" w:eastAsiaTheme="minorEastAsia"/>
          <w:sz w:val="24"/>
        </w:rPr>
      </w:pPr>
      <w:bookmarkStart w:id="54" w:name="_Toc460489953"/>
      <w:r>
        <w:rPr>
          <w:rFonts w:hint="eastAsia" w:asciiTheme="minorEastAsia" w:hAnsiTheme="minorEastAsia" w:eastAsiaTheme="minorEastAsia"/>
          <w:sz w:val="24"/>
        </w:rPr>
        <w:t>厂商应提供相关技术文件，如合格证、出厂试验报告、安装使用说明书等；</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产品交接试验应由双方共同参与见证；</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厂商必须具备对售出产品检测、保养、维修的能力和专业场地，为买方提供必要、便捷的售后服务；</w:t>
      </w:r>
    </w:p>
    <w:p>
      <w:pPr>
        <w:pStyle w:val="9"/>
        <w:rPr>
          <w:color w:val="auto"/>
        </w:rPr>
      </w:pPr>
      <w:bookmarkStart w:id="55" w:name="_Toc19488"/>
      <w:bookmarkStart w:id="56" w:name="_Toc31616"/>
      <w:bookmarkStart w:id="57" w:name="_Toc183227366"/>
      <w:r>
        <w:rPr>
          <w:rFonts w:hint="eastAsia"/>
          <w:color w:val="auto"/>
        </w:rPr>
        <w:t>10 供货要求</w:t>
      </w:r>
      <w:bookmarkEnd w:id="54"/>
      <w:bookmarkEnd w:id="55"/>
      <w:bookmarkEnd w:id="56"/>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w:t>
      </w:r>
      <w:bookmarkEnd w:id="57"/>
      <w:r>
        <w:rPr>
          <w:rFonts w:hint="eastAsia" w:asciiTheme="minorEastAsia" w:hAnsiTheme="minorEastAsia" w:eastAsiaTheme="minorEastAsia"/>
          <w:sz w:val="24"/>
        </w:rPr>
        <w:t>方可以提出更优配置方案，并根据需要适当增减辅助设备。</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交货时间：合同签订后60天内交货。</w:t>
      </w:r>
    </w:p>
    <w:p>
      <w:pPr>
        <w:pStyle w:val="9"/>
        <w:rPr>
          <w:color w:val="auto"/>
        </w:rPr>
      </w:pPr>
      <w:bookmarkStart w:id="58" w:name="_Toc29890"/>
      <w:bookmarkStart w:id="59" w:name="_Toc20162"/>
      <w:bookmarkStart w:id="60" w:name="_Toc460489954"/>
      <w:r>
        <w:rPr>
          <w:rFonts w:hint="eastAsia"/>
          <w:color w:val="auto"/>
        </w:rPr>
        <w:t>11 质量保证</w:t>
      </w:r>
      <w:bookmarkEnd w:id="58"/>
      <w:bookmarkEnd w:id="59"/>
      <w:bookmarkEnd w:id="60"/>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全部设备必须是全新的,持久耐用的,应满足作为一个完整产品所能满足的全部要求。投标方应保证设备在规定的使用条件下能正常运行。并在使用现场整体安装完成。</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投标方应对其整组设备在到货后提供不少于三年的“三包”质量保证。之后如发生产品维修，投标方应及时为供应产品提供维修部件，并按最近的市场价提供。</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订购的新型产品除应满足本标准外,投标方还应提供该产品的鉴定证书。</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投标方应保证制造过程中的所有工艺、材料试验等(包括投标方的外购件在内)均应符合本标准的规定。若招标方根据运行经验指定投标方提供某种外购零部件,投标方应积极配合。</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附属及配套设备必须满足有关行业标准的要求,并提供试验报告和产品合格证。</w:t>
      </w:r>
    </w:p>
    <w:p>
      <w:pPr>
        <w:pStyle w:val="4"/>
        <w:spacing w:after="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投标方的产品应有符合ISO900</w:t>
      </w:r>
      <w:r>
        <w:rPr>
          <w:rFonts w:asciiTheme="minorEastAsia" w:hAnsiTheme="minorEastAsia" w:eastAsiaTheme="minorEastAsia"/>
          <w:sz w:val="24"/>
        </w:rPr>
        <w:t>1</w:t>
      </w:r>
      <w:r>
        <w:rPr>
          <w:rFonts w:hint="eastAsia" w:asciiTheme="minorEastAsia" w:hAnsiTheme="minorEastAsia" w:eastAsiaTheme="minorEastAsia"/>
          <w:sz w:val="24"/>
        </w:rPr>
        <w:t>-GB/T1900</w:t>
      </w:r>
      <w:r>
        <w:rPr>
          <w:rFonts w:asciiTheme="minorEastAsia" w:hAnsiTheme="minorEastAsia" w:eastAsiaTheme="minorEastAsia"/>
          <w:sz w:val="24"/>
        </w:rPr>
        <w:t>1</w:t>
      </w:r>
      <w:r>
        <w:rPr>
          <w:rFonts w:hint="eastAsia" w:asciiTheme="minorEastAsia" w:hAnsiTheme="minorEastAsia" w:eastAsiaTheme="minorEastAsia"/>
          <w:sz w:val="24"/>
        </w:rPr>
        <w:t>、I</w:t>
      </w:r>
      <w:r>
        <w:rPr>
          <w:rFonts w:asciiTheme="minorEastAsia" w:hAnsiTheme="minorEastAsia" w:eastAsiaTheme="minorEastAsia"/>
          <w:sz w:val="24"/>
        </w:rPr>
        <w:t>SO14001-GB/T24001、ISO45001-GB</w:t>
      </w:r>
      <w:r>
        <w:rPr>
          <w:rFonts w:hint="eastAsia" w:asciiTheme="minorEastAsia" w:hAnsiTheme="minorEastAsia" w:eastAsiaTheme="minorEastAsia"/>
          <w:sz w:val="24"/>
        </w:rPr>
        <w:t>/</w:t>
      </w:r>
      <w:r>
        <w:rPr>
          <w:rFonts w:asciiTheme="minorEastAsia" w:hAnsiTheme="minorEastAsia" w:eastAsiaTheme="minorEastAsia"/>
          <w:sz w:val="24"/>
        </w:rPr>
        <w:t>T45001</w:t>
      </w:r>
      <w:r>
        <w:rPr>
          <w:rFonts w:hint="eastAsia" w:asciiTheme="minorEastAsia" w:hAnsiTheme="minorEastAsia" w:eastAsiaTheme="minorEastAsia"/>
          <w:sz w:val="24"/>
        </w:rPr>
        <w:t>质量保证体系等标准的管理,确保该质量保证体系已经通过国家认证并在正常运转。</w:t>
      </w:r>
    </w:p>
    <w:p>
      <w:pPr>
        <w:pStyle w:val="4"/>
        <w:spacing w:after="0" w:line="360" w:lineRule="auto"/>
        <w:jc w:val="center"/>
        <w:rPr>
          <w:rFonts w:asciiTheme="minorEastAsia" w:hAnsiTheme="minorEastAsia" w:eastAsiaTheme="minorEastAsia"/>
          <w:sz w:val="24"/>
        </w:rPr>
      </w:pPr>
    </w:p>
    <w:p>
      <w:pPr>
        <w:pStyle w:val="4"/>
        <w:spacing w:after="0" w:line="360" w:lineRule="auto"/>
        <w:rPr>
          <w:rFonts w:asciiTheme="minorEastAsia" w:hAnsiTheme="minorEastAsia" w:eastAsiaTheme="minorEastAsia"/>
          <w:sz w:val="24"/>
        </w:rPr>
      </w:pPr>
    </w:p>
    <w:p/>
    <w:sectPr>
      <w:footerReference r:id="rId4" w:type="default"/>
      <w:pgSz w:w="11907" w:h="16840"/>
      <w:pgMar w:top="1440" w:right="1440" w:bottom="1440" w:left="1440" w:header="720" w:footer="720" w:gutter="0"/>
      <w:pgNumType w:start="1"/>
      <w:cols w:space="720"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3285765"/>
    </w:sdtPr>
    <w:sdtEndPr>
      <w:rPr>
        <w:sz w:val="24"/>
        <w:szCs w:val="24"/>
      </w:rPr>
    </w:sdtEndPr>
    <w:sdtContent>
      <w:p>
        <w:pPr>
          <w:pStyle w:val="6"/>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2</w:t>
        </w:r>
        <w:r>
          <w:rPr>
            <w:sz w:val="24"/>
            <w:szCs w:val="24"/>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5722A3"/>
    <w:rsid w:val="00985A5F"/>
    <w:rsid w:val="00CE1151"/>
    <w:rsid w:val="00EE2F6F"/>
    <w:rsid w:val="01210EEE"/>
    <w:rsid w:val="02BC375D"/>
    <w:rsid w:val="02BC5799"/>
    <w:rsid w:val="02F32092"/>
    <w:rsid w:val="030A3F51"/>
    <w:rsid w:val="03164C8F"/>
    <w:rsid w:val="0363771D"/>
    <w:rsid w:val="0387678E"/>
    <w:rsid w:val="03F46582"/>
    <w:rsid w:val="04131E40"/>
    <w:rsid w:val="04383687"/>
    <w:rsid w:val="046235D9"/>
    <w:rsid w:val="054562C4"/>
    <w:rsid w:val="05621B7E"/>
    <w:rsid w:val="05951F24"/>
    <w:rsid w:val="05B306A8"/>
    <w:rsid w:val="05E86AD6"/>
    <w:rsid w:val="06634EA9"/>
    <w:rsid w:val="067732A7"/>
    <w:rsid w:val="06835A0D"/>
    <w:rsid w:val="07144BB2"/>
    <w:rsid w:val="077D6AF7"/>
    <w:rsid w:val="080E0A8E"/>
    <w:rsid w:val="08245363"/>
    <w:rsid w:val="09300F27"/>
    <w:rsid w:val="099A38EE"/>
    <w:rsid w:val="09EC2E9B"/>
    <w:rsid w:val="0A012AA5"/>
    <w:rsid w:val="0A144FD1"/>
    <w:rsid w:val="0A2F7BAC"/>
    <w:rsid w:val="0A720E40"/>
    <w:rsid w:val="0B782889"/>
    <w:rsid w:val="0C2D1A71"/>
    <w:rsid w:val="0D493966"/>
    <w:rsid w:val="0DEE2C53"/>
    <w:rsid w:val="0E592C09"/>
    <w:rsid w:val="0E7E1618"/>
    <w:rsid w:val="0E961286"/>
    <w:rsid w:val="0F4836E2"/>
    <w:rsid w:val="0F981777"/>
    <w:rsid w:val="10182756"/>
    <w:rsid w:val="10A62F25"/>
    <w:rsid w:val="10E832D5"/>
    <w:rsid w:val="11F83712"/>
    <w:rsid w:val="126353CF"/>
    <w:rsid w:val="12780EF9"/>
    <w:rsid w:val="129123A5"/>
    <w:rsid w:val="129F5C00"/>
    <w:rsid w:val="12A343EF"/>
    <w:rsid w:val="12A4396E"/>
    <w:rsid w:val="12BD58FA"/>
    <w:rsid w:val="12F01D9B"/>
    <w:rsid w:val="135D08BA"/>
    <w:rsid w:val="13DD1C2C"/>
    <w:rsid w:val="14AD0226"/>
    <w:rsid w:val="154E199F"/>
    <w:rsid w:val="15963AE9"/>
    <w:rsid w:val="169B39E7"/>
    <w:rsid w:val="18FC7922"/>
    <w:rsid w:val="19501E48"/>
    <w:rsid w:val="19642EFF"/>
    <w:rsid w:val="196C56E9"/>
    <w:rsid w:val="1A1E7DBA"/>
    <w:rsid w:val="1A2114AB"/>
    <w:rsid w:val="1A775D5E"/>
    <w:rsid w:val="1AA038E0"/>
    <w:rsid w:val="1B237D35"/>
    <w:rsid w:val="1BF16EAE"/>
    <w:rsid w:val="1C432997"/>
    <w:rsid w:val="1C751BA7"/>
    <w:rsid w:val="1CE90494"/>
    <w:rsid w:val="1CFB48F9"/>
    <w:rsid w:val="1D96350D"/>
    <w:rsid w:val="1DFB6445"/>
    <w:rsid w:val="1E2F05B3"/>
    <w:rsid w:val="1F8C0C15"/>
    <w:rsid w:val="1F8F68C5"/>
    <w:rsid w:val="1FC610F3"/>
    <w:rsid w:val="20A13B42"/>
    <w:rsid w:val="210C05AB"/>
    <w:rsid w:val="212D2E3F"/>
    <w:rsid w:val="21450751"/>
    <w:rsid w:val="215B1104"/>
    <w:rsid w:val="21E56DE2"/>
    <w:rsid w:val="22A41B8D"/>
    <w:rsid w:val="236146D2"/>
    <w:rsid w:val="236B11A9"/>
    <w:rsid w:val="238D55EB"/>
    <w:rsid w:val="23AF3581"/>
    <w:rsid w:val="23D3725E"/>
    <w:rsid w:val="24107BA2"/>
    <w:rsid w:val="24C90AFA"/>
    <w:rsid w:val="24CE3EA8"/>
    <w:rsid w:val="24D82E4B"/>
    <w:rsid w:val="2501730A"/>
    <w:rsid w:val="25F97E38"/>
    <w:rsid w:val="273D5676"/>
    <w:rsid w:val="277A0DB1"/>
    <w:rsid w:val="278D1110"/>
    <w:rsid w:val="27963DAE"/>
    <w:rsid w:val="27E95CBC"/>
    <w:rsid w:val="27F448F3"/>
    <w:rsid w:val="28633DBF"/>
    <w:rsid w:val="28C61EC3"/>
    <w:rsid w:val="28FA3D30"/>
    <w:rsid w:val="2995080C"/>
    <w:rsid w:val="29EC2396"/>
    <w:rsid w:val="2A757109"/>
    <w:rsid w:val="2A9D24A0"/>
    <w:rsid w:val="2ABF3366"/>
    <w:rsid w:val="2ADA6CBA"/>
    <w:rsid w:val="2B7B195C"/>
    <w:rsid w:val="2BB5702B"/>
    <w:rsid w:val="2E6244F3"/>
    <w:rsid w:val="2EBC7B65"/>
    <w:rsid w:val="2EF310E8"/>
    <w:rsid w:val="2EF92946"/>
    <w:rsid w:val="2F88112F"/>
    <w:rsid w:val="2FAF3320"/>
    <w:rsid w:val="307B22D4"/>
    <w:rsid w:val="30DB41C8"/>
    <w:rsid w:val="31462F8D"/>
    <w:rsid w:val="31D12649"/>
    <w:rsid w:val="32045DCF"/>
    <w:rsid w:val="32646348"/>
    <w:rsid w:val="331150FF"/>
    <w:rsid w:val="33A54881"/>
    <w:rsid w:val="33BF0BA6"/>
    <w:rsid w:val="33D749D8"/>
    <w:rsid w:val="341002FD"/>
    <w:rsid w:val="34196A0F"/>
    <w:rsid w:val="346F4D97"/>
    <w:rsid w:val="360E17FE"/>
    <w:rsid w:val="36424AC0"/>
    <w:rsid w:val="368F1E77"/>
    <w:rsid w:val="369A751E"/>
    <w:rsid w:val="36AC6302"/>
    <w:rsid w:val="37193CB7"/>
    <w:rsid w:val="37C46CD2"/>
    <w:rsid w:val="38251440"/>
    <w:rsid w:val="38421E7B"/>
    <w:rsid w:val="38F459DB"/>
    <w:rsid w:val="39763351"/>
    <w:rsid w:val="3A221AF6"/>
    <w:rsid w:val="3AA90E12"/>
    <w:rsid w:val="3AE12007"/>
    <w:rsid w:val="3AF84B00"/>
    <w:rsid w:val="3B321620"/>
    <w:rsid w:val="3B7D497A"/>
    <w:rsid w:val="3BFD0CB4"/>
    <w:rsid w:val="3C6B3F6F"/>
    <w:rsid w:val="3C9A31FE"/>
    <w:rsid w:val="3D002A1F"/>
    <w:rsid w:val="3DEC3C83"/>
    <w:rsid w:val="3E1716EE"/>
    <w:rsid w:val="3E4022C3"/>
    <w:rsid w:val="3EAA0AA1"/>
    <w:rsid w:val="3ED03DD8"/>
    <w:rsid w:val="3F32175D"/>
    <w:rsid w:val="3F8562F3"/>
    <w:rsid w:val="3FB75EC9"/>
    <w:rsid w:val="408F00C0"/>
    <w:rsid w:val="411E6E0A"/>
    <w:rsid w:val="412F1407"/>
    <w:rsid w:val="432623A8"/>
    <w:rsid w:val="43640B6F"/>
    <w:rsid w:val="43F93161"/>
    <w:rsid w:val="441021A4"/>
    <w:rsid w:val="44121F48"/>
    <w:rsid w:val="446D7E39"/>
    <w:rsid w:val="44A47FD3"/>
    <w:rsid w:val="44AB0D90"/>
    <w:rsid w:val="45216991"/>
    <w:rsid w:val="4535661F"/>
    <w:rsid w:val="4536073B"/>
    <w:rsid w:val="459F4A1A"/>
    <w:rsid w:val="45AB281D"/>
    <w:rsid w:val="45C55DE7"/>
    <w:rsid w:val="46926E1B"/>
    <w:rsid w:val="469B67BA"/>
    <w:rsid w:val="46CE180C"/>
    <w:rsid w:val="46DE72ED"/>
    <w:rsid w:val="47355675"/>
    <w:rsid w:val="47B32ABE"/>
    <w:rsid w:val="47DF4276"/>
    <w:rsid w:val="47E24607"/>
    <w:rsid w:val="47E657A1"/>
    <w:rsid w:val="488E6744"/>
    <w:rsid w:val="492D6457"/>
    <w:rsid w:val="49CD0920"/>
    <w:rsid w:val="4A2B7AF2"/>
    <w:rsid w:val="4AE67092"/>
    <w:rsid w:val="4AEE1C4F"/>
    <w:rsid w:val="4B3C02D2"/>
    <w:rsid w:val="4B513E49"/>
    <w:rsid w:val="4B9229BE"/>
    <w:rsid w:val="4C742468"/>
    <w:rsid w:val="4CBD2180"/>
    <w:rsid w:val="4CDF5EF4"/>
    <w:rsid w:val="4CF95AD7"/>
    <w:rsid w:val="4D005E98"/>
    <w:rsid w:val="4D0E38FF"/>
    <w:rsid w:val="4E1961C8"/>
    <w:rsid w:val="4F1F13A4"/>
    <w:rsid w:val="4F6261ED"/>
    <w:rsid w:val="50626514"/>
    <w:rsid w:val="509046D0"/>
    <w:rsid w:val="509E4852"/>
    <w:rsid w:val="50A55786"/>
    <w:rsid w:val="50BD59B1"/>
    <w:rsid w:val="51191A37"/>
    <w:rsid w:val="51322644"/>
    <w:rsid w:val="51D732BD"/>
    <w:rsid w:val="53A43680"/>
    <w:rsid w:val="53BA5EA4"/>
    <w:rsid w:val="54555A1B"/>
    <w:rsid w:val="54565324"/>
    <w:rsid w:val="54732B41"/>
    <w:rsid w:val="54756CD3"/>
    <w:rsid w:val="548807EF"/>
    <w:rsid w:val="54F86A1B"/>
    <w:rsid w:val="55831E77"/>
    <w:rsid w:val="55E91EC0"/>
    <w:rsid w:val="56312682"/>
    <w:rsid w:val="564C092F"/>
    <w:rsid w:val="56816BFC"/>
    <w:rsid w:val="569B1E43"/>
    <w:rsid w:val="57C331B4"/>
    <w:rsid w:val="595B6B48"/>
    <w:rsid w:val="596E17B7"/>
    <w:rsid w:val="59875B1C"/>
    <w:rsid w:val="59FB6448"/>
    <w:rsid w:val="5AD43BA4"/>
    <w:rsid w:val="5AF06E5D"/>
    <w:rsid w:val="5B4902F8"/>
    <w:rsid w:val="5B7C55A1"/>
    <w:rsid w:val="5BD804CD"/>
    <w:rsid w:val="5BEA1FCF"/>
    <w:rsid w:val="5C0E196B"/>
    <w:rsid w:val="5CBC73E4"/>
    <w:rsid w:val="5CCB43B9"/>
    <w:rsid w:val="5D6D3815"/>
    <w:rsid w:val="5D70771D"/>
    <w:rsid w:val="5D7C171F"/>
    <w:rsid w:val="5D821BA1"/>
    <w:rsid w:val="5D9934ED"/>
    <w:rsid w:val="5DDF21C0"/>
    <w:rsid w:val="5E961AF3"/>
    <w:rsid w:val="5EE24697"/>
    <w:rsid w:val="5FDE3657"/>
    <w:rsid w:val="60431CD1"/>
    <w:rsid w:val="604359F6"/>
    <w:rsid w:val="60C855EA"/>
    <w:rsid w:val="618B578B"/>
    <w:rsid w:val="62313ED6"/>
    <w:rsid w:val="632C180F"/>
    <w:rsid w:val="649E28D6"/>
    <w:rsid w:val="64E867D7"/>
    <w:rsid w:val="65892299"/>
    <w:rsid w:val="659C1115"/>
    <w:rsid w:val="663C5995"/>
    <w:rsid w:val="66D06AFC"/>
    <w:rsid w:val="670C1509"/>
    <w:rsid w:val="677F1E62"/>
    <w:rsid w:val="67921BCE"/>
    <w:rsid w:val="681D3256"/>
    <w:rsid w:val="6873546A"/>
    <w:rsid w:val="69394927"/>
    <w:rsid w:val="69585397"/>
    <w:rsid w:val="69F467E7"/>
    <w:rsid w:val="69F75FBF"/>
    <w:rsid w:val="6A160FBD"/>
    <w:rsid w:val="6A851FC2"/>
    <w:rsid w:val="6A8B644E"/>
    <w:rsid w:val="6A9C5734"/>
    <w:rsid w:val="6BF36EFD"/>
    <w:rsid w:val="6BF67EC7"/>
    <w:rsid w:val="6C166B46"/>
    <w:rsid w:val="6C2038F7"/>
    <w:rsid w:val="6E5722A3"/>
    <w:rsid w:val="6F46135A"/>
    <w:rsid w:val="6F465860"/>
    <w:rsid w:val="6F7A2C78"/>
    <w:rsid w:val="7049372A"/>
    <w:rsid w:val="705811C6"/>
    <w:rsid w:val="70765E0F"/>
    <w:rsid w:val="708301C5"/>
    <w:rsid w:val="708337B1"/>
    <w:rsid w:val="7087013A"/>
    <w:rsid w:val="710E7500"/>
    <w:rsid w:val="7296028E"/>
    <w:rsid w:val="72C53A3A"/>
    <w:rsid w:val="72E826E0"/>
    <w:rsid w:val="73187C5C"/>
    <w:rsid w:val="73233448"/>
    <w:rsid w:val="73691C73"/>
    <w:rsid w:val="73926C07"/>
    <w:rsid w:val="74BC1824"/>
    <w:rsid w:val="74DA0E30"/>
    <w:rsid w:val="74F515C6"/>
    <w:rsid w:val="750B4B4B"/>
    <w:rsid w:val="75DD1F64"/>
    <w:rsid w:val="762D74E1"/>
    <w:rsid w:val="767F0018"/>
    <w:rsid w:val="76B344A0"/>
    <w:rsid w:val="781815A9"/>
    <w:rsid w:val="785B0A30"/>
    <w:rsid w:val="79C25BCD"/>
    <w:rsid w:val="79DA2CC1"/>
    <w:rsid w:val="7A797465"/>
    <w:rsid w:val="7B2836D2"/>
    <w:rsid w:val="7B33250C"/>
    <w:rsid w:val="7B4D1550"/>
    <w:rsid w:val="7B9D2C14"/>
    <w:rsid w:val="7BB36575"/>
    <w:rsid w:val="7BC9620E"/>
    <w:rsid w:val="7BE43D33"/>
    <w:rsid w:val="7C5A6C38"/>
    <w:rsid w:val="7C5A7EEC"/>
    <w:rsid w:val="7C6056DF"/>
    <w:rsid w:val="7C9C79A8"/>
    <w:rsid w:val="7CC2532F"/>
    <w:rsid w:val="7D402B20"/>
    <w:rsid w:val="7E0026B8"/>
    <w:rsid w:val="7E464BA2"/>
    <w:rsid w:val="7E561FE0"/>
    <w:rsid w:val="7EA63E46"/>
    <w:rsid w:val="7EBD0A50"/>
    <w:rsid w:val="7F2B3174"/>
    <w:rsid w:val="7F3C1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28"/>
      <w:szCs w:val="24"/>
      <w:lang w:val="en-US" w:eastAsia="zh-CN" w:bidi="ar-SA"/>
    </w:rPr>
  </w:style>
  <w:style w:type="paragraph" w:styleId="2">
    <w:name w:val="heading 1"/>
    <w:basedOn w:val="1"/>
    <w:next w:val="1"/>
    <w:qFormat/>
    <w:uiPriority w:val="0"/>
    <w:pPr>
      <w:keepNext/>
      <w:keepLines/>
      <w:adjustRightInd w:val="0"/>
      <w:spacing w:before="120" w:after="120" w:line="360" w:lineRule="auto"/>
      <w:jc w:val="left"/>
      <w:textAlignment w:val="baseline"/>
      <w:outlineLvl w:val="0"/>
    </w:pPr>
    <w:rPr>
      <w:rFonts w:eastAsia="宋体"/>
      <w:b/>
      <w:kern w:val="44"/>
      <w:szCs w:val="20"/>
    </w:rPr>
  </w:style>
  <w:style w:type="paragraph" w:styleId="3">
    <w:name w:val="heading 2"/>
    <w:basedOn w:val="2"/>
    <w:next w:val="1"/>
    <w:qFormat/>
    <w:uiPriority w:val="0"/>
    <w:pPr>
      <w:spacing w:before="0" w:after="0" w:line="480" w:lineRule="auto"/>
      <w:outlineLvl w:val="1"/>
    </w:pPr>
    <w:rPr>
      <w:rFonts w:asciiTheme="minorEastAsia" w:hAnsiTheme="minorEastAsia" w:eastAsiaTheme="minorEastAsia"/>
      <w:color w:val="000000"/>
      <w:kern w:val="2"/>
      <w:szCs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after="120"/>
    </w:pPr>
  </w:style>
  <w:style w:type="paragraph" w:styleId="5">
    <w:name w:val="Date"/>
    <w:basedOn w:val="1"/>
    <w:next w:val="1"/>
    <w:qFormat/>
    <w:uiPriority w:val="0"/>
    <w:rPr>
      <w:rFonts w:ascii="Arial" w:hAnsi="Arial" w:eastAsia="宋体"/>
      <w:sz w:val="21"/>
      <w:szCs w:val="20"/>
    </w:rPr>
  </w:style>
  <w:style w:type="paragraph" w:styleId="6">
    <w:name w:val="footer"/>
    <w:basedOn w:val="1"/>
    <w:qFormat/>
    <w:uiPriority w:val="99"/>
    <w:pPr>
      <w:tabs>
        <w:tab w:val="center" w:pos="4153"/>
        <w:tab w:val="right" w:pos="8306"/>
      </w:tabs>
      <w:adjustRightInd w:val="0"/>
      <w:snapToGrid w:val="0"/>
      <w:spacing w:line="240" w:lineRule="atLeast"/>
      <w:jc w:val="left"/>
      <w:textAlignment w:val="baseline"/>
    </w:pPr>
    <w:rPr>
      <w:rFonts w:eastAsia="宋体"/>
      <w:kern w:val="0"/>
      <w:sz w:val="18"/>
      <w:szCs w:val="20"/>
    </w:rPr>
  </w:style>
  <w:style w:type="paragraph" w:styleId="7">
    <w:name w:val="toc 1"/>
    <w:basedOn w:val="1"/>
    <w:next w:val="1"/>
    <w:qFormat/>
    <w:uiPriority w:val="39"/>
    <w:pPr>
      <w:tabs>
        <w:tab w:val="left" w:pos="420"/>
        <w:tab w:val="right" w:leader="dot" w:pos="8587"/>
        <w:tab w:val="right" w:leader="dot" w:pos="9119"/>
      </w:tabs>
      <w:adjustRightInd w:val="0"/>
      <w:spacing w:line="400" w:lineRule="exact"/>
      <w:jc w:val="left"/>
      <w:textAlignment w:val="baseline"/>
    </w:pPr>
    <w:rPr>
      <w:rFonts w:eastAsiaTheme="minorEastAsia"/>
      <w:b/>
      <w:caps/>
      <w:kern w:val="0"/>
      <w:sz w:val="24"/>
      <w:szCs w:val="20"/>
    </w:rPr>
  </w:style>
  <w:style w:type="paragraph" w:styleId="8">
    <w:name w:val="toc 2"/>
    <w:basedOn w:val="1"/>
    <w:next w:val="1"/>
    <w:uiPriority w:val="0"/>
    <w:pPr>
      <w:ind w:left="420" w:leftChars="200"/>
    </w:pPr>
  </w:style>
  <w:style w:type="paragraph" w:styleId="9">
    <w:name w:val="Title"/>
    <w:basedOn w:val="3"/>
    <w:next w:val="1"/>
    <w:qFormat/>
    <w:uiPriority w:val="0"/>
    <w:pPr>
      <w:outlineLvl w:val="0"/>
    </w:pPr>
  </w:style>
  <w:style w:type="paragraph" w:customStyle="1" w:styleId="12">
    <w:name w:val="封面一级标题文字"/>
    <w:basedOn w:val="1"/>
    <w:qFormat/>
    <w:uiPriority w:val="0"/>
    <w:pPr>
      <w:spacing w:line="640" w:lineRule="exact"/>
      <w:jc w:val="center"/>
    </w:pPr>
    <w:rPr>
      <w:rFonts w:ascii="黑体" w:eastAsia="黑体"/>
      <w:b/>
      <w:bCs/>
      <w:sz w:val="52"/>
    </w:rPr>
  </w:style>
  <w:style w:type="paragraph" w:customStyle="1" w:styleId="13">
    <w:name w:val="正文格式"/>
    <w:basedOn w:val="1"/>
    <w:qFormat/>
    <w:uiPriority w:val="0"/>
    <w:pPr>
      <w:topLinePunct/>
      <w:ind w:firstLine="420" w:firstLineChars="200"/>
    </w:pPr>
    <w:rPr>
      <w:rFonts w:ascii="宋体" w:hAnsi="宋体" w:eastAsia="宋体"/>
      <w:bCs/>
      <w:kern w:val="0"/>
      <w:sz w:val="2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2023-03-29T06:33:00Z</dcterms:created>
  <dc:creator>韩佳锐</dc:creator>
  <cp:lastModifiedBy>波仔</cp:lastModifiedBy>
  <dcterms:modified xsi:type="dcterms:W3CDTF">2023-06-30T09:30:41Z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1CC2140BEB0B41EC804CE11EB5749B8B</vt:lpwstr>
  </property>
</Properties>
</file>