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hint="eastAsia" w:ascii="仿宋" w:hAnsi="仿宋" w:eastAsia="仿宋" w:cs="仿宋"/>
          <w:b w:val="0"/>
          <w:bCs w:val="0"/>
          <w:color w:val="auto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44"/>
          <w:szCs w:val="44"/>
          <w:lang w:val="en-US" w:eastAsia="zh-CN"/>
        </w:rPr>
        <w:t>报价澄清说明</w:t>
      </w:r>
    </w:p>
    <w:p>
      <w:pPr>
        <w:rPr>
          <w:rFonts w:hint="eastAsia"/>
          <w:b w:val="0"/>
          <w:bCs w:val="0"/>
          <w:color w:val="auto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left="70" w:leftChars="0" w:firstLine="560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本项目报价为下浮率报价，详见开标一览表。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left="70" w:leftChars="0" w:firstLine="560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参考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single"/>
        </w:rPr>
        <w:t>广州市发展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single"/>
          <w:lang w:eastAsia="zh-CN"/>
        </w:rPr>
        <w:t>和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single"/>
        </w:rPr>
        <w:t>改革委员会官网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</w:rPr>
        <w:t>上“广州菜篮子价格”（广州市价格监测预警系统）公布的平均零售价格为价格基准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</w:rPr>
        <w:t>若该网站未公布的品种，则以双方共同市场调研的零售价格为价格基准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（冷冻类食材以广东省冷冻食品批发市场的零售价格为价格基准、水产类食材以广州市黄沙水产市场的零售价格为价格基准），最终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</w:rPr>
        <w:t>以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半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</w:rPr>
        <w:t>月为一个定价周期，每个周期开始前双方进行市场询价后确定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shd w:val="clear" w:color="FFFFFF" w:fill="D9D9D9"/>
          <w:lang w:val="en-US" w:eastAsia="zh-CN"/>
        </w:rPr>
        <w:t>零售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shd w:val="clear" w:color="FFFFFF" w:fill="D9D9D9"/>
        </w:rPr>
        <w:t>价格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最终以每周期确定的零售价格×（1-下浮率%）为最终的结算价格，例某蔬菜零售价格为5元/千克，下浮率为10%，则该蔬菜实际结算价为5×(1-10%)=4.5元/千克，所有食材均为含税价格。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left="70" w:leftChars="0" w:firstLine="560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下浮率不得大于15%，当下浮率高于15%时，需提供成本分析报告（通过数据表格及文字分析说明，阐明本项目成本构成内容，提供成本控制具体方案，以及各项成本的节约措施，并证明成本节约的实际成效）。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left="70" w:leftChars="0" w:firstLine="560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结算方式：货品的采购价格=经招标人确认的货品零售价格×（1-投标下浮率）×实际采购数量。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left="70" w:leftChars="0" w:firstLine="560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本项目是采取框架采购形式，具体的需求数量、交货的时间及地点以招标结果有效期内实际需求的订单为准。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E4B653"/>
    <w:multiLevelType w:val="singleLevel"/>
    <w:tmpl w:val="ABE4B653"/>
    <w:lvl w:ilvl="0" w:tentative="0">
      <w:start w:val="1"/>
      <w:numFmt w:val="chineseCounting"/>
      <w:suff w:val="nothing"/>
      <w:lvlText w:val="%1、"/>
      <w:lvlJc w:val="left"/>
      <w:pPr>
        <w:ind w:left="1052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501A60"/>
    <w:rsid w:val="20146DE1"/>
    <w:rsid w:val="266913B5"/>
    <w:rsid w:val="39F51749"/>
    <w:rsid w:val="3A485F17"/>
    <w:rsid w:val="4674273D"/>
    <w:rsid w:val="4B6C5D85"/>
    <w:rsid w:val="667A306E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康 辉</cp:lastModifiedBy>
  <dcterms:modified xsi:type="dcterms:W3CDTF">2022-09-22T09:48:03Z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156</Characters>
  <Lines>0</Lines>
  <Paragraphs>0</Paragraphs>
  <TotalTime>1</TotalTime>
  <ScaleCrop>false</ScaleCrop>
  <LinksUpToDate>false</LinksUpToDate>
  <CharactersWithSpaces>210</CharactersWithSpaces>
  <Application>WPS Office_11.8.2.11716_F1E327BC-269C-435d-A152-05C5408002CA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1E444B450FCD48DB8141AA138A279183</vt:lpwstr>
  </property>
</Properties>
</file>

<file path=customXml/itemProps1.xml><?xml version="1.0" encoding="utf-8"?>
<ds:datastoreItem xmlns:ds="http://schemas.openxmlformats.org/officeDocument/2006/customXml" ds:itemID="{b448b3c4-6ad6-4605-9738-81af39d48d90}">
  <ds:schemaRefs/>
</ds:datastoreItem>
</file>

<file path=customXml/itemProps2.xml><?xml version="1.0" encoding="utf-8"?>
<ds:datastoreItem xmlns:ds="http://schemas.openxmlformats.org/officeDocument/2006/customXml" ds:itemID="{5921e5c5-49ec-417c-9889-b83dd55b6a2f}">
  <ds:schemaRefs/>
</ds:datastoreItem>
</file>

<file path=customXml/itemProps3.xml><?xml version="1.0" encoding="utf-8"?>
<ds:datastoreItem xmlns:ds="http://schemas.openxmlformats.org/officeDocument/2006/customXml" ds:itemID="{a26e7cc4-6496-480d-8604-c193725aa1e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156</Characters>
  <Lines>0</Lines>
  <Paragraphs>0</Paragraphs>
  <TotalTime>60</TotalTime>
  <ScaleCrop>false</ScaleCrop>
  <LinksUpToDate>false</LinksUpToDate>
  <CharactersWithSpaces>210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董征</cp:lastModifiedBy>
  <dcterms:modified xsi:type="dcterms:W3CDTF">2023-07-04T07:01:45Z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CC7441FFFF9247CB841A0390C6F4A975</vt:lpwstr>
  </property>
</Properties>
</file>