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评分</w:t>
      </w:r>
      <w:r>
        <w:rPr>
          <w:rFonts w:hint="eastAsia" w:ascii="宋体" w:hAnsi="宋体" w:eastAsia="宋体" w:cs="宋体"/>
          <w:b/>
          <w:sz w:val="28"/>
          <w:szCs w:val="28"/>
          <w:lang w:val="en-US" w:eastAsia="zh-CN"/>
        </w:rPr>
        <w:t>要素</w:t>
      </w:r>
      <w:r>
        <w:rPr>
          <w:rFonts w:hint="eastAsia" w:ascii="宋体" w:hAnsi="宋体" w:eastAsia="宋体" w:cs="宋体"/>
          <w:b/>
          <w:sz w:val="28"/>
          <w:szCs w:val="28"/>
        </w:rPr>
        <w:t>自查表</w:t>
      </w:r>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57"/>
        <w:gridCol w:w="848"/>
        <w:gridCol w:w="3495"/>
        <w:gridCol w:w="510"/>
        <w:gridCol w:w="1199"/>
        <w:gridCol w:w="1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90" w:hRule="atLeast"/>
          <w:jc w:val="center"/>
        </w:trPr>
        <w:tc>
          <w:tcPr>
            <w:tcW w:w="394" w:type="pct"/>
            <w:vMerge w:val="restart"/>
            <w:shd w:val="clear" w:color="auto" w:fill="FFF2CC"/>
            <w:noWrap w:val="0"/>
            <w:vAlign w:val="center"/>
          </w:tcPr>
          <w:p>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kern w:val="0"/>
                <w:sz w:val="24"/>
                <w:szCs w:val="24"/>
                <w:highlight w:val="none"/>
                <w:u w:val="none"/>
                <w:lang w:val="en-US" w:eastAsia="zh-CN"/>
              </w:rPr>
              <w:t>类别</w:t>
            </w:r>
          </w:p>
        </w:tc>
        <w:tc>
          <w:tcPr>
            <w:tcW w:w="508" w:type="pct"/>
            <w:vMerge w:val="restart"/>
            <w:shd w:val="clear" w:color="auto" w:fill="FFF2CC"/>
            <w:noWrap w:val="0"/>
            <w:vAlign w:val="center"/>
          </w:tcPr>
          <w:p>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详细评审项</w:t>
            </w:r>
          </w:p>
        </w:tc>
        <w:tc>
          <w:tcPr>
            <w:tcW w:w="2097" w:type="pct"/>
            <w:vMerge w:val="restart"/>
            <w:shd w:val="clear" w:color="auto" w:fill="FFF2CC"/>
            <w:noWrap w:val="0"/>
            <w:vAlign w:val="center"/>
          </w:tcPr>
          <w:p>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kern w:val="0"/>
                <w:sz w:val="24"/>
                <w:szCs w:val="24"/>
                <w:highlight w:val="none"/>
                <w:u w:val="none"/>
                <w:lang w:val="en-US" w:eastAsia="zh-CN"/>
              </w:rPr>
              <w:t>详细评审分项要素</w:t>
            </w:r>
          </w:p>
        </w:tc>
        <w:tc>
          <w:tcPr>
            <w:tcW w:w="306" w:type="pct"/>
            <w:vMerge w:val="restart"/>
            <w:shd w:val="clear" w:color="auto" w:fill="FFF2CC"/>
            <w:noWrap w:val="0"/>
            <w:vAlign w:val="center"/>
          </w:tcPr>
          <w:p>
            <w:pPr>
              <w:keepNext w:val="0"/>
              <w:keepLines w:val="0"/>
              <w:widowControl/>
              <w:suppressLineNumbers w:val="0"/>
              <w:jc w:val="center"/>
              <w:textAlignment w:val="center"/>
              <w:rPr>
                <w:rFonts w:hint="eastAsia" w:ascii="宋体" w:hAnsi="宋体" w:eastAsia="宋体" w:cs="宋体"/>
                <w:i w:val="0"/>
                <w:color w:val="auto"/>
                <w:kern w:val="2"/>
                <w:sz w:val="24"/>
                <w:szCs w:val="24"/>
                <w:highlight w:val="none"/>
                <w:u w:val="none"/>
                <w:lang w:val="en-US" w:eastAsia="zh-CN" w:bidi="ar-SA"/>
              </w:rPr>
            </w:pPr>
            <w:r>
              <w:rPr>
                <w:rFonts w:hint="eastAsia" w:ascii="宋体" w:hAnsi="宋体" w:eastAsia="宋体" w:cs="宋体"/>
                <w:i w:val="0"/>
                <w:color w:val="auto"/>
                <w:kern w:val="0"/>
                <w:sz w:val="24"/>
                <w:szCs w:val="24"/>
                <w:highlight w:val="none"/>
                <w:u w:val="none"/>
                <w:lang w:val="en-US" w:eastAsia="zh-CN"/>
              </w:rPr>
              <w:t>分值</w:t>
            </w:r>
          </w:p>
        </w:tc>
        <w:tc>
          <w:tcPr>
            <w:tcW w:w="719" w:type="pct"/>
            <w:shd w:val="clear" w:color="auto" w:fill="FFF2CC"/>
            <w:noWrap w:val="0"/>
            <w:vAlign w:val="center"/>
          </w:tcPr>
          <w:p>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kern w:val="0"/>
                <w:sz w:val="24"/>
                <w:szCs w:val="24"/>
                <w:highlight w:val="none"/>
                <w:u w:val="none"/>
                <w:lang w:val="en-US" w:eastAsia="zh-CN"/>
              </w:rPr>
              <w:t>投标人应答</w:t>
            </w:r>
          </w:p>
        </w:tc>
        <w:tc>
          <w:tcPr>
            <w:tcW w:w="974" w:type="pct"/>
            <w:shd w:val="clear" w:color="auto" w:fill="FFF2CC"/>
            <w:noWrap w:val="0"/>
            <w:vAlign w:val="center"/>
          </w:tcPr>
          <w:p>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kern w:val="0"/>
                <w:sz w:val="24"/>
                <w:szCs w:val="24"/>
                <w:highlight w:val="none"/>
                <w:u w:val="none"/>
                <w:lang w:val="en-US" w:eastAsia="zh-CN"/>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0" w:hRule="atLeast"/>
          <w:jc w:val="center"/>
        </w:trPr>
        <w:tc>
          <w:tcPr>
            <w:tcW w:w="394" w:type="pct"/>
            <w:vMerge w:val="continue"/>
            <w:shd w:val="clear" w:color="auto" w:fill="FFF2CC"/>
            <w:noWrap w:val="0"/>
            <w:vAlign w:val="center"/>
          </w:tcPr>
          <w:p>
            <w:pPr>
              <w:jc w:val="center"/>
              <w:rPr>
                <w:rFonts w:hint="eastAsia" w:ascii="宋体" w:hAnsi="宋体" w:eastAsia="宋体" w:cs="宋体"/>
                <w:i w:val="0"/>
                <w:color w:val="auto"/>
                <w:sz w:val="24"/>
                <w:szCs w:val="24"/>
                <w:highlight w:val="none"/>
                <w:u w:val="none"/>
                <w:lang w:val="en-US" w:eastAsia="zh-CN"/>
              </w:rPr>
            </w:pPr>
          </w:p>
        </w:tc>
        <w:tc>
          <w:tcPr>
            <w:tcW w:w="508" w:type="pct"/>
            <w:vMerge w:val="continue"/>
            <w:shd w:val="clear" w:color="auto" w:fill="FFF2CC"/>
            <w:noWrap w:val="0"/>
            <w:vAlign w:val="center"/>
          </w:tcPr>
          <w:p>
            <w:pPr>
              <w:jc w:val="center"/>
              <w:rPr>
                <w:rFonts w:hint="eastAsia" w:ascii="宋体" w:hAnsi="宋体" w:eastAsia="宋体" w:cs="宋体"/>
                <w:i w:val="0"/>
                <w:color w:val="auto"/>
                <w:sz w:val="24"/>
                <w:szCs w:val="24"/>
                <w:highlight w:val="none"/>
                <w:u w:val="none"/>
                <w:lang w:val="en-US" w:eastAsia="zh-CN"/>
              </w:rPr>
            </w:pPr>
          </w:p>
        </w:tc>
        <w:tc>
          <w:tcPr>
            <w:tcW w:w="2097" w:type="pct"/>
            <w:vMerge w:val="continue"/>
            <w:shd w:val="clear" w:color="auto" w:fill="FFF2CC"/>
            <w:noWrap w:val="0"/>
            <w:vAlign w:val="center"/>
          </w:tcPr>
          <w:p>
            <w:pPr>
              <w:jc w:val="center"/>
              <w:rPr>
                <w:rFonts w:hint="eastAsia" w:ascii="宋体" w:hAnsi="宋体" w:eastAsia="宋体" w:cs="宋体"/>
                <w:i w:val="0"/>
                <w:color w:val="auto"/>
                <w:sz w:val="24"/>
                <w:szCs w:val="24"/>
                <w:highlight w:val="none"/>
                <w:u w:val="none"/>
                <w:lang w:val="en-US" w:eastAsia="zh-CN"/>
              </w:rPr>
            </w:pPr>
          </w:p>
        </w:tc>
        <w:tc>
          <w:tcPr>
            <w:tcW w:w="306" w:type="pct"/>
            <w:vMerge w:val="continue"/>
            <w:shd w:val="clear" w:color="auto" w:fill="FFF2CC"/>
            <w:noWrap w:val="0"/>
            <w:vAlign w:val="center"/>
          </w:tcPr>
          <w:p>
            <w:pPr>
              <w:jc w:val="center"/>
              <w:rPr>
                <w:rFonts w:hint="eastAsia" w:ascii="宋体" w:hAnsi="宋体" w:eastAsia="宋体" w:cs="宋体"/>
                <w:i w:val="0"/>
                <w:color w:val="auto"/>
                <w:kern w:val="2"/>
                <w:sz w:val="24"/>
                <w:szCs w:val="24"/>
                <w:highlight w:val="none"/>
                <w:u w:val="none"/>
                <w:lang w:val="en-US" w:eastAsia="zh-CN" w:bidi="ar-SA"/>
              </w:rPr>
            </w:pPr>
          </w:p>
        </w:tc>
        <w:tc>
          <w:tcPr>
            <w:tcW w:w="719" w:type="pct"/>
            <w:shd w:val="clear" w:color="auto" w:fill="FFF2CC"/>
            <w:noWrap w:val="0"/>
            <w:vAlign w:val="center"/>
          </w:tcPr>
          <w:p>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kern w:val="0"/>
                <w:sz w:val="24"/>
                <w:szCs w:val="24"/>
                <w:highlight w:val="none"/>
                <w:u w:val="none"/>
                <w:lang w:val="en-US" w:eastAsia="zh-CN"/>
              </w:rPr>
              <w:t>投标单位简要描述，字数控制在200字以内。</w:t>
            </w:r>
          </w:p>
        </w:tc>
        <w:tc>
          <w:tcPr>
            <w:tcW w:w="974" w:type="pct"/>
            <w:shd w:val="clear" w:color="auto" w:fill="FFF2CC"/>
            <w:noWrap w:val="0"/>
            <w:vAlign w:val="center"/>
          </w:tcPr>
          <w:p>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kern w:val="0"/>
                <w:sz w:val="24"/>
                <w:szCs w:val="24"/>
                <w:highlight w:val="none"/>
                <w:u w:val="none"/>
                <w:lang w:val="en-US" w:eastAsia="zh-CN"/>
              </w:rPr>
              <w:t>指出投标应答的相关资料具体在（技术/商务）投标文件的页码范围。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93" w:hRule="atLeast"/>
          <w:jc w:val="center"/>
        </w:trPr>
        <w:tc>
          <w:tcPr>
            <w:tcW w:w="394" w:type="pct"/>
            <w:vMerge w:val="restart"/>
            <w:noWrap w:val="0"/>
            <w:vAlign w:val="center"/>
          </w:tcPr>
          <w:p>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kern w:val="0"/>
                <w:sz w:val="24"/>
                <w:szCs w:val="24"/>
                <w:highlight w:val="none"/>
                <w:u w:val="none"/>
                <w:lang w:val="en-US" w:eastAsia="zh-CN"/>
              </w:rPr>
              <w:t>商务评审</w:t>
            </w:r>
          </w:p>
        </w:tc>
        <w:tc>
          <w:tcPr>
            <w:tcW w:w="508" w:type="pct"/>
            <w:noWrap w:val="0"/>
            <w:vAlign w:val="center"/>
          </w:tcPr>
          <w:p>
            <w:pPr>
              <w:spacing w:line="400" w:lineRule="exact"/>
              <w:jc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highlight w:val="none"/>
              </w:rPr>
              <w:t>整体商务响应</w:t>
            </w:r>
          </w:p>
        </w:tc>
        <w:tc>
          <w:tcPr>
            <w:tcW w:w="2097" w:type="pct"/>
            <w:noWrap w:val="0"/>
            <w:vAlign w:val="center"/>
          </w:tcPr>
          <w:p>
            <w:pPr>
              <w:spacing w:line="400" w:lineRule="exact"/>
              <w:jc w:val="left"/>
              <w:rPr>
                <w:rFonts w:hint="eastAsia" w:ascii="宋体" w:hAnsi="宋体" w:eastAsia="宋体" w:cs="宋体"/>
                <w:highlight w:val="none"/>
              </w:rPr>
            </w:pPr>
            <w:r>
              <w:rPr>
                <w:rFonts w:hint="eastAsia" w:ascii="宋体" w:hAnsi="宋体" w:eastAsia="宋体" w:cs="宋体"/>
                <w:highlight w:val="none"/>
              </w:rPr>
              <w:t>具体采用扣分制：</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1.提供与该标包无关的资料（业绩及证明、专利、论文等），经评标委员会确认给正常评审或查阅造成干扰的，且未达否决投标情形的，每发现一项扣2分。</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2.投标文件存在前后不一致的情形，经评标委员会确认给正常评审或查阅造成干扰的，且未达否决投标情形的，每发现一项扣2分。</w:t>
            </w:r>
          </w:p>
          <w:p>
            <w:pPr>
              <w:spacing w:line="400" w:lineRule="exact"/>
              <w:jc w:val="left"/>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highlight w:val="none"/>
              </w:rPr>
              <w:t>说明：发现以上问题按分值进行扣分，扣完即止。 0-15分</w:t>
            </w:r>
          </w:p>
        </w:tc>
        <w:tc>
          <w:tcPr>
            <w:tcW w:w="306" w:type="pct"/>
            <w:noWrap w:val="0"/>
            <w:vAlign w:val="center"/>
          </w:tcPr>
          <w:p>
            <w:pPr>
              <w:spacing w:line="400" w:lineRule="exact"/>
              <w:jc w:val="center"/>
              <w:rPr>
                <w:rFonts w:hint="eastAsia" w:ascii="宋体" w:hAnsi="宋体" w:eastAsia="宋体" w:cs="宋体"/>
                <w:i w:val="0"/>
                <w:color w:val="auto"/>
                <w:kern w:val="2"/>
                <w:sz w:val="24"/>
                <w:szCs w:val="24"/>
                <w:highlight w:val="none"/>
                <w:u w:val="none"/>
                <w:lang w:val="en-US" w:eastAsia="zh-CN" w:bidi="ar-SA"/>
              </w:rPr>
            </w:pPr>
            <w:r>
              <w:rPr>
                <w:rFonts w:hint="eastAsia" w:ascii="宋体" w:hAnsi="宋体" w:eastAsia="宋体" w:cs="宋体"/>
                <w:highlight w:val="none"/>
              </w:rPr>
              <w:t>15.0</w:t>
            </w:r>
          </w:p>
        </w:tc>
        <w:tc>
          <w:tcPr>
            <w:tcW w:w="719"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c>
          <w:tcPr>
            <w:tcW w:w="974"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3" w:hRule="atLeast"/>
          <w:jc w:val="center"/>
        </w:trPr>
        <w:tc>
          <w:tcPr>
            <w:tcW w:w="394" w:type="pct"/>
            <w:vMerge w:val="continue"/>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rPr>
            </w:pPr>
          </w:p>
        </w:tc>
        <w:tc>
          <w:tcPr>
            <w:tcW w:w="508"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项目负责人资质及经验</w:t>
            </w:r>
          </w:p>
        </w:tc>
        <w:tc>
          <w:tcPr>
            <w:tcW w:w="2097" w:type="pct"/>
            <w:noWrap w:val="0"/>
            <w:vAlign w:val="center"/>
          </w:tcPr>
          <w:p>
            <w:pPr>
              <w:spacing w:line="400" w:lineRule="exact"/>
              <w:jc w:val="left"/>
              <w:rPr>
                <w:rFonts w:hint="eastAsia" w:ascii="宋体" w:hAnsi="宋体" w:eastAsia="宋体" w:cs="宋体"/>
                <w:highlight w:val="none"/>
              </w:rPr>
            </w:pPr>
            <w:r>
              <w:rPr>
                <w:rFonts w:hint="eastAsia" w:ascii="宋体" w:hAnsi="宋体" w:eastAsia="宋体" w:cs="宋体"/>
                <w:highlight w:val="none"/>
              </w:rPr>
              <w:t>1.项目负责人具有该标包相关专业正高级职称得15分；副高级职称或博士得10分，中级职称或硕士得5分（需提供证明材料）。</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2.项目负责人具有该标包相应的研究开发经验，每项加1分，最高得分不超5分（需提供证明材料）。</w:t>
            </w:r>
          </w:p>
          <w:p>
            <w:pPr>
              <w:spacing w:line="400" w:lineRule="exact"/>
              <w:jc w:val="left"/>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3.项目负责人需提供职称证书及投标截止前半年内连续三个月在投标单位的社保缴纳证明，无证明材料此项得0分。</w:t>
            </w:r>
          </w:p>
        </w:tc>
        <w:tc>
          <w:tcPr>
            <w:tcW w:w="306"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20.0</w:t>
            </w:r>
          </w:p>
        </w:tc>
        <w:tc>
          <w:tcPr>
            <w:tcW w:w="719"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c>
          <w:tcPr>
            <w:tcW w:w="974"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3" w:hRule="atLeast"/>
          <w:jc w:val="center"/>
        </w:trPr>
        <w:tc>
          <w:tcPr>
            <w:tcW w:w="394" w:type="pct"/>
            <w:vMerge w:val="continue"/>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rPr>
            </w:pPr>
          </w:p>
        </w:tc>
        <w:tc>
          <w:tcPr>
            <w:tcW w:w="508"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项目团队实力</w:t>
            </w:r>
          </w:p>
        </w:tc>
        <w:tc>
          <w:tcPr>
            <w:tcW w:w="2097" w:type="pct"/>
            <w:noWrap w:val="0"/>
            <w:vAlign w:val="center"/>
          </w:tcPr>
          <w:p>
            <w:pPr>
              <w:spacing w:line="400" w:lineRule="exact"/>
              <w:jc w:val="left"/>
              <w:rPr>
                <w:rFonts w:hint="eastAsia" w:ascii="宋体" w:hAnsi="宋体" w:eastAsia="宋体" w:cs="宋体"/>
                <w:highlight w:val="none"/>
              </w:rPr>
            </w:pPr>
            <w:r>
              <w:rPr>
                <w:rFonts w:hint="eastAsia" w:ascii="宋体" w:hAnsi="宋体" w:eastAsia="宋体" w:cs="宋体"/>
                <w:highlight w:val="none"/>
              </w:rPr>
              <w:t>拟投入本项目人员</w:t>
            </w:r>
            <w:r>
              <w:rPr>
                <w:rFonts w:hint="eastAsia" w:ascii="宋体" w:hAnsi="宋体" w:eastAsia="宋体" w:cs="宋体"/>
                <w:highlight w:val="none"/>
                <w:lang w:eastAsia="zh-CN"/>
              </w:rPr>
              <w:t>（包括项目负责人）</w:t>
            </w:r>
            <w:r>
              <w:rPr>
                <w:rFonts w:hint="eastAsia" w:ascii="宋体" w:hAnsi="宋体" w:eastAsia="宋体" w:cs="宋体"/>
                <w:highlight w:val="none"/>
              </w:rPr>
              <w:t>的综合水平，人员数量、综合素质、经验等：</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1.主要人员配备合理充足8人及以上得</w:t>
            </w:r>
            <w:r>
              <w:rPr>
                <w:rFonts w:hint="eastAsia" w:ascii="宋体" w:hAnsi="宋体" w:eastAsia="宋体" w:cs="宋体"/>
                <w:highlight w:val="none"/>
                <w:lang w:val="en-US" w:eastAsia="zh-CN"/>
              </w:rPr>
              <w:t>7</w:t>
            </w:r>
            <w:r>
              <w:rPr>
                <w:rFonts w:hint="eastAsia" w:ascii="宋体" w:hAnsi="宋体" w:eastAsia="宋体" w:cs="宋体"/>
                <w:highlight w:val="none"/>
              </w:rPr>
              <w:t>分。</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2.高级职称人员占总人数40%及以上且不少于2人得</w:t>
            </w:r>
            <w:r>
              <w:rPr>
                <w:rFonts w:hint="eastAsia" w:ascii="宋体" w:hAnsi="宋体" w:eastAsia="宋体" w:cs="宋体"/>
                <w:highlight w:val="none"/>
                <w:lang w:val="en-US" w:eastAsia="zh-CN"/>
              </w:rPr>
              <w:t>7</w:t>
            </w:r>
            <w:r>
              <w:rPr>
                <w:rFonts w:hint="eastAsia" w:ascii="宋体" w:hAnsi="宋体" w:eastAsia="宋体" w:cs="宋体"/>
                <w:highlight w:val="none"/>
              </w:rPr>
              <w:t>分（职称信息需提供证明材料）。</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3.项目组具有与该标包相关研究开发经历的成员占比50%及以上且不少于4人得</w:t>
            </w:r>
            <w:r>
              <w:rPr>
                <w:rFonts w:hint="eastAsia" w:ascii="宋体" w:hAnsi="宋体" w:eastAsia="宋体" w:cs="宋体"/>
                <w:highlight w:val="none"/>
                <w:lang w:val="en-US" w:eastAsia="zh-CN"/>
              </w:rPr>
              <w:t>6</w:t>
            </w:r>
            <w:r>
              <w:rPr>
                <w:rFonts w:hint="eastAsia" w:ascii="宋体" w:hAnsi="宋体" w:eastAsia="宋体" w:cs="宋体"/>
                <w:highlight w:val="none"/>
              </w:rPr>
              <w:t>分，30%及以上且不少于2人得</w:t>
            </w:r>
            <w:r>
              <w:rPr>
                <w:rFonts w:hint="eastAsia" w:ascii="宋体" w:hAnsi="宋体" w:eastAsia="宋体" w:cs="宋体"/>
                <w:highlight w:val="none"/>
                <w:lang w:val="en-US" w:eastAsia="zh-CN"/>
              </w:rPr>
              <w:t>3</w:t>
            </w:r>
            <w:r>
              <w:rPr>
                <w:rFonts w:hint="eastAsia" w:ascii="宋体" w:hAnsi="宋体" w:eastAsia="宋体" w:cs="宋体"/>
                <w:highlight w:val="none"/>
              </w:rPr>
              <w:t>分（需提供证明材料）。</w:t>
            </w:r>
          </w:p>
          <w:p>
            <w:pPr>
              <w:spacing w:line="400" w:lineRule="exact"/>
              <w:jc w:val="left"/>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说明：以上各分项独立计算评分。</w:t>
            </w:r>
            <w:r>
              <w:rPr>
                <w:rFonts w:hint="eastAsia" w:ascii="宋体" w:hAnsi="宋体" w:eastAsia="宋体" w:cs="宋体"/>
                <w:highlight w:val="none"/>
                <w:lang w:val="en-US" w:eastAsia="zh-CN"/>
              </w:rPr>
              <w:t>团队人员需提供</w:t>
            </w:r>
            <w:r>
              <w:rPr>
                <w:rFonts w:hint="eastAsia" w:ascii="宋体" w:hAnsi="宋体" w:eastAsia="宋体" w:cs="宋体"/>
                <w:highlight w:val="none"/>
              </w:rPr>
              <w:t>投标截止前半年内连续三个月在投标单位的社保缴纳证明，无证明材料此项得0分。</w:t>
            </w:r>
          </w:p>
        </w:tc>
        <w:tc>
          <w:tcPr>
            <w:tcW w:w="306"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20.0</w:t>
            </w:r>
          </w:p>
        </w:tc>
        <w:tc>
          <w:tcPr>
            <w:tcW w:w="719"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c>
          <w:tcPr>
            <w:tcW w:w="974"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3" w:hRule="atLeast"/>
          <w:jc w:val="center"/>
        </w:trPr>
        <w:tc>
          <w:tcPr>
            <w:tcW w:w="394" w:type="pct"/>
            <w:vMerge w:val="continue"/>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rPr>
            </w:pPr>
          </w:p>
        </w:tc>
        <w:tc>
          <w:tcPr>
            <w:tcW w:w="508"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相关研究业绩</w:t>
            </w:r>
          </w:p>
        </w:tc>
        <w:tc>
          <w:tcPr>
            <w:tcW w:w="2097" w:type="pct"/>
            <w:noWrap w:val="0"/>
            <w:vAlign w:val="center"/>
          </w:tcPr>
          <w:p>
            <w:pPr>
              <w:spacing w:line="400" w:lineRule="exact"/>
              <w:jc w:val="left"/>
              <w:rPr>
                <w:rFonts w:hint="eastAsia" w:ascii="宋体" w:hAnsi="宋体" w:eastAsia="宋体" w:cs="宋体"/>
                <w:highlight w:val="none"/>
              </w:rPr>
            </w:pPr>
            <w:r>
              <w:rPr>
                <w:rFonts w:hint="eastAsia" w:ascii="宋体" w:hAnsi="宋体" w:eastAsia="宋体" w:cs="宋体"/>
                <w:highlight w:val="none"/>
              </w:rPr>
              <w:t>近5年（2018-</w:t>
            </w:r>
            <w:r>
              <w:rPr>
                <w:rFonts w:hint="eastAsia" w:ascii="宋体" w:hAnsi="宋体" w:eastAsia="宋体" w:cs="宋体"/>
                <w:highlight w:val="none"/>
                <w:lang w:val="en-US" w:eastAsia="zh-CN"/>
              </w:rPr>
              <w:t>至今</w:t>
            </w:r>
            <w:r>
              <w:rPr>
                <w:rFonts w:hint="eastAsia" w:ascii="宋体" w:hAnsi="宋体" w:eastAsia="宋体" w:cs="宋体"/>
                <w:highlight w:val="none"/>
              </w:rPr>
              <w:t>）承担过该标包相关项目业绩（提供合同关键扫描页或中标通知书等证明资料）。</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优秀（30-40分）：业绩数量在所有供应商排名前20%（含20%，四舍五入取整）。</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良好（15-29分）：业绩数量在所有供应商排名20%-60%之间（含60%，四舍五入取整）。</w:t>
            </w:r>
          </w:p>
          <w:p>
            <w:pPr>
              <w:spacing w:line="400" w:lineRule="exact"/>
              <w:jc w:val="left"/>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一般（0-14分）：业绩数量在所有供应商排名后40%（不含40%，四舍五入取整）。</w:t>
            </w:r>
          </w:p>
        </w:tc>
        <w:tc>
          <w:tcPr>
            <w:tcW w:w="306"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40.0</w:t>
            </w:r>
          </w:p>
        </w:tc>
        <w:tc>
          <w:tcPr>
            <w:tcW w:w="719"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c>
          <w:tcPr>
            <w:tcW w:w="974"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3" w:hRule="atLeast"/>
          <w:jc w:val="center"/>
        </w:trPr>
        <w:tc>
          <w:tcPr>
            <w:tcW w:w="394" w:type="pct"/>
            <w:vMerge w:val="continue"/>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rPr>
            </w:pPr>
          </w:p>
        </w:tc>
        <w:tc>
          <w:tcPr>
            <w:tcW w:w="508"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管理体系认证</w:t>
            </w:r>
          </w:p>
        </w:tc>
        <w:tc>
          <w:tcPr>
            <w:tcW w:w="2097" w:type="pct"/>
            <w:noWrap w:val="0"/>
            <w:vAlign w:val="center"/>
          </w:tcPr>
          <w:p>
            <w:pPr>
              <w:spacing w:line="400" w:lineRule="exact"/>
              <w:jc w:val="left"/>
              <w:rPr>
                <w:rFonts w:hint="eastAsia" w:ascii="宋体" w:hAnsi="宋体" w:eastAsia="宋体" w:cs="宋体"/>
                <w:highlight w:val="none"/>
              </w:rPr>
            </w:pPr>
            <w:r>
              <w:rPr>
                <w:rFonts w:hint="eastAsia" w:ascii="宋体" w:hAnsi="宋体" w:eastAsia="宋体" w:cs="宋体"/>
                <w:highlight w:val="none"/>
              </w:rPr>
              <w:t>具备质量管理体系认证得3分，相关认证应在有效期内。</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具备环境管理体系认证1分，相关认证应在有效期内。</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具备职业健康安全管理体系认证1分，相关认证应在有效期内。</w:t>
            </w:r>
          </w:p>
          <w:p>
            <w:pPr>
              <w:spacing w:line="400" w:lineRule="exact"/>
              <w:jc w:val="left"/>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（财政拨款的科研事业单位或高等院校，此项满分）</w:t>
            </w:r>
          </w:p>
        </w:tc>
        <w:tc>
          <w:tcPr>
            <w:tcW w:w="306"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5.0</w:t>
            </w:r>
          </w:p>
        </w:tc>
        <w:tc>
          <w:tcPr>
            <w:tcW w:w="719"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c>
          <w:tcPr>
            <w:tcW w:w="974"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jc w:val="center"/>
        </w:trPr>
        <w:tc>
          <w:tcPr>
            <w:tcW w:w="3000" w:type="pct"/>
            <w:gridSpan w:val="3"/>
            <w:shd w:val="clear" w:color="auto" w:fill="DDEBF7"/>
            <w:noWrap w:val="0"/>
            <w:vAlign w:val="center"/>
          </w:tcPr>
          <w:p>
            <w:pPr>
              <w:jc w:val="center"/>
              <w:rPr>
                <w:rFonts w:hint="eastAsia" w:ascii="宋体" w:hAnsi="宋体" w:eastAsia="宋体" w:cs="宋体"/>
                <w:b/>
                <w:i w:val="0"/>
                <w:color w:val="auto"/>
                <w:sz w:val="24"/>
                <w:szCs w:val="24"/>
                <w:highlight w:val="none"/>
                <w:u w:val="none"/>
                <w:lang w:val="en-US" w:eastAsia="zh-CN"/>
              </w:rPr>
            </w:pPr>
            <w:r>
              <w:rPr>
                <w:rFonts w:hint="eastAsia" w:ascii="宋体" w:hAnsi="宋体" w:eastAsia="宋体" w:cs="宋体"/>
                <w:b/>
                <w:i w:val="0"/>
                <w:color w:val="auto"/>
                <w:kern w:val="0"/>
                <w:sz w:val="24"/>
                <w:szCs w:val="24"/>
                <w:highlight w:val="none"/>
                <w:u w:val="none"/>
                <w:lang w:val="en-US" w:eastAsia="zh-CN"/>
              </w:rPr>
              <w:t>商务分合计</w:t>
            </w:r>
          </w:p>
        </w:tc>
        <w:tc>
          <w:tcPr>
            <w:tcW w:w="1999" w:type="pct"/>
            <w:gridSpan w:val="3"/>
            <w:shd w:val="clear" w:color="auto" w:fill="DDEBF7"/>
            <w:noWrap w:val="0"/>
            <w:vAlign w:val="center"/>
          </w:tcPr>
          <w:p>
            <w:pPr>
              <w:jc w:val="center"/>
              <w:rPr>
                <w:rFonts w:hint="eastAsia" w:ascii="宋体" w:hAnsi="宋体" w:eastAsia="宋体" w:cs="宋体"/>
                <w:b/>
                <w:i w:val="0"/>
                <w:color w:val="auto"/>
                <w:sz w:val="24"/>
                <w:szCs w:val="24"/>
                <w:highlight w:val="none"/>
                <w:u w:val="none"/>
                <w:lang w:val="en-US" w:eastAsia="zh-CN"/>
              </w:rPr>
            </w:pPr>
            <w:r>
              <w:rPr>
                <w:rFonts w:hint="eastAsia" w:ascii="宋体" w:hAnsi="宋体" w:eastAsia="宋体" w:cs="宋体"/>
                <w:b/>
                <w:i w:val="0"/>
                <w:color w:val="auto"/>
                <w:kern w:val="0"/>
                <w:sz w:val="24"/>
                <w:szCs w:val="24"/>
                <w:highlight w:val="none"/>
                <w:u w:val="no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54" w:hRule="atLeast"/>
          <w:jc w:val="center"/>
        </w:trPr>
        <w:tc>
          <w:tcPr>
            <w:tcW w:w="394" w:type="pct"/>
            <w:vMerge w:val="restart"/>
            <w:noWrap w:val="0"/>
            <w:vAlign w:val="center"/>
          </w:tcPr>
          <w:p>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kern w:val="0"/>
                <w:sz w:val="24"/>
                <w:szCs w:val="24"/>
                <w:highlight w:val="none"/>
                <w:u w:val="none"/>
                <w:lang w:val="en-US" w:eastAsia="zh-CN"/>
              </w:rPr>
              <w:t>技术评审</w:t>
            </w:r>
          </w:p>
        </w:tc>
        <w:tc>
          <w:tcPr>
            <w:tcW w:w="508"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技术方案</w:t>
            </w:r>
          </w:p>
        </w:tc>
        <w:tc>
          <w:tcPr>
            <w:tcW w:w="2097" w:type="pct"/>
            <w:noWrap w:val="0"/>
            <w:vAlign w:val="center"/>
          </w:tcPr>
          <w:p>
            <w:pPr>
              <w:spacing w:line="400" w:lineRule="exact"/>
              <w:jc w:val="left"/>
              <w:rPr>
                <w:rFonts w:hint="eastAsia" w:ascii="宋体" w:hAnsi="宋体" w:eastAsia="宋体" w:cs="宋体"/>
                <w:highlight w:val="none"/>
              </w:rPr>
            </w:pPr>
            <w:r>
              <w:rPr>
                <w:rFonts w:hint="eastAsia" w:ascii="宋体" w:hAnsi="宋体" w:eastAsia="宋体" w:cs="宋体"/>
                <w:highlight w:val="none"/>
              </w:rPr>
              <w:t>根据供应商投标技术文件，对项目技术方案的完整性、针对性、创新性以及可行性等四个方面进行横向综合比较，分档评分：</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（1）优秀（30-40分）：项目研究方案详尽、合理，技术路线清晰，可行性及创新性强。</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（2）良好（15-29分）：项目研究方案合理，技术路线基本明确，具备一定可行性及创新性。</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（3）合格（0-14分）：项目研究方案较合理，技术路线或研究方案部分内容不清晰。</w:t>
            </w:r>
          </w:p>
          <w:p>
            <w:pPr>
              <w:spacing w:line="400" w:lineRule="exact"/>
              <w:jc w:val="left"/>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注：如项目负责人未进行述标的，此项最高得5分。</w:t>
            </w:r>
          </w:p>
        </w:tc>
        <w:tc>
          <w:tcPr>
            <w:tcW w:w="306"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40.0</w:t>
            </w:r>
          </w:p>
        </w:tc>
        <w:tc>
          <w:tcPr>
            <w:tcW w:w="719" w:type="pct"/>
            <w:noWrap w:val="0"/>
            <w:vAlign w:val="center"/>
          </w:tcPr>
          <w:p>
            <w:pPr>
              <w:jc w:val="left"/>
              <w:rPr>
                <w:rFonts w:hint="eastAsia" w:ascii="宋体" w:hAnsi="宋体" w:eastAsia="宋体" w:cs="宋体"/>
                <w:i w:val="0"/>
                <w:color w:val="auto"/>
                <w:sz w:val="24"/>
                <w:szCs w:val="24"/>
                <w:highlight w:val="none"/>
                <w:u w:val="none"/>
                <w:lang w:val="en-US" w:eastAsia="zh-CN"/>
              </w:rPr>
            </w:pPr>
          </w:p>
        </w:tc>
        <w:tc>
          <w:tcPr>
            <w:tcW w:w="974"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54" w:hRule="atLeast"/>
          <w:jc w:val="center"/>
        </w:trPr>
        <w:tc>
          <w:tcPr>
            <w:tcW w:w="394" w:type="pct"/>
            <w:vMerge w:val="continue"/>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rPr>
            </w:pPr>
          </w:p>
        </w:tc>
        <w:tc>
          <w:tcPr>
            <w:tcW w:w="508"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前期相关研究基础评价</w:t>
            </w:r>
          </w:p>
        </w:tc>
        <w:tc>
          <w:tcPr>
            <w:tcW w:w="2097" w:type="pct"/>
            <w:noWrap w:val="0"/>
            <w:vAlign w:val="center"/>
          </w:tcPr>
          <w:p>
            <w:pPr>
              <w:spacing w:line="400" w:lineRule="exact"/>
              <w:jc w:val="left"/>
              <w:rPr>
                <w:rFonts w:hint="eastAsia" w:ascii="宋体" w:hAnsi="宋体" w:eastAsia="宋体" w:cs="宋体"/>
                <w:highlight w:val="none"/>
              </w:rPr>
            </w:pPr>
            <w:r>
              <w:rPr>
                <w:rFonts w:hint="eastAsia" w:ascii="宋体" w:hAnsi="宋体" w:eastAsia="宋体" w:cs="宋体"/>
                <w:highlight w:val="none"/>
              </w:rPr>
              <w:t>评价供应商在该标包相关技术领域取得的研究成果水平，从质量、数量等方面横向综合比较，分档评价：优秀（14-20分）、良好（7-13分）、一般（0-6分）</w:t>
            </w:r>
          </w:p>
          <w:p>
            <w:pPr>
              <w:spacing w:line="400" w:lineRule="exact"/>
              <w:jc w:val="left"/>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（研究成果须提供专利、论文、软件著作权、奖励等证明支撑材料，且证明材料中的发明人、作者、完成人等人员须包含项目团队人员）</w:t>
            </w:r>
          </w:p>
        </w:tc>
        <w:tc>
          <w:tcPr>
            <w:tcW w:w="306"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20.0</w:t>
            </w:r>
          </w:p>
        </w:tc>
        <w:tc>
          <w:tcPr>
            <w:tcW w:w="719" w:type="pct"/>
            <w:noWrap w:val="0"/>
            <w:vAlign w:val="center"/>
          </w:tcPr>
          <w:p>
            <w:pPr>
              <w:jc w:val="left"/>
              <w:rPr>
                <w:rFonts w:hint="eastAsia" w:ascii="宋体" w:hAnsi="宋体" w:eastAsia="宋体" w:cs="宋体"/>
                <w:i w:val="0"/>
                <w:color w:val="auto"/>
                <w:sz w:val="24"/>
                <w:szCs w:val="24"/>
                <w:highlight w:val="none"/>
                <w:u w:val="none"/>
                <w:lang w:val="en-US" w:eastAsia="zh-CN"/>
              </w:rPr>
            </w:pPr>
          </w:p>
        </w:tc>
        <w:tc>
          <w:tcPr>
            <w:tcW w:w="974"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54" w:hRule="atLeast"/>
          <w:jc w:val="center"/>
        </w:trPr>
        <w:tc>
          <w:tcPr>
            <w:tcW w:w="394" w:type="pct"/>
            <w:vMerge w:val="continue"/>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rPr>
            </w:pPr>
          </w:p>
        </w:tc>
        <w:tc>
          <w:tcPr>
            <w:tcW w:w="508"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进度计划管控</w:t>
            </w:r>
          </w:p>
        </w:tc>
        <w:tc>
          <w:tcPr>
            <w:tcW w:w="2097" w:type="pct"/>
            <w:noWrap w:val="0"/>
            <w:vAlign w:val="center"/>
          </w:tcPr>
          <w:p>
            <w:pPr>
              <w:spacing w:line="400" w:lineRule="exact"/>
              <w:jc w:val="left"/>
              <w:rPr>
                <w:rFonts w:hint="eastAsia" w:ascii="宋体" w:hAnsi="宋体" w:eastAsia="宋体" w:cs="宋体"/>
                <w:highlight w:val="none"/>
              </w:rPr>
            </w:pPr>
            <w:r>
              <w:rPr>
                <w:rFonts w:hint="eastAsia" w:ascii="宋体" w:hAnsi="宋体" w:eastAsia="宋体" w:cs="宋体"/>
                <w:highlight w:val="none"/>
              </w:rPr>
              <w:t>对项目组织机构及其职责安排、项目进度计划安排及管理、项目过程管理、项目质量管理及质量保证措施等四个方面进行横向综合比较，分档评分：</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（1）优秀（15-20分）：项目组织管理科学，进度安排详实合理，过程及质量管控有力。</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（2）良好（8-14分）：项目组织管理良好，进度安排较合理，过程及质量管控较合理。</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（3）合格（0-7分）：项目组织管理一般，进度安排一般，过程及质量管控一般。</w:t>
            </w:r>
          </w:p>
          <w:p>
            <w:pPr>
              <w:spacing w:line="400" w:lineRule="exact"/>
              <w:jc w:val="left"/>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注：提供但不限于以下内容：（1）项目人员组织：介绍项目人员组织情况、职责分工。（2）项目进度：提交详细的项目实施计划，明确里程碑。（3）项目交付项，并附上相应的交付时间计划表。</w:t>
            </w:r>
          </w:p>
        </w:tc>
        <w:tc>
          <w:tcPr>
            <w:tcW w:w="306"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20.0</w:t>
            </w:r>
          </w:p>
        </w:tc>
        <w:tc>
          <w:tcPr>
            <w:tcW w:w="719" w:type="pct"/>
            <w:noWrap w:val="0"/>
            <w:vAlign w:val="center"/>
          </w:tcPr>
          <w:p>
            <w:pPr>
              <w:jc w:val="left"/>
              <w:rPr>
                <w:rFonts w:hint="eastAsia" w:ascii="宋体" w:hAnsi="宋体" w:eastAsia="宋体" w:cs="宋体"/>
                <w:i w:val="0"/>
                <w:color w:val="auto"/>
                <w:sz w:val="24"/>
                <w:szCs w:val="24"/>
                <w:highlight w:val="none"/>
                <w:u w:val="none"/>
                <w:lang w:val="en-US" w:eastAsia="zh-CN"/>
              </w:rPr>
            </w:pPr>
          </w:p>
        </w:tc>
        <w:tc>
          <w:tcPr>
            <w:tcW w:w="974"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54" w:hRule="atLeast"/>
          <w:jc w:val="center"/>
        </w:trPr>
        <w:tc>
          <w:tcPr>
            <w:tcW w:w="394" w:type="pct"/>
            <w:vMerge w:val="continue"/>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rPr>
            </w:pPr>
          </w:p>
        </w:tc>
        <w:tc>
          <w:tcPr>
            <w:tcW w:w="508"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标书响应情况</w:t>
            </w:r>
          </w:p>
        </w:tc>
        <w:tc>
          <w:tcPr>
            <w:tcW w:w="2097" w:type="pct"/>
            <w:noWrap w:val="0"/>
            <w:vAlign w:val="center"/>
          </w:tcPr>
          <w:p>
            <w:pPr>
              <w:spacing w:line="400" w:lineRule="exact"/>
              <w:jc w:val="left"/>
              <w:rPr>
                <w:rFonts w:hint="eastAsia" w:ascii="宋体" w:hAnsi="宋体" w:eastAsia="宋体" w:cs="宋体"/>
                <w:highlight w:val="none"/>
              </w:rPr>
            </w:pPr>
            <w:r>
              <w:rPr>
                <w:rFonts w:hint="eastAsia" w:ascii="宋体" w:hAnsi="宋体" w:eastAsia="宋体" w:cs="宋体"/>
                <w:highlight w:val="none"/>
              </w:rPr>
              <w:t>对项目投标文件的响应情况进行横向综合比较，分档评分：</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（1）优秀（11-15分）：投标响应度较高，优于或满足招标技术要求。</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（2）良好（6-10分）：投标响应度良好，存在少数差异条款或未作响应的情况，总体上满足招标技术要求。</w:t>
            </w:r>
          </w:p>
          <w:p>
            <w:pPr>
              <w:spacing w:line="400" w:lineRule="exact"/>
              <w:jc w:val="left"/>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（3）合格（0-5分）：投标响应度一般，存在非关键技术参数的差异或未响应，但未构成对投标的实质性不响应，基本能满足招标技术要求。</w:t>
            </w:r>
          </w:p>
        </w:tc>
        <w:tc>
          <w:tcPr>
            <w:tcW w:w="306"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15.0</w:t>
            </w:r>
          </w:p>
        </w:tc>
        <w:tc>
          <w:tcPr>
            <w:tcW w:w="719" w:type="pct"/>
            <w:noWrap w:val="0"/>
            <w:vAlign w:val="center"/>
          </w:tcPr>
          <w:p>
            <w:pPr>
              <w:jc w:val="left"/>
              <w:rPr>
                <w:rFonts w:hint="eastAsia" w:ascii="宋体" w:hAnsi="宋体" w:eastAsia="宋体" w:cs="宋体"/>
                <w:i w:val="0"/>
                <w:color w:val="auto"/>
                <w:sz w:val="24"/>
                <w:szCs w:val="24"/>
                <w:highlight w:val="none"/>
                <w:u w:val="none"/>
                <w:lang w:val="en-US" w:eastAsia="zh-CN"/>
              </w:rPr>
            </w:pPr>
          </w:p>
        </w:tc>
        <w:tc>
          <w:tcPr>
            <w:tcW w:w="974"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54" w:hRule="atLeast"/>
          <w:jc w:val="center"/>
        </w:trPr>
        <w:tc>
          <w:tcPr>
            <w:tcW w:w="394" w:type="pct"/>
            <w:vMerge w:val="continue"/>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rPr>
            </w:pPr>
          </w:p>
        </w:tc>
        <w:tc>
          <w:tcPr>
            <w:tcW w:w="508"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服务响应承诺</w:t>
            </w:r>
          </w:p>
        </w:tc>
        <w:tc>
          <w:tcPr>
            <w:tcW w:w="2097" w:type="pct"/>
            <w:noWrap w:val="0"/>
            <w:vAlign w:val="center"/>
          </w:tcPr>
          <w:p>
            <w:pPr>
              <w:spacing w:line="400" w:lineRule="exact"/>
              <w:jc w:val="left"/>
              <w:rPr>
                <w:rFonts w:hint="eastAsia" w:ascii="宋体" w:hAnsi="宋体" w:eastAsia="宋体" w:cs="宋体"/>
                <w:highlight w:val="none"/>
              </w:rPr>
            </w:pPr>
            <w:r>
              <w:rPr>
                <w:rFonts w:hint="eastAsia" w:ascii="宋体" w:hAnsi="宋体" w:eastAsia="宋体" w:cs="宋体"/>
                <w:highlight w:val="none"/>
              </w:rPr>
              <w:t>优秀（4-5分）：能迅速响应并及时提供完善的解决方案，承诺积极配合现场调试、应用、为甲方实施成果转化提供技术支持等工作，特殊情况能及时派人员到达现场协助客户解决问题，在所有通过初评的供应商排名前20%（含20%，四舍五入取整）者列入该档次。</w:t>
            </w:r>
          </w:p>
          <w:p>
            <w:pPr>
              <w:spacing w:line="400" w:lineRule="exact"/>
              <w:jc w:val="left"/>
              <w:rPr>
                <w:rFonts w:hint="eastAsia" w:ascii="宋体" w:hAnsi="宋体" w:eastAsia="宋体" w:cs="宋体"/>
                <w:highlight w:val="none"/>
              </w:rPr>
            </w:pPr>
            <w:r>
              <w:rPr>
                <w:rFonts w:hint="eastAsia" w:ascii="宋体" w:hAnsi="宋体" w:eastAsia="宋体" w:cs="宋体"/>
                <w:highlight w:val="none"/>
              </w:rPr>
              <w:t>良好（2-3分）：能在较短时间内提供解决措施，承诺配合现场调试、应用、为甲方实施成果转化提供技术支持等工作，特殊情况能在合理时间内派员到达现场，在所有通过初评的供应商排名20%-60%之间（含60%，四舍五入取整）者列入该档次。</w:t>
            </w:r>
          </w:p>
          <w:p>
            <w:pPr>
              <w:spacing w:line="400" w:lineRule="exact"/>
              <w:jc w:val="left"/>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一般（0-1分）：服务能力有所欠缺，或所提出的承诺时间脱离客观实际，在所有通过初评的供应商排名后40%（不含40%，四舍五入取整）者列入该档次。</w:t>
            </w:r>
          </w:p>
        </w:tc>
        <w:tc>
          <w:tcPr>
            <w:tcW w:w="306" w:type="pct"/>
            <w:noWrap w:val="0"/>
            <w:vAlign w:val="center"/>
          </w:tcPr>
          <w:p>
            <w:pPr>
              <w:spacing w:line="400" w:lineRule="exact"/>
              <w:jc w:val="center"/>
              <w:rPr>
                <w:rFonts w:hint="eastAsia" w:ascii="宋体" w:hAnsi="宋体" w:eastAsia="宋体" w:cs="宋体"/>
                <w:i w:val="0"/>
                <w:color w:val="auto"/>
                <w:kern w:val="0"/>
                <w:sz w:val="24"/>
                <w:szCs w:val="24"/>
                <w:highlight w:val="none"/>
                <w:u w:val="none"/>
                <w:lang w:val="en-US" w:eastAsia="zh-CN"/>
              </w:rPr>
            </w:pPr>
            <w:r>
              <w:rPr>
                <w:rFonts w:hint="eastAsia" w:ascii="宋体" w:hAnsi="宋体" w:eastAsia="宋体" w:cs="宋体"/>
                <w:highlight w:val="none"/>
              </w:rPr>
              <w:t>5.0</w:t>
            </w:r>
          </w:p>
        </w:tc>
        <w:tc>
          <w:tcPr>
            <w:tcW w:w="719" w:type="pct"/>
            <w:noWrap w:val="0"/>
            <w:vAlign w:val="center"/>
          </w:tcPr>
          <w:p>
            <w:pPr>
              <w:jc w:val="left"/>
              <w:rPr>
                <w:rFonts w:hint="eastAsia" w:ascii="宋体" w:hAnsi="宋体" w:eastAsia="宋体" w:cs="宋体"/>
                <w:i w:val="0"/>
                <w:color w:val="auto"/>
                <w:sz w:val="24"/>
                <w:szCs w:val="24"/>
                <w:highlight w:val="none"/>
                <w:u w:val="none"/>
                <w:lang w:val="en-US" w:eastAsia="zh-CN"/>
              </w:rPr>
            </w:pPr>
          </w:p>
        </w:tc>
        <w:tc>
          <w:tcPr>
            <w:tcW w:w="974" w:type="pct"/>
            <w:noWrap w:val="0"/>
            <w:vAlign w:val="center"/>
          </w:tcPr>
          <w:p>
            <w:pPr>
              <w:jc w:val="center"/>
              <w:rPr>
                <w:rFonts w:hint="eastAsia" w:ascii="宋体" w:hAnsi="宋体" w:eastAsia="宋体" w:cs="宋体"/>
                <w:i w:val="0"/>
                <w:color w:val="auto"/>
                <w:sz w:val="24"/>
                <w:szCs w:val="24"/>
                <w:highlight w:val="none"/>
                <w:u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jc w:val="center"/>
        </w:trPr>
        <w:tc>
          <w:tcPr>
            <w:tcW w:w="3000" w:type="pct"/>
            <w:gridSpan w:val="3"/>
            <w:shd w:val="clear" w:color="auto" w:fill="DDEBF7"/>
            <w:noWrap w:val="0"/>
            <w:vAlign w:val="center"/>
          </w:tcPr>
          <w:p>
            <w:pPr>
              <w:jc w:val="center"/>
              <w:rPr>
                <w:rFonts w:hint="eastAsia" w:ascii="宋体" w:hAnsi="宋体" w:eastAsia="宋体" w:cs="宋体"/>
                <w:b/>
                <w:i w:val="0"/>
                <w:color w:val="auto"/>
                <w:sz w:val="24"/>
                <w:szCs w:val="24"/>
                <w:highlight w:val="none"/>
                <w:u w:val="none"/>
                <w:lang w:val="en-US" w:eastAsia="zh-CN"/>
              </w:rPr>
            </w:pPr>
            <w:r>
              <w:rPr>
                <w:rFonts w:hint="eastAsia" w:ascii="宋体" w:hAnsi="宋体" w:eastAsia="宋体" w:cs="宋体"/>
                <w:b/>
                <w:i w:val="0"/>
                <w:color w:val="auto"/>
                <w:kern w:val="0"/>
                <w:sz w:val="24"/>
                <w:szCs w:val="24"/>
                <w:highlight w:val="none"/>
                <w:u w:val="none"/>
                <w:lang w:val="en-US" w:eastAsia="zh-CN"/>
              </w:rPr>
              <w:t>技术</w:t>
            </w:r>
            <w:bookmarkStart w:id="0" w:name="_GoBack"/>
            <w:bookmarkEnd w:id="0"/>
            <w:r>
              <w:rPr>
                <w:rFonts w:hint="eastAsia" w:ascii="宋体" w:hAnsi="宋体" w:eastAsia="宋体" w:cs="宋体"/>
                <w:b/>
                <w:i w:val="0"/>
                <w:color w:val="auto"/>
                <w:kern w:val="0"/>
                <w:sz w:val="24"/>
                <w:szCs w:val="24"/>
                <w:highlight w:val="none"/>
                <w:u w:val="none"/>
                <w:lang w:val="en-US" w:eastAsia="zh-CN"/>
              </w:rPr>
              <w:t>分合计</w:t>
            </w:r>
          </w:p>
        </w:tc>
        <w:tc>
          <w:tcPr>
            <w:tcW w:w="1999" w:type="pct"/>
            <w:gridSpan w:val="3"/>
            <w:shd w:val="clear" w:color="auto" w:fill="DDEBF7"/>
            <w:noWrap w:val="0"/>
            <w:vAlign w:val="center"/>
          </w:tcPr>
          <w:p>
            <w:pPr>
              <w:jc w:val="center"/>
              <w:rPr>
                <w:rFonts w:hint="eastAsia" w:ascii="宋体" w:hAnsi="宋体" w:eastAsia="宋体" w:cs="宋体"/>
                <w:b/>
                <w:i w:val="0"/>
                <w:color w:val="auto"/>
                <w:sz w:val="24"/>
                <w:szCs w:val="24"/>
                <w:highlight w:val="none"/>
                <w:u w:val="none"/>
                <w:lang w:val="en-US" w:eastAsia="zh-CN"/>
              </w:rPr>
            </w:pPr>
            <w:r>
              <w:rPr>
                <w:rFonts w:hint="eastAsia" w:ascii="宋体" w:hAnsi="宋体" w:eastAsia="宋体" w:cs="宋体"/>
                <w:b/>
                <w:i w:val="0"/>
                <w:color w:val="auto"/>
                <w:kern w:val="0"/>
                <w:sz w:val="24"/>
                <w:szCs w:val="24"/>
                <w:highlight w:val="none"/>
                <w:u w:val="none"/>
                <w:lang w:val="en-US" w:eastAsia="zh-CN"/>
              </w:rPr>
              <w:t>100</w:t>
            </w:r>
          </w:p>
        </w:tc>
      </w:tr>
    </w:tbl>
    <w:p>
      <w:pPr>
        <w:rPr>
          <w:rFonts w:hint="eastAsia" w:eastAsiaTheme="minorEastAsia"/>
          <w:lang w:val="en-US" w:eastAsia="zh-CN"/>
        </w:rPr>
      </w:pPr>
      <w:r>
        <w:rPr>
          <w:rFonts w:hint="eastAsia" w:ascii="宋体" w:hAnsi="宋体" w:cs="Times New Roman"/>
          <w:b/>
          <w:szCs w:val="21"/>
        </w:rPr>
        <w:t>注：投标单位须如实，并按要求填写以上表格，如无对应该项资料，请在</w:t>
      </w:r>
      <w:r>
        <w:rPr>
          <w:rFonts w:hint="eastAsia" w:ascii="宋体" w:hAnsi="宋体" w:cs="Times New Roman"/>
          <w:b/>
          <w:szCs w:val="21"/>
          <w:lang w:val="en-US" w:eastAsia="zh-CN"/>
        </w:rPr>
        <w:t>投标人应答中写“无”</w:t>
      </w:r>
      <w:r>
        <w:rPr>
          <w:rFonts w:hint="eastAsia" w:ascii="宋体" w:hAnsi="宋体" w:cs="Times New Roman"/>
          <w:b/>
          <w:szCs w:val="21"/>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413F46"/>
    <w:rsid w:val="028F51DC"/>
    <w:rsid w:val="05A46971"/>
    <w:rsid w:val="066C5387"/>
    <w:rsid w:val="071C2399"/>
    <w:rsid w:val="0796327F"/>
    <w:rsid w:val="0DD55AA6"/>
    <w:rsid w:val="10982BC8"/>
    <w:rsid w:val="191A62F4"/>
    <w:rsid w:val="19A35261"/>
    <w:rsid w:val="1F38335C"/>
    <w:rsid w:val="1F6468C7"/>
    <w:rsid w:val="214966EB"/>
    <w:rsid w:val="28D82FB3"/>
    <w:rsid w:val="2E1141D8"/>
    <w:rsid w:val="32640046"/>
    <w:rsid w:val="32E01E23"/>
    <w:rsid w:val="36A056B0"/>
    <w:rsid w:val="3A876010"/>
    <w:rsid w:val="40E57341"/>
    <w:rsid w:val="415D6169"/>
    <w:rsid w:val="43E03703"/>
    <w:rsid w:val="46E209A3"/>
    <w:rsid w:val="49413F46"/>
    <w:rsid w:val="4B4E27B9"/>
    <w:rsid w:val="4CA76852"/>
    <w:rsid w:val="57B23CE5"/>
    <w:rsid w:val="57F02AE8"/>
    <w:rsid w:val="58C50B5D"/>
    <w:rsid w:val="5A832EA5"/>
    <w:rsid w:val="5F330D37"/>
    <w:rsid w:val="6320005A"/>
    <w:rsid w:val="632727CE"/>
    <w:rsid w:val="6AFC1A08"/>
    <w:rsid w:val="78453705"/>
    <w:rsid w:val="78611B20"/>
    <w:rsid w:val="7AB35D85"/>
    <w:rsid w:val="7B2B2E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2023-07-14T03:19:00Z</dcterms:created>
  <dc:creator>安晓姗</dc:creator>
  <cp:lastModifiedBy>安晓姗</cp:lastModifiedBy>
  <dcterms:modified xsi:type="dcterms:W3CDTF">2023-07-14T03:20:32Z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E7FC3B51F5F54AF289555CB78CA1E311</vt:lpwstr>
  </property>
</Properties>
</file>