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pageBreakBefore w:val="0"/>
        <w:kinsoku/>
        <w:wordWrap/>
        <w:overflowPunct/>
        <w:topLinePunct w:val="0"/>
        <w:bidi w:val="0"/>
        <w:spacing w:before="0" w:after="0" w:line="360" w:lineRule="auto"/>
        <w:ind w:left="0" w:right="0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4"/>
        <w:keepNext w:val="0"/>
        <w:keepLines w:val="0"/>
        <w:pageBreakBefore w:val="0"/>
        <w:widowControl w:val="0"/>
        <w:tabs>
          <w:tab w:val="left" w:pos="946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0" w:right="110" w:rightChars="50"/>
        <w:jc w:val="center"/>
        <w:textAlignment w:val="auto"/>
        <w:rPr>
          <w:rFonts w:hint="eastAsia" w:ascii="宋体" w:hAnsi="宋体" w:eastAsia="宋体" w:cs="宋体"/>
          <w:b w:val="0"/>
          <w:sz w:val="32"/>
          <w:szCs w:val="32"/>
        </w:rPr>
      </w:pPr>
      <w:bookmarkStart w:id="0" w:name="附件：零星采购技术要求模板(参考使用）"/>
      <w:bookmarkEnd w:id="0"/>
      <w:bookmarkStart w:id="1" w:name="_bookmark19"/>
      <w:bookmarkEnd w:id="1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技术要求说明</w:t>
      </w:r>
    </w:p>
    <w:p>
      <w:pPr>
        <w:pStyle w:val="6"/>
        <w:pageBreakBefore w:val="0"/>
        <w:kinsoku/>
        <w:wordWrap/>
        <w:overflowPunct/>
        <w:topLinePunct w:val="0"/>
        <w:bidi w:val="0"/>
        <w:spacing w:before="0" w:after="0" w:line="360" w:lineRule="auto"/>
        <w:ind w:left="0" w:right="0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一、项目概述</w:t>
      </w:r>
    </w:p>
    <w:p>
      <w:pPr>
        <w:pStyle w:val="6"/>
        <w:pageBreakBefore w:val="0"/>
        <w:kinsoku/>
        <w:wordWrap/>
        <w:overflowPunct/>
        <w:topLinePunct w:val="0"/>
        <w:bidi w:val="0"/>
        <w:spacing w:before="0" w:after="0" w:line="360" w:lineRule="auto"/>
        <w:ind w:left="0" w:right="0" w:firstLine="480"/>
        <w:rPr>
          <w:rFonts w:hint="default" w:ascii="宋体" w:hAnsi="宋体" w:eastAsia="宋体" w:cs="宋体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为优化公司培训服务工作开展，提高培训评价项目实施规范性，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维持承装（修、试）电力设施许可证</w:t>
      </w:r>
      <w:r>
        <w:rPr>
          <w:rFonts w:hint="eastAsia" w:cs="宋体"/>
          <w:sz w:val="24"/>
          <w:szCs w:val="24"/>
          <w:lang w:val="en-US" w:eastAsia="zh-CN"/>
        </w:rPr>
        <w:t>要求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现计划开展南方电网大数据服务有限公司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特种作业证</w:t>
      </w:r>
      <w:r>
        <w:rPr>
          <w:rFonts w:hint="eastAsia" w:cs="宋体"/>
          <w:sz w:val="24"/>
          <w:szCs w:val="24"/>
          <w:lang w:eastAsia="zh-CN"/>
        </w:rPr>
        <w:t>（</w:t>
      </w:r>
      <w:r>
        <w:rPr>
          <w:rFonts w:hint="eastAsia" w:cs="宋体"/>
          <w:sz w:val="24"/>
          <w:szCs w:val="24"/>
          <w:lang w:val="en-US" w:eastAsia="zh-CN"/>
        </w:rPr>
        <w:t>含高压电工证</w:t>
      </w:r>
      <w:r>
        <w:rPr>
          <w:rFonts w:hint="eastAsia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培训取证、过期换证、继续教育服务项目采购。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before="0" w:after="0" w:line="360" w:lineRule="auto"/>
        <w:ind w:left="210" w:leftChars="0" w:right="0" w:rightChars="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eastAsia="宋体" w:cs="宋体"/>
          <w:b/>
          <w:bCs/>
          <w:color w:val="auto"/>
          <w:sz w:val="24"/>
          <w:szCs w:val="24"/>
          <w:highlight w:val="none"/>
          <w:lang w:val="en-US" w:eastAsia="zh-CN" w:bidi="ar-SA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 w:bidi="ar-SA"/>
        </w:rPr>
        <w:t>服务内容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right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谈判对象需协助采购方按期完成业务涉及证书取证、过期换证、继续教育工作，谈判对象在培训服务过程中所需承担的工作内容包括但不限于：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="425" w:leftChars="0" w:right="0" w:hanging="425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特种作业证</w:t>
      </w:r>
      <w:r>
        <w:rPr>
          <w:rFonts w:hint="eastAsia" w:cs="宋体"/>
          <w:sz w:val="24"/>
          <w:szCs w:val="24"/>
          <w:lang w:eastAsia="zh-CN"/>
        </w:rPr>
        <w:t>（</w:t>
      </w:r>
      <w:r>
        <w:rPr>
          <w:rFonts w:hint="eastAsia" w:cs="宋体"/>
          <w:sz w:val="24"/>
          <w:szCs w:val="24"/>
          <w:lang w:val="en-US" w:eastAsia="zh-CN"/>
        </w:rPr>
        <w:t>含高压电工证</w:t>
      </w:r>
      <w:r>
        <w:rPr>
          <w:rFonts w:hint="eastAsia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取证、过期取证:线上+线下培训，提供考试相关资料，协助完成考试报名。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="425" w:leftChars="0" w:right="0" w:hanging="425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特种作业证</w:t>
      </w:r>
      <w:r>
        <w:rPr>
          <w:rFonts w:hint="eastAsia" w:cs="宋体"/>
          <w:sz w:val="24"/>
          <w:szCs w:val="24"/>
          <w:lang w:eastAsia="zh-CN"/>
        </w:rPr>
        <w:t>（</w:t>
      </w:r>
      <w:r>
        <w:rPr>
          <w:rFonts w:hint="eastAsia" w:cs="宋体"/>
          <w:sz w:val="24"/>
          <w:szCs w:val="24"/>
          <w:lang w:val="en-US" w:eastAsia="zh-CN"/>
        </w:rPr>
        <w:t>含高压电工证</w:t>
      </w:r>
      <w:r>
        <w:rPr>
          <w:rFonts w:hint="eastAsia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继续教育：线上/线下培训，提供复审相关资料，协助完成复审报名。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pacing w:before="0" w:after="0" w:line="360" w:lineRule="auto"/>
        <w:ind w:left="0" w:right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服务要求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及项目实施保障</w:t>
      </w:r>
    </w:p>
    <w:p>
      <w:pPr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="425" w:leftChars="0" w:right="0" w:hanging="425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谈判对象需在协议签订后根据采购提供的培训需求，按照采购方规定时间内提供服务，公司经营业务范围应包含教育培训类业务，保证最终取证证书、继续教育合格证符合采购方要求。</w:t>
      </w:r>
    </w:p>
    <w:p>
      <w:pPr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360" w:lineRule="auto"/>
        <w:ind w:left="425" w:leftChars="0" w:right="0" w:hanging="425" w:firstLineChars="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有效期未满时，实际结算量达到项目采购预估金额规定上限的，合同自动提前终止。</w:t>
      </w:r>
    </w:p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before="0" w:after="0" w:line="360" w:lineRule="auto"/>
        <w:ind w:left="0" w:leftChars="0" w:right="0"/>
        <w:jc w:val="both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四、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服务期限</w:t>
      </w:r>
    </w:p>
    <w:p>
      <w:pPr>
        <w:pStyle w:val="14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="0" w:after="0" w:line="360" w:lineRule="auto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合同签订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之日起至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2024年12月31日。合同履行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有效期未满时，实际结算量达到项目采购预估金额规定上限的，合同自动提前终止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before="0" w:after="0" w:line="360" w:lineRule="auto"/>
        <w:ind w:right="0" w:rightChars="0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五、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结算方式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0" w:leftChars="0" w:right="0" w:rightChars="0"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项目为框架采购，数量为采购方根据年度培训计划进行预估，采购方不保证预估数量的准确性。最终结算按照每期实际参加培训并协助完成考试报名人数据实结算。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before="0" w:after="0" w:line="360" w:lineRule="auto"/>
        <w:ind w:right="0" w:rightChars="0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六、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资质要求：</w:t>
      </w:r>
    </w:p>
    <w:p>
      <w:pPr>
        <w:pStyle w:val="2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before="0" w:after="0" w:line="360" w:lineRule="auto"/>
        <w:ind w:right="0" w:rightChars="0" w:firstLine="48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公司营业执照、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公司经营业务范围应包含教育培训类业务，具有对应主管部门授权的相关资料。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bidi w:val="0"/>
        <w:spacing w:before="0" w:after="0" w:line="360" w:lineRule="auto"/>
        <w:ind w:left="0" w:right="0"/>
        <w:jc w:val="center"/>
        <w:textAlignment w:val="center"/>
        <w:rPr>
          <w:rStyle w:val="15"/>
          <w:rFonts w:hint="eastAsia" w:ascii="宋体" w:hAnsi="宋体" w:eastAsia="宋体" w:cs="宋体"/>
          <w:sz w:val="24"/>
          <w:szCs w:val="24"/>
          <w:lang w:val="en-US" w:eastAsia="zh-CN" w:bidi="ar"/>
        </w:rPr>
        <w:sectPr>
          <w:headerReference r:id="rId5" w:type="default"/>
          <w:footerReference r:id="rId6" w:type="default"/>
          <w:pgSz w:w="11910" w:h="16840"/>
          <w:pgMar w:top="1220" w:right="1000" w:bottom="1280" w:left="1460" w:header="873" w:footer="1082" w:gutter="0"/>
          <w:cols w:space="720" w:num="1"/>
        </w:sectPr>
      </w:pPr>
    </w:p>
    <w:tbl>
      <w:tblPr>
        <w:tblStyle w:val="9"/>
        <w:tblW w:w="976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2"/>
        <w:gridCol w:w="1977"/>
        <w:gridCol w:w="1364"/>
        <w:gridCol w:w="846"/>
        <w:gridCol w:w="2059"/>
        <w:gridCol w:w="128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360" w:lineRule="auto"/>
              <w:ind w:left="0" w:right="0"/>
              <w:jc w:val="center"/>
              <w:textAlignment w:val="center"/>
              <w:rPr>
                <w:rStyle w:val="1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</w:pPr>
            <w:r>
              <w:rPr>
                <w:rStyle w:val="1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 xml:space="preserve">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360" w:lineRule="auto"/>
              <w:ind w:left="0" w:right="0"/>
              <w:jc w:val="center"/>
              <w:textAlignment w:val="center"/>
              <w:rPr>
                <w:rStyle w:val="1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360" w:lineRule="auto"/>
              <w:ind w:left="0" w:right="0"/>
              <w:jc w:val="center"/>
              <w:textAlignment w:val="center"/>
              <w:rPr>
                <w:rStyle w:val="1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 xml:space="preserve"> 报价表   </w:t>
            </w:r>
            <w:r>
              <w:rPr>
                <w:rStyle w:val="16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单位：人民币  元（含税）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223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197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标的细分项</w:t>
            </w:r>
          </w:p>
        </w:tc>
        <w:tc>
          <w:tcPr>
            <w:tcW w:w="1364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培训类别</w:t>
            </w:r>
          </w:p>
        </w:tc>
        <w:tc>
          <w:tcPr>
            <w:tcW w:w="84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205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单价报价</w:t>
            </w:r>
          </w:p>
        </w:tc>
        <w:tc>
          <w:tcPr>
            <w:tcW w:w="128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360" w:lineRule="auto"/>
              <w:ind w:left="0" w:right="0"/>
              <w:jc w:val="center"/>
              <w:textAlignment w:val="top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权重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2232" w:type="dxa"/>
            <w:vMerge w:val="restart"/>
            <w:tcBorders>
              <w:top w:val="nil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特种作业电工证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或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特种作业高压电工证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4"/>
                <w:szCs w:val="24"/>
                <w:lang w:val="en-US" w:eastAsia="zh-CN"/>
              </w:rPr>
              <w:t>培训课程、证书年审、过期换证</w:t>
            </w:r>
          </w:p>
        </w:tc>
        <w:tc>
          <w:tcPr>
            <w:tcW w:w="1977" w:type="dxa"/>
            <w:vMerge w:val="restart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特种作业证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含高压电工证</w:t>
            </w:r>
            <w:r>
              <w:rPr>
                <w:rFonts w:hint="eastAsia" w:cs="宋体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3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取证</w:t>
            </w:r>
          </w:p>
        </w:tc>
        <w:tc>
          <w:tcPr>
            <w:tcW w:w="8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87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223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77" w:type="dxa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过期换证</w:t>
            </w:r>
          </w:p>
        </w:tc>
        <w:tc>
          <w:tcPr>
            <w:tcW w:w="8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leftChars="0" w:right="0" w:rightChars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87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23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77" w:type="dxa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继续教育</w:t>
            </w:r>
          </w:p>
        </w:tc>
        <w:tc>
          <w:tcPr>
            <w:tcW w:w="84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leftChars="0" w:right="0" w:rightChars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</w:t>
            </w:r>
          </w:p>
        </w:tc>
        <w:tc>
          <w:tcPr>
            <w:tcW w:w="2059" w:type="dxa"/>
            <w:tcBorders>
              <w:top w:val="nil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87" w:type="dxa"/>
            <w:tcBorders>
              <w:top w:val="nil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bidi w:val="0"/>
              <w:spacing w:before="0" w:after="0" w:line="240" w:lineRule="auto"/>
              <w:ind w:left="0" w:right="0"/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2232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单价汇总</w:t>
            </w:r>
          </w:p>
        </w:tc>
        <w:tc>
          <w:tcPr>
            <w:tcW w:w="7533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before="0" w:after="0" w:line="360" w:lineRule="auto"/>
              <w:ind w:left="0" w:right="0"/>
              <w:jc w:val="both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before="0" w:after="0" w:line="360" w:lineRule="auto"/>
        <w:ind w:left="0" w:leftChars="0" w:right="0"/>
        <w:jc w:val="both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注：</w:t>
      </w:r>
    </w:p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before="0" w:after="0" w:line="360" w:lineRule="auto"/>
        <w:ind w:left="0" w:leftChars="0" w:right="0"/>
        <w:jc w:val="both"/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1.取证单价*权重比例+过期换证*权重比例+继续教育*权重比例=单价汇总（评分价）；</w:t>
      </w:r>
    </w:p>
    <w:p>
      <w:pPr>
        <w:pStyle w:val="7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before="0" w:after="0" w:line="360" w:lineRule="auto"/>
        <w:ind w:left="0" w:leftChars="0" w:right="0"/>
        <w:jc w:val="both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最终结算按照每期实际参加培训并协助完成考试报名人数据实结算。</w:t>
      </w:r>
    </w:p>
    <w:p>
      <w:pPr>
        <w:pageBreakBefore w:val="0"/>
        <w:kinsoku/>
        <w:wordWrap/>
        <w:overflowPunct/>
        <w:topLinePunct w:val="0"/>
        <w:bidi w:val="0"/>
        <w:spacing w:before="0" w:after="0" w:line="360" w:lineRule="auto"/>
        <w:ind w:left="0" w:right="0"/>
        <w:rPr>
          <w:rFonts w:hint="eastAsia" w:ascii="宋体" w:hAnsi="宋体" w:eastAsia="宋体" w:cs="宋体"/>
          <w:sz w:val="24"/>
          <w:szCs w:val="24"/>
        </w:rPr>
      </w:pPr>
      <w:bookmarkStart w:id="2" w:name="_GoBack"/>
      <w:bookmarkEnd w:id="2"/>
    </w:p>
    <w:sectPr>
      <w:pgSz w:w="11910" w:h="16840"/>
      <w:pgMar w:top="1220" w:right="1000" w:bottom="1280" w:left="1460" w:header="873" w:footer="108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  <w:spacing w:line="14" w:lineRule="auto"/>
      <w:ind w:left="0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1447800</wp:posOffset>
              </wp:positionH>
              <wp:positionV relativeFrom="page">
                <wp:posOffset>779780</wp:posOffset>
              </wp:positionV>
              <wp:extent cx="4969510" cy="0"/>
              <wp:effectExtent l="0" t="4445" r="0" b="5080"/>
              <wp:wrapNone/>
              <wp:docPr id="1" name="直线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69510" cy="0"/>
                      </a:xfrm>
                      <a:prstGeom prst="line">
                        <a:avLst/>
                      </a:prstGeom>
                      <a:ln w="9144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直线 1025" o:spid="_x0000_s1026" o:spt="20" style="position:absolute;left:0pt;margin-left:114pt;margin-top:61.4pt;height:0pt;width:391.3pt;mso-position-horizontal-relative:page;mso-position-vertical-relative:page;z-index:-251657216;mso-width-relative:page;mso-height-relative:page;" filled="f" stroked="t" coordsize="21600,21600" o:gfxdata="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1D4S&#10;3dYAAAAMAQAADwAAAAAAAAABACAAAAAiAAAAZHJzL2Rvd25yZXYueG1sUEsBAhQAFAAAAAgAh07i&#10;QPao4K7rAQAA3gMAAA4AAAAAAAAAAQAgAAAAJQEAAGRycy9lMm9Eb2MueG1sUEsFBgAAAAAGAAYA&#10;WQEAAIIFAAAAAA==&#10;">
              <v:fill on="f" focussize="0,0"/>
              <v:stroke weight="0.72pt" color="#000000" joinstyle="round"/>
              <v:imagedata o:title=""/>
              <o:lock v:ext="edit" aspectratio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C9D660"/>
    <w:multiLevelType w:val="singleLevel"/>
    <w:tmpl w:val="81C9D66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85B773BD"/>
    <w:multiLevelType w:val="singleLevel"/>
    <w:tmpl w:val="85B773B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20E235E1"/>
    <w:multiLevelType w:val="multilevel"/>
    <w:tmpl w:val="20E235E1"/>
    <w:lvl w:ilvl="0" w:tentative="0">
      <w:start w:val="6"/>
      <w:numFmt w:val="decimal"/>
      <w:pStyle w:val="7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2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xYWUwYmQzNGI1MGQ4ZTA2ZWMwMjc5MzRjNTQxY2QifQ=="/>
  </w:docVars>
  <w:rsids>
    <w:rsidRoot w:val="00000000"/>
    <w:rsid w:val="024E68B3"/>
    <w:rsid w:val="05156763"/>
    <w:rsid w:val="12122C7D"/>
    <w:rsid w:val="322F6C27"/>
    <w:rsid w:val="36D3343B"/>
    <w:rsid w:val="644E185F"/>
    <w:rsid w:val="64DA21E3"/>
    <w:rsid w:val="76AD46E6"/>
    <w:rsid w:val="796C5C44"/>
    <w:rsid w:val="7F5843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4">
    <w:name w:val="heading 1"/>
    <w:basedOn w:val="1"/>
    <w:next w:val="1"/>
    <w:autoRedefine/>
    <w:qFormat/>
    <w:uiPriority w:val="1"/>
    <w:pPr>
      <w:spacing w:before="66"/>
      <w:ind w:left="340"/>
      <w:outlineLvl w:val="1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styleId="3">
    <w:name w:val="Body Text Indent"/>
    <w:basedOn w:val="1"/>
    <w:autoRedefine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6">
    <w:name w:val="Body Text"/>
    <w:basedOn w:val="1"/>
    <w:next w:val="7"/>
    <w:autoRedefine/>
    <w:qFormat/>
    <w:uiPriority w:val="1"/>
    <w:pPr>
      <w:ind w:left="340"/>
    </w:pPr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7">
    <w:name w:val="Title"/>
    <w:basedOn w:val="1"/>
    <w:next w:val="1"/>
    <w:autoRedefine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">
    <w:name w:val="toc 1"/>
    <w:basedOn w:val="1"/>
    <w:next w:val="1"/>
    <w:autoRedefine/>
    <w:qFormat/>
    <w:uiPriority w:val="1"/>
    <w:pPr>
      <w:spacing w:before="168"/>
      <w:ind w:left="580"/>
    </w:pPr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11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List Paragraph"/>
    <w:basedOn w:val="1"/>
    <w:autoRedefine/>
    <w:qFormat/>
    <w:uiPriority w:val="1"/>
    <w:pPr>
      <w:ind w:left="340" w:hanging="420"/>
    </w:pPr>
    <w:rPr>
      <w:rFonts w:ascii="宋体" w:hAnsi="宋体" w:eastAsia="宋体" w:cs="宋体"/>
      <w:lang w:val="zh-CN" w:eastAsia="zh-CN" w:bidi="zh-CN"/>
    </w:rPr>
  </w:style>
  <w:style w:type="paragraph" w:customStyle="1" w:styleId="13">
    <w:name w:val="Table Paragraph"/>
    <w:basedOn w:val="1"/>
    <w:qFormat/>
    <w:uiPriority w:val="1"/>
    <w:rPr>
      <w:lang w:val="zh-CN" w:eastAsia="zh-CN" w:bidi="zh-CN"/>
    </w:rPr>
  </w:style>
  <w:style w:type="paragraph" w:customStyle="1" w:styleId="14">
    <w:name w:val="列出段落1"/>
    <w:basedOn w:val="1"/>
    <w:autoRedefine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  <w:style w:type="character" w:customStyle="1" w:styleId="15">
    <w:name w:val="font41"/>
    <w:basedOn w:val="10"/>
    <w:autoRedefine/>
    <w:qFormat/>
    <w:uiPriority w:val="0"/>
    <w:rPr>
      <w:rFonts w:hint="eastAsia" w:ascii="仿宋" w:hAnsi="仿宋" w:eastAsia="仿宋" w:cs="仿宋"/>
      <w:b/>
      <w:bCs/>
      <w:color w:val="000000"/>
      <w:sz w:val="44"/>
      <w:szCs w:val="44"/>
      <w:u w:val="none"/>
    </w:rPr>
  </w:style>
  <w:style w:type="character" w:customStyle="1" w:styleId="16">
    <w:name w:val="font61"/>
    <w:basedOn w:val="10"/>
    <w:autoRedefine/>
    <w:qFormat/>
    <w:uiPriority w:val="0"/>
    <w:rPr>
      <w:rFonts w:hint="eastAsia" w:ascii="仿宋" w:hAnsi="仿宋" w:eastAsia="仿宋" w:cs="仿宋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ScaleCrop>false</ScaleCrop>
  <LinksUpToDate>false</LinksUpToDate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2024-03-08T02:19:00Z</dcterms:created>
  <dc:creator>user</dc:creator>
  <cp:lastModifiedBy>Susan</cp:lastModifiedBy>
  <dcterms:modified xsi:type="dcterms:W3CDTF">2024-03-13T01:17:46Z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2024-03-08T00:00:00Z</vt:filetime>
  </property>
  <property fmtid="{D5CDD505-2E9C-101B-9397-08002B2CF9AE}" pid="5" name="KSOProductBuildVer">
    <vt:lpwstr>2052-12.1.0.16399</vt:lpwstr>
  </property>
  <property fmtid="{D5CDD505-2E9C-101B-9397-08002B2CF9AE}" pid="6" name="ICV">
    <vt:lpwstr>7C886BA3B34B4199BA6D6C96749B1FF1_13</vt:lpwstr>
  </property>
</Properties>
</file>