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jc w:val="center"/>
        <w:rPr>
          <w:rFonts w:hint="eastAsia"/>
          <w:color w:val="auto"/>
          <w:lang w:val="en-US" w:eastAsia="zh-CN"/>
        </w:rPr>
      </w:pPr>
      <w:r>
        <w:rPr>
          <w:rFonts w:hint="eastAsia"/>
          <w:color w:val="auto"/>
          <w:lang w:val="en-US" w:eastAsia="zh-CN"/>
        </w:rPr>
        <w:t>2024年云南电力试验研究院（集团）有限公司科技创新与数字化部绿盟安全设备服务授权采购技术规范书</w:t>
      </w:r>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1项目概要</w:t>
      </w:r>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1.1项目背景</w:t>
      </w:r>
    </w:p>
    <w:p>
      <w:pPr>
        <w:numPr>
          <w:ilvl w:val="0"/>
          <w:numId w:val="0"/>
        </w:numPr>
        <w:spacing w:line="360" w:lineRule="auto"/>
        <w:ind w:firstLine="480" w:firstLineChars="200"/>
        <w:rPr>
          <w:rFonts w:hint="default"/>
          <w:color w:val="auto"/>
          <w:sz w:val="24"/>
          <w:szCs w:val="24"/>
          <w:lang w:val="en-US" w:eastAsia="zh-CN"/>
        </w:rPr>
      </w:pPr>
      <w:r>
        <w:rPr>
          <w:rFonts w:hint="eastAsia"/>
          <w:color w:val="auto"/>
          <w:sz w:val="24"/>
          <w:szCs w:val="24"/>
          <w:lang w:val="en-US" w:eastAsia="zh-CN"/>
        </w:rPr>
        <w:t>试验研究院（集团）绿盟安全设备服务授权将过期，设备的漏洞特征库及固件等无法升级。为保障试验研究院（集团）安全设备能正常使用，采购绿盟安全设备服务授权。</w:t>
      </w:r>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1.2项目目标</w:t>
      </w:r>
    </w:p>
    <w:p>
      <w:pPr>
        <w:numPr>
          <w:ilvl w:val="0"/>
          <w:numId w:val="0"/>
        </w:numPr>
        <w:spacing w:line="360" w:lineRule="auto"/>
        <w:ind w:firstLine="480" w:firstLineChars="200"/>
        <w:rPr>
          <w:rFonts w:hint="eastAsia"/>
          <w:color w:val="auto"/>
          <w:sz w:val="24"/>
          <w:szCs w:val="24"/>
          <w:lang w:val="en-US" w:eastAsia="zh-CN"/>
        </w:rPr>
      </w:pPr>
      <w:r>
        <w:rPr>
          <w:rFonts w:hint="eastAsia"/>
          <w:color w:val="auto"/>
          <w:sz w:val="24"/>
          <w:szCs w:val="24"/>
          <w:lang w:val="en-US" w:eastAsia="zh-CN"/>
        </w:rPr>
        <w:t>完成绿盟工业网络安全合规评测工具（ISCAT）、网络入侵防护设备（IPS）服务授权。</w:t>
      </w:r>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2项目内容</w:t>
      </w:r>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2.1项目内容具体描述</w:t>
      </w:r>
    </w:p>
    <w:p>
      <w:pPr>
        <w:numPr>
          <w:ilvl w:val="0"/>
          <w:numId w:val="0"/>
        </w:numPr>
        <w:spacing w:line="360" w:lineRule="auto"/>
        <w:ind w:leftChars="0" w:firstLine="480" w:firstLineChars="200"/>
        <w:rPr>
          <w:rFonts w:hint="default"/>
          <w:color w:val="auto"/>
          <w:sz w:val="24"/>
          <w:szCs w:val="24"/>
          <w:lang w:val="en-US" w:eastAsia="zh-CN"/>
        </w:rPr>
      </w:pPr>
      <w:r>
        <w:rPr>
          <w:rFonts w:hint="eastAsia"/>
          <w:color w:val="auto"/>
          <w:sz w:val="24"/>
          <w:szCs w:val="24"/>
          <w:lang w:val="en-US" w:eastAsia="zh-CN"/>
        </w:rPr>
        <w:t>绿盟工业网络安全合规评测工具（ISCAT）、网络入侵防护设备（IPS）服务授权；设备升级（漏洞特征库、固件等）；设备功能培训；远程技术支持；设备故障维修及备用设备提供。</w:t>
      </w:r>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2.2服务期限</w:t>
      </w:r>
    </w:p>
    <w:p>
      <w:pPr>
        <w:numPr>
          <w:ilvl w:val="0"/>
          <w:numId w:val="0"/>
        </w:numPr>
        <w:spacing w:line="360" w:lineRule="auto"/>
        <w:rPr>
          <w:rFonts w:hint="eastAsia"/>
          <w:color w:val="auto"/>
          <w:sz w:val="24"/>
          <w:szCs w:val="24"/>
          <w:lang w:val="en-US" w:eastAsia="zh-CN"/>
        </w:rPr>
      </w:pPr>
      <w:r>
        <w:rPr>
          <w:rFonts w:hint="eastAsia"/>
          <w:color w:val="auto"/>
          <w:sz w:val="24"/>
          <w:szCs w:val="24"/>
          <w:lang w:val="en-US" w:eastAsia="zh-CN"/>
        </w:rPr>
        <w:t xml:space="preserve">  授权当日后1年。</w:t>
      </w:r>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3技术规范</w:t>
      </w:r>
    </w:p>
    <w:p>
      <w:pPr>
        <w:numPr>
          <w:ilvl w:val="0"/>
          <w:numId w:val="1"/>
        </w:numPr>
        <w:spacing w:line="360" w:lineRule="auto"/>
        <w:ind w:left="425" w:leftChars="0" w:hanging="425" w:firstLineChars="0"/>
        <w:rPr>
          <w:rFonts w:hint="default"/>
          <w:color w:val="auto"/>
          <w:sz w:val="24"/>
          <w:szCs w:val="24"/>
          <w:lang w:val="en-US" w:eastAsia="zh-CN"/>
        </w:rPr>
      </w:pPr>
      <w:r>
        <w:rPr>
          <w:rFonts w:hint="eastAsia"/>
          <w:color w:val="auto"/>
          <w:sz w:val="24"/>
          <w:szCs w:val="24"/>
          <w:lang w:val="en-US" w:eastAsia="zh-CN"/>
        </w:rPr>
        <w:t>绿盟安全设备服务授权：成交通知书发布后5个工作日。</w:t>
      </w:r>
    </w:p>
    <w:p>
      <w:pPr>
        <w:numPr>
          <w:ilvl w:val="0"/>
          <w:numId w:val="1"/>
        </w:numPr>
        <w:spacing w:line="360" w:lineRule="auto"/>
        <w:ind w:left="425" w:leftChars="0" w:hanging="425" w:firstLineChars="0"/>
        <w:rPr>
          <w:rFonts w:hint="default"/>
          <w:color w:val="auto"/>
          <w:sz w:val="24"/>
          <w:szCs w:val="24"/>
          <w:lang w:val="en-US" w:eastAsia="zh-CN"/>
        </w:rPr>
      </w:pPr>
      <w:r>
        <w:rPr>
          <w:rFonts w:hint="eastAsia"/>
          <w:color w:val="auto"/>
          <w:sz w:val="24"/>
          <w:szCs w:val="24"/>
          <w:lang w:val="en-US" w:eastAsia="zh-CN"/>
        </w:rPr>
        <w:t>设备升级（漏洞特征库、固件等）：成交通知书发布后5个工作日。</w:t>
      </w:r>
    </w:p>
    <w:p>
      <w:pPr>
        <w:numPr>
          <w:ilvl w:val="0"/>
          <w:numId w:val="1"/>
        </w:numPr>
        <w:spacing w:line="360" w:lineRule="auto"/>
        <w:ind w:left="425" w:leftChars="0" w:hanging="425" w:firstLineChars="0"/>
        <w:rPr>
          <w:rFonts w:hint="default"/>
          <w:color w:val="auto"/>
          <w:sz w:val="24"/>
          <w:szCs w:val="24"/>
          <w:lang w:val="en-US" w:eastAsia="zh-CN"/>
        </w:rPr>
      </w:pPr>
      <w:r>
        <w:rPr>
          <w:rFonts w:hint="eastAsia"/>
          <w:color w:val="auto"/>
          <w:sz w:val="24"/>
          <w:szCs w:val="24"/>
          <w:lang w:val="en-US" w:eastAsia="zh-CN"/>
        </w:rPr>
        <w:t>设备功能培训：不少于2次现场培训。</w:t>
      </w:r>
    </w:p>
    <w:p>
      <w:pPr>
        <w:numPr>
          <w:ilvl w:val="0"/>
          <w:numId w:val="1"/>
        </w:numPr>
        <w:spacing w:line="360" w:lineRule="auto"/>
        <w:ind w:left="425" w:leftChars="0" w:hanging="425" w:firstLineChars="0"/>
        <w:rPr>
          <w:rFonts w:hint="eastAsia"/>
          <w:color w:val="auto"/>
          <w:sz w:val="24"/>
          <w:szCs w:val="24"/>
          <w:lang w:val="en-US" w:eastAsia="zh-CN"/>
        </w:rPr>
      </w:pPr>
      <w:r>
        <w:rPr>
          <w:rFonts w:hint="eastAsia"/>
          <w:color w:val="auto"/>
          <w:sz w:val="24"/>
          <w:szCs w:val="24"/>
          <w:lang w:val="en-US" w:eastAsia="zh-CN"/>
        </w:rPr>
        <w:t>远程技术支持：</w:t>
      </w:r>
      <w:r>
        <w:rPr>
          <w:rFonts w:hint="eastAsia" w:asciiTheme="minorHAnsi" w:hAnsiTheme="minorHAnsi" w:eastAsiaTheme="minorEastAsia" w:cstheme="minorBidi"/>
          <w:color w:val="auto"/>
          <w:kern w:val="2"/>
          <w:sz w:val="24"/>
          <w:szCs w:val="24"/>
          <w:highlight w:val="none"/>
          <w:lang w:val="en-US" w:eastAsia="zh-CN" w:bidi="ar-SA"/>
        </w:rPr>
        <w:t>完成设备升级当日后1年</w:t>
      </w:r>
      <w:r>
        <w:rPr>
          <w:rFonts w:hint="eastAsia" w:cstheme="minorBidi"/>
          <w:color w:val="auto"/>
          <w:kern w:val="2"/>
          <w:sz w:val="24"/>
          <w:szCs w:val="24"/>
          <w:lang w:val="en-US" w:eastAsia="zh-CN" w:bidi="ar-SA"/>
        </w:rPr>
        <w:t>，</w:t>
      </w:r>
      <w:r>
        <w:rPr>
          <w:rFonts w:hint="eastAsia"/>
          <w:color w:val="auto"/>
          <w:sz w:val="24"/>
          <w:szCs w:val="24"/>
          <w:lang w:val="en-US" w:eastAsia="zh-CN"/>
        </w:rPr>
        <w:t>指定联系人提供7*24小时手机电话技术支持，必要时2个工作日内提供上门服务。</w:t>
      </w:r>
    </w:p>
    <w:p>
      <w:pPr>
        <w:numPr>
          <w:ilvl w:val="0"/>
          <w:numId w:val="1"/>
        </w:numPr>
        <w:spacing w:line="360" w:lineRule="auto"/>
        <w:ind w:left="425" w:leftChars="0" w:hanging="425" w:firstLineChars="0"/>
        <w:rPr>
          <w:rFonts w:hint="eastAsia"/>
          <w:color w:val="auto"/>
          <w:sz w:val="24"/>
          <w:szCs w:val="24"/>
          <w:lang w:val="en-US" w:eastAsia="zh-CN"/>
        </w:rPr>
      </w:pPr>
      <w:r>
        <w:rPr>
          <w:rFonts w:hint="eastAsia"/>
          <w:color w:val="auto"/>
          <w:sz w:val="24"/>
          <w:szCs w:val="24"/>
          <w:lang w:val="en-US" w:eastAsia="zh-CN"/>
        </w:rPr>
        <w:t>设备故障维修及备用设备提供：</w:t>
      </w:r>
    </w:p>
    <w:p>
      <w:pPr>
        <w:numPr>
          <w:ilvl w:val="0"/>
          <w:numId w:val="2"/>
        </w:numPr>
        <w:spacing w:line="360" w:lineRule="auto"/>
        <w:ind w:left="0" w:leftChars="0" w:firstLine="480" w:firstLineChars="200"/>
        <w:rPr>
          <w:rFonts w:hint="default"/>
          <w:color w:val="auto"/>
          <w:sz w:val="24"/>
          <w:szCs w:val="24"/>
          <w:lang w:val="en-US" w:eastAsia="zh-CN"/>
        </w:rPr>
      </w:pPr>
      <w:r>
        <w:rPr>
          <w:rFonts w:hint="eastAsia"/>
          <w:color w:val="auto"/>
          <w:sz w:val="24"/>
          <w:szCs w:val="24"/>
          <w:lang w:val="en-US" w:eastAsia="zh-CN"/>
        </w:rPr>
        <w:t>成交人在采购人所在地应有固定的办公场所和售后服务团队。</w:t>
      </w:r>
    </w:p>
    <w:p>
      <w:pPr>
        <w:numPr>
          <w:ilvl w:val="0"/>
          <w:numId w:val="2"/>
        </w:numPr>
        <w:spacing w:line="360" w:lineRule="auto"/>
        <w:ind w:left="0" w:leftChars="0" w:firstLine="480" w:firstLineChars="200"/>
        <w:rPr>
          <w:rFonts w:hint="default"/>
          <w:color w:val="auto"/>
          <w:sz w:val="24"/>
          <w:szCs w:val="24"/>
          <w:lang w:val="en-US" w:eastAsia="zh-CN"/>
        </w:rPr>
      </w:pPr>
      <w:r>
        <w:rPr>
          <w:rFonts w:hint="eastAsia"/>
          <w:color w:val="auto"/>
          <w:sz w:val="24"/>
          <w:szCs w:val="24"/>
          <w:lang w:val="en-US" w:eastAsia="zh-CN"/>
        </w:rPr>
        <w:t>设备出现故障，成交人应给予维修，24小时响应、3个工作日解决问题。</w:t>
      </w:r>
    </w:p>
    <w:p>
      <w:pPr>
        <w:numPr>
          <w:ilvl w:val="0"/>
          <w:numId w:val="2"/>
        </w:numPr>
        <w:spacing w:line="360" w:lineRule="auto"/>
        <w:ind w:left="0" w:leftChars="0" w:firstLine="480" w:firstLineChars="200"/>
        <w:rPr>
          <w:rFonts w:hint="default"/>
          <w:color w:val="auto"/>
          <w:lang w:val="en-US" w:eastAsia="zh-CN"/>
        </w:rPr>
      </w:pPr>
      <w:r>
        <w:rPr>
          <w:rFonts w:hint="eastAsia"/>
          <w:color w:val="auto"/>
          <w:sz w:val="24"/>
          <w:szCs w:val="24"/>
          <w:lang w:val="en-US" w:eastAsia="zh-CN"/>
        </w:rPr>
        <w:t>硬件故障的，应在2个工作日内提供备用设备供采购人使用。</w:t>
      </w:r>
    </w:p>
    <w:p>
      <w:pPr>
        <w:numPr>
          <w:ilvl w:val="0"/>
          <w:numId w:val="1"/>
        </w:numPr>
        <w:spacing w:line="360" w:lineRule="auto"/>
        <w:ind w:left="425" w:leftChars="0" w:hanging="425" w:firstLineChars="0"/>
        <w:rPr>
          <w:rFonts w:hint="default"/>
          <w:color w:val="auto"/>
          <w:sz w:val="24"/>
          <w:szCs w:val="24"/>
          <w:lang w:val="en-US" w:eastAsia="zh-CN"/>
        </w:rPr>
      </w:pPr>
      <w:r>
        <w:rPr>
          <w:rFonts w:hint="eastAsia"/>
          <w:color w:val="auto"/>
          <w:sz w:val="24"/>
          <w:szCs w:val="24"/>
          <w:lang w:val="en-US" w:eastAsia="zh-CN"/>
        </w:rPr>
        <w:t>售后要求：</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bookmarkStart w:id="0" w:name="_Toc18855"/>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人提供的任何固件和软件不得存在漏洞和后门。</w:t>
      </w:r>
      <w:bookmarkEnd w:id="0"/>
      <w:bookmarkStart w:id="1" w:name="_Toc30447"/>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人所提供固件和软件的原制造商应提供补丁支持。</w:t>
      </w:r>
      <w:bookmarkEnd w:id="1"/>
      <w:bookmarkStart w:id="2" w:name="_Toc5953"/>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人或</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人所提供固件和软件的原制造商发现缺陷，应在发布补丁程序后</w:t>
      </w:r>
      <w:r>
        <w:rPr>
          <w:rFonts w:hint="eastAsia" w:ascii="宋体" w:hAnsi="宋体" w:eastAsia="宋体" w:cs="宋体"/>
          <w:color w:val="auto"/>
          <w:sz w:val="24"/>
          <w:szCs w:val="24"/>
          <w:lang w:val="en-US" w:eastAsia="zh-CN"/>
        </w:rPr>
        <w:t>5个工作日</w:t>
      </w:r>
      <w:r>
        <w:rPr>
          <w:rFonts w:hint="eastAsia" w:ascii="宋体" w:hAnsi="宋体" w:eastAsia="宋体" w:cs="宋体"/>
          <w:color w:val="auto"/>
          <w:sz w:val="24"/>
          <w:szCs w:val="24"/>
        </w:rPr>
        <w:t>内向</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人提供补丁程序。</w:t>
      </w:r>
      <w:bookmarkEnd w:id="2"/>
      <w:bookmarkStart w:id="3" w:name="_Toc1338"/>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lang w:val="en-US" w:eastAsia="zh-CN"/>
        </w:rPr>
      </w:pP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人发现</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人所提供固件和软件存在缺陷，原制造商应在接到</w:t>
      </w:r>
      <w:r>
        <w:rPr>
          <w:rFonts w:hint="eastAsia" w:ascii="宋体" w:hAnsi="宋体" w:eastAsia="宋体" w:cs="宋体"/>
          <w:color w:val="auto"/>
          <w:sz w:val="24"/>
          <w:szCs w:val="24"/>
          <w:lang w:eastAsia="zh-CN"/>
        </w:rPr>
        <w:t>采购</w:t>
      </w:r>
      <w:r>
        <w:rPr>
          <w:rFonts w:hint="eastAsia" w:ascii="宋体" w:hAnsi="宋体" w:eastAsia="宋体" w:cs="宋体"/>
          <w:color w:val="auto"/>
          <w:sz w:val="24"/>
          <w:szCs w:val="24"/>
        </w:rPr>
        <w:t>人通知之日起</w:t>
      </w:r>
      <w:r>
        <w:rPr>
          <w:rFonts w:hint="eastAsia" w:ascii="宋体" w:hAnsi="宋体" w:eastAsia="宋体" w:cs="宋体"/>
          <w:color w:val="auto"/>
          <w:sz w:val="24"/>
          <w:szCs w:val="24"/>
          <w:lang w:val="en-US" w:eastAsia="zh-CN"/>
        </w:rPr>
        <w:t>5个工作日</w:t>
      </w:r>
      <w:r>
        <w:rPr>
          <w:rFonts w:hint="eastAsia" w:ascii="宋体" w:hAnsi="宋体" w:eastAsia="宋体" w:cs="宋体"/>
          <w:color w:val="auto"/>
          <w:sz w:val="24"/>
          <w:szCs w:val="24"/>
        </w:rPr>
        <w:t>内提供相应的补丁程序。</w:t>
      </w:r>
      <w:bookmarkEnd w:id="3"/>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4验收要求</w:t>
      </w:r>
    </w:p>
    <w:p>
      <w:pPr>
        <w:numPr>
          <w:ilvl w:val="0"/>
          <w:numId w:val="0"/>
        </w:numPr>
        <w:spacing w:line="360" w:lineRule="auto"/>
        <w:ind w:firstLine="480" w:firstLineChars="200"/>
        <w:rPr>
          <w:rFonts w:hint="eastAsia"/>
          <w:color w:val="auto"/>
          <w:sz w:val="24"/>
          <w:szCs w:val="24"/>
          <w:lang w:val="en-US" w:eastAsia="zh-CN"/>
        </w:rPr>
      </w:pPr>
      <w:r>
        <w:rPr>
          <w:rFonts w:hint="eastAsia"/>
          <w:color w:val="auto"/>
          <w:sz w:val="24"/>
          <w:szCs w:val="24"/>
          <w:lang w:val="en-US" w:eastAsia="zh-CN"/>
        </w:rPr>
        <w:t>满足技术规范要求、服务期满即达到验收条件。</w:t>
      </w:r>
    </w:p>
    <w:p>
      <w:pPr>
        <w:numPr>
          <w:ilvl w:val="0"/>
          <w:numId w:val="0"/>
        </w:numPr>
        <w:spacing w:line="360" w:lineRule="auto"/>
        <w:rPr>
          <w:rFonts w:hint="eastAsia"/>
          <w:b/>
          <w:bCs/>
          <w:color w:val="auto"/>
          <w:sz w:val="24"/>
          <w:szCs w:val="24"/>
          <w:lang w:val="en-US" w:eastAsia="zh-CN"/>
        </w:rPr>
      </w:pPr>
      <w:bookmarkStart w:id="4" w:name="_Toc19077"/>
      <w:bookmarkStart w:id="5" w:name="_Toc281836867"/>
      <w:r>
        <w:rPr>
          <w:rFonts w:hint="eastAsia"/>
          <w:b/>
          <w:bCs/>
          <w:color w:val="auto"/>
          <w:sz w:val="24"/>
          <w:szCs w:val="24"/>
          <w:lang w:val="en-US" w:eastAsia="zh-CN"/>
        </w:rPr>
        <w:t>5结算与支付</w:t>
      </w:r>
    </w:p>
    <w:p>
      <w:pPr>
        <w:spacing w:line="360" w:lineRule="auto"/>
        <w:ind w:firstLine="480" w:firstLineChars="200"/>
        <w:rPr>
          <w:color w:val="auto"/>
        </w:rPr>
      </w:pPr>
      <w:r>
        <w:rPr>
          <w:rFonts w:hint="eastAsia" w:ascii="宋体" w:hAnsi="宋体" w:eastAsia="宋体" w:cs="宋体"/>
          <w:color w:val="auto"/>
          <w:sz w:val="24"/>
          <w:szCs w:val="24"/>
          <w:highlight w:val="none"/>
          <w:lang w:eastAsia="zh-CN"/>
        </w:rPr>
        <w:t>完成</w:t>
      </w:r>
      <w:r>
        <w:rPr>
          <w:rFonts w:hint="eastAsia" w:ascii="宋体" w:hAnsi="宋体" w:eastAsia="宋体" w:cs="宋体"/>
          <w:color w:val="auto"/>
          <w:sz w:val="24"/>
          <w:szCs w:val="24"/>
          <w:highlight w:val="none"/>
          <w:lang w:val="en-US" w:eastAsia="zh-CN"/>
        </w:rPr>
        <w:t>授权及升级后一个月内支付90%，剩余10%服务期满后一个月内支付。多台设备涉及不同服务期的，按最后期限计算。</w:t>
      </w:r>
      <w:bookmarkEnd w:id="4"/>
      <w:bookmarkEnd w:id="5"/>
    </w:p>
    <w:p>
      <w:pPr>
        <w:numPr>
          <w:ilvl w:val="0"/>
          <w:numId w:val="0"/>
        </w:numPr>
        <w:spacing w:line="360" w:lineRule="auto"/>
        <w:rPr>
          <w:rFonts w:hint="eastAsia"/>
          <w:b/>
          <w:bCs/>
          <w:color w:val="auto"/>
          <w:sz w:val="24"/>
          <w:szCs w:val="24"/>
          <w:lang w:val="en-US" w:eastAsia="zh-CN"/>
        </w:rPr>
      </w:pPr>
      <w:r>
        <w:rPr>
          <w:rFonts w:hint="eastAsia"/>
          <w:b/>
          <w:bCs/>
          <w:color w:val="auto"/>
          <w:sz w:val="24"/>
          <w:szCs w:val="24"/>
          <w:lang w:val="en-US" w:eastAsia="zh-CN"/>
        </w:rPr>
        <w:t>6资质要求</w:t>
      </w:r>
    </w:p>
    <w:p>
      <w:pPr>
        <w:numPr>
          <w:ilvl w:val="0"/>
          <w:numId w:val="0"/>
        </w:numPr>
        <w:spacing w:line="360" w:lineRule="auto"/>
        <w:ind w:leftChars="0" w:firstLine="480" w:firstLineChars="200"/>
        <w:rPr>
          <w:rFonts w:hint="default" w:ascii="宋体" w:hAnsi="宋体" w:eastAsia="宋体" w:cs="宋体"/>
          <w:color w:val="auto"/>
          <w:kern w:val="2"/>
          <w:sz w:val="24"/>
          <w:szCs w:val="24"/>
          <w:highlight w:val="none"/>
          <w:lang w:val="en-US" w:eastAsia="zh-CN" w:bidi="ar-SA"/>
        </w:rPr>
      </w:pPr>
      <w:bookmarkStart w:id="6" w:name="_GoBack"/>
      <w:bookmarkEnd w:id="6"/>
      <w:r>
        <w:rPr>
          <w:rFonts w:hint="eastAsia" w:ascii="宋体" w:hAnsi="宋体" w:eastAsia="宋体" w:cs="宋体"/>
          <w:color w:val="auto"/>
          <w:kern w:val="2"/>
          <w:sz w:val="24"/>
          <w:szCs w:val="24"/>
          <w:highlight w:val="none"/>
          <w:lang w:val="en-US" w:eastAsia="zh-CN" w:bidi="ar-SA"/>
        </w:rPr>
        <w:t>具备绿盟厂家授权且在有效期内。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961506"/>
    <w:multiLevelType w:val="singleLevel"/>
    <w:tmpl w:val="9E961506"/>
    <w:lvl w:ilvl="0" w:tentative="0">
      <w:start w:val="1"/>
      <w:numFmt w:val="decimalEnclosedCircleChinese"/>
      <w:suff w:val="nothing"/>
      <w:lvlText w:val="%1　"/>
      <w:lvlJc w:val="left"/>
      <w:pPr>
        <w:ind w:left="0" w:firstLine="400"/>
      </w:pPr>
      <w:rPr>
        <w:rFonts w:hint="eastAsia"/>
      </w:rPr>
    </w:lvl>
  </w:abstractNum>
  <w:abstractNum w:abstractNumId="1">
    <w:nsid w:val="B4A61F88"/>
    <w:multiLevelType w:val="singleLevel"/>
    <w:tmpl w:val="B4A61F88"/>
    <w:lvl w:ilvl="0" w:tentative="0">
      <w:start w:val="1"/>
      <w:numFmt w:val="decimalEnclosedCircleChinese"/>
      <w:suff w:val="nothing"/>
      <w:lvlText w:val="%1　"/>
      <w:lvlJc w:val="left"/>
      <w:pPr>
        <w:ind w:left="0" w:firstLine="400"/>
      </w:pPr>
      <w:rPr>
        <w:rFonts w:hint="eastAsia"/>
      </w:rPr>
    </w:lvl>
  </w:abstractNum>
  <w:abstractNum w:abstractNumId="2">
    <w:nsid w:val="FA6810D8"/>
    <w:multiLevelType w:val="singleLevel"/>
    <w:tmpl w:val="FA6810D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4ZTk1ZDI1MmYzYWU3MDhlZDlkNzc2NjA4ZTZiNDkifQ=="/>
  </w:docVars>
  <w:rsids>
    <w:rsidRoot w:val="313156F5"/>
    <w:rsid w:val="007C2CDB"/>
    <w:rsid w:val="012443CF"/>
    <w:rsid w:val="01C56903"/>
    <w:rsid w:val="020E7C68"/>
    <w:rsid w:val="03D52C2A"/>
    <w:rsid w:val="0491159A"/>
    <w:rsid w:val="068428E9"/>
    <w:rsid w:val="0800304A"/>
    <w:rsid w:val="08720F75"/>
    <w:rsid w:val="09B95DF0"/>
    <w:rsid w:val="0AAB7FC3"/>
    <w:rsid w:val="0D156991"/>
    <w:rsid w:val="0DA46FA3"/>
    <w:rsid w:val="0EC00C71"/>
    <w:rsid w:val="0FF71E3C"/>
    <w:rsid w:val="10BC33B2"/>
    <w:rsid w:val="14DD6E3F"/>
    <w:rsid w:val="16383B80"/>
    <w:rsid w:val="17E03A84"/>
    <w:rsid w:val="18C76EA7"/>
    <w:rsid w:val="18E90EEB"/>
    <w:rsid w:val="194D4FB1"/>
    <w:rsid w:val="19CC5A1B"/>
    <w:rsid w:val="1A9C523C"/>
    <w:rsid w:val="1B4874D7"/>
    <w:rsid w:val="1BCF4B67"/>
    <w:rsid w:val="1E6747E1"/>
    <w:rsid w:val="1F096DB7"/>
    <w:rsid w:val="1F830D3F"/>
    <w:rsid w:val="20D60959"/>
    <w:rsid w:val="21220308"/>
    <w:rsid w:val="234264F7"/>
    <w:rsid w:val="260E7130"/>
    <w:rsid w:val="27C96141"/>
    <w:rsid w:val="28D80C9C"/>
    <w:rsid w:val="2A836D47"/>
    <w:rsid w:val="2C002162"/>
    <w:rsid w:val="2D197EE7"/>
    <w:rsid w:val="2D9C09F4"/>
    <w:rsid w:val="2E0B52AE"/>
    <w:rsid w:val="2EF76C74"/>
    <w:rsid w:val="313156F5"/>
    <w:rsid w:val="32014C27"/>
    <w:rsid w:val="32A67541"/>
    <w:rsid w:val="353558D8"/>
    <w:rsid w:val="38D50A58"/>
    <w:rsid w:val="3979695F"/>
    <w:rsid w:val="3A13477B"/>
    <w:rsid w:val="3C3310C4"/>
    <w:rsid w:val="3E9101DB"/>
    <w:rsid w:val="3F7D72F7"/>
    <w:rsid w:val="40493C80"/>
    <w:rsid w:val="41AA655A"/>
    <w:rsid w:val="433013D4"/>
    <w:rsid w:val="43E24D74"/>
    <w:rsid w:val="475F50A3"/>
    <w:rsid w:val="47A82BA3"/>
    <w:rsid w:val="49004317"/>
    <w:rsid w:val="495F73A9"/>
    <w:rsid w:val="497D51F2"/>
    <w:rsid w:val="4A180D81"/>
    <w:rsid w:val="4A431369"/>
    <w:rsid w:val="4B101774"/>
    <w:rsid w:val="4B49081B"/>
    <w:rsid w:val="4B79771E"/>
    <w:rsid w:val="4CF3344B"/>
    <w:rsid w:val="4D032D39"/>
    <w:rsid w:val="4D0D373C"/>
    <w:rsid w:val="4D911437"/>
    <w:rsid w:val="4E5A531C"/>
    <w:rsid w:val="4F1A2472"/>
    <w:rsid w:val="50904362"/>
    <w:rsid w:val="5335204D"/>
    <w:rsid w:val="55BA66A9"/>
    <w:rsid w:val="583F1CF5"/>
    <w:rsid w:val="5A3F7D20"/>
    <w:rsid w:val="5B7E16B8"/>
    <w:rsid w:val="5DB239C4"/>
    <w:rsid w:val="5EC027D2"/>
    <w:rsid w:val="608337E2"/>
    <w:rsid w:val="608F7C56"/>
    <w:rsid w:val="62FE666E"/>
    <w:rsid w:val="63C86E42"/>
    <w:rsid w:val="63E1404C"/>
    <w:rsid w:val="642E7DA3"/>
    <w:rsid w:val="6553523E"/>
    <w:rsid w:val="6590214C"/>
    <w:rsid w:val="67A91325"/>
    <w:rsid w:val="69D84B34"/>
    <w:rsid w:val="6A87677F"/>
    <w:rsid w:val="6CF50B68"/>
    <w:rsid w:val="6D340359"/>
    <w:rsid w:val="6E4C45D0"/>
    <w:rsid w:val="6EDF387E"/>
    <w:rsid w:val="706007B0"/>
    <w:rsid w:val="71B64C39"/>
    <w:rsid w:val="72910327"/>
    <w:rsid w:val="73C33764"/>
    <w:rsid w:val="741D48A1"/>
    <w:rsid w:val="768232AC"/>
    <w:rsid w:val="76884D99"/>
    <w:rsid w:val="77B04009"/>
    <w:rsid w:val="7A9D35E0"/>
    <w:rsid w:val="7B6165A1"/>
    <w:rsid w:val="7F6809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paragraph" w:styleId="5">
    <w:name w:val="heading 2"/>
    <w:basedOn w:val="1"/>
    <w:next w:val="6"/>
    <w:qFormat/>
    <w:uiPriority w:val="0"/>
    <w:pPr>
      <w:keepNext/>
      <w:keepLines/>
      <w:spacing w:before="240" w:after="120" w:line="413" w:lineRule="auto"/>
      <w:outlineLvl w:val="1"/>
    </w:pPr>
    <w:rPr>
      <w:rFonts w:ascii="Arial" w:hAnsi="Arial" w:eastAsia="黑体"/>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sz w:val="24"/>
      <w:szCs w:val="24"/>
    </w:rPr>
  </w:style>
  <w:style w:type="paragraph" w:styleId="3">
    <w:name w:val="Body Text Indent"/>
    <w:basedOn w:val="1"/>
    <w:qFormat/>
    <w:uiPriority w:val="0"/>
    <w:pPr>
      <w:spacing w:after="120" w:afterLines="0"/>
      <w:ind w:left="420" w:leftChars="200"/>
    </w:pPr>
  </w:style>
  <w:style w:type="paragraph" w:customStyle="1" w:styleId="6">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styleId="7">
    <w:name w:val="annotation text"/>
    <w:basedOn w:val="1"/>
    <w:qFormat/>
    <w:uiPriority w:val="0"/>
    <w:pPr>
      <w:jc w:val="left"/>
    </w:pPr>
  </w:style>
  <w:style w:type="paragraph" w:customStyle="1" w:styleId="10">
    <w:name w:val="GEDI正文样式"/>
    <w:basedOn w:val="1"/>
    <w:qFormat/>
    <w:uiPriority w:val="0"/>
    <w:pPr>
      <w:adjustRightInd w:val="0"/>
      <w:snapToGrid w:val="0"/>
      <w:spacing w:line="480" w:lineRule="atLeast"/>
      <w:ind w:firstLine="480" w:firstLineChars="200"/>
    </w:pPr>
    <w:rPr>
      <w:szCs w:val="24"/>
    </w:rPr>
  </w:style>
  <w:style w:type="paragraph" w:customStyle="1" w:styleId="11">
    <w:name w:val="List Paragraph"/>
    <w:basedOn w:val="1"/>
    <w:qFormat/>
    <w:uiPriority w:val="0"/>
    <w:pPr>
      <w:adjustRightInd w:val="0"/>
      <w:snapToGrid w:val="0"/>
      <w:spacing w:before="120" w:after="120" w:line="360" w:lineRule="auto"/>
      <w:ind w:left="578" w:firstLine="420" w:firstLineChars="200"/>
    </w:pPr>
    <w:rPr>
      <w:lang w:eastAsia="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496</Words>
  <Characters>542</Characters>
  <Lines>0</Lines>
  <Paragraphs>0</Paragraphs>
  <TotalTime>11</TotalTime>
  <ScaleCrop>false</ScaleCrop>
  <LinksUpToDate>false</LinksUpToDate>
  <CharactersWithSpaces>550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2019-04-15T03:13:00Z</dcterms:created>
  <dc:creator>杨倩琳</dc:creator>
  <cp:lastModifiedBy>李婕</cp:lastModifiedBy>
  <dcterms:modified xsi:type="dcterms:W3CDTF">2024-03-19T02:28:31Z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4FEE5E01AED540DCB84729CC2257F291</vt:lpwstr>
  </property>
</Properties>
</file>