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453820"/>
      <w:bookmarkStart w:id="1" w:name="_Toc244916004"/>
      <w:bookmarkStart w:id="2" w:name="_Toc371343937"/>
      <w:bookmarkStart w:id="3" w:name="_Toc274903054"/>
      <w:bookmarkStart w:id="4" w:name="_Toc323572795"/>
      <w:bookmarkStart w:id="5" w:name="_Toc339216642"/>
      <w:bookmarkStart w:id="6" w:name="_Toc274902993"/>
      <w:bookmarkStart w:id="7" w:name="_Toc371343936"/>
      <w:bookmarkStart w:id="8" w:name="_Toc371453819"/>
      <w:bookmarkStart w:id="9" w:name="_Toc339216643"/>
      <w:r>
        <w:drawing>
          <wp:anchor distT="0" distB="0" distL="114300" distR="114300" simplePos="0" relativeHeight="251659264" behindDoc="1" locked="0" layoutInCell="1" allowOverlap="1">
            <wp:simplePos x="0" y="0"/>
            <wp:positionH relativeFrom="column">
              <wp:posOffset>-1167130</wp:posOffset>
            </wp:positionH>
            <wp:positionV relativeFrom="paragraph">
              <wp:posOffset>-1092835</wp:posOffset>
            </wp:positionV>
            <wp:extent cx="7886700" cy="10948035"/>
            <wp:effectExtent l="0" t="0" r="7620" b="952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7"/>
                    <a:stretch>
                      <a:fillRect/>
                    </a:stretch>
                  </pic:blipFill>
                  <pic:spPr>
                    <a:xfrm>
                      <a:off x="0" y="0"/>
                      <a:ext cx="7886700" cy="10948035"/>
                    </a:xfrm>
                    <a:prstGeom prst="rect">
                      <a:avLst/>
                    </a:prstGeom>
                    <a:noFill/>
                    <a:ln>
                      <a:noFill/>
                    </a:ln>
                  </pic:spPr>
                </pic:pic>
              </a:graphicData>
            </a:graphic>
          </wp:anchor>
        </w:drawing>
      </w:r>
      <w:r>
        <w:rPr>
          <w:rFonts w:hint="eastAsia"/>
          <w:b/>
          <w:color w:val="auto"/>
          <w:sz w:val="44"/>
          <w:szCs w:val="44"/>
          <w:highlight w:val="none"/>
          <w:lang w:val="en-US" w:eastAsia="zh-CN"/>
        </w:rPr>
        <w:t xml:space="preserve"> </w:t>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color w:val="auto"/>
          <w:sz w:val="32"/>
          <w:szCs w:val="32"/>
          <w:highlight w:val="none"/>
        </w:rPr>
      </w:pPr>
      <w:r>
        <w:rPr>
          <w:rFonts w:hint="eastAsia" w:eastAsia="黑体"/>
          <w:b/>
          <w:color w:val="auto"/>
          <w:sz w:val="48"/>
          <w:szCs w:val="48"/>
          <w:highlight w:val="none"/>
        </w:rPr>
        <w:t>2023年±800kV新松换流站空调系统冷凝风机采购项目</w:t>
      </w:r>
      <w:r>
        <w:rPr>
          <w:rFonts w:hint="eastAsia" w:eastAsia="黑体"/>
          <w:b/>
          <w:color w:val="auto"/>
          <w:sz w:val="48"/>
          <w:szCs w:val="48"/>
          <w:highlight w:val="none"/>
          <w:lang w:val="en-US" w:eastAsia="zh-CN"/>
        </w:rPr>
        <w:t>询价</w:t>
      </w:r>
      <w:r>
        <w:rPr>
          <w:rFonts w:hint="eastAsia" w:eastAsia="黑体"/>
          <w:b/>
          <w:color w:val="auto"/>
          <w:sz w:val="48"/>
          <w:szCs w:val="48"/>
          <w:highlight w:val="none"/>
        </w:rPr>
        <w:t>材料</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center"/>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公司大理局</w:t>
      </w:r>
      <w:r>
        <w:rPr>
          <w:rFonts w:hint="eastAsia" w:ascii="宋体" w:hAnsi="宋体" w:cs="宋体"/>
          <w:color w:val="auto"/>
          <w:sz w:val="30"/>
          <w:szCs w:val="30"/>
          <w:highlight w:val="none"/>
          <w:lang w:eastAsia="zh-CN"/>
        </w:rPr>
        <w:t>生产技术部</w:t>
      </w: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jc w:val="center"/>
        <w:rPr>
          <w:rFonts w:hint="eastAsia" w:ascii="宋体" w:hAnsi="宋体" w:cs="宋体"/>
          <w:color w:val="auto"/>
          <w:sz w:val="30"/>
          <w:szCs w:val="30"/>
          <w:highlight w:val="none"/>
          <w:lang w:eastAsia="zh-CN"/>
        </w:rPr>
      </w:pPr>
      <w:bookmarkStart w:id="10" w:name="_Toc371153697"/>
      <w:bookmarkStart w:id="11" w:name="_Toc371344042"/>
      <w:bookmarkStart w:id="12" w:name="_Toc399839020"/>
      <w:bookmarkStart w:id="13" w:name="_Toc372699294"/>
      <w:bookmarkStart w:id="14" w:name="_Toc369269815"/>
      <w:r>
        <w:rPr>
          <w:rFonts w:hint="eastAsia" w:ascii="宋体" w:hAnsi="宋体" w:cs="宋体"/>
          <w:color w:val="auto"/>
          <w:sz w:val="30"/>
          <w:szCs w:val="30"/>
          <w:highlight w:val="none"/>
          <w:lang w:eastAsia="zh-CN"/>
        </w:rPr>
        <w:t>202</w:t>
      </w:r>
      <w:r>
        <w:rPr>
          <w:rFonts w:hint="eastAsia" w:ascii="宋体" w:hAnsi="宋体" w:cs="宋体"/>
          <w:color w:val="auto"/>
          <w:sz w:val="30"/>
          <w:szCs w:val="30"/>
          <w:highlight w:val="none"/>
          <w:lang w:val="en-US" w:eastAsia="zh-CN"/>
        </w:rPr>
        <w:t>3</w:t>
      </w:r>
      <w:r>
        <w:rPr>
          <w:rFonts w:hint="eastAsia" w:ascii="宋体" w:hAnsi="宋体" w:cs="宋体"/>
          <w:color w:val="auto"/>
          <w:sz w:val="30"/>
          <w:szCs w:val="30"/>
          <w:highlight w:val="none"/>
          <w:lang w:eastAsia="zh-CN"/>
        </w:rPr>
        <w:t>年</w:t>
      </w:r>
      <w:r>
        <w:rPr>
          <w:rFonts w:hint="eastAsia" w:ascii="宋体" w:hAnsi="宋体" w:cs="宋体"/>
          <w:color w:val="auto"/>
          <w:sz w:val="30"/>
          <w:szCs w:val="30"/>
          <w:highlight w:val="none"/>
          <w:lang w:val="en-US" w:eastAsia="zh-CN"/>
        </w:rPr>
        <w:t>12</w:t>
      </w:r>
      <w:r>
        <w:rPr>
          <w:rFonts w:hint="eastAsia" w:ascii="宋体" w:hAnsi="宋体" w:cs="宋体"/>
          <w:color w:val="auto"/>
          <w:sz w:val="30"/>
          <w:szCs w:val="30"/>
          <w:highlight w:val="none"/>
          <w:lang w:eastAsia="zh-CN"/>
        </w:rPr>
        <w:t>月</w:t>
      </w:r>
    </w:p>
    <w:p>
      <w:pPr>
        <w:numPr>
          <w:ilvl w:val="0"/>
          <w:numId w:val="0"/>
        </w:numPr>
        <w:adjustRightInd w:val="0"/>
        <w:snapToGrid w:val="0"/>
        <w:spacing w:line="360" w:lineRule="auto"/>
        <w:ind w:firstLine="600" w:firstLineChars="200"/>
        <w:rPr>
          <w:rFonts w:hint="eastAsia" w:ascii="宋体" w:hAnsi="宋体" w:cs="宋体"/>
          <w:color w:val="auto"/>
          <w:sz w:val="30"/>
          <w:szCs w:val="30"/>
          <w:highlight w:val="none"/>
          <w:lang w:eastAsia="zh-CN"/>
        </w:rPr>
      </w:pPr>
    </w:p>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pPr>
    </w:p>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pPr>
    </w:p>
    <w:p>
      <w:pPr>
        <w:numPr>
          <w:ilvl w:val="0"/>
          <w:numId w:val="0"/>
        </w:numPr>
        <w:adjustRightInd w:val="0"/>
        <w:snapToGrid w:val="0"/>
        <w:spacing w:line="360" w:lineRule="auto"/>
        <w:ind w:firstLine="482" w:firstLineChars="200"/>
        <w:rPr>
          <w:rFonts w:hint="eastAsia" w:ascii="宋体" w:hAnsi="宋体"/>
          <w:b/>
          <w:bCs/>
          <w:color w:val="auto"/>
          <w:sz w:val="24"/>
          <w:highlight w:val="none"/>
          <w:lang w:val="en-US" w:eastAsia="zh-CN"/>
        </w:rPr>
      </w:pPr>
    </w:p>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5" w:name="_GoBack"/>
      <w:bookmarkEnd w:id="15"/>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2023年±800kV新松换流站空调系统冷凝风机采购项目。</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 w:val="0"/>
          <w:bCs w:val="0"/>
          <w:i w:val="0"/>
          <w:iCs w:val="0"/>
          <w:caps w:val="0"/>
          <w:color w:val="auto"/>
          <w:spacing w:val="0"/>
          <w:sz w:val="24"/>
          <w:szCs w:val="24"/>
          <w:highlight w:val="none"/>
          <w:shd w:val="clear"/>
        </w:rPr>
        <w:t>根据缺陷编号QX011020230606-00028，2023年06月06日，新松换流站发现其他缺陷，现象：监盘发现暖通工作站报“极2高端冷水机2冷凝风机1过载报警”，现场检查极2高端阀厅空调系统2号冷水机组正常运行，控制面板显示“冷凝风机1过载告警”，信号无法复归。冷凝风机损坏严重影响极2高端空调系统机组运行，现空调系统失去冗余能力，目前只能单套机组运行，无法确保阀厅温湿度正常，为恢复空调系统冗余能力，提高设备消缺及时率，需更换新冷凝风机。</w:t>
      </w:r>
      <w:r>
        <w:rPr>
          <w:rFonts w:hint="eastAsia" w:ascii="宋体" w:hAnsi="宋体" w:eastAsia="宋体" w:cs="Times New Roman"/>
          <w:b w:val="0"/>
          <w:bCs w:val="0"/>
          <w:i w:val="0"/>
          <w:iCs w:val="0"/>
          <w:caps w:val="0"/>
          <w:color w:val="auto"/>
          <w:spacing w:val="0"/>
          <w:sz w:val="24"/>
          <w:szCs w:val="24"/>
          <w:highlight w:val="none"/>
          <w:shd w:val="clear"/>
          <w:lang w:eastAsia="zh-CN"/>
        </w:rPr>
        <w:t>计划</w:t>
      </w:r>
      <w:r>
        <w:rPr>
          <w:rFonts w:hint="eastAsia" w:ascii="宋体" w:hAnsi="宋体" w:eastAsia="宋体" w:cs="Times New Roman"/>
          <w:b w:val="0"/>
          <w:bCs w:val="0"/>
          <w:i w:val="0"/>
          <w:iCs w:val="0"/>
          <w:caps w:val="0"/>
          <w:color w:val="auto"/>
          <w:spacing w:val="0"/>
          <w:sz w:val="24"/>
          <w:szCs w:val="24"/>
          <w:highlight w:val="none"/>
          <w:shd w:val="clear"/>
        </w:rPr>
        <w:t>采购一</w:t>
      </w:r>
      <w:r>
        <w:rPr>
          <w:rFonts w:hint="eastAsia" w:ascii="宋体" w:hAnsi="宋体" w:eastAsia="宋体" w:cs="Times New Roman"/>
          <w:b w:val="0"/>
          <w:bCs w:val="0"/>
          <w:i w:val="0"/>
          <w:iCs w:val="0"/>
          <w:caps w:val="0"/>
          <w:color w:val="auto"/>
          <w:spacing w:val="0"/>
          <w:sz w:val="24"/>
          <w:szCs w:val="24"/>
          <w:highlight w:val="none"/>
          <w:shd w:val="clear"/>
          <w:lang w:eastAsia="zh-CN"/>
        </w:rPr>
        <w:t>台</w:t>
      </w:r>
      <w:r>
        <w:rPr>
          <w:rFonts w:hint="eastAsia" w:ascii="宋体" w:hAnsi="宋体" w:eastAsia="宋体" w:cs="Times New Roman"/>
          <w:b w:val="0"/>
          <w:bCs w:val="0"/>
          <w:i w:val="0"/>
          <w:iCs w:val="0"/>
          <w:caps w:val="0"/>
          <w:color w:val="auto"/>
          <w:spacing w:val="0"/>
          <w:sz w:val="24"/>
          <w:szCs w:val="24"/>
          <w:highlight w:val="none"/>
          <w:shd w:val="clear"/>
        </w:rPr>
        <w:t>卧式轴流风机，型号为FN080-SDK.6N.V7P5</w:t>
      </w:r>
      <w:r>
        <w:rPr>
          <w:rFonts w:hint="eastAsia" w:ascii="宋体" w:hAnsi="宋体" w:eastAsia="宋体" w:cs="Times New Roman"/>
          <w:bCs w:val="0"/>
          <w:color w:val="auto"/>
          <w:kern w:val="2"/>
          <w:sz w:val="24"/>
          <w:szCs w:val="24"/>
          <w:highlight w:val="none"/>
          <w:lang w:val="en-US" w:eastAsia="zh-CN" w:bidi="ar-SA"/>
        </w:rPr>
        <w:t>。</w:t>
      </w:r>
    </w:p>
    <w:p>
      <w:pPr>
        <w:adjustRightInd w:val="0"/>
        <w:snapToGrid w:val="0"/>
        <w:spacing w:line="360" w:lineRule="auto"/>
        <w:ind w:firstLine="482" w:firstLineChars="200"/>
        <w:rPr>
          <w:rFonts w:hint="eastAsia"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default" w:ascii="宋体" w:hAnsi="宋体" w:eastAsia="宋体" w:cs="Times New Roman"/>
          <w:bCs w:val="0"/>
          <w:color w:val="auto"/>
          <w:kern w:val="2"/>
          <w:sz w:val="24"/>
          <w:szCs w:val="24"/>
          <w:highlight w:val="none"/>
          <w:lang w:val="en-US" w:eastAsia="zh-CN" w:bidi="ar-SA"/>
        </w:rPr>
      </w:pPr>
      <w:r>
        <w:rPr>
          <w:rFonts w:hint="eastAsia" w:ascii="宋体" w:hAnsi="宋体"/>
          <w:color w:val="auto"/>
          <w:sz w:val="24"/>
          <w:highlight w:val="none"/>
          <w:lang w:val="en-US" w:eastAsia="zh-CN"/>
        </w:rPr>
        <w:t>3.1 技术服务内容包括</w:t>
      </w:r>
      <w:r>
        <w:rPr>
          <w:rFonts w:hint="eastAsia" w:ascii="宋体" w:hAnsi="宋体" w:eastAsia="宋体" w:cs="Times New Roman"/>
          <w:bCs w:val="0"/>
          <w:color w:val="auto"/>
          <w:kern w:val="2"/>
          <w:sz w:val="24"/>
          <w:szCs w:val="24"/>
          <w:highlight w:val="none"/>
          <w:lang w:val="en-US" w:eastAsia="zh-CN" w:bidi="ar-SA"/>
        </w:rPr>
        <w:t>：完成</w:t>
      </w:r>
      <w:r>
        <w:rPr>
          <w:rFonts w:hint="eastAsia" w:ascii="宋体" w:hAnsi="宋体" w:cs="Times New Roman"/>
          <w:bCs w:val="0"/>
          <w:color w:val="auto"/>
          <w:kern w:val="2"/>
          <w:sz w:val="24"/>
          <w:szCs w:val="24"/>
          <w:highlight w:val="none"/>
          <w:lang w:val="en-US" w:eastAsia="zh-CN" w:bidi="ar-SA"/>
        </w:rPr>
        <w:t>新松</w:t>
      </w:r>
      <w:r>
        <w:rPr>
          <w:rFonts w:hint="eastAsia" w:ascii="宋体" w:hAnsi="宋体" w:eastAsia="宋体" w:cs="Times New Roman"/>
          <w:bCs w:val="0"/>
          <w:color w:val="auto"/>
          <w:kern w:val="2"/>
          <w:sz w:val="24"/>
          <w:szCs w:val="24"/>
          <w:highlight w:val="none"/>
          <w:lang w:val="en-US" w:eastAsia="zh-CN" w:bidi="ar-SA"/>
        </w:rPr>
        <w:t>换流站</w:t>
      </w:r>
      <w:r>
        <w:rPr>
          <w:rFonts w:hint="eastAsia" w:ascii="宋体" w:hAnsi="宋体" w:cs="Times New Roman"/>
          <w:bCs w:val="0"/>
          <w:color w:val="auto"/>
          <w:kern w:val="2"/>
          <w:sz w:val="24"/>
          <w:szCs w:val="24"/>
          <w:highlight w:val="none"/>
          <w:lang w:val="en-US" w:eastAsia="zh-CN" w:bidi="ar-SA"/>
        </w:rPr>
        <w:t>空调系统冷凝风机购置</w:t>
      </w:r>
      <w:r>
        <w:rPr>
          <w:rFonts w:hint="eastAsia" w:ascii="宋体" w:hAnsi="宋体" w:eastAsia="宋体" w:cs="Times New Roman"/>
          <w:bCs w:val="0"/>
          <w:color w:val="auto"/>
          <w:kern w:val="2"/>
          <w:sz w:val="24"/>
          <w:szCs w:val="24"/>
          <w:highlight w:val="none"/>
          <w:lang w:val="en-US" w:eastAsia="zh-CN" w:bidi="ar-SA"/>
        </w:rPr>
        <w:t>，功能验收合格，出具</w:t>
      </w:r>
      <w:r>
        <w:rPr>
          <w:rFonts w:hint="eastAsia" w:ascii="宋体" w:hAnsi="宋体" w:cs="Times New Roman"/>
          <w:bCs w:val="0"/>
          <w:color w:val="auto"/>
          <w:kern w:val="2"/>
          <w:sz w:val="24"/>
          <w:szCs w:val="24"/>
          <w:highlight w:val="none"/>
          <w:lang w:val="en-US" w:eastAsia="zh-CN" w:bidi="ar-SA"/>
        </w:rPr>
        <w:t>出厂合格</w:t>
      </w:r>
      <w:r>
        <w:rPr>
          <w:rFonts w:hint="eastAsia" w:ascii="宋体" w:hAnsi="宋体" w:eastAsia="宋体" w:cs="Times New Roman"/>
          <w:bCs w:val="0"/>
          <w:color w:val="auto"/>
          <w:kern w:val="2"/>
          <w:sz w:val="24"/>
          <w:szCs w:val="24"/>
          <w:highlight w:val="none"/>
          <w:lang w:val="en-US" w:eastAsia="zh-CN" w:bidi="ar-SA"/>
        </w:rPr>
        <w:t>报告。</w:t>
      </w:r>
    </w:p>
    <w:p>
      <w:pPr>
        <w:spacing w:line="360" w:lineRule="auto"/>
        <w:ind w:left="479" w:leftChars="228" w:firstLine="0" w:firstLineChars="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3.2 出具出厂合格报告。</w:t>
      </w:r>
    </w:p>
    <w:p>
      <w:pPr>
        <w:spacing w:line="360" w:lineRule="auto"/>
        <w:ind w:left="479" w:leftChars="228" w:firstLine="0" w:firstLineChars="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3.3 冷凝风机型号：</w:t>
      </w:r>
      <w:r>
        <w:rPr>
          <w:rFonts w:hint="eastAsia" w:ascii="宋体" w:hAnsi="宋体" w:eastAsia="宋体" w:cs="Times New Roman"/>
          <w:b w:val="0"/>
          <w:bCs w:val="0"/>
          <w:i w:val="0"/>
          <w:iCs w:val="0"/>
          <w:caps w:val="0"/>
          <w:color w:val="auto"/>
          <w:spacing w:val="0"/>
          <w:sz w:val="24"/>
          <w:szCs w:val="24"/>
          <w:highlight w:val="none"/>
          <w:shd w:val="clear"/>
        </w:rPr>
        <w:t>FN080-SDK.6N.V7P5</w:t>
      </w:r>
    </w:p>
    <w:p>
      <w:pPr>
        <w:spacing w:line="360" w:lineRule="auto"/>
        <w:ind w:left="479" w:leftChars="228" w:firstLine="0" w:firstLineChars="0"/>
        <w:rPr>
          <w:rFonts w:hint="eastAsia" w:ascii="宋体" w:hAnsi="宋体" w:cs="宋体"/>
          <w:color w:val="auto"/>
          <w:sz w:val="24"/>
          <w:highlight w:val="none"/>
          <w:lang w:val="en-US" w:eastAsia="zh-CN"/>
        </w:rPr>
      </w:pPr>
      <w:r>
        <w:rPr>
          <w:rFonts w:hint="eastAsia" w:ascii="宋体" w:hAnsi="宋体"/>
          <w:color w:val="auto"/>
          <w:sz w:val="24"/>
          <w:highlight w:val="none"/>
          <w:lang w:val="en-US" w:eastAsia="zh-CN"/>
        </w:rPr>
        <w:t>3</w:t>
      </w:r>
      <w:r>
        <w:rPr>
          <w:rFonts w:hint="eastAsia" w:ascii="宋体" w:hAnsi="宋体" w:cs="宋体"/>
          <w:color w:val="auto"/>
          <w:sz w:val="24"/>
          <w:highlight w:val="none"/>
          <w:lang w:val="en-US" w:eastAsia="zh-CN"/>
        </w:rPr>
        <w:t>.4服务地点：云南省大理市剑川县</w:t>
      </w:r>
      <w:r>
        <w:rPr>
          <w:rFonts w:hint="eastAsia" w:ascii="宋体" w:hAnsi="宋体" w:cs="Times New Roman"/>
          <w:bCs w:val="0"/>
          <w:color w:val="auto"/>
          <w:kern w:val="2"/>
          <w:sz w:val="24"/>
          <w:szCs w:val="24"/>
          <w:highlight w:val="none"/>
          <w:lang w:val="en-US" w:eastAsia="zh-CN" w:bidi="ar-SA"/>
        </w:rPr>
        <w:t>羊岑乡新松村</w:t>
      </w:r>
      <w:r>
        <w:rPr>
          <w:rFonts w:hint="eastAsia" w:ascii="宋体" w:hAnsi="宋体" w:cs="宋体"/>
          <w:color w:val="auto"/>
          <w:sz w:val="24"/>
          <w:highlight w:val="none"/>
          <w:lang w:val="en-US" w:eastAsia="zh-CN"/>
        </w:rPr>
        <w:t>新松换流站。</w:t>
      </w:r>
    </w:p>
    <w:p>
      <w:pPr>
        <w:spacing w:line="360" w:lineRule="auto"/>
        <w:ind w:firstLine="480" w:firstLineChars="200"/>
        <w:rPr>
          <w:rFonts w:hint="eastAsia" w:ascii="宋体" w:hAnsi="宋体"/>
          <w:color w:val="auto"/>
          <w:sz w:val="24"/>
          <w:highlight w:val="none"/>
          <w:lang w:val="en-US" w:eastAsia="zh-CN"/>
        </w:rPr>
      </w:pPr>
      <w:r>
        <w:rPr>
          <w:rFonts w:hint="eastAsia" w:ascii="宋体" w:hAnsi="宋体" w:cs="宋体"/>
          <w:color w:val="auto"/>
          <w:sz w:val="24"/>
          <w:highlight w:val="none"/>
          <w:lang w:val="en-US" w:eastAsia="zh-CN"/>
        </w:rPr>
        <w:t>3.5服务时间：2023年12月（以大理局实际通知时间为准）。</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1"/>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ind w:left="113" w:leftChars="0"/>
              <w:rPr>
                <w:rFonts w:hint="eastAsia" w:ascii="宋体" w:hAnsi="宋体" w:eastAsia="宋体"/>
                <w:sz w:val="24"/>
                <w:highlight w:val="none"/>
              </w:rPr>
            </w:pPr>
            <w:r>
              <w:rPr>
                <w:rFonts w:hint="eastAsia" w:ascii="宋体" w:hAnsi="宋体" w:eastAsia="宋体"/>
                <w:sz w:val="24"/>
                <w:highlight w:val="none"/>
              </w:rPr>
              <w:t>具备以下条件之一：</w:t>
            </w:r>
          </w:p>
          <w:p>
            <w:pPr>
              <w:ind w:left="113"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ind w:left="113"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line="360" w:lineRule="auto"/>
        <w:rPr>
          <w:rFonts w:hint="eastAsia" w:ascii="宋体" w:hAnsi="宋体"/>
          <w:b/>
          <w:bCs/>
          <w:color w:val="auto"/>
          <w:sz w:val="24"/>
          <w:highlight w:val="none"/>
        </w:rPr>
      </w:pPr>
    </w:p>
    <w:p>
      <w:pPr>
        <w:adjustRightInd w:val="0"/>
        <w:snapToGrid w:val="0"/>
        <w:spacing w:line="360" w:lineRule="auto"/>
        <w:ind w:firstLine="482" w:firstLineChars="200"/>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8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602"/>
        <w:gridCol w:w="954"/>
        <w:gridCol w:w="973"/>
        <w:gridCol w:w="3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5" w:hRule="atLeast"/>
          <w:jc w:val="center"/>
        </w:trPr>
        <w:tc>
          <w:tcPr>
            <w:tcW w:w="78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bidi="ar"/>
              </w:rPr>
              <w:t>序号</w:t>
            </w:r>
          </w:p>
        </w:tc>
        <w:tc>
          <w:tcPr>
            <w:tcW w:w="2602"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项目</w:t>
            </w:r>
            <w:r>
              <w:rPr>
                <w:rFonts w:hint="eastAsia" w:asciiTheme="minorEastAsia" w:hAnsiTheme="minorEastAsia" w:eastAsiaTheme="minorEastAsia" w:cstheme="minorEastAsia"/>
                <w:b/>
                <w:bCs/>
                <w:color w:val="auto"/>
                <w:kern w:val="0"/>
                <w:sz w:val="24"/>
                <w:highlight w:val="none"/>
                <w:lang w:bidi="ar"/>
              </w:rPr>
              <w:t>名称</w:t>
            </w:r>
          </w:p>
        </w:tc>
        <w:tc>
          <w:tcPr>
            <w:tcW w:w="95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bidi="ar"/>
              </w:rPr>
              <w:t>单位</w:t>
            </w:r>
          </w:p>
        </w:tc>
        <w:tc>
          <w:tcPr>
            <w:tcW w:w="97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kern w:val="0"/>
                <w:sz w:val="24"/>
                <w:highlight w:val="none"/>
                <w:lang w:bidi="ar"/>
              </w:rPr>
            </w:pPr>
            <w:r>
              <w:rPr>
                <w:rFonts w:hint="eastAsia" w:asciiTheme="minorEastAsia" w:hAnsiTheme="minorEastAsia" w:eastAsiaTheme="minorEastAsia" w:cstheme="minorEastAsia"/>
                <w:b/>
                <w:bCs/>
                <w:color w:val="auto"/>
                <w:kern w:val="0"/>
                <w:sz w:val="24"/>
                <w:highlight w:val="none"/>
                <w:lang w:bidi="ar"/>
              </w:rPr>
              <w:t>数量</w:t>
            </w:r>
          </w:p>
        </w:tc>
        <w:tc>
          <w:tcPr>
            <w:tcW w:w="3120"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783"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1</w:t>
            </w:r>
          </w:p>
        </w:tc>
        <w:tc>
          <w:tcPr>
            <w:tcW w:w="260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4"/>
                <w:highlight w:val="none"/>
              </w:rPr>
            </w:pPr>
            <w:r>
              <w:rPr>
                <w:rFonts w:hint="eastAsia" w:ascii="宋体" w:hAnsi="宋体"/>
                <w:color w:val="auto"/>
                <w:sz w:val="24"/>
                <w:highlight w:val="none"/>
                <w:lang w:val="en-US" w:eastAsia="zh-CN"/>
              </w:rPr>
              <w:t>2023年±800kV新松换流站空调系统冷凝风机采购项目</w:t>
            </w:r>
          </w:p>
        </w:tc>
        <w:tc>
          <w:tcPr>
            <w:tcW w:w="95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i w:val="0"/>
                <w:color w:val="000000"/>
                <w:kern w:val="0"/>
                <w:sz w:val="22"/>
                <w:szCs w:val="22"/>
                <w:u w:val="none"/>
                <w:lang w:val="en-US" w:eastAsia="zh-CN" w:bidi="ar"/>
              </w:rPr>
              <w:t>项</w:t>
            </w:r>
          </w:p>
        </w:tc>
        <w:tc>
          <w:tcPr>
            <w:tcW w:w="973" w:type="dxa"/>
            <w:tcBorders>
              <w:tl2br w:val="nil"/>
              <w:tr2bl w:val="nil"/>
            </w:tcBorders>
            <w:shd w:val="clear" w:color="auto" w:fill="auto"/>
            <w:vAlign w:val="center"/>
          </w:tcPr>
          <w:p>
            <w:pPr>
              <w:widowControl/>
              <w:jc w:val="center"/>
              <w:textAlignment w:val="center"/>
              <w:rPr>
                <w:rFonts w:hint="eastAsia" w:ascii="宋体" w:hAnsi="宋体" w:eastAsia="宋体" w:cs="宋体"/>
                <w:color w:val="auto"/>
                <w:kern w:val="0"/>
                <w:sz w:val="24"/>
                <w:highlight w:val="none"/>
                <w:lang w:val="en-US" w:eastAsia="zh-CN" w:bidi="ar"/>
              </w:rPr>
            </w:pPr>
            <w:r>
              <w:rPr>
                <w:rFonts w:hint="eastAsia" w:ascii="宋体" w:hAnsi="宋体" w:cs="宋体"/>
                <w:color w:val="auto"/>
                <w:kern w:val="0"/>
                <w:sz w:val="24"/>
                <w:highlight w:val="none"/>
                <w:lang w:val="en-US" w:eastAsia="zh-CN" w:bidi="ar"/>
              </w:rPr>
              <w:t>1</w:t>
            </w:r>
          </w:p>
        </w:tc>
        <w:tc>
          <w:tcPr>
            <w:tcW w:w="3120" w:type="dxa"/>
            <w:tcBorders>
              <w:tl2br w:val="nil"/>
              <w:tr2bl w:val="nil"/>
            </w:tcBorders>
            <w:shd w:val="clear" w:color="auto" w:fill="auto"/>
            <w:vAlign w:val="center"/>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详见“</w:t>
            </w:r>
            <w:r>
              <w:rPr>
                <w:rFonts w:hint="eastAsia" w:ascii="宋体" w:hAnsi="宋体" w:eastAsia="宋体" w:cs="宋体"/>
                <w:color w:val="auto"/>
                <w:sz w:val="24"/>
                <w:highlight w:val="none"/>
                <w:lang w:val="en-US" w:eastAsia="zh-CN"/>
              </w:rPr>
              <w:t>3 技术要求</w:t>
            </w:r>
            <w:r>
              <w:rPr>
                <w:rFonts w:hint="eastAsia" w:ascii="宋体" w:hAnsi="宋体" w:eastAsia="宋体" w:cs="宋体"/>
                <w:color w:val="auto"/>
                <w:sz w:val="24"/>
                <w:highlight w:val="none"/>
                <w:lang w:eastAsia="zh-CN"/>
              </w:rPr>
              <w:t>”</w:t>
            </w:r>
          </w:p>
        </w:tc>
      </w:tr>
    </w:tbl>
    <w:p>
      <w:pPr>
        <w:spacing w:line="360" w:lineRule="auto"/>
        <w:ind w:firstLine="482" w:firstLineChars="200"/>
        <w:rPr>
          <w:rFonts w:hint="eastAsia" w:ascii="宋体" w:hAnsi="宋体" w:cs="宋体"/>
          <w:b/>
          <w:bCs/>
          <w:color w:val="auto"/>
          <w:sz w:val="24"/>
          <w:highlight w:val="none"/>
        </w:rPr>
      </w:pPr>
    </w:p>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服务</w:t>
      </w:r>
      <w:r>
        <w:rPr>
          <w:rFonts w:hint="eastAsia" w:ascii="宋体" w:hAnsi="宋体" w:cs="宋体"/>
          <w:color w:val="auto"/>
          <w:sz w:val="24"/>
          <w:highlight w:val="none"/>
        </w:rPr>
        <w:t>发票要求：报价单位可提供符合规定税率的全额增值税专用发票。</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6.2 产品质保期及售后服务响应要求：</w:t>
      </w:r>
      <w:r>
        <w:rPr>
          <w:rFonts w:hint="eastAsia" w:ascii="宋体" w:hAnsi="宋体" w:cs="宋体"/>
          <w:color w:val="auto"/>
          <w:sz w:val="24"/>
          <w:highlight w:val="none"/>
        </w:rPr>
        <w:t>质保期</w:t>
      </w:r>
      <w:r>
        <w:rPr>
          <w:rFonts w:hint="eastAsia" w:ascii="宋体" w:hAnsi="宋体" w:cs="宋体"/>
          <w:color w:val="auto"/>
          <w:sz w:val="24"/>
          <w:highlight w:val="none"/>
          <w:lang w:val="en-US" w:eastAsia="zh-CN"/>
        </w:rPr>
        <w:t>为</w:t>
      </w:r>
      <w:r>
        <w:rPr>
          <w:rFonts w:hint="eastAsia" w:ascii="宋体" w:hAnsi="宋体" w:cs="宋体"/>
          <w:color w:val="auto"/>
          <w:sz w:val="24"/>
          <w:highlight w:val="none"/>
        </w:rPr>
        <w:t>1年，</w:t>
      </w:r>
      <w:r>
        <w:rPr>
          <w:rFonts w:hint="eastAsia" w:ascii="宋体" w:hAnsi="宋体" w:cs="宋体"/>
          <w:color w:val="auto"/>
          <w:sz w:val="24"/>
          <w:highlight w:val="none"/>
          <w:lang w:val="en-US" w:eastAsia="zh-CN"/>
        </w:rPr>
        <w:t>质保期起算日期为到货调试验收通过之日起，质</w:t>
      </w:r>
      <w:r>
        <w:rPr>
          <w:rFonts w:hint="eastAsia" w:ascii="宋体" w:hAnsi="宋体" w:cs="宋体"/>
          <w:color w:val="auto"/>
          <w:sz w:val="24"/>
          <w:highlight w:val="none"/>
        </w:rPr>
        <w:t>保期内有任何质量问题将免费进行修理、更换；售后服务</w:t>
      </w:r>
      <w:r>
        <w:rPr>
          <w:rFonts w:hint="eastAsia" w:ascii="宋体" w:hAnsi="宋体" w:cs="宋体"/>
          <w:color w:val="auto"/>
          <w:sz w:val="24"/>
          <w:highlight w:val="none"/>
          <w:lang w:val="en-US" w:eastAsia="zh-CN"/>
        </w:rPr>
        <w:t>的响应时间在48小时内提供技术支持。</w:t>
      </w:r>
    </w:p>
    <w:p>
      <w:p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报价单位需提供盖章版（单位行政印章）纸质报价文件，报价文件包括但不限于：报价表、品质、售后服务及相关资质文件（复印件），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ind w:firstLine="480" w:firstLineChars="200"/>
        <w:rPr>
          <w:rFonts w:hint="eastAsia" w:ascii="宋体" w:hAnsi="宋体" w:cs="宋体"/>
          <w:color w:val="auto"/>
          <w:sz w:val="24"/>
          <w:highlight w:val="none"/>
        </w:rPr>
      </w:pPr>
    </w:p>
    <w:p>
      <w:pPr>
        <w:spacing w:line="360" w:lineRule="auto"/>
        <w:ind w:firstLine="480" w:firstLineChars="200"/>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pP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联系人：          联系电话：          </w:t>
      </w:r>
      <w:r>
        <w:rPr>
          <w:rFonts w:hint="eastAsia" w:ascii="宋体" w:hAnsi="宋体" w:eastAsia="宋体" w:cs="宋体"/>
          <w:color w:val="auto"/>
          <w:sz w:val="21"/>
          <w:szCs w:val="21"/>
        </w:rPr>
        <w:t>单位：元</w:t>
      </w:r>
    </w:p>
    <w:tbl>
      <w:tblPr>
        <w:tblStyle w:val="21"/>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2409"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项目名称</w:t>
            </w:r>
          </w:p>
        </w:tc>
        <w:tc>
          <w:tcPr>
            <w:tcW w:w="531"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数量</w:t>
            </w:r>
          </w:p>
        </w:tc>
        <w:tc>
          <w:tcPr>
            <w:tcW w:w="1108"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单价（元）</w:t>
            </w:r>
          </w:p>
        </w:tc>
        <w:tc>
          <w:tcPr>
            <w:tcW w:w="1214"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kern w:val="0"/>
                <w:sz w:val="21"/>
                <w:szCs w:val="21"/>
              </w:rPr>
              <w:t>1</w:t>
            </w:r>
          </w:p>
        </w:tc>
        <w:tc>
          <w:tcPr>
            <w:tcW w:w="2409" w:type="dxa"/>
            <w:vAlign w:val="center"/>
          </w:tcPr>
          <w:p>
            <w:pPr>
              <w:adjustRightInd w:val="0"/>
              <w:snapToGrid w:val="0"/>
              <w:spacing w:line="240" w:lineRule="auto"/>
              <w:jc w:val="center"/>
              <w:rPr>
                <w:rFonts w:hint="eastAsia" w:ascii="宋体" w:hAnsi="宋体" w:eastAsia="宋体" w:cs="宋体"/>
                <w:b w:val="0"/>
                <w:bCs w:val="0"/>
                <w:kern w:val="0"/>
                <w:sz w:val="21"/>
                <w:szCs w:val="21"/>
                <w:lang w:val="en-US" w:eastAsia="zh-CN"/>
              </w:rPr>
            </w:pPr>
            <w:r>
              <w:rPr>
                <w:rFonts w:hint="eastAsia" w:ascii="宋体" w:hAnsi="宋体"/>
                <w:color w:val="auto"/>
                <w:sz w:val="24"/>
                <w:highlight w:val="none"/>
                <w:lang w:val="en-US" w:eastAsia="zh-CN"/>
              </w:rPr>
              <w:t>2023年±800kV新松换流站空调系统冷凝风机采购</w:t>
            </w:r>
            <w:r>
              <w:rPr>
                <w:rFonts w:hint="eastAsia" w:ascii="宋体" w:hAnsi="宋体" w:cs="宋体"/>
                <w:b w:val="0"/>
                <w:bCs w:val="0"/>
                <w:kern w:val="0"/>
                <w:sz w:val="21"/>
                <w:szCs w:val="21"/>
                <w:lang w:val="en-US" w:eastAsia="zh-CN"/>
              </w:rPr>
              <w:t>项目</w:t>
            </w:r>
          </w:p>
        </w:tc>
        <w:tc>
          <w:tcPr>
            <w:tcW w:w="531" w:type="dxa"/>
            <w:vAlign w:val="center"/>
          </w:tcPr>
          <w:p>
            <w:pPr>
              <w:adjustRightInd w:val="0"/>
              <w:snapToGrid w:val="0"/>
              <w:spacing w:line="360" w:lineRule="auto"/>
              <w:jc w:val="center"/>
              <w:rPr>
                <w:rFonts w:hint="eastAsia" w:ascii="宋体" w:hAnsi="宋体" w:eastAsia="宋体" w:cs="宋体"/>
                <w:b w:val="0"/>
                <w:bCs w:val="0"/>
                <w:kern w:val="0"/>
                <w:sz w:val="21"/>
                <w:szCs w:val="21"/>
                <w:lang w:eastAsia="zh-CN"/>
              </w:rPr>
            </w:pPr>
            <w:r>
              <w:rPr>
                <w:rFonts w:hint="eastAsia" w:ascii="宋体" w:hAnsi="宋体" w:eastAsia="宋体" w:cs="宋体"/>
                <w:b w:val="0"/>
                <w:bCs w:val="0"/>
                <w:kern w:val="0"/>
                <w:sz w:val="21"/>
                <w:szCs w:val="21"/>
                <w:lang w:val="en-US" w:eastAsia="zh-CN"/>
              </w:rPr>
              <w:t>项</w:t>
            </w:r>
          </w:p>
        </w:tc>
        <w:tc>
          <w:tcPr>
            <w:tcW w:w="681" w:type="dxa"/>
            <w:vAlign w:val="center"/>
          </w:tcPr>
          <w:p>
            <w:pPr>
              <w:adjustRightInd w:val="0"/>
              <w:snapToGrid w:val="0"/>
              <w:spacing w:line="360" w:lineRule="auto"/>
              <w:jc w:val="center"/>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rPr>
              <w:t>1</w:t>
            </w:r>
          </w:p>
        </w:tc>
        <w:tc>
          <w:tcPr>
            <w:tcW w:w="1108" w:type="dxa"/>
            <w:vAlign w:val="center"/>
          </w:tcPr>
          <w:p>
            <w:pPr>
              <w:adjustRightInd w:val="0"/>
              <w:snapToGrid w:val="0"/>
              <w:spacing w:line="360" w:lineRule="auto"/>
              <w:jc w:val="center"/>
              <w:rPr>
                <w:rFonts w:hint="default" w:ascii="宋体" w:hAnsi="宋体" w:eastAsia="宋体" w:cs="宋体"/>
                <w:b w:val="0"/>
                <w:bCs w:val="0"/>
                <w:kern w:val="0"/>
                <w:sz w:val="21"/>
                <w:szCs w:val="21"/>
                <w:lang w:val="en-US" w:eastAsia="zh-CN"/>
              </w:rPr>
            </w:pPr>
          </w:p>
        </w:tc>
        <w:tc>
          <w:tcPr>
            <w:tcW w:w="1214" w:type="dxa"/>
            <w:vAlign w:val="center"/>
          </w:tcPr>
          <w:p>
            <w:pPr>
              <w:adjustRightInd w:val="0"/>
              <w:snapToGrid w:val="0"/>
              <w:spacing w:line="360" w:lineRule="auto"/>
              <w:jc w:val="center"/>
              <w:rPr>
                <w:rFonts w:hint="default" w:ascii="宋体" w:hAnsi="宋体" w:eastAsia="宋体" w:cs="宋体"/>
                <w:b w:val="0"/>
                <w:bCs w:val="0"/>
                <w:kern w:val="0"/>
                <w:sz w:val="21"/>
                <w:szCs w:val="21"/>
                <w:lang w:val="en-US" w:eastAsia="zh-CN"/>
              </w:rPr>
            </w:pPr>
          </w:p>
        </w:tc>
        <w:tc>
          <w:tcPr>
            <w:tcW w:w="2182" w:type="dxa"/>
            <w:vAlign w:val="center"/>
          </w:tcPr>
          <w:p>
            <w:pPr>
              <w:numPr>
                <w:ilvl w:val="0"/>
                <w:numId w:val="3"/>
              </w:numPr>
              <w:adjustRightInd w:val="0"/>
              <w:snapToGrid w:val="0"/>
              <w:spacing w:line="360" w:lineRule="auto"/>
              <w:jc w:val="both"/>
              <w:rPr>
                <w:rFonts w:hint="eastAsia" w:ascii="宋体" w:hAnsi="宋体" w:eastAsia="宋体" w:cs="宋体"/>
                <w:b w:val="0"/>
                <w:bCs w:val="0"/>
                <w:kern w:val="0"/>
                <w:sz w:val="21"/>
                <w:szCs w:val="21"/>
                <w:lang w:val="en-US" w:eastAsia="zh-CN"/>
              </w:rPr>
            </w:pPr>
            <w:r>
              <w:rPr>
                <w:rFonts w:hint="eastAsia" w:ascii="宋体" w:hAnsi="宋体" w:eastAsia="宋体" w:cs="宋体"/>
                <w:b w:val="0"/>
                <w:bCs w:val="0"/>
                <w:kern w:val="0"/>
                <w:sz w:val="21"/>
                <w:szCs w:val="21"/>
                <w:lang w:val="en-US" w:eastAsia="zh-CN"/>
              </w:rPr>
              <w:t>包含全套</w:t>
            </w:r>
            <w:r>
              <w:rPr>
                <w:rFonts w:hint="eastAsia" w:ascii="宋体" w:hAnsi="宋体" w:cs="宋体"/>
                <w:b w:val="0"/>
                <w:bCs w:val="0"/>
                <w:kern w:val="0"/>
                <w:sz w:val="21"/>
                <w:szCs w:val="21"/>
                <w:lang w:val="en-US" w:eastAsia="zh-CN"/>
              </w:rPr>
              <w:t>服务</w:t>
            </w:r>
            <w:r>
              <w:rPr>
                <w:rFonts w:hint="eastAsia" w:ascii="宋体" w:hAnsi="宋体" w:eastAsia="宋体" w:cs="宋体"/>
                <w:b w:val="0"/>
                <w:bCs w:val="0"/>
                <w:kern w:val="0"/>
                <w:sz w:val="21"/>
                <w:szCs w:val="21"/>
                <w:lang w:val="en-US" w:eastAsia="zh-CN"/>
              </w:rPr>
              <w:t>所有费用；</w:t>
            </w:r>
          </w:p>
          <w:p>
            <w:pPr>
              <w:adjustRightInd w:val="0"/>
              <w:snapToGrid w:val="0"/>
              <w:spacing w:line="360" w:lineRule="auto"/>
              <w:jc w:val="both"/>
              <w:rPr>
                <w:rFonts w:hint="eastAsia" w:ascii="宋体" w:hAnsi="宋体" w:eastAsia="宋体" w:cs="宋体"/>
                <w:b w:val="0"/>
                <w:bCs w:val="0"/>
                <w:kern w:val="0"/>
                <w:sz w:val="21"/>
                <w:szCs w:val="21"/>
              </w:rPr>
            </w:pPr>
            <w:r>
              <w:rPr>
                <w:rFonts w:hint="eastAsia" w:ascii="宋体" w:hAnsi="宋体" w:eastAsia="宋体" w:cs="宋体"/>
                <w:b w:val="0"/>
                <w:bCs w:val="0"/>
                <w:kern w:val="0"/>
                <w:sz w:val="21"/>
                <w:szCs w:val="21"/>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715" w:type="dxa"/>
            <w:vAlign w:val="center"/>
          </w:tcPr>
          <w:p>
            <w:pPr>
              <w:adjustRightInd w:val="0"/>
              <w:snapToGrid w:val="0"/>
              <w:spacing w:line="360" w:lineRule="auto"/>
              <w:jc w:val="center"/>
              <w:rPr>
                <w:rFonts w:hint="eastAsia" w:ascii="宋体" w:hAnsi="宋体" w:cs="宋体"/>
                <w:color w:val="000000" w:themeColor="text1"/>
                <w:kern w:val="0"/>
                <w:sz w:val="20"/>
                <w:szCs w:val="21"/>
                <w14:textFill>
                  <w14:solidFill>
                    <w14:schemeClr w14:val="tx1"/>
                  </w14:solidFill>
                </w14:textFill>
              </w:rPr>
            </w:pPr>
          </w:p>
        </w:tc>
        <w:tc>
          <w:tcPr>
            <w:tcW w:w="2409" w:type="dxa"/>
            <w:vAlign w:val="center"/>
          </w:tcPr>
          <w:p>
            <w:pPr>
              <w:adjustRightInd w:val="0"/>
              <w:snapToGrid w:val="0"/>
              <w:spacing w:line="360" w:lineRule="auto"/>
              <w:jc w:val="center"/>
              <w:rPr>
                <w:rFonts w:hint="eastAsia" w:ascii="宋体" w:hAnsi="宋体" w:cs="宋体"/>
                <w:color w:val="000000" w:themeColor="text1"/>
                <w:kern w:val="0"/>
                <w:sz w:val="20"/>
                <w:szCs w:val="21"/>
                <w:lang w:val="en-US" w:eastAsia="zh-CN"/>
                <w14:textFill>
                  <w14:solidFill>
                    <w14:schemeClr w14:val="tx1"/>
                  </w14:solidFill>
                </w14:textFill>
              </w:rPr>
            </w:pPr>
            <w:r>
              <w:rPr>
                <w:rFonts w:hint="eastAsia" w:ascii="宋体" w:hAnsi="宋体" w:cs="宋体"/>
                <w:color w:val="000000" w:themeColor="text1"/>
                <w:kern w:val="0"/>
                <w:sz w:val="20"/>
                <w:szCs w:val="21"/>
                <w14:textFill>
                  <w14:solidFill>
                    <w14:schemeClr w14:val="tx1"/>
                  </w14:solidFill>
                </w14:textFill>
              </w:rPr>
              <w:t>合计</w:t>
            </w:r>
          </w:p>
        </w:tc>
        <w:tc>
          <w:tcPr>
            <w:tcW w:w="531" w:type="dxa"/>
            <w:vAlign w:val="center"/>
          </w:tcPr>
          <w:p>
            <w:pPr>
              <w:adjustRightInd w:val="0"/>
              <w:snapToGrid w:val="0"/>
              <w:spacing w:line="360" w:lineRule="auto"/>
              <w:jc w:val="center"/>
              <w:rPr>
                <w:rFonts w:hint="eastAsia" w:ascii="宋体" w:hAnsi="宋体" w:cs="宋体"/>
                <w:color w:val="000000" w:themeColor="text1"/>
                <w:kern w:val="0"/>
                <w:sz w:val="20"/>
                <w:szCs w:val="21"/>
                <w14:textFill>
                  <w14:solidFill>
                    <w14:schemeClr w14:val="tx1"/>
                  </w14:solidFill>
                </w14:textFill>
              </w:rPr>
            </w:pPr>
          </w:p>
        </w:tc>
        <w:tc>
          <w:tcPr>
            <w:tcW w:w="681" w:type="dxa"/>
            <w:vAlign w:val="center"/>
          </w:tcPr>
          <w:p>
            <w:pPr>
              <w:adjustRightInd w:val="0"/>
              <w:snapToGrid w:val="0"/>
              <w:spacing w:line="360" w:lineRule="auto"/>
              <w:jc w:val="center"/>
              <w:rPr>
                <w:rFonts w:hint="eastAsia" w:ascii="宋体" w:hAnsi="宋体" w:cs="宋体"/>
                <w:color w:val="000000" w:themeColor="text1"/>
                <w:kern w:val="0"/>
                <w:sz w:val="20"/>
                <w:szCs w:val="21"/>
                <w14:textFill>
                  <w14:solidFill>
                    <w14:schemeClr w14:val="tx1"/>
                  </w14:solidFill>
                </w14:textFill>
              </w:rPr>
            </w:pPr>
          </w:p>
        </w:tc>
        <w:tc>
          <w:tcPr>
            <w:tcW w:w="1108" w:type="dxa"/>
            <w:vAlign w:val="center"/>
          </w:tcPr>
          <w:p>
            <w:pPr>
              <w:adjustRightInd w:val="0"/>
              <w:snapToGrid w:val="0"/>
              <w:spacing w:line="360" w:lineRule="auto"/>
              <w:jc w:val="center"/>
              <w:rPr>
                <w:rFonts w:hint="eastAsia" w:ascii="宋体" w:hAnsi="宋体" w:cs="宋体"/>
                <w:color w:val="000000" w:themeColor="text1"/>
                <w:kern w:val="0"/>
                <w:sz w:val="20"/>
                <w:szCs w:val="21"/>
                <w14:textFill>
                  <w14:solidFill>
                    <w14:schemeClr w14:val="tx1"/>
                  </w14:solidFill>
                </w14:textFill>
              </w:rPr>
            </w:pPr>
          </w:p>
        </w:tc>
        <w:tc>
          <w:tcPr>
            <w:tcW w:w="1214" w:type="dxa"/>
            <w:vAlign w:val="center"/>
          </w:tcPr>
          <w:p>
            <w:pPr>
              <w:adjustRightInd w:val="0"/>
              <w:snapToGrid w:val="0"/>
              <w:spacing w:line="360" w:lineRule="auto"/>
              <w:jc w:val="center"/>
              <w:rPr>
                <w:rFonts w:hint="eastAsia" w:ascii="宋体" w:hAnsi="宋体" w:cs="宋体"/>
                <w:color w:val="000000" w:themeColor="text1"/>
                <w:kern w:val="0"/>
                <w:sz w:val="20"/>
                <w:szCs w:val="21"/>
                <w:lang w:val="en-US" w:eastAsia="zh-CN"/>
                <w14:textFill>
                  <w14:solidFill>
                    <w14:schemeClr w14:val="tx1"/>
                  </w14:solidFill>
                </w14:textFill>
              </w:rPr>
            </w:pPr>
          </w:p>
        </w:tc>
        <w:tc>
          <w:tcPr>
            <w:tcW w:w="2182" w:type="dxa"/>
            <w:vAlign w:val="center"/>
          </w:tcPr>
          <w:p>
            <w:pPr>
              <w:adjustRightInd w:val="0"/>
              <w:snapToGrid w:val="0"/>
              <w:spacing w:line="360" w:lineRule="auto"/>
              <w:jc w:val="center"/>
              <w:rPr>
                <w:rFonts w:hint="eastAsia" w:ascii="宋体" w:hAnsi="宋体" w:cs="宋体"/>
                <w:color w:val="000000" w:themeColor="text1"/>
                <w:kern w:val="0"/>
                <w:sz w:val="20"/>
                <w:szCs w:val="21"/>
                <w:lang w:val="en-US" w:eastAsia="zh-CN"/>
                <w14:textFill>
                  <w14:solidFill>
                    <w14:schemeClr w14:val="tx1"/>
                  </w14:solidFill>
                </w14:textFill>
              </w:rPr>
            </w:pPr>
            <w:r>
              <w:rPr>
                <w:rFonts w:hint="eastAsia" w:ascii="宋体" w:hAnsi="宋体" w:cs="宋体"/>
                <w:color w:val="000000" w:themeColor="text1"/>
                <w:kern w:val="0"/>
                <w:sz w:val="20"/>
                <w:szCs w:val="21"/>
                <w14:textFill>
                  <w14:solidFill>
                    <w14:schemeClr w14:val="tx1"/>
                  </w14:solidFill>
                </w14:textFill>
              </w:rPr>
              <w:t>总价含增值税，增值税专用税率为   %</w:t>
            </w:r>
          </w:p>
        </w:tc>
      </w:tr>
    </w:tbl>
    <w:p>
      <w:pPr>
        <w:spacing w:line="360" w:lineRule="auto"/>
        <w:rPr>
          <w:rFonts w:ascii="宋体" w:hAnsi="宋体" w:cs="宋体"/>
          <w:szCs w:val="21"/>
        </w:rPr>
      </w:pPr>
      <w:r>
        <w:rPr>
          <w:rFonts w:hint="eastAsia" w:ascii="宋体" w:hAnsi="宋体" w:cs="宋体"/>
          <w:szCs w:val="21"/>
        </w:rPr>
        <w:t>注：</w:t>
      </w:r>
    </w:p>
    <w:p>
      <w:pPr>
        <w:spacing w:line="360" w:lineRule="auto"/>
        <w:rPr>
          <w:rFonts w:ascii="宋体" w:hAnsi="宋体" w:cs="宋体"/>
          <w:szCs w:val="21"/>
        </w:rPr>
      </w:pPr>
      <w:r>
        <w:rPr>
          <w:rFonts w:hint="eastAsia" w:ascii="宋体" w:hAnsi="宋体" w:cs="宋体"/>
          <w:spacing w:val="-1"/>
          <w:szCs w:val="21"/>
        </w:rPr>
        <w:t>1、若单价和总价有差异，以单价为准；</w:t>
      </w:r>
    </w:p>
    <w:p>
      <w:pPr>
        <w:spacing w:line="360" w:lineRule="auto"/>
        <w:rPr>
          <w:rFonts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3、按照询价文件中的需求进行报价，报价包含运杂费、服务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、税费</w:t>
      </w:r>
      <w:r>
        <w:rPr>
          <w:rFonts w:hint="eastAsia" w:ascii="宋体" w:hAnsi="宋体" w:cs="宋体"/>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spacing w:val="-1"/>
          <w:szCs w:val="21"/>
        </w:rPr>
      </w:pPr>
    </w:p>
    <w:p>
      <w:pPr>
        <w:wordWrap w:val="0"/>
        <w:spacing w:line="360" w:lineRule="auto"/>
        <w:jc w:val="right"/>
        <w:rPr>
          <w:rFonts w:hint="eastAsia" w:ascii="宋体" w:hAnsi="宋体" w:cs="宋体"/>
          <w:spacing w:val="-1"/>
          <w:szCs w:val="21"/>
        </w:rPr>
      </w:pPr>
    </w:p>
    <w:p>
      <w:pPr>
        <w:wordWrap w:val="0"/>
        <w:spacing w:line="360" w:lineRule="auto"/>
        <w:jc w:val="right"/>
        <w:rPr>
          <w:rFonts w:hint="eastAsia" w:ascii="宋体" w:hAnsi="宋体" w:cs="宋体"/>
          <w:spacing w:val="-1"/>
          <w:szCs w:val="21"/>
        </w:rPr>
      </w:pPr>
    </w:p>
    <w:p>
      <w:pPr>
        <w:wordWrap w:val="0"/>
        <w:spacing w:line="360" w:lineRule="auto"/>
        <w:jc w:val="right"/>
        <w:rPr>
          <w:rFonts w:hint="eastAsia" w:ascii="宋体" w:hAnsi="宋体" w:cs="宋体"/>
          <w:spacing w:val="-1"/>
          <w:szCs w:val="21"/>
        </w:rPr>
      </w:pPr>
    </w:p>
    <w:p>
      <w:pPr>
        <w:wordWrap w:val="0"/>
        <w:spacing w:line="360" w:lineRule="auto"/>
        <w:jc w:val="right"/>
        <w:rPr>
          <w:rFonts w:hint="eastAsia" w:ascii="宋体" w:hAnsi="宋体" w:cs="宋体"/>
          <w:spacing w:val="-1"/>
          <w:szCs w:val="21"/>
        </w:rPr>
      </w:pPr>
    </w:p>
    <w:p>
      <w:pPr>
        <w:wordWrap w:val="0"/>
        <w:spacing w:line="360" w:lineRule="auto"/>
        <w:jc w:val="right"/>
        <w:rPr>
          <w:rFonts w:hint="default" w:ascii="宋体" w:hAnsi="宋体" w:eastAsia="宋体" w:cs="宋体"/>
          <w:spacing w:val="-1"/>
          <w:szCs w:val="21"/>
          <w:lang w:val="en-US" w:eastAsia="zh-CN"/>
        </w:rPr>
      </w:pPr>
      <w:r>
        <w:rPr>
          <w:rFonts w:hint="eastAsia" w:ascii="宋体" w:hAnsi="宋体" w:cs="宋体"/>
          <w:spacing w:val="-1"/>
          <w:szCs w:val="21"/>
        </w:rPr>
        <w:t>法定代表人或其授权代理人签字：</w:t>
      </w:r>
      <w:r>
        <w:rPr>
          <w:rFonts w:hint="eastAsia" w:ascii="宋体" w:hAnsi="宋体" w:cs="宋体"/>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rPr>
        <w:t>年     月     日</w:t>
      </w:r>
      <w:r>
        <w:rPr>
          <w:rFonts w:hint="eastAsia" w:ascii="宋体" w:hAnsi="宋体" w:cs="宋体"/>
          <w:spacing w:val="-1"/>
          <w:szCs w:val="21"/>
          <w:lang w:val="en-US" w:eastAsia="zh-CN"/>
        </w:rPr>
        <w:t xml:space="preserve">          </w:t>
      </w:r>
    </w:p>
    <w:p>
      <w:pPr>
        <w:spacing w:line="360" w:lineRule="auto"/>
        <w:jc w:val="center"/>
        <w:rPr>
          <w:color w:val="auto"/>
          <w:spacing w:val="-1"/>
          <w:sz w:val="24"/>
          <w:highlight w:val="none"/>
        </w:rPr>
        <w:sectPr>
          <w:footerReference r:id="rId5" w:type="default"/>
          <w:pgSz w:w="11906" w:h="16838"/>
          <w:pgMar w:top="1440" w:right="1800" w:bottom="1440" w:left="1800" w:header="851" w:footer="992" w:gutter="0"/>
          <w:cols w:space="720" w:num="1"/>
          <w:docGrid w:type="lines" w:linePitch="312" w:charSpace="0"/>
        </w:sectPr>
      </w:pPr>
    </w:p>
    <w:tbl>
      <w:tblPr>
        <w:tblStyle w:val="20"/>
        <w:tblpPr w:leftFromText="180" w:rightFromText="180" w:vertAnchor="text" w:horzAnchor="page" w:tblpX="1841" w:tblpY="527"/>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技术要求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134" w:hRule="atLeast"/>
          <w:jc w:val="center"/>
        </w:trPr>
        <w:tc>
          <w:tcPr>
            <w:tcW w:w="588"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1</w:t>
            </w:r>
          </w:p>
        </w:tc>
        <w:tc>
          <w:tcPr>
            <w:tcW w:w="5920" w:type="dxa"/>
            <w:tcBorders>
              <w:tl2br w:val="nil"/>
              <w:tr2bl w:val="nil"/>
            </w:tcBorders>
            <w:shd w:val="clear" w:color="auto" w:fill="auto"/>
            <w:vAlign w:val="center"/>
          </w:tcPr>
          <w:p>
            <w:pPr>
              <w:adjustRightInd w:val="0"/>
              <w:snapToGrid w:val="0"/>
              <w:spacing w:line="360" w:lineRule="auto"/>
              <w:rPr>
                <w:rFonts w:hint="eastAsia" w:ascii="宋体" w:hAnsi="宋体" w:cs="宋体"/>
                <w:b w:val="0"/>
                <w:bCs w:val="0"/>
                <w:kern w:val="0"/>
                <w:sz w:val="21"/>
                <w:szCs w:val="21"/>
                <w:lang w:val="en-US" w:eastAsia="zh-CN"/>
              </w:rPr>
            </w:pPr>
            <w:r>
              <w:rPr>
                <w:rFonts w:hint="eastAsia" w:ascii="宋体" w:hAnsi="宋体"/>
                <w:color w:val="auto"/>
                <w:sz w:val="24"/>
                <w:highlight w:val="none"/>
                <w:lang w:val="en-US" w:eastAsia="zh-CN"/>
              </w:rPr>
              <w:t>技术服务内容包括：完成空调系统冷凝风机采购</w:t>
            </w:r>
            <w:r>
              <w:rPr>
                <w:rFonts w:hint="eastAsia" w:ascii="宋体" w:hAnsi="宋体" w:eastAsia="宋体" w:cs="Times New Roman"/>
                <w:bCs w:val="0"/>
                <w:color w:val="auto"/>
                <w:kern w:val="2"/>
                <w:sz w:val="24"/>
                <w:szCs w:val="24"/>
                <w:highlight w:val="none"/>
                <w:lang w:val="en-US" w:eastAsia="zh-CN" w:bidi="ar-SA"/>
              </w:rPr>
              <w:t>，功能验收合格，出具</w:t>
            </w:r>
            <w:r>
              <w:rPr>
                <w:rFonts w:hint="eastAsia" w:ascii="宋体" w:hAnsi="宋体" w:cs="Times New Roman"/>
                <w:bCs w:val="0"/>
                <w:color w:val="auto"/>
                <w:kern w:val="2"/>
                <w:sz w:val="24"/>
                <w:szCs w:val="24"/>
                <w:highlight w:val="none"/>
                <w:lang w:val="en-US" w:eastAsia="zh-CN" w:bidi="ar-SA"/>
              </w:rPr>
              <w:t>出厂合格</w:t>
            </w:r>
            <w:r>
              <w:rPr>
                <w:rFonts w:hint="eastAsia" w:ascii="宋体" w:hAnsi="宋体" w:eastAsia="宋体" w:cs="Times New Roman"/>
                <w:bCs w:val="0"/>
                <w:color w:val="auto"/>
                <w:kern w:val="2"/>
                <w:sz w:val="24"/>
                <w:szCs w:val="24"/>
                <w:highlight w:val="none"/>
                <w:lang w:val="en-US" w:eastAsia="zh-CN" w:bidi="ar-SA"/>
              </w:rPr>
              <w:t>调试报告</w:t>
            </w:r>
            <w:r>
              <w:rPr>
                <w:rFonts w:hint="eastAsia" w:ascii="宋体" w:hAnsi="宋体" w:cs="Times New Roman"/>
                <w:bCs w:val="0"/>
                <w:color w:val="auto"/>
                <w:kern w:val="2"/>
                <w:sz w:val="24"/>
                <w:szCs w:val="24"/>
                <w:highlight w:val="none"/>
                <w:lang w:val="en-US" w:eastAsia="zh-CN" w:bidi="ar-SA"/>
              </w:rPr>
              <w:t>。</w:t>
            </w:r>
          </w:p>
        </w:tc>
        <w:tc>
          <w:tcPr>
            <w:tcW w:w="2046"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134" w:hRule="atLeast"/>
          <w:jc w:val="center"/>
        </w:trPr>
        <w:tc>
          <w:tcPr>
            <w:tcW w:w="588"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2</w:t>
            </w:r>
          </w:p>
        </w:tc>
        <w:tc>
          <w:tcPr>
            <w:tcW w:w="5920" w:type="dxa"/>
            <w:tcBorders>
              <w:tl2br w:val="nil"/>
              <w:tr2bl w:val="nil"/>
            </w:tcBorders>
            <w:shd w:val="clear" w:color="auto" w:fill="auto"/>
            <w:vAlign w:val="center"/>
          </w:tcPr>
          <w:p>
            <w:pPr>
              <w:adjustRightInd w:val="0"/>
              <w:snapToGrid w:val="0"/>
              <w:spacing w:line="240" w:lineRule="auto"/>
              <w:jc w:val="left"/>
              <w:rPr>
                <w:rFonts w:hint="eastAsia" w:ascii="宋体" w:hAnsi="宋体" w:eastAsia="宋体" w:cs="Times New Roman"/>
                <w:bCs w:val="0"/>
                <w:color w:val="auto"/>
                <w:kern w:val="2"/>
                <w:sz w:val="24"/>
                <w:szCs w:val="24"/>
                <w:highlight w:val="none"/>
                <w:lang w:val="en-US" w:eastAsia="zh-CN" w:bidi="ar-SA"/>
              </w:rPr>
            </w:pPr>
            <w:r>
              <w:rPr>
                <w:rFonts w:hint="eastAsia" w:ascii="宋体" w:hAnsi="宋体"/>
                <w:color w:val="auto"/>
                <w:sz w:val="24"/>
                <w:highlight w:val="none"/>
                <w:lang w:val="en-US" w:eastAsia="zh-CN"/>
              </w:rPr>
              <w:t>出具出厂合格调试报告</w:t>
            </w:r>
            <w:r>
              <w:rPr>
                <w:rFonts w:hint="eastAsia" w:ascii="宋体" w:hAnsi="宋体" w:eastAsia="宋体" w:cs="Times New Roman"/>
                <w:bCs w:val="0"/>
                <w:color w:val="auto"/>
                <w:kern w:val="2"/>
                <w:sz w:val="24"/>
                <w:szCs w:val="24"/>
                <w:highlight w:val="none"/>
                <w:lang w:val="en-US" w:eastAsia="zh-CN" w:bidi="ar-SA"/>
              </w:rPr>
              <w:t>。</w:t>
            </w:r>
          </w:p>
        </w:tc>
        <w:tc>
          <w:tcPr>
            <w:tcW w:w="2046"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799" w:hRule="atLeast"/>
          <w:jc w:val="center"/>
        </w:trPr>
        <w:tc>
          <w:tcPr>
            <w:tcW w:w="588" w:type="dxa"/>
            <w:tcBorders>
              <w:tl2br w:val="nil"/>
              <w:tr2bl w:val="nil"/>
            </w:tcBorders>
            <w:shd w:val="clear" w:color="auto" w:fill="auto"/>
            <w:vAlign w:val="center"/>
          </w:tcPr>
          <w:p>
            <w:pPr>
              <w:adjustRightInd w:val="0"/>
              <w:snapToGrid w:val="0"/>
              <w:spacing w:line="240" w:lineRule="auto"/>
              <w:jc w:val="center"/>
              <w:rPr>
                <w:rFonts w:hint="default"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3</w:t>
            </w:r>
          </w:p>
        </w:tc>
        <w:tc>
          <w:tcPr>
            <w:tcW w:w="5920" w:type="dxa"/>
            <w:tcBorders>
              <w:tl2br w:val="nil"/>
              <w:tr2bl w:val="nil"/>
            </w:tcBorders>
            <w:shd w:val="clear" w:color="auto" w:fill="auto"/>
            <w:vAlign w:val="center"/>
          </w:tcPr>
          <w:p>
            <w:pPr>
              <w:adjustRightInd w:val="0"/>
              <w:snapToGrid w:val="0"/>
              <w:spacing w:line="240" w:lineRule="auto"/>
              <w:jc w:val="left"/>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t>服务地点：云南省</w:t>
            </w:r>
            <w:r>
              <w:rPr>
                <w:rFonts w:hint="eastAsia" w:ascii="宋体" w:hAnsi="宋体" w:cs="Times New Roman"/>
                <w:bCs w:val="0"/>
                <w:color w:val="auto"/>
                <w:kern w:val="2"/>
                <w:sz w:val="24"/>
                <w:szCs w:val="24"/>
                <w:highlight w:val="none"/>
                <w:lang w:val="en-US" w:eastAsia="zh-CN" w:bidi="ar-SA"/>
              </w:rPr>
              <w:t>大理</w:t>
            </w:r>
            <w:r>
              <w:rPr>
                <w:rFonts w:hint="eastAsia" w:ascii="宋体" w:hAnsi="宋体" w:eastAsia="宋体" w:cs="Times New Roman"/>
                <w:bCs w:val="0"/>
                <w:color w:val="auto"/>
                <w:kern w:val="2"/>
                <w:sz w:val="24"/>
                <w:szCs w:val="24"/>
                <w:highlight w:val="none"/>
                <w:lang w:val="en-US" w:eastAsia="zh-CN" w:bidi="ar-SA"/>
              </w:rPr>
              <w:t>市</w:t>
            </w:r>
            <w:r>
              <w:rPr>
                <w:rFonts w:hint="eastAsia" w:ascii="宋体" w:hAnsi="宋体" w:cs="Times New Roman"/>
                <w:bCs w:val="0"/>
                <w:color w:val="auto"/>
                <w:kern w:val="2"/>
                <w:sz w:val="24"/>
                <w:szCs w:val="24"/>
                <w:highlight w:val="none"/>
                <w:lang w:val="en-US" w:eastAsia="zh-CN" w:bidi="ar-SA"/>
              </w:rPr>
              <w:t>剑川</w:t>
            </w:r>
            <w:r>
              <w:rPr>
                <w:rFonts w:hint="eastAsia" w:ascii="宋体" w:hAnsi="宋体" w:eastAsia="宋体" w:cs="Times New Roman"/>
                <w:bCs w:val="0"/>
                <w:color w:val="auto"/>
                <w:kern w:val="2"/>
                <w:sz w:val="24"/>
                <w:szCs w:val="24"/>
                <w:highlight w:val="none"/>
                <w:lang w:val="en-US" w:eastAsia="zh-CN" w:bidi="ar-SA"/>
              </w:rPr>
              <w:t>县</w:t>
            </w:r>
            <w:r>
              <w:rPr>
                <w:rFonts w:hint="eastAsia" w:ascii="宋体" w:hAnsi="宋体" w:cs="Times New Roman"/>
                <w:bCs w:val="0"/>
                <w:color w:val="auto"/>
                <w:kern w:val="2"/>
                <w:sz w:val="24"/>
                <w:szCs w:val="24"/>
                <w:highlight w:val="none"/>
                <w:lang w:val="en-US" w:eastAsia="zh-CN" w:bidi="ar-SA"/>
              </w:rPr>
              <w:t>羊岑乡新松村新松</w:t>
            </w:r>
            <w:r>
              <w:rPr>
                <w:rFonts w:hint="eastAsia" w:ascii="宋体" w:hAnsi="宋体" w:eastAsia="宋体" w:cs="Times New Roman"/>
                <w:bCs w:val="0"/>
                <w:color w:val="auto"/>
                <w:kern w:val="2"/>
                <w:sz w:val="24"/>
                <w:szCs w:val="24"/>
                <w:highlight w:val="none"/>
                <w:lang w:val="en-US" w:eastAsia="zh-CN" w:bidi="ar-SA"/>
              </w:rPr>
              <w:t>换流站。</w:t>
            </w:r>
          </w:p>
        </w:tc>
        <w:tc>
          <w:tcPr>
            <w:tcW w:w="2046"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87" w:hRule="atLeast"/>
          <w:jc w:val="center"/>
        </w:trPr>
        <w:tc>
          <w:tcPr>
            <w:tcW w:w="588" w:type="dxa"/>
            <w:tcBorders>
              <w:tl2br w:val="nil"/>
              <w:tr2bl w:val="nil"/>
            </w:tcBorders>
            <w:shd w:val="clear" w:color="auto" w:fill="auto"/>
            <w:vAlign w:val="center"/>
          </w:tcPr>
          <w:p>
            <w:pPr>
              <w:adjustRightInd w:val="0"/>
              <w:snapToGrid w:val="0"/>
              <w:spacing w:line="240" w:lineRule="auto"/>
              <w:jc w:val="center"/>
              <w:rPr>
                <w:rFonts w:hint="default" w:ascii="宋体" w:hAnsi="宋体" w:cs="宋体"/>
                <w:b w:val="0"/>
                <w:bCs w:val="0"/>
                <w:kern w:val="0"/>
                <w:sz w:val="21"/>
                <w:szCs w:val="21"/>
                <w:lang w:val="en-US" w:eastAsia="zh-CN"/>
              </w:rPr>
            </w:pPr>
            <w:r>
              <w:rPr>
                <w:rFonts w:hint="eastAsia" w:ascii="宋体" w:hAnsi="宋体" w:cs="宋体"/>
                <w:b w:val="0"/>
                <w:bCs w:val="0"/>
                <w:kern w:val="0"/>
                <w:sz w:val="21"/>
                <w:szCs w:val="21"/>
                <w:lang w:val="en-US" w:eastAsia="zh-CN"/>
              </w:rPr>
              <w:t>4</w:t>
            </w:r>
          </w:p>
        </w:tc>
        <w:tc>
          <w:tcPr>
            <w:tcW w:w="5920" w:type="dxa"/>
            <w:tcBorders>
              <w:tl2br w:val="nil"/>
              <w:tr2bl w:val="nil"/>
            </w:tcBorders>
            <w:shd w:val="clear" w:color="auto" w:fill="auto"/>
            <w:vAlign w:val="center"/>
          </w:tcPr>
          <w:p>
            <w:pPr>
              <w:adjustRightInd w:val="0"/>
              <w:snapToGrid w:val="0"/>
              <w:spacing w:line="240" w:lineRule="auto"/>
              <w:jc w:val="left"/>
              <w:rPr>
                <w:rFonts w:hint="eastAsia" w:ascii="宋体" w:hAnsi="宋体" w:eastAsia="宋体" w:cs="Times New Roman"/>
                <w:bCs w:val="0"/>
                <w:color w:val="auto"/>
                <w:kern w:val="2"/>
                <w:sz w:val="24"/>
                <w:szCs w:val="24"/>
                <w:highlight w:val="none"/>
                <w:lang w:val="en-US" w:eastAsia="zh-CN" w:bidi="ar-SA"/>
              </w:rPr>
            </w:pPr>
            <w:r>
              <w:rPr>
                <w:rFonts w:hint="eastAsia" w:ascii="宋体" w:hAnsi="宋体" w:eastAsia="宋体" w:cs="Times New Roman"/>
                <w:bCs w:val="0"/>
                <w:color w:val="auto"/>
                <w:kern w:val="2"/>
                <w:sz w:val="24"/>
                <w:szCs w:val="24"/>
                <w:highlight w:val="none"/>
                <w:lang w:val="en-US" w:eastAsia="zh-CN" w:bidi="ar-SA"/>
              </w:rPr>
              <w:t>服务时间：2023年</w:t>
            </w:r>
            <w:r>
              <w:rPr>
                <w:rFonts w:hint="eastAsia" w:ascii="宋体" w:hAnsi="宋体" w:cs="Times New Roman"/>
                <w:bCs w:val="0"/>
                <w:color w:val="auto"/>
                <w:kern w:val="2"/>
                <w:sz w:val="24"/>
                <w:szCs w:val="24"/>
                <w:highlight w:val="none"/>
                <w:lang w:val="en-US" w:eastAsia="zh-CN" w:bidi="ar-SA"/>
              </w:rPr>
              <w:t>12月</w:t>
            </w:r>
            <w:r>
              <w:rPr>
                <w:rFonts w:hint="eastAsia" w:ascii="宋体" w:hAnsi="宋体" w:eastAsia="宋体" w:cs="Times New Roman"/>
                <w:bCs w:val="0"/>
                <w:color w:val="auto"/>
                <w:kern w:val="2"/>
                <w:sz w:val="24"/>
                <w:szCs w:val="24"/>
                <w:highlight w:val="none"/>
                <w:lang w:val="en-US" w:eastAsia="zh-CN" w:bidi="ar-SA"/>
              </w:rPr>
              <w:t>（以大理局实际通知时间为准）。</w:t>
            </w:r>
          </w:p>
        </w:tc>
        <w:tc>
          <w:tcPr>
            <w:tcW w:w="2046" w:type="dxa"/>
            <w:tcBorders>
              <w:tl2br w:val="nil"/>
              <w:tr2bl w:val="nil"/>
            </w:tcBorders>
            <w:shd w:val="clear" w:color="auto" w:fill="auto"/>
            <w:vAlign w:val="center"/>
          </w:tcPr>
          <w:p>
            <w:pPr>
              <w:adjustRightInd w:val="0"/>
              <w:snapToGrid w:val="0"/>
              <w:spacing w:line="240" w:lineRule="auto"/>
              <w:jc w:val="center"/>
              <w:rPr>
                <w:rFonts w:hint="eastAsia" w:ascii="宋体" w:hAnsi="宋体" w:cs="宋体"/>
                <w:b w:val="0"/>
                <w:bCs w:val="0"/>
                <w:kern w:val="0"/>
                <w:sz w:val="21"/>
                <w:szCs w:val="21"/>
                <w:lang w:val="en-US" w:eastAsia="zh-CN"/>
              </w:rPr>
            </w:pPr>
          </w:p>
        </w:tc>
      </w:tr>
    </w:tbl>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3808" w:firstLineChars="1600"/>
        <w:jc w:val="both"/>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lef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722"/>
          <w:tab w:val="left" w:pos="1323"/>
        </w:tabs>
        <w:spacing w:line="360" w:lineRule="auto"/>
        <w:jc w:val="right"/>
        <w:rPr>
          <w:rFonts w:hint="eastAsia"/>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r>
        <w:rPr>
          <w:rFonts w:hint="eastAsia"/>
          <w:b/>
          <w:bCs/>
          <w:color w:val="auto"/>
          <w:spacing w:val="14"/>
          <w:kern w:val="0"/>
          <w:sz w:val="28"/>
          <w:szCs w:val="28"/>
          <w:highlight w:val="none"/>
        </w:rPr>
        <w:br w:type="page"/>
      </w: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0"/>
        <w:tblpPr w:leftFromText="180" w:rightFromText="180" w:vertAnchor="text" w:horzAnchor="page" w:tblpX="1668" w:tblpY="28"/>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bidi="ar"/>
              </w:rPr>
              <w:t>1</w:t>
            </w:r>
          </w:p>
        </w:tc>
        <w:tc>
          <w:tcPr>
            <w:tcW w:w="5920" w:type="dxa"/>
            <w:tcBorders>
              <w:tl2br w:val="nil"/>
              <w:tr2bl w:val="nil"/>
            </w:tcBorders>
            <w:shd w:val="clear" w:color="auto" w:fill="auto"/>
            <w:vAlign w:val="center"/>
          </w:tcPr>
          <w:p>
            <w:pPr>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产品发票要求：</w:t>
            </w:r>
            <w:r>
              <w:rPr>
                <w:rFonts w:hint="eastAsia" w:ascii="宋体" w:hAnsi="宋体" w:cs="宋体"/>
                <w:color w:val="auto"/>
                <w:sz w:val="21"/>
                <w:szCs w:val="21"/>
                <w:highlight w:val="none"/>
              </w:rPr>
              <w:t>报价单位可提供符合规定税率的全额增值税专用发票。</w:t>
            </w:r>
          </w:p>
          <w:p>
            <w:pPr>
              <w:widowControl/>
              <w:textAlignment w:val="center"/>
              <w:rPr>
                <w:rFonts w:ascii="宋体" w:hAnsi="宋体"/>
                <w:color w:val="auto"/>
                <w:sz w:val="21"/>
                <w:szCs w:val="21"/>
                <w:highlight w:val="none"/>
              </w:rPr>
            </w:pP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1"/>
                <w:szCs w:val="21"/>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5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1"/>
                <w:szCs w:val="21"/>
                <w:highlight w:val="none"/>
                <w:lang w:bidi="ar"/>
              </w:rPr>
            </w:pPr>
            <w:r>
              <w:rPr>
                <w:rFonts w:hint="eastAsia" w:asciiTheme="minorEastAsia" w:hAnsiTheme="minorEastAsia" w:eastAsiaTheme="minorEastAsia" w:cstheme="minorEastAsia"/>
                <w:b/>
                <w:color w:val="auto"/>
                <w:kern w:val="0"/>
                <w:sz w:val="21"/>
                <w:szCs w:val="21"/>
                <w:highlight w:val="none"/>
                <w:lang w:bidi="ar"/>
              </w:rPr>
              <w:t>2</w:t>
            </w:r>
          </w:p>
        </w:tc>
        <w:tc>
          <w:tcPr>
            <w:tcW w:w="5920" w:type="dxa"/>
            <w:tcBorders>
              <w:tl2br w:val="nil"/>
              <w:tr2bl w:val="nil"/>
            </w:tcBorders>
            <w:shd w:val="clear" w:color="auto" w:fill="auto"/>
            <w:vAlign w:val="center"/>
          </w:tcPr>
          <w:p>
            <w:pPr>
              <w:spacing w:line="360" w:lineRule="auto"/>
              <w:rPr>
                <w:rFonts w:ascii="宋体" w:hAnsi="宋体"/>
                <w:color w:val="auto"/>
                <w:sz w:val="21"/>
                <w:szCs w:val="21"/>
                <w:highlight w:val="none"/>
              </w:rPr>
            </w:pPr>
            <w:r>
              <w:rPr>
                <w:rFonts w:hint="eastAsia" w:ascii="宋体" w:hAnsi="宋体" w:cs="宋体"/>
                <w:b/>
                <w:bCs/>
                <w:color w:val="auto"/>
                <w:sz w:val="21"/>
                <w:szCs w:val="21"/>
                <w:highlight w:val="none"/>
              </w:rPr>
              <w:t>产品质保期及售后服务响应要求：</w:t>
            </w:r>
            <w:r>
              <w:rPr>
                <w:rFonts w:hint="eastAsia" w:ascii="宋体" w:hAnsi="宋体" w:cs="宋体"/>
                <w:color w:val="auto"/>
                <w:sz w:val="21"/>
                <w:szCs w:val="21"/>
                <w:highlight w:val="none"/>
              </w:rPr>
              <w:t>质保期</w:t>
            </w:r>
            <w:r>
              <w:rPr>
                <w:rFonts w:hint="eastAsia" w:ascii="宋体" w:hAnsi="宋体" w:cs="宋体"/>
                <w:color w:val="auto"/>
                <w:sz w:val="21"/>
                <w:szCs w:val="21"/>
                <w:highlight w:val="none"/>
                <w:lang w:val="en-US" w:eastAsia="zh-CN"/>
              </w:rPr>
              <w:t>为</w:t>
            </w:r>
            <w:r>
              <w:rPr>
                <w:rFonts w:hint="eastAsia" w:ascii="宋体" w:hAnsi="宋体" w:cs="宋体"/>
                <w:color w:val="auto"/>
                <w:sz w:val="21"/>
                <w:szCs w:val="21"/>
                <w:highlight w:val="none"/>
              </w:rPr>
              <w:t>1年，</w:t>
            </w:r>
            <w:r>
              <w:rPr>
                <w:rFonts w:hint="eastAsia" w:ascii="宋体" w:hAnsi="宋体" w:cs="宋体"/>
                <w:color w:val="auto"/>
                <w:sz w:val="21"/>
                <w:szCs w:val="21"/>
                <w:highlight w:val="none"/>
                <w:lang w:val="en-US" w:eastAsia="zh-CN"/>
              </w:rPr>
              <w:t>质保期起算日期为修理调试验收通过之日起，质</w:t>
            </w:r>
            <w:r>
              <w:rPr>
                <w:rFonts w:hint="eastAsia" w:ascii="宋体" w:hAnsi="宋体" w:cs="宋体"/>
                <w:color w:val="auto"/>
                <w:sz w:val="21"/>
                <w:szCs w:val="21"/>
                <w:highlight w:val="none"/>
              </w:rPr>
              <w:t>保期内有任何质量问题将免费进行修理、更换；售后服务的响应时间在48小时内提供技术支持</w:t>
            </w:r>
            <w:r>
              <w:rPr>
                <w:rFonts w:hint="eastAsia" w:ascii="宋体" w:hAnsi="宋体" w:cs="宋体"/>
                <w:color w:val="auto"/>
                <w:sz w:val="21"/>
                <w:szCs w:val="21"/>
                <w:highlight w:val="none"/>
                <w:lang w:val="en-US" w:eastAsia="zh-CN"/>
              </w:rPr>
              <w:t>。</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1"/>
                <w:szCs w:val="21"/>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rFonts w:hint="eastAsia"/>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BC744"/>
    <w:multiLevelType w:val="singleLevel"/>
    <w:tmpl w:val="C8ABC744"/>
    <w:lvl w:ilvl="0" w:tentative="0">
      <w:start w:val="1"/>
      <w:numFmt w:val="decimal"/>
      <w:suff w:val="nothing"/>
      <w:lvlText w:val="%1、"/>
      <w:lvlJc w:val="left"/>
    </w:lvl>
  </w:abstractNum>
  <w:abstractNum w:abstractNumId="1">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mZWVhZTQ4YWJlYjU0MTRkZWQyOWE4MDBiZDE0MDkifQ=="/>
  </w:docVars>
  <w:rsids>
    <w:rsidRoot w:val="00700C0C"/>
    <w:rsid w:val="000342AC"/>
    <w:rsid w:val="000872FD"/>
    <w:rsid w:val="00095578"/>
    <w:rsid w:val="000A66A7"/>
    <w:rsid w:val="000F2DDF"/>
    <w:rsid w:val="00116E19"/>
    <w:rsid w:val="001401FF"/>
    <w:rsid w:val="00141576"/>
    <w:rsid w:val="0018645D"/>
    <w:rsid w:val="001D7B66"/>
    <w:rsid w:val="0020233D"/>
    <w:rsid w:val="003008FE"/>
    <w:rsid w:val="00384B9C"/>
    <w:rsid w:val="003E3323"/>
    <w:rsid w:val="004913D8"/>
    <w:rsid w:val="004938A7"/>
    <w:rsid w:val="0060730C"/>
    <w:rsid w:val="00610134"/>
    <w:rsid w:val="00611AAA"/>
    <w:rsid w:val="00630461"/>
    <w:rsid w:val="006A222E"/>
    <w:rsid w:val="00700C0C"/>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A40F8A"/>
    <w:rsid w:val="0220244B"/>
    <w:rsid w:val="02CC1045"/>
    <w:rsid w:val="02E84E1B"/>
    <w:rsid w:val="032554D3"/>
    <w:rsid w:val="039A1E76"/>
    <w:rsid w:val="04501704"/>
    <w:rsid w:val="046B4A83"/>
    <w:rsid w:val="04CA6BD2"/>
    <w:rsid w:val="04F063C6"/>
    <w:rsid w:val="05876A18"/>
    <w:rsid w:val="059852A9"/>
    <w:rsid w:val="05B67AF4"/>
    <w:rsid w:val="05CD2719"/>
    <w:rsid w:val="05F41940"/>
    <w:rsid w:val="060F4BD6"/>
    <w:rsid w:val="06910EC7"/>
    <w:rsid w:val="06AB0929"/>
    <w:rsid w:val="070A0B6B"/>
    <w:rsid w:val="07961E4E"/>
    <w:rsid w:val="08B379B6"/>
    <w:rsid w:val="08D01A69"/>
    <w:rsid w:val="092B0BCD"/>
    <w:rsid w:val="095B0EE9"/>
    <w:rsid w:val="09B91536"/>
    <w:rsid w:val="0A5C68BB"/>
    <w:rsid w:val="0A726C5D"/>
    <w:rsid w:val="0A9C5575"/>
    <w:rsid w:val="0AB60694"/>
    <w:rsid w:val="0B3145BB"/>
    <w:rsid w:val="0B5308D4"/>
    <w:rsid w:val="0B62608C"/>
    <w:rsid w:val="0BE95032"/>
    <w:rsid w:val="0BF7440E"/>
    <w:rsid w:val="0C183058"/>
    <w:rsid w:val="0C8849AD"/>
    <w:rsid w:val="0C95712B"/>
    <w:rsid w:val="0CBD44D5"/>
    <w:rsid w:val="0CC4072B"/>
    <w:rsid w:val="0CF24637"/>
    <w:rsid w:val="0CFD0263"/>
    <w:rsid w:val="0E2B54C7"/>
    <w:rsid w:val="0E8F38EB"/>
    <w:rsid w:val="0EC80C5B"/>
    <w:rsid w:val="0F7B2D38"/>
    <w:rsid w:val="10090346"/>
    <w:rsid w:val="100E20E9"/>
    <w:rsid w:val="108F47AF"/>
    <w:rsid w:val="109C7D56"/>
    <w:rsid w:val="11325498"/>
    <w:rsid w:val="11727245"/>
    <w:rsid w:val="11C13F63"/>
    <w:rsid w:val="11C4398B"/>
    <w:rsid w:val="11C57E01"/>
    <w:rsid w:val="11DD40A3"/>
    <w:rsid w:val="124B085A"/>
    <w:rsid w:val="127C43FA"/>
    <w:rsid w:val="12E542C2"/>
    <w:rsid w:val="1376193B"/>
    <w:rsid w:val="13AF2A62"/>
    <w:rsid w:val="140E14EE"/>
    <w:rsid w:val="141D25CF"/>
    <w:rsid w:val="15031A58"/>
    <w:rsid w:val="15127864"/>
    <w:rsid w:val="153E2707"/>
    <w:rsid w:val="15CE0DB9"/>
    <w:rsid w:val="15E11B06"/>
    <w:rsid w:val="163D0A11"/>
    <w:rsid w:val="16A076A8"/>
    <w:rsid w:val="16E17FD7"/>
    <w:rsid w:val="17087877"/>
    <w:rsid w:val="170F3531"/>
    <w:rsid w:val="17192215"/>
    <w:rsid w:val="17F90724"/>
    <w:rsid w:val="18180824"/>
    <w:rsid w:val="18377B1D"/>
    <w:rsid w:val="18853962"/>
    <w:rsid w:val="188E7C69"/>
    <w:rsid w:val="18DC7149"/>
    <w:rsid w:val="18E65311"/>
    <w:rsid w:val="19775419"/>
    <w:rsid w:val="1B7A6B81"/>
    <w:rsid w:val="1BA2349A"/>
    <w:rsid w:val="1BEC6B0F"/>
    <w:rsid w:val="1C27355C"/>
    <w:rsid w:val="1C601D9D"/>
    <w:rsid w:val="1C9B0B55"/>
    <w:rsid w:val="1D7651D8"/>
    <w:rsid w:val="1E425E07"/>
    <w:rsid w:val="1E71154D"/>
    <w:rsid w:val="1EA91661"/>
    <w:rsid w:val="1EF814B6"/>
    <w:rsid w:val="1F05006D"/>
    <w:rsid w:val="1FB61E73"/>
    <w:rsid w:val="1FEA2DF0"/>
    <w:rsid w:val="201C373B"/>
    <w:rsid w:val="204C036B"/>
    <w:rsid w:val="207A4B27"/>
    <w:rsid w:val="20C2474B"/>
    <w:rsid w:val="20DE7F97"/>
    <w:rsid w:val="21086AC5"/>
    <w:rsid w:val="21164180"/>
    <w:rsid w:val="21D11228"/>
    <w:rsid w:val="21D65FA3"/>
    <w:rsid w:val="21EA76D2"/>
    <w:rsid w:val="22410CA3"/>
    <w:rsid w:val="22B01153"/>
    <w:rsid w:val="230D5F83"/>
    <w:rsid w:val="231435E3"/>
    <w:rsid w:val="240C2E86"/>
    <w:rsid w:val="260531EE"/>
    <w:rsid w:val="26B143E9"/>
    <w:rsid w:val="26CF68D5"/>
    <w:rsid w:val="26D06059"/>
    <w:rsid w:val="291D3964"/>
    <w:rsid w:val="298B6166"/>
    <w:rsid w:val="29A8508F"/>
    <w:rsid w:val="29D439C5"/>
    <w:rsid w:val="29F71DCE"/>
    <w:rsid w:val="2A5D4013"/>
    <w:rsid w:val="2A73216B"/>
    <w:rsid w:val="2A9A6FE9"/>
    <w:rsid w:val="2C4634F8"/>
    <w:rsid w:val="2C8A7F2A"/>
    <w:rsid w:val="2CA351F8"/>
    <w:rsid w:val="2D876CF3"/>
    <w:rsid w:val="2DDB37E6"/>
    <w:rsid w:val="2E0A0EFD"/>
    <w:rsid w:val="2EDA2071"/>
    <w:rsid w:val="2F3C75DF"/>
    <w:rsid w:val="2F4D7950"/>
    <w:rsid w:val="2F5C0B8A"/>
    <w:rsid w:val="2FB73707"/>
    <w:rsid w:val="300924A8"/>
    <w:rsid w:val="30786DD9"/>
    <w:rsid w:val="30B351BB"/>
    <w:rsid w:val="30C42C66"/>
    <w:rsid w:val="30D83BD1"/>
    <w:rsid w:val="3116556A"/>
    <w:rsid w:val="31403EEE"/>
    <w:rsid w:val="314C4B41"/>
    <w:rsid w:val="3161392D"/>
    <w:rsid w:val="31F1799F"/>
    <w:rsid w:val="32AC098F"/>
    <w:rsid w:val="32AE7C17"/>
    <w:rsid w:val="32FC2794"/>
    <w:rsid w:val="33591408"/>
    <w:rsid w:val="338E2CB9"/>
    <w:rsid w:val="33AE5DBB"/>
    <w:rsid w:val="34485725"/>
    <w:rsid w:val="344C3454"/>
    <w:rsid w:val="34FB1B75"/>
    <w:rsid w:val="350967C7"/>
    <w:rsid w:val="35A54830"/>
    <w:rsid w:val="35E26F61"/>
    <w:rsid w:val="36A93D34"/>
    <w:rsid w:val="36C4459F"/>
    <w:rsid w:val="36CA7098"/>
    <w:rsid w:val="36CE7125"/>
    <w:rsid w:val="36DD06B5"/>
    <w:rsid w:val="38107BBE"/>
    <w:rsid w:val="38592D41"/>
    <w:rsid w:val="38613075"/>
    <w:rsid w:val="38723B01"/>
    <w:rsid w:val="38B17DB0"/>
    <w:rsid w:val="393307F8"/>
    <w:rsid w:val="39345BEF"/>
    <w:rsid w:val="393A4989"/>
    <w:rsid w:val="399E5A8D"/>
    <w:rsid w:val="3A7115CF"/>
    <w:rsid w:val="3A762EA6"/>
    <w:rsid w:val="3AE871ED"/>
    <w:rsid w:val="3B166795"/>
    <w:rsid w:val="3B3A4A72"/>
    <w:rsid w:val="3B426DFA"/>
    <w:rsid w:val="3C0C0FD1"/>
    <w:rsid w:val="3C0D22F1"/>
    <w:rsid w:val="3CFD0D4E"/>
    <w:rsid w:val="3D932ECE"/>
    <w:rsid w:val="3DF6298B"/>
    <w:rsid w:val="3E032F55"/>
    <w:rsid w:val="3E5A5D0F"/>
    <w:rsid w:val="3ED75761"/>
    <w:rsid w:val="3EE60069"/>
    <w:rsid w:val="3F037F80"/>
    <w:rsid w:val="3F5D7C25"/>
    <w:rsid w:val="3F6E7356"/>
    <w:rsid w:val="3FB932C9"/>
    <w:rsid w:val="40CE4481"/>
    <w:rsid w:val="41044933"/>
    <w:rsid w:val="41B64242"/>
    <w:rsid w:val="41D930E9"/>
    <w:rsid w:val="420172F8"/>
    <w:rsid w:val="4214444F"/>
    <w:rsid w:val="428178ED"/>
    <w:rsid w:val="437F3C55"/>
    <w:rsid w:val="443E1922"/>
    <w:rsid w:val="445544D0"/>
    <w:rsid w:val="44883556"/>
    <w:rsid w:val="44B87F07"/>
    <w:rsid w:val="4566672F"/>
    <w:rsid w:val="4597553F"/>
    <w:rsid w:val="45B96669"/>
    <w:rsid w:val="46B251D5"/>
    <w:rsid w:val="46D75F15"/>
    <w:rsid w:val="47873FED"/>
    <w:rsid w:val="478A5985"/>
    <w:rsid w:val="485A7764"/>
    <w:rsid w:val="48697707"/>
    <w:rsid w:val="487D34CE"/>
    <w:rsid w:val="48812C6D"/>
    <w:rsid w:val="48FA0CCE"/>
    <w:rsid w:val="497E67FC"/>
    <w:rsid w:val="49ED2EF0"/>
    <w:rsid w:val="4A340908"/>
    <w:rsid w:val="4A654689"/>
    <w:rsid w:val="4AFB712A"/>
    <w:rsid w:val="4B3F2937"/>
    <w:rsid w:val="4B722F98"/>
    <w:rsid w:val="4BDA732C"/>
    <w:rsid w:val="4C747C00"/>
    <w:rsid w:val="4CAE23D4"/>
    <w:rsid w:val="4CF16EBB"/>
    <w:rsid w:val="4CF27A3F"/>
    <w:rsid w:val="4D952847"/>
    <w:rsid w:val="4E0B76F3"/>
    <w:rsid w:val="4E111E7F"/>
    <w:rsid w:val="4E1F0A8F"/>
    <w:rsid w:val="4E9B72CC"/>
    <w:rsid w:val="4EC37F7A"/>
    <w:rsid w:val="4EFE4BD1"/>
    <w:rsid w:val="4FF36AD1"/>
    <w:rsid w:val="503B6ED8"/>
    <w:rsid w:val="506E60D9"/>
    <w:rsid w:val="50F4209B"/>
    <w:rsid w:val="51B306F8"/>
    <w:rsid w:val="52D660AA"/>
    <w:rsid w:val="53646DCD"/>
    <w:rsid w:val="53932D81"/>
    <w:rsid w:val="539D4641"/>
    <w:rsid w:val="53AB1337"/>
    <w:rsid w:val="53EF0B3B"/>
    <w:rsid w:val="54507861"/>
    <w:rsid w:val="547919F2"/>
    <w:rsid w:val="54FC1BBE"/>
    <w:rsid w:val="55344959"/>
    <w:rsid w:val="553F47A0"/>
    <w:rsid w:val="554561C6"/>
    <w:rsid w:val="555108DF"/>
    <w:rsid w:val="55686A77"/>
    <w:rsid w:val="55AE0DFF"/>
    <w:rsid w:val="55F857FB"/>
    <w:rsid w:val="560C77A6"/>
    <w:rsid w:val="569D378C"/>
    <w:rsid w:val="56AB6EAC"/>
    <w:rsid w:val="56F56768"/>
    <w:rsid w:val="571C15EB"/>
    <w:rsid w:val="577B64B7"/>
    <w:rsid w:val="585D55F4"/>
    <w:rsid w:val="58734628"/>
    <w:rsid w:val="598F0310"/>
    <w:rsid w:val="59FD2825"/>
    <w:rsid w:val="5A0B5058"/>
    <w:rsid w:val="5A0E1D6B"/>
    <w:rsid w:val="5AFA5E58"/>
    <w:rsid w:val="5B1F26BA"/>
    <w:rsid w:val="5B4162F2"/>
    <w:rsid w:val="5B6B1990"/>
    <w:rsid w:val="5B6E2B3B"/>
    <w:rsid w:val="5C270F1D"/>
    <w:rsid w:val="5C8F3336"/>
    <w:rsid w:val="5C927AE0"/>
    <w:rsid w:val="5CDE243B"/>
    <w:rsid w:val="5D754213"/>
    <w:rsid w:val="5D837E1D"/>
    <w:rsid w:val="5DAF4A90"/>
    <w:rsid w:val="5E102188"/>
    <w:rsid w:val="5EA6472F"/>
    <w:rsid w:val="5EC22C27"/>
    <w:rsid w:val="5F041F5F"/>
    <w:rsid w:val="5F1337E9"/>
    <w:rsid w:val="5F3F6973"/>
    <w:rsid w:val="5FA75912"/>
    <w:rsid w:val="5FAA5D2A"/>
    <w:rsid w:val="5FE45DE0"/>
    <w:rsid w:val="5FE5141B"/>
    <w:rsid w:val="60D85E8A"/>
    <w:rsid w:val="612E6E2A"/>
    <w:rsid w:val="61604458"/>
    <w:rsid w:val="62FE7930"/>
    <w:rsid w:val="6315604E"/>
    <w:rsid w:val="643C24D3"/>
    <w:rsid w:val="64F54A79"/>
    <w:rsid w:val="64FB32AF"/>
    <w:rsid w:val="65037CE8"/>
    <w:rsid w:val="652D0705"/>
    <w:rsid w:val="65676159"/>
    <w:rsid w:val="65E26DFB"/>
    <w:rsid w:val="65EF3B0C"/>
    <w:rsid w:val="66740FA8"/>
    <w:rsid w:val="66C36A2F"/>
    <w:rsid w:val="670B0B64"/>
    <w:rsid w:val="67C65F33"/>
    <w:rsid w:val="682E085A"/>
    <w:rsid w:val="690B57BB"/>
    <w:rsid w:val="693718D7"/>
    <w:rsid w:val="69801D62"/>
    <w:rsid w:val="69AB7271"/>
    <w:rsid w:val="69B27FF1"/>
    <w:rsid w:val="6A246A40"/>
    <w:rsid w:val="6A5B058F"/>
    <w:rsid w:val="6AAD5175"/>
    <w:rsid w:val="6AFB15BD"/>
    <w:rsid w:val="6B0C7C6D"/>
    <w:rsid w:val="6B530184"/>
    <w:rsid w:val="6BA04A3E"/>
    <w:rsid w:val="6C042199"/>
    <w:rsid w:val="6C2F1675"/>
    <w:rsid w:val="6C4A1BC7"/>
    <w:rsid w:val="6CE15D0F"/>
    <w:rsid w:val="6CFC63A0"/>
    <w:rsid w:val="6D456446"/>
    <w:rsid w:val="6D9165AA"/>
    <w:rsid w:val="6DBB590E"/>
    <w:rsid w:val="6DDB10B7"/>
    <w:rsid w:val="6E6F41E6"/>
    <w:rsid w:val="6E865A0B"/>
    <w:rsid w:val="6ECB5AFA"/>
    <w:rsid w:val="6F2A656C"/>
    <w:rsid w:val="6F9159A1"/>
    <w:rsid w:val="6FE96964"/>
    <w:rsid w:val="70966945"/>
    <w:rsid w:val="70D46D82"/>
    <w:rsid w:val="71462673"/>
    <w:rsid w:val="724E3782"/>
    <w:rsid w:val="72803975"/>
    <w:rsid w:val="728152E3"/>
    <w:rsid w:val="72902DA7"/>
    <w:rsid w:val="72A57890"/>
    <w:rsid w:val="72AD55AD"/>
    <w:rsid w:val="72FB462A"/>
    <w:rsid w:val="7336492E"/>
    <w:rsid w:val="73673268"/>
    <w:rsid w:val="73B54DDE"/>
    <w:rsid w:val="743F2AD2"/>
    <w:rsid w:val="7470173A"/>
    <w:rsid w:val="74CB497C"/>
    <w:rsid w:val="75F82604"/>
    <w:rsid w:val="76301283"/>
    <w:rsid w:val="764F12F9"/>
    <w:rsid w:val="767874E3"/>
    <w:rsid w:val="768024F8"/>
    <w:rsid w:val="76A924E8"/>
    <w:rsid w:val="77187B21"/>
    <w:rsid w:val="774B1B00"/>
    <w:rsid w:val="775725A0"/>
    <w:rsid w:val="777A2A82"/>
    <w:rsid w:val="78D70170"/>
    <w:rsid w:val="78FE2CC9"/>
    <w:rsid w:val="7904245B"/>
    <w:rsid w:val="79123E17"/>
    <w:rsid w:val="791A18CD"/>
    <w:rsid w:val="792B04A4"/>
    <w:rsid w:val="79387F53"/>
    <w:rsid w:val="7A31432B"/>
    <w:rsid w:val="7A7D2F58"/>
    <w:rsid w:val="7AE925C7"/>
    <w:rsid w:val="7C2D6B7E"/>
    <w:rsid w:val="7C301325"/>
    <w:rsid w:val="7C94167F"/>
    <w:rsid w:val="7CC42822"/>
    <w:rsid w:val="7D104923"/>
    <w:rsid w:val="7E0D5A4A"/>
    <w:rsid w:val="7F642A46"/>
    <w:rsid w:val="7F64616D"/>
    <w:rsid w:val="7F714BC0"/>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2">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unhideWhenUsed/>
    <w:qFormat/>
    <w:uiPriority w:val="1"/>
  </w:style>
  <w:style w:type="table" w:default="1" w:styleId="20">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unhideWhenUsed/>
    <w:qFormat/>
    <w:uiPriority w:val="99"/>
    <w:pPr>
      <w:jc w:val="left"/>
    </w:pPr>
  </w:style>
  <w:style w:type="paragraph" w:styleId="9">
    <w:name w:val="Body Text"/>
    <w:basedOn w:val="10"/>
    <w:next w:val="10"/>
    <w:unhideWhenUsed/>
    <w:qFormat/>
    <w:uiPriority w:val="0"/>
    <w:pPr>
      <w:spacing w:after="120"/>
    </w:pPr>
  </w:style>
  <w:style w:type="paragraph" w:styleId="10">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1">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2">
    <w:name w:val="Plain Text"/>
    <w:basedOn w:val="1"/>
    <w:link w:val="26"/>
    <w:qFormat/>
    <w:uiPriority w:val="99"/>
    <w:rPr>
      <w:rFonts w:ascii="宋体" w:hAnsi="Courier New" w:eastAsiaTheme="minorEastAsia" w:cstheme="minorBidi"/>
    </w:rPr>
  </w:style>
  <w:style w:type="paragraph" w:styleId="13">
    <w:name w:val="Balloon Text"/>
    <w:basedOn w:val="1"/>
    <w:link w:val="41"/>
    <w:qFormat/>
    <w:uiPriority w:val="0"/>
    <w:rPr>
      <w:rFonts w:asciiTheme="minorHAnsi" w:hAnsiTheme="minorHAnsi" w:cstheme="minorBidi"/>
      <w:sz w:val="18"/>
      <w:szCs w:val="18"/>
    </w:rPr>
  </w:style>
  <w:style w:type="paragraph" w:styleId="14">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5">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6">
    <w:name w:val="toc 1"/>
    <w:basedOn w:val="1"/>
    <w:next w:val="1"/>
    <w:qFormat/>
    <w:uiPriority w:val="39"/>
    <w:pPr>
      <w:spacing w:beforeLines="50" w:line="360" w:lineRule="auto"/>
    </w:pPr>
    <w:rPr>
      <w:rFonts w:eastAsia="黑体"/>
    </w:rPr>
  </w:style>
  <w:style w:type="paragraph" w:styleId="17">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2"/>
    <w:qFormat/>
    <w:uiPriority w:val="0"/>
    <w:rPr>
      <w:rFonts w:ascii="宋体" w:hAnsi="Courier New"/>
      <w:szCs w:val="24"/>
    </w:rPr>
  </w:style>
  <w:style w:type="character" w:customStyle="1" w:styleId="27">
    <w:name w:val="页脚 字符"/>
    <w:link w:val="14"/>
    <w:qFormat/>
    <w:uiPriority w:val="99"/>
    <w:rPr>
      <w:rFonts w:eastAsia="宋体"/>
      <w:sz w:val="18"/>
      <w:szCs w:val="18"/>
    </w:rPr>
  </w:style>
  <w:style w:type="character" w:customStyle="1" w:styleId="28">
    <w:name w:val="标题 字符"/>
    <w:link w:val="10"/>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5"/>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3"/>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2"/>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3"/>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0"/>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1526</Words>
  <Characters>1597</Characters>
  <Lines>18</Lines>
  <Paragraphs>5</Paragraphs>
  <TotalTime>8</TotalTime>
  <ScaleCrop>false</ScaleCrop>
  <LinksUpToDate>false</LinksUpToDate>
  <CharactersWithSpaces>1745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Administrator</cp:lastModifiedBy>
  <cp:lastPrinted>2021-07-01T10:50:00Z</cp:lastPrinted>
  <dcterms:modified xsi:type="dcterms:W3CDTF">2023-12-12T02:10:49Z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70091B497A4144BF857FF78D8A215326</vt:lpwstr>
  </property>
</Properties>
</file>