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color w:val="auto"/>
        </w:rPr>
      </w:pPr>
      <w:bookmarkStart w:id="0" w:name="_Toc131133981"/>
      <w:bookmarkStart w:id="1" w:name="_Toc114028927"/>
      <w:bookmarkStart w:id="2" w:name="_Toc131168595"/>
      <w:bookmarkStart w:id="3" w:name="_Toc183578143"/>
      <w:bookmarkStart w:id="4" w:name="_Toc131134226"/>
      <w:bookmarkStart w:id="5" w:name="_Toc131134327"/>
      <w:r>
        <w:rPr>
          <w:color w:val="auto"/>
        </w:rPr>
        <w:drawing>
          <wp:anchor distT="0" distB="0" distL="114300" distR="114300" simplePos="0" relativeHeight="251659264" behindDoc="1" locked="0" layoutInCell="1" allowOverlap="1">
            <wp:simplePos x="0" y="0"/>
            <wp:positionH relativeFrom="column">
              <wp:posOffset>-1000125</wp:posOffset>
            </wp:positionH>
            <wp:positionV relativeFrom="paragraph">
              <wp:posOffset>-925195</wp:posOffset>
            </wp:positionV>
            <wp:extent cx="8915400" cy="2736850"/>
            <wp:effectExtent l="0" t="0" r="0" b="6350"/>
            <wp:wrapTight wrapText="bothSides">
              <wp:wrapPolygon>
                <wp:start x="0" y="0"/>
                <wp:lineTo x="0" y="21500"/>
                <wp:lineTo x="21554" y="21500"/>
                <wp:lineTo x="21554" y="0"/>
                <wp:lineTo x="0" y="0"/>
              </wp:wrapPolygon>
            </wp:wrapTight>
            <wp:docPr id="1" name="Picture 5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2" descr="模板-3"/>
                    <pic:cNvPicPr>
                      <a:picLocks noChangeAspect="1"/>
                    </pic:cNvPicPr>
                  </pic:nvPicPr>
                  <pic:blipFill>
                    <a:blip r:embed="rId10"/>
                    <a:stretch>
                      <a:fillRect/>
                    </a:stretch>
                  </pic:blipFill>
                  <pic:spPr>
                    <a:xfrm>
                      <a:off x="0" y="0"/>
                      <a:ext cx="8915400" cy="2736850"/>
                    </a:xfrm>
                    <a:prstGeom prst="rect">
                      <a:avLst/>
                    </a:prstGeom>
                    <a:noFill/>
                    <a:ln>
                      <a:noFill/>
                    </a:ln>
                  </pic:spPr>
                </pic:pic>
              </a:graphicData>
            </a:graphic>
          </wp:anchor>
        </w:drawing>
      </w:r>
    </w:p>
    <w:p>
      <w:pPr>
        <w:adjustRightInd w:val="0"/>
        <w:spacing w:line="360" w:lineRule="auto"/>
        <w:jc w:val="center"/>
        <w:rPr>
          <w:rFonts w:hint="default" w:eastAsia="黑体"/>
          <w:b/>
          <w:color w:val="auto"/>
          <w:sz w:val="48"/>
          <w:szCs w:val="48"/>
          <w:highlight w:val="none"/>
          <w:lang w:val="en-US" w:eastAsia="zh-CN"/>
        </w:rPr>
      </w:pPr>
      <w:r>
        <w:rPr>
          <w:rFonts w:hint="eastAsia" w:eastAsia="黑体"/>
          <w:b/>
          <w:color w:val="auto"/>
          <w:sz w:val="48"/>
          <w:szCs w:val="48"/>
          <w:highlight w:val="none"/>
          <w:lang w:val="en-US" w:eastAsia="zh-CN"/>
        </w:rPr>
        <w:t>云南电网</w:t>
      </w:r>
      <w:r>
        <w:rPr>
          <w:rFonts w:hint="default" w:eastAsia="黑体"/>
          <w:b/>
          <w:color w:val="auto"/>
          <w:sz w:val="48"/>
          <w:szCs w:val="48"/>
          <w:highlight w:val="none"/>
          <w:lang w:val="en-US" w:eastAsia="zh-CN"/>
        </w:rPr>
        <w:t>普洱供电局</w:t>
      </w:r>
    </w:p>
    <w:p>
      <w:pPr>
        <w:adjustRightInd w:val="0"/>
        <w:spacing w:line="360" w:lineRule="auto"/>
        <w:jc w:val="center"/>
        <w:rPr>
          <w:rFonts w:hint="default" w:eastAsia="黑体"/>
          <w:b/>
          <w:color w:val="auto"/>
          <w:sz w:val="48"/>
          <w:szCs w:val="48"/>
          <w:highlight w:val="none"/>
          <w:lang w:val="en-US" w:eastAsia="zh-CN"/>
        </w:rPr>
      </w:pPr>
      <w:r>
        <w:rPr>
          <w:rFonts w:hint="default" w:eastAsia="黑体"/>
          <w:b/>
          <w:color w:val="auto"/>
          <w:sz w:val="48"/>
          <w:szCs w:val="48"/>
          <w:highlight w:val="none"/>
          <w:lang w:val="en-US" w:eastAsia="zh-CN"/>
        </w:rPr>
        <w:t>变电修试所2024年生产材料费</w:t>
      </w:r>
    </w:p>
    <w:p>
      <w:pPr>
        <w:adjustRightInd w:val="0"/>
        <w:spacing w:line="360" w:lineRule="auto"/>
        <w:jc w:val="center"/>
        <w:rPr>
          <w:rFonts w:hint="eastAsia" w:eastAsia="黑体"/>
          <w:b/>
          <w:color w:val="auto"/>
          <w:sz w:val="48"/>
          <w:szCs w:val="48"/>
          <w:highlight w:val="none"/>
          <w:lang w:val="en-US" w:eastAsia="zh-CN"/>
        </w:rPr>
      </w:pPr>
      <w:r>
        <w:rPr>
          <w:rFonts w:hint="eastAsia" w:eastAsia="黑体"/>
          <w:b/>
          <w:color w:val="auto"/>
          <w:sz w:val="48"/>
          <w:szCs w:val="48"/>
          <w:highlight w:val="none"/>
          <w:lang w:val="en-US" w:eastAsia="zh-CN"/>
        </w:rPr>
        <w:t>110kV恩乐变110kV#1主变散热器渗油</w:t>
      </w:r>
      <w:r>
        <w:rPr>
          <w:rFonts w:hint="eastAsia" w:eastAsia="黑体"/>
          <w:b/>
          <w:color w:val="auto"/>
          <w:sz w:val="48"/>
          <w:szCs w:val="48"/>
          <w:highlight w:val="none"/>
          <w:lang w:val="en-US" w:eastAsia="zh-CN"/>
        </w:rPr>
        <w:t>物资采购</w:t>
      </w:r>
    </w:p>
    <w:p>
      <w:pPr>
        <w:tabs>
          <w:tab w:val="left" w:pos="2700"/>
        </w:tabs>
        <w:spacing w:line="360" w:lineRule="auto"/>
        <w:jc w:val="center"/>
        <w:rPr>
          <w:rFonts w:hint="eastAsia" w:eastAsia="黑体"/>
          <w:b/>
          <w:color w:val="auto"/>
          <w:sz w:val="52"/>
          <w:highlight w:val="none"/>
          <w:lang w:val="en-US" w:eastAsia="zh-CN"/>
        </w:rPr>
      </w:pPr>
    </w:p>
    <w:p>
      <w:pPr>
        <w:tabs>
          <w:tab w:val="left" w:pos="2700"/>
        </w:tabs>
        <w:spacing w:line="360" w:lineRule="auto"/>
        <w:jc w:val="center"/>
        <w:rPr>
          <w:rFonts w:hint="eastAsia" w:eastAsia="黑体"/>
          <w:b/>
          <w:color w:val="auto"/>
          <w:sz w:val="52"/>
          <w:highlight w:val="none"/>
          <w:lang w:val="en-US" w:eastAsia="zh-CN"/>
        </w:rPr>
      </w:pPr>
    </w:p>
    <w:p>
      <w:pPr>
        <w:tabs>
          <w:tab w:val="left" w:pos="2700"/>
        </w:tabs>
        <w:spacing w:line="360" w:lineRule="auto"/>
        <w:jc w:val="center"/>
        <w:rPr>
          <w:rFonts w:hint="eastAsia" w:eastAsia="黑体"/>
          <w:b/>
          <w:color w:val="auto"/>
          <w:sz w:val="52"/>
          <w:highlight w:val="none"/>
          <w:lang w:val="en-US" w:eastAsia="zh-CN"/>
        </w:rPr>
      </w:pPr>
    </w:p>
    <w:p>
      <w:pPr>
        <w:tabs>
          <w:tab w:val="left" w:pos="2700"/>
        </w:tabs>
        <w:spacing w:line="360" w:lineRule="auto"/>
        <w:jc w:val="center"/>
        <w:rPr>
          <w:rFonts w:hint="eastAsia" w:eastAsia="黑体"/>
          <w:b/>
          <w:color w:val="auto"/>
          <w:sz w:val="52"/>
          <w:highlight w:val="none"/>
          <w:lang w:val="en-US" w:eastAsia="zh-CN"/>
        </w:rPr>
      </w:pPr>
    </w:p>
    <w:p>
      <w:pPr>
        <w:pStyle w:val="10"/>
        <w:spacing w:line="480" w:lineRule="auto"/>
        <w:ind w:firstLine="3132" w:firstLineChars="600"/>
        <w:jc w:val="both"/>
        <w:rPr>
          <w:rFonts w:hint="default"/>
          <w:color w:val="auto"/>
          <w:sz w:val="52"/>
          <w:szCs w:val="52"/>
          <w:lang w:val="en-US"/>
        </w:rPr>
      </w:pPr>
      <w:r>
        <w:rPr>
          <w:rFonts w:hint="eastAsia" w:eastAsia="黑体"/>
          <w:b/>
          <w:color w:val="auto"/>
          <w:sz w:val="52"/>
          <w:highlight w:val="none"/>
          <w:lang w:val="en-US" w:eastAsia="zh-CN"/>
        </w:rPr>
        <w:t>技术规范书</w:t>
      </w:r>
    </w:p>
    <w:p>
      <w:pPr>
        <w:pStyle w:val="10"/>
        <w:spacing w:line="480" w:lineRule="auto"/>
        <w:ind w:firstLine="0" w:firstLineChars="0"/>
        <w:jc w:val="both"/>
        <w:rPr>
          <w:color w:val="auto"/>
          <w:sz w:val="52"/>
          <w:szCs w:val="52"/>
        </w:rPr>
      </w:pPr>
    </w:p>
    <w:p>
      <w:pPr>
        <w:jc w:val="center"/>
        <w:rPr>
          <w:b/>
          <w:bCs/>
          <w:color w:val="auto"/>
        </w:rPr>
        <w:sectPr>
          <w:footerReference r:id="rId7" w:type="first"/>
          <w:headerReference r:id="rId3" w:type="default"/>
          <w:footerReference r:id="rId5" w:type="default"/>
          <w:headerReference r:id="rId4" w:type="even"/>
          <w:footerReference r:id="rId6" w:type="even"/>
          <w:pgSz w:w="11906" w:h="16838"/>
          <w:pgMar w:top="1440" w:right="1616" w:bottom="1440" w:left="1575" w:header="851" w:footer="992" w:gutter="0"/>
          <w:pgNumType w:start="0"/>
          <w:cols w:space="720" w:num="1"/>
          <w:titlePg/>
          <w:docGrid w:type="lines" w:linePitch="312" w:charSpace="0"/>
        </w:sectPr>
      </w:pPr>
      <w:r>
        <w:rPr>
          <w:rFonts w:hint="eastAsia"/>
          <w:b/>
          <w:bCs/>
          <w:color w:val="auto"/>
          <w:sz w:val="32"/>
          <w:szCs w:val="32"/>
        </w:rPr>
        <w:t>202</w:t>
      </w:r>
      <w:r>
        <w:rPr>
          <w:rFonts w:hint="eastAsia"/>
          <w:b/>
          <w:bCs/>
          <w:color w:val="auto"/>
          <w:sz w:val="32"/>
          <w:szCs w:val="32"/>
          <w:lang w:val="en-US" w:eastAsia="zh-CN"/>
        </w:rPr>
        <w:t>4</w:t>
      </w:r>
      <w:r>
        <w:rPr>
          <w:rFonts w:hint="eastAsia"/>
          <w:b/>
          <w:bCs/>
          <w:color w:val="auto"/>
          <w:sz w:val="32"/>
          <w:szCs w:val="32"/>
        </w:rPr>
        <w:t>年</w:t>
      </w:r>
      <w:r>
        <w:rPr>
          <w:rFonts w:hint="eastAsia"/>
          <w:b/>
          <w:bCs/>
          <w:color w:val="auto"/>
          <w:sz w:val="32"/>
          <w:szCs w:val="32"/>
          <w:lang w:val="en-US" w:eastAsia="zh-CN"/>
        </w:rPr>
        <w:t>03</w:t>
      </w:r>
      <w:r>
        <w:rPr>
          <w:rFonts w:hint="eastAsia"/>
          <w:b/>
          <w:bCs/>
          <w:color w:val="auto"/>
          <w:sz w:val="32"/>
          <w:szCs w:val="32"/>
        </w:rPr>
        <w:t>月</w:t>
      </w:r>
      <w:bookmarkEnd w:id="0"/>
      <w:bookmarkEnd w:id="1"/>
      <w:bookmarkEnd w:id="2"/>
      <w:bookmarkEnd w:id="3"/>
      <w:bookmarkEnd w:id="4"/>
      <w:bookmarkEnd w:id="5"/>
      <w:bookmarkStart w:id="6" w:name="_Toc241911990"/>
    </w:p>
    <w:bookmarkEnd w:id="6"/>
    <w:sdt>
      <w:sdtPr>
        <w:rPr>
          <w:rFonts w:ascii="宋体" w:hAnsi="宋体" w:eastAsia="宋体" w:cs="Times New Roman"/>
          <w:kern w:val="2"/>
          <w:sz w:val="21"/>
          <w:szCs w:val="24"/>
          <w:lang w:val="en-US" w:eastAsia="zh-CN" w:bidi="ar-SA"/>
        </w:rPr>
        <w:id w:val="147476315"/>
        <w:docPartObj>
          <w:docPartGallery w:val="Table of Contents"/>
          <w:docPartUnique/>
        </w:docPartObj>
      </w:sdtPr>
      <w:sdtEndPr>
        <w:rPr>
          <w:rFonts w:ascii="Times New Roman" w:hAnsi="Times New Roman" w:eastAsia="宋体" w:cs="Times New Roman"/>
          <w:kern w:val="2"/>
          <w:sz w:val="20"/>
          <w:szCs w:val="20"/>
          <w:lang w:val="en-US" w:eastAsia="zh-CN" w:bidi="ar-SA"/>
        </w:rPr>
      </w:sdtEndPr>
      <w:sdtContent>
        <w:p>
          <w:pPr>
            <w:spacing w:before="0" w:beforeLines="0" w:after="0" w:afterLines="0" w:line="240" w:lineRule="auto"/>
            <w:ind w:left="0" w:leftChars="0" w:right="0" w:rightChars="0" w:firstLine="0" w:firstLineChars="0"/>
            <w:jc w:val="center"/>
          </w:pPr>
          <w:bookmarkStart w:id="7" w:name="_Toc17024_WPSOffice_Type2"/>
          <w:r>
            <w:rPr>
              <w:rFonts w:ascii="宋体" w:hAnsi="宋体" w:eastAsia="宋体"/>
              <w:sz w:val="21"/>
            </w:rPr>
            <w:t>目录</w:t>
          </w:r>
        </w:p>
        <w:p>
          <w:pPr>
            <w:pStyle w:val="12"/>
            <w:tabs>
              <w:tab w:val="right" w:leader="dot" w:pos="9299"/>
            </w:tabs>
          </w:pPr>
          <w:r>
            <w:rPr>
              <w:b/>
              <w:bCs/>
            </w:rPr>
            <w:fldChar w:fldCharType="begin"/>
          </w:r>
          <w:r>
            <w:instrText xml:space="preserve"> HYPERLINK \l _Toc20275_WPSOffice_Level1 </w:instrText>
          </w:r>
          <w:r>
            <w:rPr>
              <w:b/>
              <w:bCs/>
            </w:rPr>
            <w:fldChar w:fldCharType="separate"/>
          </w:r>
          <w:sdt>
            <w:sdtPr>
              <w:rPr>
                <w:rFonts w:ascii="Times New Roman" w:hAnsi="Times New Roman" w:eastAsia="宋体" w:cs="Times New Roman"/>
                <w:b/>
                <w:bCs/>
                <w:kern w:val="2"/>
                <w:sz w:val="21"/>
                <w:szCs w:val="24"/>
                <w:lang w:val="en-US" w:eastAsia="zh-CN" w:bidi="ar-SA"/>
              </w:rPr>
              <w:id w:val="147476315"/>
              <w:placeholder>
                <w:docPart w:val="{92799b6d-bb01-46a6-8846-10dc46013b06}"/>
              </w:placeholder>
            </w:sdtPr>
            <w:sdtEndPr>
              <w:rPr>
                <w:rFonts w:ascii="Times New Roman" w:hAnsi="Times New Roman" w:eastAsia="宋体" w:cs="Times New Roman"/>
                <w:b/>
                <w:bCs/>
                <w:kern w:val="2"/>
                <w:sz w:val="21"/>
                <w:szCs w:val="24"/>
                <w:lang w:val="en-US" w:eastAsia="zh-CN" w:bidi="ar-SA"/>
              </w:rPr>
            </w:sdtEndPr>
            <w:sdtContent>
              <w:r>
                <w:rPr>
                  <w:rFonts w:hint="eastAsia" w:ascii="EU-F1" w:hAnsi="Times New Roman" w:eastAsia="黑体" w:cs="Times New Roman"/>
                  <w:b/>
                  <w:bCs/>
                </w:rPr>
                <w:t>1  总则</w:t>
              </w:r>
            </w:sdtContent>
          </w:sdt>
          <w:r>
            <w:rPr>
              <w:b/>
              <w:bCs/>
            </w:rPr>
            <w:tab/>
          </w:r>
          <w:bookmarkStart w:id="8" w:name="_Toc20275_WPSOffice_Level1Page"/>
          <w:r>
            <w:rPr>
              <w:b/>
              <w:bCs/>
            </w:rPr>
            <w:t>1</w:t>
          </w:r>
          <w:bookmarkEnd w:id="8"/>
          <w:r>
            <w:rPr>
              <w:b/>
              <w:bCs/>
            </w:rPr>
            <w:fldChar w:fldCharType="end"/>
          </w:r>
        </w:p>
        <w:p>
          <w:pPr>
            <w:pStyle w:val="13"/>
            <w:tabs>
              <w:tab w:val="right" w:leader="dot" w:pos="9299"/>
            </w:tabs>
          </w:pPr>
          <w:r>
            <w:fldChar w:fldCharType="begin"/>
          </w:r>
          <w:r>
            <w:instrText xml:space="preserve"> HYPERLINK \l _Toc17024_WPSOffice_Level2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85621f2a-5020-4188-bbe9-dde3156398a1}"/>
              </w:placeholder>
            </w:sdtPr>
            <w:sdtEndPr>
              <w:rPr>
                <w:rFonts w:ascii="Times New Roman" w:hAnsi="Times New Roman" w:eastAsia="宋体" w:cs="Times New Roman"/>
                <w:kern w:val="2"/>
                <w:sz w:val="21"/>
                <w:szCs w:val="24"/>
                <w:lang w:val="en-US" w:eastAsia="zh-CN" w:bidi="ar-SA"/>
              </w:rPr>
            </w:sdtEndPr>
            <w:sdtContent>
              <w:r>
                <w:rPr>
                  <w:rFonts w:hint="eastAsia" w:ascii="EU-F1" w:hAnsi="Times New Roman" w:eastAsia="黑体" w:cs="Times New Roman"/>
                </w:rPr>
                <w:t>1.1  引言</w:t>
              </w:r>
            </w:sdtContent>
          </w:sdt>
          <w:r>
            <w:tab/>
          </w:r>
          <w:bookmarkStart w:id="9" w:name="_Toc17024_WPSOffice_Level2Page"/>
          <w:r>
            <w:t>1</w:t>
          </w:r>
          <w:bookmarkEnd w:id="9"/>
          <w:r>
            <w:fldChar w:fldCharType="end"/>
          </w:r>
        </w:p>
        <w:p>
          <w:pPr>
            <w:pStyle w:val="13"/>
            <w:tabs>
              <w:tab w:val="right" w:leader="dot" w:pos="9299"/>
            </w:tabs>
          </w:pPr>
          <w:r>
            <w:fldChar w:fldCharType="begin"/>
          </w:r>
          <w:r>
            <w:instrText xml:space="preserve"> HYPERLINK \l _Toc22516_WPSOffice_Level2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69976f9c-a02f-4b7a-857c-4d010063a5ea}"/>
              </w:placeholder>
            </w:sdtPr>
            <w:sdtEndPr>
              <w:rPr>
                <w:rFonts w:ascii="Times New Roman" w:hAnsi="Times New Roman" w:eastAsia="宋体" w:cs="Times New Roman"/>
                <w:kern w:val="2"/>
                <w:sz w:val="21"/>
                <w:szCs w:val="24"/>
                <w:lang w:val="en-US" w:eastAsia="zh-CN" w:bidi="ar-SA"/>
              </w:rPr>
            </w:sdtEndPr>
            <w:sdtContent>
              <w:r>
                <w:rPr>
                  <w:rFonts w:ascii="EU-F1" w:hAnsi="Times New Roman" w:eastAsia="黑体" w:cs="Times New Roman"/>
                </w:rPr>
                <w:t>1.2</w:t>
              </w:r>
              <w:r>
                <w:rPr>
                  <w:rFonts w:hint="eastAsia" w:ascii="EU-F1" w:hAnsi="Times New Roman" w:eastAsia="黑体" w:cs="Times New Roman"/>
                </w:rPr>
                <w:t xml:space="preserve">  货物需求及供货范围一览表</w:t>
              </w:r>
            </w:sdtContent>
          </w:sdt>
          <w:r>
            <w:tab/>
          </w:r>
          <w:bookmarkStart w:id="10" w:name="_Toc22516_WPSOffice_Level2Page"/>
          <w:r>
            <w:t>1</w:t>
          </w:r>
          <w:bookmarkEnd w:id="10"/>
          <w:r>
            <w:fldChar w:fldCharType="end"/>
          </w:r>
        </w:p>
        <w:p>
          <w:pPr>
            <w:pStyle w:val="13"/>
            <w:tabs>
              <w:tab w:val="right" w:leader="dot" w:pos="9299"/>
            </w:tabs>
          </w:pPr>
          <w:r>
            <w:fldChar w:fldCharType="begin"/>
          </w:r>
          <w:r>
            <w:instrText xml:space="preserve"> HYPERLINK \l _Toc1514_WPSOffice_Level2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572f5e4f-100e-46d5-85e1-288877a36738}"/>
              </w:placeholder>
            </w:sdtPr>
            <w:sdtEndPr>
              <w:rPr>
                <w:rFonts w:ascii="Times New Roman" w:hAnsi="Times New Roman" w:eastAsia="宋体" w:cs="Times New Roman"/>
                <w:kern w:val="2"/>
                <w:sz w:val="21"/>
                <w:szCs w:val="24"/>
                <w:lang w:val="en-US" w:eastAsia="zh-CN" w:bidi="ar-SA"/>
              </w:rPr>
            </w:sdtEndPr>
            <w:sdtContent>
              <w:r>
                <w:rPr>
                  <w:rFonts w:ascii="EU-F1" w:hAnsi="Times New Roman" w:eastAsia="黑体" w:cs="Times New Roman"/>
                </w:rPr>
                <w:t>1.</w:t>
              </w:r>
              <w:r>
                <w:rPr>
                  <w:rFonts w:hint="eastAsia" w:ascii="EU-F1" w:hAnsi="Times New Roman" w:eastAsia="黑体" w:cs="Times New Roman"/>
                </w:rPr>
                <w:t xml:space="preserve">3  </w:t>
              </w:r>
              <w:r>
                <w:rPr>
                  <w:rFonts w:ascii="EU-F1" w:hAnsi="Times New Roman" w:eastAsia="黑体" w:cs="Times New Roman"/>
                </w:rPr>
                <w:t>供方职责</w:t>
              </w:r>
            </w:sdtContent>
          </w:sdt>
          <w:r>
            <w:tab/>
          </w:r>
          <w:bookmarkStart w:id="11" w:name="_Toc1514_WPSOffice_Level2Page"/>
          <w:r>
            <w:t>2</w:t>
          </w:r>
          <w:bookmarkEnd w:id="11"/>
          <w:r>
            <w:fldChar w:fldCharType="end"/>
          </w:r>
        </w:p>
        <w:p>
          <w:pPr>
            <w:pStyle w:val="12"/>
            <w:tabs>
              <w:tab w:val="right" w:leader="dot" w:pos="9299"/>
            </w:tabs>
          </w:pPr>
          <w:r>
            <w:rPr>
              <w:b/>
              <w:bCs/>
            </w:rPr>
            <w:fldChar w:fldCharType="begin"/>
          </w:r>
          <w:r>
            <w:instrText xml:space="preserve"> HYPERLINK \l _Toc17024_WPSOffice_Level1 </w:instrText>
          </w:r>
          <w:r>
            <w:rPr>
              <w:b/>
              <w:bCs/>
            </w:rPr>
            <w:fldChar w:fldCharType="separate"/>
          </w:r>
          <w:sdt>
            <w:sdtPr>
              <w:rPr>
                <w:rFonts w:ascii="Times New Roman" w:hAnsi="Times New Roman" w:eastAsia="宋体" w:cs="Times New Roman"/>
                <w:b/>
                <w:bCs/>
                <w:kern w:val="2"/>
                <w:sz w:val="21"/>
                <w:szCs w:val="24"/>
                <w:lang w:val="en-US" w:eastAsia="zh-CN" w:bidi="ar-SA"/>
              </w:rPr>
              <w:id w:val="147476315"/>
              <w:placeholder>
                <w:docPart w:val="{18db1acb-0299-47e4-82ad-fd933b254dbb}"/>
              </w:placeholder>
            </w:sdtPr>
            <w:sdtEndPr>
              <w:rPr>
                <w:rFonts w:ascii="Times New Roman" w:hAnsi="Times New Roman" w:eastAsia="宋体" w:cs="Times New Roman"/>
                <w:b/>
                <w:bCs/>
                <w:kern w:val="2"/>
                <w:sz w:val="21"/>
                <w:szCs w:val="24"/>
                <w:lang w:val="en-US" w:eastAsia="zh-CN" w:bidi="ar-SA"/>
              </w:rPr>
            </w:sdtEndPr>
            <w:sdtContent>
              <w:r>
                <w:rPr>
                  <w:rFonts w:hint="eastAsia" w:ascii="EU-F1" w:hAnsi="Times New Roman" w:eastAsia="黑体" w:cs="Times New Roman"/>
                  <w:b/>
                  <w:bCs/>
                </w:rPr>
                <w:t>2  应遵循的主要标准</w:t>
              </w:r>
            </w:sdtContent>
          </w:sdt>
          <w:r>
            <w:rPr>
              <w:b/>
              <w:bCs/>
            </w:rPr>
            <w:tab/>
          </w:r>
          <w:bookmarkStart w:id="12" w:name="_Toc17024_WPSOffice_Level1Page"/>
          <w:r>
            <w:rPr>
              <w:b/>
              <w:bCs/>
            </w:rPr>
            <w:t>2</w:t>
          </w:r>
          <w:bookmarkEnd w:id="12"/>
          <w:r>
            <w:rPr>
              <w:b/>
              <w:bCs/>
            </w:rPr>
            <w:fldChar w:fldCharType="end"/>
          </w:r>
        </w:p>
        <w:p>
          <w:pPr>
            <w:pStyle w:val="13"/>
            <w:tabs>
              <w:tab w:val="right" w:leader="dot" w:pos="9299"/>
            </w:tabs>
          </w:pPr>
          <w:r>
            <w:fldChar w:fldCharType="begin"/>
          </w:r>
          <w:r>
            <w:instrText xml:space="preserve"> HYPERLINK \l _Toc26309_WPSOffice_Level2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edc40be5-e46a-4c80-9fcb-934c704dcc41}"/>
              </w:placeholder>
            </w:sdtPr>
            <w:sdtEndPr>
              <w:rPr>
                <w:rFonts w:ascii="Times New Roman" w:hAnsi="Times New Roman" w:eastAsia="宋体" w:cs="Times New Roman"/>
                <w:kern w:val="2"/>
                <w:sz w:val="21"/>
                <w:szCs w:val="24"/>
                <w:lang w:val="en-US" w:eastAsia="zh-CN" w:bidi="ar-SA"/>
              </w:rPr>
            </w:sdtEndPr>
            <w:sdtContent>
              <w:r>
                <w:rPr>
                  <w:rFonts w:hint="default" w:ascii="Times New Roman" w:hAnsi="Times New Roman" w:eastAsia="宋体" w:cs="Times New Roman"/>
                </w:rPr>
                <w:t>表1</w:t>
              </w:r>
              <w:r>
                <w:rPr>
                  <w:rFonts w:hint="eastAsia" w:ascii="Times New Roman" w:hAnsi="Times New Roman" w:eastAsia="宋体" w:cs="Times New Roman"/>
                </w:rPr>
                <w:t xml:space="preserve">  </w:t>
              </w:r>
              <w:r>
                <w:rPr>
                  <w:rFonts w:hint="default" w:ascii="Times New Roman" w:hAnsi="Times New Roman" w:eastAsia="宋体" w:cs="Times New Roman"/>
                </w:rPr>
                <w:t>卖方提供的装置需要满足的主要标准</w:t>
              </w:r>
            </w:sdtContent>
          </w:sdt>
          <w:r>
            <w:tab/>
          </w:r>
          <w:bookmarkStart w:id="13" w:name="_Toc26309_WPSOffice_Level2Page"/>
          <w:r>
            <w:t>2</w:t>
          </w:r>
          <w:bookmarkEnd w:id="13"/>
          <w:r>
            <w:fldChar w:fldCharType="end"/>
          </w:r>
        </w:p>
        <w:p>
          <w:pPr>
            <w:pStyle w:val="12"/>
            <w:tabs>
              <w:tab w:val="right" w:leader="dot" w:pos="9299"/>
            </w:tabs>
          </w:pPr>
          <w:r>
            <w:rPr>
              <w:b/>
              <w:bCs/>
            </w:rPr>
            <w:fldChar w:fldCharType="begin"/>
          </w:r>
          <w:r>
            <w:instrText xml:space="preserve"> HYPERLINK \l _Toc22516_WPSOffice_Level1 </w:instrText>
          </w:r>
          <w:r>
            <w:rPr>
              <w:b/>
              <w:bCs/>
            </w:rPr>
            <w:fldChar w:fldCharType="separate"/>
          </w:r>
          <w:sdt>
            <w:sdtPr>
              <w:rPr>
                <w:rFonts w:ascii="Times New Roman" w:hAnsi="Times New Roman" w:eastAsia="宋体" w:cs="Times New Roman"/>
                <w:b/>
                <w:bCs/>
                <w:kern w:val="2"/>
                <w:sz w:val="21"/>
                <w:szCs w:val="24"/>
                <w:lang w:val="en-US" w:eastAsia="zh-CN" w:bidi="ar-SA"/>
              </w:rPr>
              <w:id w:val="147476315"/>
              <w:placeholder>
                <w:docPart w:val="{d655dd11-cbd4-4c3e-9832-9bd07193fe1b}"/>
              </w:placeholder>
            </w:sdtPr>
            <w:sdtEndPr>
              <w:rPr>
                <w:rFonts w:ascii="Times New Roman" w:hAnsi="Times New Roman" w:eastAsia="宋体" w:cs="Times New Roman"/>
                <w:b/>
                <w:bCs/>
                <w:kern w:val="2"/>
                <w:sz w:val="21"/>
                <w:szCs w:val="24"/>
                <w:lang w:val="en-US" w:eastAsia="zh-CN" w:bidi="ar-SA"/>
              </w:rPr>
            </w:sdtEndPr>
            <w:sdtContent>
              <w:r>
                <w:rPr>
                  <w:rFonts w:hint="eastAsia" w:ascii="EU-F1" w:hAnsi="Times New Roman" w:eastAsia="黑体" w:cs="Times New Roman"/>
                  <w:b/>
                  <w:bCs/>
                </w:rPr>
                <w:t>3  使用条件</w:t>
              </w:r>
            </w:sdtContent>
          </w:sdt>
          <w:r>
            <w:rPr>
              <w:b/>
              <w:bCs/>
            </w:rPr>
            <w:tab/>
          </w:r>
          <w:bookmarkStart w:id="14" w:name="_Toc22516_WPSOffice_Level1Page"/>
          <w:r>
            <w:rPr>
              <w:b/>
              <w:bCs/>
            </w:rPr>
            <w:t>3</w:t>
          </w:r>
          <w:bookmarkEnd w:id="14"/>
          <w:r>
            <w:rPr>
              <w:b/>
              <w:bCs/>
            </w:rPr>
            <w:fldChar w:fldCharType="end"/>
          </w:r>
        </w:p>
        <w:p>
          <w:pPr>
            <w:pStyle w:val="13"/>
            <w:tabs>
              <w:tab w:val="right" w:leader="dot" w:pos="9299"/>
            </w:tabs>
          </w:pPr>
          <w:r>
            <w:fldChar w:fldCharType="begin"/>
          </w:r>
          <w:r>
            <w:instrText xml:space="preserve"> HYPERLINK \l _Toc8945_WPSOffice_Level2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a57c55c0-43a1-4fb8-8649-ccd983973a19}"/>
              </w:placeholder>
            </w:sdtPr>
            <w:sdtEndPr>
              <w:rPr>
                <w:rFonts w:ascii="Times New Roman" w:hAnsi="Times New Roman" w:eastAsia="宋体" w:cs="Times New Roman"/>
                <w:kern w:val="2"/>
                <w:sz w:val="21"/>
                <w:szCs w:val="24"/>
                <w:lang w:val="en-US" w:eastAsia="zh-CN" w:bidi="ar-SA"/>
              </w:rPr>
            </w:sdtEndPr>
            <w:sdtContent>
              <w:r>
                <w:rPr>
                  <w:rFonts w:hint="eastAsia" w:ascii="宋体" w:hAnsi="宋体" w:eastAsia="宋体" w:cs="Times New Roman"/>
                </w:rPr>
                <w:t>3.1  环境温度：-</w:t>
              </w:r>
              <w:r>
                <w:rPr>
                  <w:rFonts w:hint="eastAsia" w:ascii="宋体" w:hAnsi="宋体" w:cs="Times New Roman"/>
                  <w:lang w:val="en-US" w:eastAsia="zh-CN"/>
                </w:rPr>
                <w:t>10</w:t>
              </w:r>
              <w:r>
                <w:rPr>
                  <w:rFonts w:hint="eastAsia" w:ascii="宋体" w:hAnsi="宋体" w:eastAsia="宋体" w:cs="Times New Roman"/>
                </w:rPr>
                <w:t>---</w:t>
              </w:r>
              <w:r>
                <w:rPr>
                  <w:rFonts w:ascii="宋体" w:hAnsi="宋体" w:eastAsia="宋体" w:cs="Times New Roman"/>
                </w:rPr>
                <w:t>+</w:t>
              </w:r>
              <w:r>
                <w:rPr>
                  <w:rFonts w:hint="eastAsia" w:ascii="宋体" w:hAnsi="宋体" w:cs="Times New Roman"/>
                  <w:lang w:val="en-US" w:eastAsia="zh-CN"/>
                </w:rPr>
                <w:t>40</w:t>
              </w:r>
              <w:r>
                <w:rPr>
                  <w:rFonts w:hint="eastAsia" w:ascii="宋体" w:hAnsi="宋体" w:eastAsia="宋体" w:cs="Times New Roman"/>
                </w:rPr>
                <w:t>℃</w:t>
              </w:r>
            </w:sdtContent>
          </w:sdt>
          <w:r>
            <w:tab/>
          </w:r>
          <w:bookmarkStart w:id="15" w:name="_Toc8945_WPSOffice_Level2Page"/>
          <w:r>
            <w:t>3</w:t>
          </w:r>
          <w:bookmarkEnd w:id="15"/>
          <w:r>
            <w:fldChar w:fldCharType="end"/>
          </w:r>
        </w:p>
        <w:p>
          <w:pPr>
            <w:pStyle w:val="13"/>
            <w:tabs>
              <w:tab w:val="right" w:leader="dot" w:pos="9299"/>
            </w:tabs>
          </w:pPr>
          <w:r>
            <w:fldChar w:fldCharType="begin"/>
          </w:r>
          <w:r>
            <w:instrText xml:space="preserve"> HYPERLINK \l _Toc13664_WPSOffice_Level2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8fc20e22-2bdc-4127-817e-49cf45177426}"/>
              </w:placeholder>
            </w:sdtPr>
            <w:sdtEndPr>
              <w:rPr>
                <w:rFonts w:ascii="Times New Roman" w:hAnsi="Times New Roman" w:eastAsia="宋体" w:cs="Times New Roman"/>
                <w:kern w:val="2"/>
                <w:sz w:val="21"/>
                <w:szCs w:val="24"/>
                <w:lang w:val="en-US" w:eastAsia="zh-CN" w:bidi="ar-SA"/>
              </w:rPr>
            </w:sdtEndPr>
            <w:sdtContent>
              <w:r>
                <w:rPr>
                  <w:rFonts w:hint="eastAsia" w:ascii="宋体" w:hAnsi="宋体" w:eastAsia="宋体" w:cs="Times New Roman"/>
                </w:rPr>
                <w:t>3</w:t>
              </w:r>
              <w:r>
                <w:rPr>
                  <w:rFonts w:ascii="宋体" w:hAnsi="宋体" w:eastAsia="宋体" w:cs="Times New Roman"/>
                </w:rPr>
                <w:t xml:space="preserve">.2 </w:t>
              </w:r>
              <w:r>
                <w:rPr>
                  <w:rFonts w:hint="eastAsia" w:ascii="宋体" w:hAnsi="宋体" w:eastAsia="宋体" w:cs="Times New Roman"/>
                </w:rPr>
                <w:t xml:space="preserve"> 相对湿度：5%---</w:t>
              </w:r>
              <w:r>
                <w:rPr>
                  <w:rFonts w:ascii="宋体" w:hAnsi="宋体" w:eastAsia="宋体" w:cs="Times New Roman"/>
                </w:rPr>
                <w:t>9</w:t>
              </w:r>
              <w:r>
                <w:rPr>
                  <w:rFonts w:hint="eastAsia" w:ascii="宋体" w:hAnsi="宋体" w:eastAsia="宋体" w:cs="Times New Roman"/>
                </w:rPr>
                <w:t>5</w:t>
              </w:r>
              <w:r>
                <w:rPr>
                  <w:rFonts w:ascii="宋体" w:hAnsi="宋体" w:eastAsia="宋体" w:cs="Times New Roman"/>
                </w:rPr>
                <w:t>%</w:t>
              </w:r>
            </w:sdtContent>
          </w:sdt>
          <w:r>
            <w:tab/>
          </w:r>
          <w:bookmarkStart w:id="16" w:name="_Toc13664_WPSOffice_Level2Page"/>
          <w:r>
            <w:t>3</w:t>
          </w:r>
          <w:bookmarkEnd w:id="16"/>
          <w:r>
            <w:fldChar w:fldCharType="end"/>
          </w:r>
        </w:p>
        <w:p>
          <w:pPr>
            <w:pStyle w:val="12"/>
            <w:tabs>
              <w:tab w:val="right" w:leader="dot" w:pos="9299"/>
            </w:tabs>
          </w:pPr>
          <w:r>
            <w:rPr>
              <w:b/>
              <w:bCs/>
            </w:rPr>
            <w:fldChar w:fldCharType="begin"/>
          </w:r>
          <w:r>
            <w:instrText xml:space="preserve"> HYPERLINK \l _Toc1514_WPSOffice_Level1 </w:instrText>
          </w:r>
          <w:r>
            <w:rPr>
              <w:b/>
              <w:bCs/>
            </w:rPr>
            <w:fldChar w:fldCharType="separate"/>
          </w:r>
          <w:sdt>
            <w:sdtPr>
              <w:rPr>
                <w:rFonts w:ascii="Times New Roman" w:hAnsi="Times New Roman" w:eastAsia="宋体" w:cs="Times New Roman"/>
                <w:b/>
                <w:bCs/>
                <w:kern w:val="2"/>
                <w:sz w:val="21"/>
                <w:szCs w:val="24"/>
                <w:lang w:val="en-US" w:eastAsia="zh-CN" w:bidi="ar-SA"/>
              </w:rPr>
              <w:id w:val="147476315"/>
              <w:placeholder>
                <w:docPart w:val="{49deb65a-b7b2-40d5-b2a4-e3d24140f5a4}"/>
              </w:placeholder>
            </w:sdtPr>
            <w:sdtEndPr>
              <w:rPr>
                <w:rFonts w:ascii="Times New Roman" w:hAnsi="Times New Roman" w:eastAsia="宋体" w:cs="Times New Roman"/>
                <w:b/>
                <w:bCs/>
                <w:kern w:val="2"/>
                <w:sz w:val="21"/>
                <w:szCs w:val="24"/>
                <w:lang w:val="en-US" w:eastAsia="zh-CN" w:bidi="ar-SA"/>
              </w:rPr>
            </w:sdtEndPr>
            <w:sdtContent>
              <w:r>
                <w:rPr>
                  <w:rFonts w:hint="eastAsia" w:ascii="EU-F1" w:hAnsi="Times New Roman" w:eastAsia="黑体" w:cs="Times New Roman"/>
                  <w:b/>
                  <w:bCs/>
                </w:rPr>
                <w:t>4  服务</w:t>
              </w:r>
              <w:r>
                <w:rPr>
                  <w:rFonts w:ascii="EU-F1" w:hAnsi="Times New Roman" w:eastAsia="黑体" w:cs="Times New Roman"/>
                  <w:b/>
                  <w:bCs/>
                </w:rPr>
                <w:t>质量保证</w:t>
              </w:r>
            </w:sdtContent>
          </w:sdt>
          <w:r>
            <w:rPr>
              <w:b/>
              <w:bCs/>
            </w:rPr>
            <w:tab/>
          </w:r>
          <w:bookmarkStart w:id="17" w:name="_Toc1514_WPSOffice_Level1Page"/>
          <w:r>
            <w:rPr>
              <w:b/>
              <w:bCs/>
            </w:rPr>
            <w:t>3</w:t>
          </w:r>
          <w:bookmarkEnd w:id="17"/>
          <w:r>
            <w:rPr>
              <w:b/>
              <w:bCs/>
            </w:rPr>
            <w:fldChar w:fldCharType="end"/>
          </w:r>
        </w:p>
        <w:p>
          <w:pPr>
            <w:pStyle w:val="13"/>
            <w:tabs>
              <w:tab w:val="right" w:leader="dot" w:pos="9299"/>
            </w:tabs>
          </w:pPr>
          <w:r>
            <w:fldChar w:fldCharType="begin"/>
          </w:r>
          <w:r>
            <w:instrText xml:space="preserve"> HYPERLINK \l _Toc12237_WPSOffice_Level2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8cab3144-a20e-4ce9-97e5-d19abf59f536}"/>
              </w:placeholder>
            </w:sdtPr>
            <w:sdtEndPr>
              <w:rPr>
                <w:rFonts w:ascii="Times New Roman" w:hAnsi="Times New Roman" w:eastAsia="宋体" w:cs="Times New Roman"/>
                <w:kern w:val="2"/>
                <w:sz w:val="21"/>
                <w:szCs w:val="24"/>
                <w:lang w:val="en-US" w:eastAsia="zh-CN" w:bidi="ar-SA"/>
              </w:rPr>
            </w:sdtEndPr>
            <w:sdtContent>
              <w:r>
                <w:rPr>
                  <w:rFonts w:hint="eastAsia" w:ascii="EU-F1" w:hAnsi="Times New Roman" w:eastAsia="黑体" w:cs="Times New Roman"/>
                </w:rPr>
                <w:t>4.1  服务保证</w:t>
              </w:r>
            </w:sdtContent>
          </w:sdt>
          <w:r>
            <w:tab/>
          </w:r>
          <w:bookmarkStart w:id="18" w:name="_Toc12237_WPSOffice_Level2Page"/>
          <w:r>
            <w:t>3</w:t>
          </w:r>
          <w:bookmarkEnd w:id="18"/>
          <w:r>
            <w:fldChar w:fldCharType="end"/>
          </w:r>
        </w:p>
        <w:p>
          <w:pPr>
            <w:pStyle w:val="13"/>
            <w:tabs>
              <w:tab w:val="right" w:leader="dot" w:pos="9299"/>
            </w:tabs>
          </w:pPr>
          <w:r>
            <w:fldChar w:fldCharType="begin"/>
          </w:r>
          <w:r>
            <w:instrText xml:space="preserve"> HYPERLINK \l _Toc9752_WPSOffice_Level2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e3699f96-aa72-4f4c-ab76-014e291f3d90}"/>
              </w:placeholder>
            </w:sdtPr>
            <w:sdtEndPr>
              <w:rPr>
                <w:rFonts w:ascii="Times New Roman" w:hAnsi="Times New Roman" w:eastAsia="宋体" w:cs="Times New Roman"/>
                <w:kern w:val="2"/>
                <w:sz w:val="21"/>
                <w:szCs w:val="24"/>
                <w:lang w:val="en-US" w:eastAsia="zh-CN" w:bidi="ar-SA"/>
              </w:rPr>
            </w:sdtEndPr>
            <w:sdtContent>
              <w:r>
                <w:rPr>
                  <w:rFonts w:hint="eastAsia" w:ascii="EU-F1" w:hAnsi="Times New Roman" w:eastAsia="黑体" w:cs="Times New Roman"/>
                </w:rPr>
                <w:t>4.2  质量保证</w:t>
              </w:r>
            </w:sdtContent>
          </w:sdt>
          <w:r>
            <w:tab/>
          </w:r>
          <w:bookmarkStart w:id="19" w:name="_Toc9752_WPSOffice_Level2Page"/>
          <w:r>
            <w:t>4</w:t>
          </w:r>
          <w:bookmarkEnd w:id="19"/>
          <w:r>
            <w:fldChar w:fldCharType="end"/>
          </w:r>
        </w:p>
        <w:bookmarkEnd w:id="7"/>
        <w:p>
          <w:pPr>
            <w:pStyle w:val="2"/>
            <w:rPr>
              <w:rFonts w:hint="default"/>
              <w:lang w:val="en-US"/>
            </w:rPr>
            <w:sectPr>
              <w:pgSz w:w="11907" w:h="16839"/>
              <w:pgMar w:top="1701" w:right="1304" w:bottom="1418" w:left="1304" w:header="0" w:footer="0" w:gutter="0"/>
              <w:pgNumType w:fmt="decimal" w:start="0"/>
              <w:cols w:space="720" w:num="1"/>
              <w:titlePg/>
              <w:docGrid w:type="lines" w:linePitch="312" w:charSpace="0"/>
            </w:sectPr>
          </w:pPr>
        </w:p>
      </w:sdtContent>
    </w:sdt>
    <w:p>
      <w:pPr>
        <w:pStyle w:val="14"/>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hAnsi="Times New Roman" w:cs="Times New Roman"/>
          <w:sz w:val="24"/>
          <w:szCs w:val="24"/>
        </w:rPr>
      </w:pPr>
      <w:bookmarkStart w:id="20" w:name="_Toc20275_WPSOffice_Level1"/>
      <w:bookmarkStart w:id="21" w:name="_Toc13536_WPSOffice_Level1"/>
      <w:bookmarkStart w:id="22" w:name="_Toc22934_WPSOffice_Level1"/>
      <w:r>
        <w:rPr>
          <w:rFonts w:hint="eastAsia" w:hAnsi="Times New Roman" w:cs="Times New Roman"/>
          <w:sz w:val="24"/>
          <w:szCs w:val="24"/>
        </w:rPr>
        <w:t>1</w:t>
      </w:r>
      <w:r>
        <w:rPr>
          <w:rFonts w:hint="eastAsia" w:hAnsi="Times New Roman" w:cs="Times New Roman"/>
          <w:sz w:val="24"/>
          <w:szCs w:val="24"/>
          <w:lang w:val="en-US" w:eastAsia="zh-CN"/>
        </w:rPr>
        <w:t xml:space="preserve">  </w:t>
      </w:r>
      <w:r>
        <w:rPr>
          <w:rFonts w:hint="eastAsia" w:hAnsi="Times New Roman" w:cs="Times New Roman"/>
          <w:sz w:val="24"/>
          <w:szCs w:val="24"/>
        </w:rPr>
        <w:t>总则</w:t>
      </w:r>
      <w:bookmarkEnd w:id="20"/>
      <w:bookmarkEnd w:id="21"/>
      <w:bookmarkEnd w:id="22"/>
    </w:p>
    <w:p>
      <w:pPr>
        <w:pStyle w:val="16"/>
        <w:spacing w:line="360" w:lineRule="auto"/>
        <w:outlineLvl w:val="1"/>
        <w:rPr>
          <w:rFonts w:hint="eastAsia"/>
          <w:color w:val="auto"/>
        </w:rPr>
      </w:pPr>
      <w:bookmarkStart w:id="23" w:name="_Toc256329678"/>
      <w:bookmarkStart w:id="24" w:name="_Toc255471904"/>
      <w:bookmarkStart w:id="25" w:name="_Toc251679333"/>
      <w:bookmarkStart w:id="26" w:name="_Toc13535"/>
      <w:bookmarkStart w:id="27" w:name="_Toc17024_WPSOffice_Level2"/>
      <w:r>
        <w:rPr>
          <w:rFonts w:hint="eastAsia"/>
          <w:color w:val="auto"/>
        </w:rPr>
        <w:t>1.1</w:t>
      </w:r>
      <w:r>
        <w:rPr>
          <w:rFonts w:hint="eastAsia"/>
          <w:color w:val="auto"/>
          <w:lang w:val="en-US" w:eastAsia="zh-CN"/>
        </w:rPr>
        <w:t xml:space="preserve">  </w:t>
      </w:r>
      <w:r>
        <w:rPr>
          <w:rFonts w:hint="eastAsia"/>
          <w:color w:val="auto"/>
        </w:rPr>
        <w:t>引言</w:t>
      </w:r>
      <w:bookmarkEnd w:id="23"/>
      <w:bookmarkEnd w:id="24"/>
      <w:bookmarkEnd w:id="25"/>
      <w:bookmarkEnd w:id="26"/>
      <w:bookmarkEnd w:id="27"/>
    </w:p>
    <w:p>
      <w:pPr>
        <w:spacing w:line="360" w:lineRule="auto"/>
        <w:ind w:firstLine="420" w:firstLineChars="200"/>
        <w:rPr>
          <w:color w:val="auto"/>
          <w:szCs w:val="21"/>
          <w:highlight w:val="none"/>
        </w:rPr>
      </w:pPr>
      <w:r>
        <w:rPr>
          <w:rFonts w:hAnsi="宋体"/>
          <w:color w:val="auto"/>
          <w:szCs w:val="21"/>
          <w:highlight w:val="none"/>
        </w:rPr>
        <w:t>提供设备的厂家、投标企业应具有</w:t>
      </w:r>
      <w:r>
        <w:rPr>
          <w:color w:val="auto"/>
          <w:szCs w:val="21"/>
          <w:highlight w:val="none"/>
        </w:rPr>
        <w:t>ISO</w:t>
      </w:r>
      <w:r>
        <w:rPr>
          <w:rFonts w:hint="eastAsia"/>
          <w:color w:val="auto"/>
          <w:szCs w:val="21"/>
          <w:highlight w:val="none"/>
        </w:rPr>
        <w:t xml:space="preserve"> </w:t>
      </w:r>
      <w:r>
        <w:rPr>
          <w:color w:val="auto"/>
          <w:szCs w:val="21"/>
          <w:highlight w:val="none"/>
        </w:rPr>
        <w:t>9001</w:t>
      </w:r>
      <w:r>
        <w:rPr>
          <w:rFonts w:hAnsi="宋体"/>
          <w:color w:val="auto"/>
          <w:szCs w:val="21"/>
          <w:highlight w:val="none"/>
        </w:rPr>
        <w:t>质量保证体系认证证书，宜具有</w:t>
      </w:r>
      <w:r>
        <w:rPr>
          <w:color w:val="auto"/>
          <w:szCs w:val="21"/>
          <w:highlight w:val="none"/>
        </w:rPr>
        <w:t>ISO</w:t>
      </w:r>
      <w:r>
        <w:rPr>
          <w:rFonts w:hint="eastAsia"/>
          <w:color w:val="auto"/>
          <w:szCs w:val="21"/>
          <w:highlight w:val="none"/>
        </w:rPr>
        <w:t xml:space="preserve"> </w:t>
      </w:r>
      <w:r>
        <w:rPr>
          <w:color w:val="auto"/>
          <w:szCs w:val="21"/>
          <w:highlight w:val="none"/>
        </w:rPr>
        <w:t>14001</w:t>
      </w:r>
      <w:r>
        <w:rPr>
          <w:rFonts w:hAnsi="宋体"/>
          <w:color w:val="auto"/>
          <w:szCs w:val="21"/>
          <w:highlight w:val="none"/>
        </w:rPr>
        <w:t>环境管理体系认证证书和</w:t>
      </w:r>
      <w:r>
        <w:rPr>
          <w:color w:val="auto"/>
          <w:szCs w:val="21"/>
          <w:highlight w:val="none"/>
        </w:rPr>
        <w:t>OHSAS</w:t>
      </w:r>
      <w:r>
        <w:rPr>
          <w:rFonts w:hint="eastAsia"/>
          <w:color w:val="auto"/>
          <w:szCs w:val="21"/>
          <w:highlight w:val="none"/>
        </w:rPr>
        <w:t xml:space="preserve"> </w:t>
      </w:r>
      <w:r>
        <w:rPr>
          <w:color w:val="auto"/>
          <w:szCs w:val="21"/>
          <w:highlight w:val="none"/>
        </w:rPr>
        <w:t>18001</w:t>
      </w:r>
      <w:r>
        <w:rPr>
          <w:rFonts w:hAnsi="宋体"/>
          <w:color w:val="auto"/>
          <w:szCs w:val="21"/>
          <w:highlight w:val="none"/>
        </w:rPr>
        <w:t>职业健康安全管理体系认证证书及年检记录，宜具有</w:t>
      </w:r>
      <w:r>
        <w:rPr>
          <w:color w:val="auto"/>
          <w:szCs w:val="21"/>
          <w:highlight w:val="none"/>
        </w:rPr>
        <w:t>AAA</w:t>
      </w:r>
      <w:r>
        <w:rPr>
          <w:rFonts w:hAnsi="宋体"/>
          <w:color w:val="auto"/>
          <w:szCs w:val="21"/>
          <w:highlight w:val="none"/>
        </w:rPr>
        <w:t>级资信等级证书、重合同守信用企业证书并具备良好的财务状况和商业信誉。提供的</w:t>
      </w:r>
      <w:r>
        <w:rPr>
          <w:rFonts w:hint="eastAsia" w:hAnsi="宋体"/>
          <w:color w:val="auto"/>
          <w:szCs w:val="21"/>
          <w:highlight w:val="none"/>
          <w:lang w:val="en-US" w:eastAsia="zh-CN"/>
        </w:rPr>
        <w:t>物资</w:t>
      </w:r>
      <w:r>
        <w:rPr>
          <w:rFonts w:hAnsi="宋体"/>
          <w:color w:val="auto"/>
          <w:szCs w:val="21"/>
          <w:highlight w:val="none"/>
        </w:rPr>
        <w:t>应在国家或电力工业检验检测机构通过型式试验和</w:t>
      </w:r>
      <w:r>
        <w:rPr>
          <w:rFonts w:hint="eastAsia" w:hAnsi="宋体"/>
          <w:color w:val="auto"/>
          <w:szCs w:val="21"/>
          <w:highlight w:val="none"/>
          <w:lang w:val="en-US" w:eastAsia="zh-CN"/>
        </w:rPr>
        <w:t>出厂</w:t>
      </w:r>
      <w:r>
        <w:rPr>
          <w:rFonts w:hAnsi="宋体"/>
          <w:color w:val="auto"/>
          <w:szCs w:val="21"/>
          <w:highlight w:val="none"/>
        </w:rPr>
        <w:t>试验。</w:t>
      </w:r>
    </w:p>
    <w:p>
      <w:pPr>
        <w:adjustRightInd w:val="0"/>
        <w:spacing w:line="360" w:lineRule="auto"/>
        <w:jc w:val="both"/>
        <w:rPr>
          <w:rFonts w:hint="eastAsia" w:hAnsi="宋体"/>
          <w:color w:val="auto"/>
          <w:szCs w:val="21"/>
          <w:highlight w:val="none"/>
        </w:rPr>
      </w:pPr>
      <w:r>
        <w:rPr>
          <w:rStyle w:val="17"/>
          <w:color w:val="auto"/>
          <w:highlight w:val="none"/>
        </w:rPr>
        <w:t>1.1.1</w:t>
      </w:r>
      <w:r>
        <w:rPr>
          <w:rFonts w:hint="eastAsia"/>
          <w:color w:val="auto"/>
          <w:szCs w:val="21"/>
          <w:highlight w:val="none"/>
          <w:lang w:val="en-US" w:eastAsia="zh-CN"/>
        </w:rPr>
        <w:t xml:space="preserve"> </w:t>
      </w:r>
      <w:r>
        <w:rPr>
          <w:rFonts w:hint="eastAsia" w:hAnsi="宋体"/>
          <w:color w:val="auto"/>
          <w:szCs w:val="21"/>
          <w:highlight w:val="none"/>
          <w:lang w:val="en-US" w:eastAsia="zh-CN"/>
        </w:rPr>
        <w:t xml:space="preserve"> 本规范提出了普洱供电局</w:t>
      </w:r>
      <w:r>
        <w:rPr>
          <w:rFonts w:hint="default" w:hAnsi="宋体"/>
          <w:color w:val="auto"/>
          <w:szCs w:val="21"/>
          <w:highlight w:val="none"/>
          <w:lang w:val="en-US" w:eastAsia="zh-CN"/>
        </w:rPr>
        <w:t>变电修试所2024年生产材料费</w:t>
      </w:r>
      <w:r>
        <w:rPr>
          <w:rFonts w:hint="eastAsia" w:hAnsi="宋体"/>
          <w:color w:val="auto"/>
          <w:szCs w:val="21"/>
          <w:highlight w:val="none"/>
          <w:lang w:val="en-US" w:eastAsia="zh-CN"/>
        </w:rPr>
        <w:t>所需的物资的</w:t>
      </w:r>
      <w:r>
        <w:rPr>
          <w:rFonts w:hint="eastAsia" w:hAnsi="宋体"/>
          <w:color w:val="auto"/>
          <w:szCs w:val="21"/>
          <w:highlight w:val="none"/>
        </w:rPr>
        <w:t>功能设计、结构、性能、安装和试验等方面的技术要求。</w:t>
      </w:r>
    </w:p>
    <w:p>
      <w:pPr>
        <w:spacing w:line="360" w:lineRule="auto"/>
        <w:rPr>
          <w:color w:val="auto"/>
          <w:szCs w:val="21"/>
          <w:highlight w:val="none"/>
        </w:rPr>
      </w:pPr>
      <w:r>
        <w:rPr>
          <w:rStyle w:val="17"/>
          <w:color w:val="auto"/>
          <w:highlight w:val="none"/>
        </w:rPr>
        <w:t>1.1.2</w:t>
      </w:r>
      <w:r>
        <w:rPr>
          <w:rFonts w:hint="eastAsia"/>
          <w:color w:val="auto"/>
          <w:szCs w:val="21"/>
          <w:highlight w:val="none"/>
          <w:lang w:val="en-US" w:eastAsia="zh-CN"/>
        </w:rPr>
        <w:t xml:space="preserve">  </w:t>
      </w:r>
      <w:r>
        <w:rPr>
          <w:rFonts w:hAnsi="宋体"/>
          <w:color w:val="auto"/>
          <w:szCs w:val="21"/>
          <w:highlight w:val="none"/>
        </w:rPr>
        <w:t>本规范提出的是最低限度的要求，并未对一切技术细节作出规定，也未充分引述有关标准和规范的条文，投标方应提供符合本规范和工业标准的优质产品。</w:t>
      </w:r>
    </w:p>
    <w:p>
      <w:pPr>
        <w:spacing w:line="360" w:lineRule="auto"/>
        <w:rPr>
          <w:color w:val="auto"/>
          <w:spacing w:val="-2"/>
          <w:szCs w:val="21"/>
          <w:highlight w:val="none"/>
        </w:rPr>
      </w:pPr>
      <w:r>
        <w:rPr>
          <w:rStyle w:val="17"/>
          <w:color w:val="auto"/>
          <w:highlight w:val="none"/>
        </w:rPr>
        <w:t>1.1.3</w:t>
      </w:r>
      <w:r>
        <w:rPr>
          <w:rFonts w:hint="eastAsia"/>
          <w:color w:val="auto"/>
          <w:szCs w:val="21"/>
          <w:highlight w:val="none"/>
          <w:lang w:val="en-US" w:eastAsia="zh-CN"/>
        </w:rPr>
        <w:t xml:space="preserve">  </w:t>
      </w:r>
      <w:r>
        <w:rPr>
          <w:rFonts w:hAnsi="宋体"/>
          <w:color w:val="auto"/>
          <w:spacing w:val="-2"/>
          <w:szCs w:val="21"/>
          <w:highlight w:val="none"/>
        </w:rPr>
        <w:t>如果投标方没有以书面形式对本规范的条文提出异议，则表示投标方提供的设备完全符合本规范的要求；如有异议，应在报价书中以</w:t>
      </w:r>
      <w:r>
        <w:rPr>
          <w:rFonts w:hint="eastAsia"/>
          <w:color w:val="auto"/>
          <w:spacing w:val="-2"/>
          <w:szCs w:val="21"/>
          <w:highlight w:val="none"/>
        </w:rPr>
        <w:t>“</w:t>
      </w:r>
      <w:r>
        <w:rPr>
          <w:rFonts w:hAnsi="宋体"/>
          <w:color w:val="auto"/>
          <w:spacing w:val="-2"/>
          <w:szCs w:val="21"/>
          <w:highlight w:val="none"/>
        </w:rPr>
        <w:t>对规范的意见和同规范的差异</w:t>
      </w:r>
      <w:r>
        <w:rPr>
          <w:rFonts w:hint="eastAsia"/>
          <w:color w:val="auto"/>
          <w:spacing w:val="-2"/>
          <w:szCs w:val="21"/>
          <w:highlight w:val="none"/>
        </w:rPr>
        <w:t>”</w:t>
      </w:r>
      <w:r>
        <w:rPr>
          <w:rFonts w:hAnsi="宋体"/>
          <w:color w:val="auto"/>
          <w:spacing w:val="-2"/>
          <w:szCs w:val="21"/>
          <w:highlight w:val="none"/>
        </w:rPr>
        <w:t>为标题的专门章节中加以详细描述。</w:t>
      </w:r>
    </w:p>
    <w:p>
      <w:pPr>
        <w:spacing w:line="360" w:lineRule="auto"/>
        <w:rPr>
          <w:color w:val="auto"/>
          <w:szCs w:val="21"/>
          <w:highlight w:val="none"/>
        </w:rPr>
      </w:pPr>
      <w:r>
        <w:rPr>
          <w:rStyle w:val="17"/>
          <w:color w:val="auto"/>
          <w:highlight w:val="none"/>
        </w:rPr>
        <w:t>1.1.4</w:t>
      </w:r>
      <w:r>
        <w:rPr>
          <w:rFonts w:hint="eastAsia"/>
          <w:color w:val="auto"/>
          <w:szCs w:val="21"/>
          <w:highlight w:val="none"/>
          <w:lang w:val="en-US" w:eastAsia="zh-CN"/>
        </w:rPr>
        <w:t xml:space="preserve">  </w:t>
      </w:r>
      <w:r>
        <w:rPr>
          <w:rFonts w:hAnsi="宋体"/>
          <w:color w:val="auto"/>
          <w:szCs w:val="21"/>
          <w:highlight w:val="none"/>
        </w:rPr>
        <w:t>本规范所使用的标准如遇与投标方所执行的标准不一致时按较高的标准执行。</w:t>
      </w:r>
    </w:p>
    <w:p>
      <w:pPr>
        <w:spacing w:line="360" w:lineRule="auto"/>
        <w:rPr>
          <w:rFonts w:hAnsi="宋体"/>
          <w:color w:val="auto"/>
          <w:szCs w:val="21"/>
          <w:highlight w:val="none"/>
        </w:rPr>
      </w:pPr>
      <w:r>
        <w:rPr>
          <w:rStyle w:val="17"/>
          <w:color w:val="auto"/>
          <w:highlight w:val="none"/>
        </w:rPr>
        <w:t>1.1.5</w:t>
      </w:r>
      <w:r>
        <w:rPr>
          <w:rFonts w:hint="eastAsia"/>
          <w:color w:val="auto"/>
          <w:szCs w:val="21"/>
          <w:highlight w:val="none"/>
          <w:lang w:val="en-US" w:eastAsia="zh-CN"/>
        </w:rPr>
        <w:t xml:space="preserve">  </w:t>
      </w:r>
      <w:r>
        <w:rPr>
          <w:rFonts w:hAnsi="宋体"/>
          <w:color w:val="auto"/>
          <w:szCs w:val="21"/>
          <w:highlight w:val="none"/>
        </w:rPr>
        <w:t>本规范经招、投标双方确认后作为订货合同的技术附件，与合同正文具有同等效力。</w:t>
      </w:r>
    </w:p>
    <w:p>
      <w:pPr>
        <w:pStyle w:val="16"/>
        <w:spacing w:line="360" w:lineRule="auto"/>
        <w:outlineLvl w:val="1"/>
        <w:rPr>
          <w:color w:val="auto"/>
          <w:highlight w:val="none"/>
        </w:rPr>
      </w:pPr>
      <w:bookmarkStart w:id="28" w:name="_Toc22516_WPSOffice_Level2"/>
      <w:r>
        <w:rPr>
          <w:color w:val="auto"/>
          <w:highlight w:val="none"/>
        </w:rPr>
        <w:t>1.2</w:t>
      </w:r>
      <w:r>
        <w:rPr>
          <w:rFonts w:hint="eastAsia"/>
          <w:color w:val="auto"/>
          <w:highlight w:val="none"/>
          <w:lang w:val="en-US" w:eastAsia="zh-CN"/>
        </w:rPr>
        <w:t xml:space="preserve">  货物需求及供货范围一览表</w:t>
      </w:r>
      <w:bookmarkEnd w:id="28"/>
    </w:p>
    <w:p>
      <w:pPr>
        <w:widowControl/>
        <w:snapToGrid w:val="0"/>
        <w:spacing w:line="360" w:lineRule="auto"/>
        <w:ind w:firstLine="424" w:firstLineChars="202"/>
        <w:rPr>
          <w:rFonts w:hint="eastAsia" w:ascii="宋体"/>
          <w:kern w:val="0"/>
          <w:szCs w:val="20"/>
          <w:lang w:val="en-US" w:eastAsia="zh-CN"/>
        </w:rPr>
      </w:pPr>
      <w:r>
        <w:rPr>
          <w:rFonts w:hint="eastAsia" w:ascii="宋体"/>
          <w:kern w:val="0"/>
          <w:szCs w:val="20"/>
          <w:lang w:val="en-US" w:eastAsia="zh-CN"/>
        </w:rPr>
        <w:t>投标方提供物资的具体规格、数量见表1供货范围及设备技术规格一览表，投标方应如实填写“投标方保证”栏。</w:t>
      </w:r>
    </w:p>
    <w:p>
      <w:pPr>
        <w:snapToGrid w:val="0"/>
        <w:spacing w:line="480" w:lineRule="atLeast"/>
        <w:jc w:val="center"/>
        <w:rPr>
          <w:rFonts w:hint="eastAsia" w:ascii="Arial" w:hAnsi="Arial" w:eastAsia="黑体" w:cs="Times New Roman"/>
          <w:color w:val="auto"/>
          <w:kern w:val="0"/>
          <w:sz w:val="21"/>
          <w:szCs w:val="21"/>
          <w:highlight w:val="none"/>
          <w:lang w:val="en-US" w:eastAsia="zh-CN" w:bidi="ar-SA"/>
        </w:rPr>
      </w:pPr>
      <w:r>
        <w:rPr>
          <w:rFonts w:hint="eastAsia" w:ascii="宋体" w:hAnsi="Times New Roman" w:eastAsia="宋体" w:cs="Times New Roman"/>
          <w:kern w:val="0"/>
          <w:szCs w:val="20"/>
          <w:lang w:val="en-US" w:eastAsia="zh-CN"/>
        </w:rPr>
        <w:t>表</w:t>
      </w:r>
      <w:r>
        <w:rPr>
          <w:rFonts w:hint="eastAsia" w:ascii="宋体" w:cs="Times New Roman"/>
          <w:kern w:val="0"/>
          <w:szCs w:val="20"/>
          <w:lang w:val="en-US" w:eastAsia="zh-CN"/>
        </w:rPr>
        <w:t>1</w:t>
      </w:r>
      <w:r>
        <w:rPr>
          <w:rFonts w:hint="eastAsia" w:ascii="宋体" w:hAnsi="Times New Roman" w:eastAsia="宋体" w:cs="Times New Roman"/>
          <w:kern w:val="0"/>
          <w:szCs w:val="20"/>
          <w:lang w:val="en-US" w:eastAsia="zh-CN"/>
        </w:rPr>
        <w:t xml:space="preserve"> 供货范围及设备技术规格一览表</w:t>
      </w:r>
    </w:p>
    <w:p>
      <w:pPr>
        <w:widowControl/>
        <w:snapToGrid w:val="0"/>
        <w:spacing w:line="360" w:lineRule="auto"/>
        <w:ind w:firstLine="424" w:firstLineChars="202"/>
        <w:jc w:val="center"/>
        <w:rPr>
          <w:rFonts w:hint="eastAsia" w:ascii="宋体"/>
          <w:kern w:val="0"/>
          <w:szCs w:val="20"/>
          <w:lang w:val="en-US" w:eastAsia="zh-CN"/>
        </w:rPr>
      </w:pPr>
      <w:r>
        <w:rPr>
          <w:rFonts w:hint="eastAsia" w:ascii="宋体"/>
          <w:kern w:val="0"/>
          <w:szCs w:val="20"/>
          <w:lang w:val="en-US" w:eastAsia="zh-CN"/>
        </w:rPr>
        <w:t>（项目单位填写项目要求栏、投标方填标方保证栏）</w:t>
      </w:r>
    </w:p>
    <w:tbl>
      <w:tblPr>
        <w:tblStyle w:val="7"/>
        <w:tblpPr w:leftFromText="180" w:rightFromText="180" w:vertAnchor="text" w:horzAnchor="page" w:tblpX="1884" w:tblpY="387"/>
        <w:tblOverlap w:val="never"/>
        <w:tblW w:w="887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6"/>
        <w:gridCol w:w="1065"/>
        <w:gridCol w:w="1774"/>
        <w:gridCol w:w="666"/>
        <w:gridCol w:w="567"/>
        <w:gridCol w:w="583"/>
        <w:gridCol w:w="567"/>
        <w:gridCol w:w="550"/>
        <w:gridCol w:w="599"/>
        <w:gridCol w:w="651"/>
        <w:gridCol w:w="139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物资名称</w:t>
            </w: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规格型号</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主要技术参数</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计量单位</w:t>
            </w:r>
          </w:p>
        </w:tc>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单价（元）</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总价（元）</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质保期</w:t>
            </w:r>
          </w:p>
        </w:tc>
        <w:tc>
          <w:tcPr>
            <w:tcW w:w="6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供货时间要求</w:t>
            </w: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送货地址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cs="宋体"/>
                <w:b w:val="0"/>
                <w:bCs w:val="0"/>
                <w:i w:val="0"/>
                <w:iCs w:val="0"/>
                <w:color w:val="000000"/>
                <w:kern w:val="0"/>
                <w:sz w:val="21"/>
                <w:szCs w:val="21"/>
                <w:u w:val="none"/>
                <w:lang w:val="en-US" w:eastAsia="zh-CN" w:bidi="ar"/>
              </w:rPr>
              <w:t>1</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0"/>
                <w:szCs w:val="20"/>
                <w:u w:val="none"/>
                <w:lang w:val="en-US" w:eastAsia="zh-CN" w:bidi="ar"/>
              </w:rPr>
            </w:pPr>
            <w:r>
              <w:rPr>
                <w:rFonts w:hint="eastAsia" w:ascii="宋体" w:hAnsi="宋体" w:cs="宋体"/>
                <w:i w:val="0"/>
                <w:iCs w:val="0"/>
                <w:color w:val="000000"/>
                <w:kern w:val="0"/>
                <w:sz w:val="22"/>
                <w:szCs w:val="22"/>
                <w:u w:val="none"/>
                <w:lang w:val="en-US" w:eastAsia="zh-CN" w:bidi="ar"/>
              </w:rPr>
              <w:t>散热器</w:t>
            </w: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left"/>
              <w:rPr>
                <w:rFonts w:hint="default" w:ascii="Calibri" w:hAnsi="Calibri" w:eastAsia="宋体" w:cs="Times New Roman"/>
                <w:kern w:val="2"/>
                <w:sz w:val="21"/>
                <w:szCs w:val="24"/>
                <w:lang w:val="en-US" w:eastAsia="zh-CN" w:bidi="ar-SA"/>
              </w:rPr>
            </w:pPr>
            <w:r>
              <w:rPr>
                <w:rFonts w:hint="eastAsia" w:ascii="宋体" w:hAnsi="宋体" w:cs="宋体"/>
                <w:i w:val="0"/>
                <w:iCs w:val="0"/>
                <w:color w:val="000000"/>
                <w:kern w:val="0"/>
                <w:sz w:val="22"/>
                <w:szCs w:val="22"/>
                <w:u w:val="none"/>
                <w:lang w:val="en-US" w:eastAsia="zh-CN" w:bidi="ar"/>
              </w:rPr>
              <w:t>散热器</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20"/>
                <w:szCs w:val="20"/>
                <w:u w:val="none"/>
                <w:lang w:val="en-US" w:eastAsia="zh-CN" w:bidi="ar"/>
              </w:rPr>
            </w:pPr>
            <w:r>
              <w:rPr>
                <w:rFonts w:hint="eastAsia" w:ascii="宋体" w:hAnsi="宋体" w:cs="宋体"/>
                <w:b w:val="0"/>
                <w:bCs w:val="0"/>
                <w:i w:val="0"/>
                <w:iCs w:val="0"/>
                <w:color w:val="000000"/>
                <w:kern w:val="0"/>
                <w:sz w:val="20"/>
                <w:szCs w:val="20"/>
                <w:u w:val="none"/>
                <w:lang w:val="en-US" w:eastAsia="zh-CN" w:bidi="ar"/>
              </w:rPr>
              <w:t>台</w:t>
            </w:r>
          </w:p>
        </w:tc>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b w:val="0"/>
                <w:bCs w:val="0"/>
                <w:i w:val="0"/>
                <w:iCs w:val="0"/>
                <w:color w:val="000000"/>
                <w:kern w:val="0"/>
                <w:sz w:val="20"/>
                <w:szCs w:val="20"/>
                <w:u w:val="none"/>
                <w:lang w:val="en-US" w:eastAsia="zh-CN" w:bidi="ar"/>
              </w:rPr>
            </w:pPr>
            <w:r>
              <w:rPr>
                <w:rFonts w:hint="eastAsia" w:ascii="宋体" w:hAnsi="宋体" w:cs="宋体"/>
                <w:i w:val="0"/>
                <w:iCs w:val="0"/>
                <w:color w:val="000000"/>
                <w:kern w:val="0"/>
                <w:sz w:val="22"/>
                <w:szCs w:val="22"/>
                <w:u w:val="none"/>
                <w:lang w:val="en-US" w:eastAsia="zh-CN" w:bidi="ar"/>
              </w:rPr>
              <w:t>2</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0"/>
                <w:szCs w:val="20"/>
                <w:u w:val="none"/>
                <w:lang w:val="en-US" w:eastAsia="zh-CN" w:bidi="ar"/>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0"/>
                <w:szCs w:val="20"/>
                <w:u w:val="none"/>
                <w:lang w:val="en-US" w:eastAsia="zh-CN" w:bidi="ar"/>
              </w:rPr>
            </w:pP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0"/>
                <w:szCs w:val="20"/>
                <w:u w:val="none"/>
                <w:lang w:val="en-US" w:eastAsia="zh-CN" w:bidi="ar"/>
              </w:rPr>
            </w:pPr>
          </w:p>
        </w:tc>
        <w:tc>
          <w:tcPr>
            <w:tcW w:w="651"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b w:val="0"/>
                <w:bCs w:val="0"/>
                <w:i w:val="0"/>
                <w:iCs w:val="0"/>
                <w:color w:val="000000"/>
                <w:kern w:val="0"/>
                <w:sz w:val="20"/>
                <w:szCs w:val="20"/>
                <w:u w:val="none"/>
                <w:lang w:val="en-US" w:eastAsia="zh-CN" w:bidi="ar"/>
              </w:rPr>
              <w:t>2024年06月10日</w:t>
            </w:r>
            <w:bookmarkStart w:id="59" w:name="_GoBack"/>
            <w:bookmarkEnd w:id="59"/>
          </w:p>
        </w:tc>
        <w:tc>
          <w:tcPr>
            <w:tcW w:w="1393"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云南省普洱市思茅区茶城大道200号普洱供电局变电修试所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4" w:hRule="atLeast"/>
        </w:trPr>
        <w:tc>
          <w:tcPr>
            <w:tcW w:w="5678"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 </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18"/>
                <w:szCs w:val="18"/>
                <w:u w:val="none"/>
              </w:rPr>
            </w:pPr>
          </w:p>
        </w:tc>
        <w:tc>
          <w:tcPr>
            <w:tcW w:w="65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18"/>
                <w:szCs w:val="18"/>
                <w:u w:val="none"/>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eastAsia" w:ascii="宋体" w:hAnsi="宋体" w:eastAsia="宋体" w:cs="宋体"/>
                <w:i w:val="0"/>
                <w:iCs w:val="0"/>
                <w:color w:val="000000"/>
                <w:sz w:val="24"/>
                <w:szCs w:val="24"/>
                <w:u w:val="none"/>
              </w:rPr>
            </w:pPr>
          </w:p>
        </w:tc>
      </w:tr>
    </w:tbl>
    <w:p>
      <w:pPr>
        <w:pStyle w:val="16"/>
        <w:spacing w:line="360" w:lineRule="auto"/>
        <w:outlineLvl w:val="1"/>
        <w:rPr>
          <w:color w:val="auto"/>
          <w:highlight w:val="none"/>
        </w:rPr>
      </w:pPr>
      <w:bookmarkStart w:id="29" w:name="_Toc17461"/>
      <w:bookmarkStart w:id="30" w:name="_Toc1514_WPSOffice_Level2"/>
      <w:r>
        <w:rPr>
          <w:color w:val="auto"/>
          <w:highlight w:val="none"/>
        </w:rPr>
        <w:t>1.</w:t>
      </w:r>
      <w:r>
        <w:rPr>
          <w:rFonts w:hint="eastAsia"/>
          <w:color w:val="auto"/>
          <w:highlight w:val="none"/>
          <w:lang w:val="en-US" w:eastAsia="zh-CN"/>
        </w:rPr>
        <w:t xml:space="preserve">3  </w:t>
      </w:r>
      <w:r>
        <w:rPr>
          <w:color w:val="auto"/>
          <w:highlight w:val="none"/>
        </w:rPr>
        <w:t>供方职责</w:t>
      </w:r>
      <w:bookmarkEnd w:id="29"/>
      <w:bookmarkEnd w:id="30"/>
    </w:p>
    <w:p>
      <w:pPr>
        <w:spacing w:line="360" w:lineRule="auto"/>
        <w:ind w:firstLine="420" w:firstLineChars="200"/>
        <w:rPr>
          <w:color w:val="auto"/>
          <w:szCs w:val="21"/>
          <w:highlight w:val="none"/>
        </w:rPr>
      </w:pPr>
      <w:r>
        <w:rPr>
          <w:rFonts w:hAnsi="宋体"/>
          <w:color w:val="auto"/>
          <w:szCs w:val="21"/>
          <w:highlight w:val="none"/>
        </w:rPr>
        <w:t>供方的工作范围将包括下列内容，但不仅仅限于此内容。</w:t>
      </w:r>
    </w:p>
    <w:p>
      <w:pPr>
        <w:spacing w:line="360" w:lineRule="auto"/>
        <w:rPr>
          <w:rFonts w:hint="eastAsia" w:eastAsia="宋体"/>
          <w:b/>
          <w:bCs/>
          <w:color w:val="auto"/>
          <w:szCs w:val="21"/>
          <w:highlight w:val="none"/>
          <w:lang w:eastAsia="zh-CN"/>
        </w:rPr>
      </w:pPr>
      <w:r>
        <w:rPr>
          <w:rFonts w:ascii="EU-F1" w:eastAsia="EU-F1"/>
          <w:color w:val="auto"/>
          <w:szCs w:val="21"/>
          <w:highlight w:val="none"/>
        </w:rPr>
        <w:t>1</w:t>
      </w:r>
      <w:r>
        <w:rPr>
          <w:rFonts w:ascii="EU-F1" w:eastAsia="EU-F1"/>
          <w:color w:val="auto"/>
          <w:spacing w:val="20"/>
          <w:szCs w:val="21"/>
          <w:highlight w:val="none"/>
        </w:rPr>
        <w:t>.</w:t>
      </w:r>
      <w:r>
        <w:rPr>
          <w:rFonts w:hint="eastAsia" w:ascii="EU-F1" w:eastAsia="EU-F1"/>
          <w:color w:val="auto"/>
          <w:szCs w:val="21"/>
          <w:highlight w:val="none"/>
          <w:lang w:val="en-US" w:eastAsia="zh-CN"/>
        </w:rPr>
        <w:t>3</w:t>
      </w:r>
      <w:r>
        <w:rPr>
          <w:rFonts w:ascii="EU-F1" w:eastAsia="EU-F1"/>
          <w:color w:val="auto"/>
          <w:spacing w:val="20"/>
          <w:szCs w:val="21"/>
          <w:highlight w:val="none"/>
        </w:rPr>
        <w:t>.</w:t>
      </w:r>
      <w:r>
        <w:rPr>
          <w:rFonts w:ascii="EU-F1" w:eastAsia="EU-F1"/>
          <w:color w:val="auto"/>
          <w:szCs w:val="21"/>
          <w:highlight w:val="none"/>
        </w:rPr>
        <w:t>1</w:t>
      </w:r>
      <w:r>
        <w:rPr>
          <w:color w:val="auto"/>
          <w:szCs w:val="21"/>
          <w:highlight w:val="none"/>
        </w:rPr>
        <w:t xml:space="preserve"> </w:t>
      </w:r>
      <w:r>
        <w:rPr>
          <w:rFonts w:hAnsi="宋体"/>
          <w:color w:val="auto"/>
          <w:szCs w:val="21"/>
          <w:highlight w:val="none"/>
        </w:rPr>
        <w:t>所提供设备</w:t>
      </w:r>
      <w:r>
        <w:rPr>
          <w:rFonts w:hint="eastAsia" w:hAnsi="宋体"/>
          <w:color w:val="auto"/>
          <w:szCs w:val="21"/>
          <w:highlight w:val="none"/>
          <w:lang w:val="en-US" w:eastAsia="zh-CN"/>
        </w:rPr>
        <w:t>配件</w:t>
      </w:r>
      <w:r>
        <w:rPr>
          <w:rFonts w:hAnsi="宋体"/>
          <w:color w:val="auto"/>
          <w:szCs w:val="21"/>
          <w:highlight w:val="none"/>
        </w:rPr>
        <w:t>应发运到规定的目的地</w:t>
      </w:r>
      <w:r>
        <w:rPr>
          <w:rFonts w:hint="eastAsia" w:hAnsi="宋体"/>
          <w:color w:val="auto"/>
          <w:szCs w:val="21"/>
          <w:highlight w:val="none"/>
          <w:lang w:val="en-US" w:eastAsia="zh-CN"/>
        </w:rPr>
        <w:t>。</w:t>
      </w:r>
    </w:p>
    <w:p>
      <w:pPr>
        <w:spacing w:line="360" w:lineRule="auto"/>
        <w:rPr>
          <w:color w:val="auto"/>
          <w:szCs w:val="21"/>
          <w:highlight w:val="none"/>
        </w:rPr>
      </w:pPr>
      <w:r>
        <w:rPr>
          <w:rFonts w:ascii="EU-F1" w:eastAsia="EU-F1"/>
          <w:color w:val="auto"/>
          <w:szCs w:val="21"/>
          <w:highlight w:val="none"/>
        </w:rPr>
        <w:t>1</w:t>
      </w:r>
      <w:r>
        <w:rPr>
          <w:rFonts w:ascii="EU-F1" w:eastAsia="EU-F1"/>
          <w:color w:val="auto"/>
          <w:spacing w:val="20"/>
          <w:szCs w:val="21"/>
          <w:highlight w:val="none"/>
        </w:rPr>
        <w:t>.</w:t>
      </w:r>
      <w:r>
        <w:rPr>
          <w:rFonts w:hint="eastAsia" w:ascii="EU-F1" w:eastAsia="EU-F1"/>
          <w:color w:val="auto"/>
          <w:szCs w:val="21"/>
          <w:highlight w:val="none"/>
          <w:lang w:val="en-US" w:eastAsia="zh-CN"/>
        </w:rPr>
        <w:t>3</w:t>
      </w:r>
      <w:r>
        <w:rPr>
          <w:rFonts w:ascii="EU-F1" w:eastAsia="EU-F1"/>
          <w:color w:val="auto"/>
          <w:spacing w:val="20"/>
          <w:szCs w:val="21"/>
          <w:highlight w:val="none"/>
        </w:rPr>
        <w:t>.</w:t>
      </w:r>
      <w:r>
        <w:rPr>
          <w:rFonts w:hint="eastAsia" w:ascii="EU-F1" w:eastAsia="EU-F1"/>
          <w:color w:val="auto"/>
          <w:szCs w:val="21"/>
          <w:highlight w:val="none"/>
          <w:lang w:val="en-US" w:eastAsia="zh-CN"/>
        </w:rPr>
        <w:t>2</w:t>
      </w:r>
      <w:r>
        <w:rPr>
          <w:color w:val="auto"/>
          <w:szCs w:val="21"/>
          <w:highlight w:val="none"/>
        </w:rPr>
        <w:t xml:space="preserve">  </w:t>
      </w:r>
      <w:r>
        <w:rPr>
          <w:rFonts w:hAnsi="宋体"/>
          <w:color w:val="auto"/>
          <w:szCs w:val="21"/>
          <w:highlight w:val="none"/>
        </w:rPr>
        <w:t>如标准、规范与本标书的技术规范有明显的冲突，则供方应在制造设备前，用书面形式将冲突和解决办法告知</w:t>
      </w:r>
      <w:r>
        <w:rPr>
          <w:rFonts w:hint="eastAsia" w:hAnsi="宋体"/>
          <w:color w:val="auto"/>
          <w:szCs w:val="21"/>
          <w:highlight w:val="none"/>
        </w:rPr>
        <w:t>买</w:t>
      </w:r>
      <w:r>
        <w:rPr>
          <w:rFonts w:hAnsi="宋体"/>
          <w:color w:val="auto"/>
          <w:szCs w:val="21"/>
          <w:highlight w:val="none"/>
        </w:rPr>
        <w:t>方，并经</w:t>
      </w:r>
      <w:r>
        <w:rPr>
          <w:rFonts w:hint="eastAsia" w:hAnsi="宋体"/>
          <w:color w:val="auto"/>
          <w:szCs w:val="21"/>
          <w:highlight w:val="none"/>
        </w:rPr>
        <w:t>买</w:t>
      </w:r>
      <w:r>
        <w:rPr>
          <w:rFonts w:hAnsi="宋体"/>
          <w:color w:val="auto"/>
          <w:szCs w:val="21"/>
          <w:highlight w:val="none"/>
        </w:rPr>
        <w:t>方确认后，才能进行设备制造。</w:t>
      </w:r>
    </w:p>
    <w:p>
      <w:pPr>
        <w:spacing w:line="360" w:lineRule="auto"/>
        <w:rPr>
          <w:color w:val="auto"/>
          <w:szCs w:val="21"/>
          <w:highlight w:val="none"/>
        </w:rPr>
      </w:pPr>
      <w:r>
        <w:rPr>
          <w:rFonts w:ascii="EU-F1" w:eastAsia="EU-F1"/>
          <w:color w:val="auto"/>
          <w:szCs w:val="21"/>
          <w:highlight w:val="none"/>
        </w:rPr>
        <w:t>1</w:t>
      </w:r>
      <w:r>
        <w:rPr>
          <w:rFonts w:ascii="EU-F1" w:eastAsia="EU-F1"/>
          <w:color w:val="auto"/>
          <w:spacing w:val="20"/>
          <w:szCs w:val="21"/>
          <w:highlight w:val="none"/>
        </w:rPr>
        <w:t>.</w:t>
      </w:r>
      <w:r>
        <w:rPr>
          <w:rFonts w:hint="eastAsia" w:ascii="EU-F1" w:eastAsia="EU-F1"/>
          <w:color w:val="auto"/>
          <w:szCs w:val="21"/>
          <w:highlight w:val="none"/>
          <w:lang w:val="en-US" w:eastAsia="zh-CN"/>
        </w:rPr>
        <w:t>3</w:t>
      </w:r>
      <w:r>
        <w:rPr>
          <w:rFonts w:ascii="EU-F1" w:eastAsia="EU-F1"/>
          <w:color w:val="auto"/>
          <w:spacing w:val="20"/>
          <w:szCs w:val="21"/>
          <w:highlight w:val="none"/>
        </w:rPr>
        <w:t>.</w:t>
      </w:r>
      <w:r>
        <w:rPr>
          <w:rFonts w:hint="eastAsia" w:ascii="EU-F1" w:eastAsia="EU-F1"/>
          <w:color w:val="auto"/>
          <w:szCs w:val="21"/>
          <w:highlight w:val="none"/>
          <w:lang w:val="en-US" w:eastAsia="zh-CN"/>
        </w:rPr>
        <w:t>3</w:t>
      </w:r>
      <w:r>
        <w:rPr>
          <w:color w:val="auto"/>
          <w:szCs w:val="21"/>
          <w:highlight w:val="none"/>
        </w:rPr>
        <w:t xml:space="preserve"> </w:t>
      </w:r>
      <w:r>
        <w:rPr>
          <w:rFonts w:hAnsi="宋体"/>
          <w:color w:val="auto"/>
          <w:szCs w:val="21"/>
          <w:highlight w:val="none"/>
        </w:rPr>
        <w:t>在更换所用的准则、标准、规程或修改设备技术数据时，供方有责任接受</w:t>
      </w:r>
      <w:r>
        <w:rPr>
          <w:rFonts w:hint="eastAsia" w:hAnsi="宋体"/>
          <w:color w:val="auto"/>
          <w:szCs w:val="21"/>
          <w:highlight w:val="none"/>
        </w:rPr>
        <w:t>买</w:t>
      </w:r>
      <w:r>
        <w:rPr>
          <w:rFonts w:hAnsi="宋体"/>
          <w:color w:val="auto"/>
          <w:szCs w:val="21"/>
          <w:highlight w:val="none"/>
        </w:rPr>
        <w:t>方的选择。</w:t>
      </w:r>
    </w:p>
    <w:p>
      <w:pPr>
        <w:pStyle w:val="14"/>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color w:val="auto"/>
          <w:sz w:val="24"/>
          <w:szCs w:val="24"/>
          <w:highlight w:val="none"/>
          <w:lang w:val="en-US" w:eastAsia="zh-CN"/>
        </w:rPr>
      </w:pPr>
      <w:bookmarkStart w:id="31" w:name="_Toc17024_WPSOffice_Level1"/>
      <w:r>
        <w:rPr>
          <w:rFonts w:hint="eastAsia"/>
          <w:color w:val="auto"/>
          <w:sz w:val="24"/>
          <w:szCs w:val="24"/>
          <w:highlight w:val="none"/>
          <w:lang w:val="en-US" w:eastAsia="zh-CN"/>
        </w:rPr>
        <w:t>2  应遵循的主要标准</w:t>
      </w:r>
      <w:bookmarkEnd w:id="31"/>
    </w:p>
    <w:p>
      <w:pPr>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装置至少应满足最新版本的以下规定、规范和标准的要求，但不限于以下规定、规范和标准。</w:t>
      </w:r>
    </w:p>
    <w:p>
      <w:pPr>
        <w:pStyle w:val="19"/>
        <w:spacing w:before="0" w:after="0" w:line="360" w:lineRule="auto"/>
        <w:rPr>
          <w:rFonts w:hint="default" w:ascii="Times New Roman" w:hAnsi="Times New Roman" w:eastAsia="宋体" w:cs="Times New Roman"/>
          <w:color w:val="auto"/>
          <w:highlight w:val="none"/>
        </w:rPr>
      </w:pPr>
      <w:bookmarkStart w:id="32" w:name="_Toc11981_WPSOffice_Level2"/>
      <w:bookmarkStart w:id="33" w:name="_Toc21669_WPSOffice_Level2"/>
      <w:bookmarkStart w:id="34" w:name="_Toc918_WPSOffice_Level2"/>
      <w:bookmarkStart w:id="35" w:name="_Toc26309_WPSOffice_Level2"/>
      <w:bookmarkStart w:id="36" w:name="_Toc30500_WPSOffice_Level2"/>
      <w:r>
        <w:rPr>
          <w:rFonts w:hint="default" w:ascii="Times New Roman" w:hAnsi="Times New Roman" w:eastAsia="宋体" w:cs="Times New Roman"/>
          <w:color w:val="auto"/>
          <w:highlight w:val="none"/>
        </w:rPr>
        <w:t>表</w:t>
      </w:r>
      <w:r>
        <w:rPr>
          <w:rFonts w:hint="eastAsia" w:ascii="Times New Roman" w:hAnsi="Times New Roman" w:eastAsia="宋体" w:cs="Times New Roman"/>
          <w:color w:val="auto"/>
          <w:highlight w:val="none"/>
          <w:lang w:val="en-US" w:eastAsia="zh-CN"/>
        </w:rPr>
        <w:t xml:space="preserve">3  </w:t>
      </w:r>
      <w:r>
        <w:rPr>
          <w:rFonts w:hint="default" w:ascii="Times New Roman" w:hAnsi="Times New Roman" w:eastAsia="宋体" w:cs="Times New Roman"/>
          <w:color w:val="auto"/>
          <w:highlight w:val="none"/>
        </w:rPr>
        <w:t>卖方提供的装置需要满足的主要标准</w:t>
      </w:r>
      <w:bookmarkEnd w:id="32"/>
      <w:bookmarkEnd w:id="33"/>
      <w:bookmarkEnd w:id="34"/>
      <w:bookmarkEnd w:id="35"/>
      <w:bookmarkEnd w:id="36"/>
    </w:p>
    <w:tbl>
      <w:tblPr>
        <w:tblStyle w:val="7"/>
        <w:tblW w:w="832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597"/>
        <w:gridCol w:w="6729"/>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1597" w:type="dxa"/>
            <w:tcMar>
              <w:left w:w="0" w:type="dxa"/>
              <w:right w:w="0" w:type="dxa"/>
            </w:tcMar>
            <w:vAlign w:val="center"/>
          </w:tcPr>
          <w:p>
            <w:pPr>
              <w:snapToGrid w:val="0"/>
              <w:spacing w:before="60" w:after="6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标  准  号</w:t>
            </w:r>
          </w:p>
        </w:tc>
        <w:tc>
          <w:tcPr>
            <w:tcW w:w="6729" w:type="dxa"/>
            <w:tcMar>
              <w:left w:w="0" w:type="dxa"/>
              <w:right w:w="0" w:type="dxa"/>
            </w:tcMar>
            <w:vAlign w:val="center"/>
          </w:tcPr>
          <w:p>
            <w:pPr>
              <w:snapToGrid w:val="0"/>
              <w:spacing w:before="60" w:after="6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标  准  名  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97" w:type="dxa"/>
            <w:tcMar>
              <w:left w:w="0" w:type="dxa"/>
              <w:right w:w="0" w:type="dxa"/>
            </w:tcMar>
            <w:vAlign w:val="center"/>
          </w:tcPr>
          <w:p>
            <w:pPr>
              <w:snapToGrid w:val="0"/>
              <w:spacing w:before="60" w:after="6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GB/T 191</w:t>
            </w:r>
          </w:p>
        </w:tc>
        <w:tc>
          <w:tcPr>
            <w:tcW w:w="6729" w:type="dxa"/>
            <w:tcMar>
              <w:left w:w="0" w:type="dxa"/>
              <w:right w:w="0" w:type="dxa"/>
            </w:tcMar>
            <w:vAlign w:val="center"/>
          </w:tcPr>
          <w:p>
            <w:pPr>
              <w:snapToGrid w:val="0"/>
              <w:spacing w:before="60" w:after="60"/>
              <w:ind w:right="42" w:rightChars="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包装储运图示标志</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97" w:type="dxa"/>
            <w:tcMar>
              <w:left w:w="0" w:type="dxa"/>
              <w:right w:w="0" w:type="dxa"/>
            </w:tcMar>
            <w:vAlign w:val="center"/>
          </w:tcPr>
          <w:p>
            <w:pPr>
              <w:snapToGrid w:val="0"/>
              <w:spacing w:before="60" w:after="6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GB/T 2423</w:t>
            </w:r>
          </w:p>
        </w:tc>
        <w:tc>
          <w:tcPr>
            <w:tcW w:w="6729" w:type="dxa"/>
            <w:tcMar>
              <w:left w:w="0" w:type="dxa"/>
              <w:right w:w="0" w:type="dxa"/>
            </w:tcMar>
            <w:vAlign w:val="center"/>
          </w:tcPr>
          <w:p>
            <w:pPr>
              <w:snapToGrid w:val="0"/>
              <w:spacing w:before="60" w:after="60"/>
              <w:ind w:right="42" w:rightChars="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电工电子产品环境试验</w:t>
            </w:r>
          </w:p>
        </w:tc>
      </w:tr>
    </w:tbl>
    <w:p>
      <w:pPr>
        <w:bidi w:val="0"/>
        <w:rPr>
          <w:rFonts w:hint="default"/>
          <w:color w:val="auto"/>
          <w:highlight w:val="none"/>
          <w:lang w:val="en-US" w:eastAsia="zh-CN"/>
        </w:rPr>
      </w:pPr>
    </w:p>
    <w:p>
      <w:pPr>
        <w:pStyle w:val="14"/>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color w:val="auto"/>
          <w:sz w:val="24"/>
          <w:szCs w:val="24"/>
          <w:highlight w:val="none"/>
          <w:lang w:val="en-US" w:eastAsia="zh-CN"/>
        </w:rPr>
      </w:pPr>
      <w:bookmarkStart w:id="37" w:name="_Toc7866_WPSOffice_Level1"/>
      <w:bookmarkStart w:id="38" w:name="_Toc684_WPSOffice_Level1"/>
      <w:bookmarkStart w:id="39" w:name="_Toc22516_WPSOffice_Level1"/>
      <w:r>
        <w:rPr>
          <w:rFonts w:hint="eastAsia"/>
          <w:color w:val="auto"/>
          <w:sz w:val="24"/>
          <w:szCs w:val="24"/>
          <w:highlight w:val="none"/>
          <w:lang w:val="en-US" w:eastAsia="zh-CN"/>
        </w:rPr>
        <w:t>3  使用条件</w:t>
      </w:r>
      <w:bookmarkEnd w:id="37"/>
      <w:bookmarkEnd w:id="38"/>
      <w:bookmarkEnd w:id="39"/>
    </w:p>
    <w:p>
      <w:pPr>
        <w:spacing w:line="360" w:lineRule="auto"/>
        <w:rPr>
          <w:rFonts w:hint="eastAsia" w:ascii="宋体" w:hAnsi="宋体" w:eastAsia="宋体"/>
          <w:color w:val="auto"/>
          <w:highlight w:val="none"/>
          <w:lang w:eastAsia="zh-CN"/>
        </w:rPr>
      </w:pPr>
      <w:bookmarkStart w:id="40" w:name="_Toc9383_WPSOffice_Level2"/>
      <w:bookmarkStart w:id="41" w:name="_Toc8945_WPSOffice_Level2"/>
      <w:r>
        <w:rPr>
          <w:rFonts w:hint="eastAsia" w:ascii="宋体" w:hAnsi="宋体"/>
          <w:color w:val="auto"/>
          <w:highlight w:val="none"/>
          <w:lang w:val="en-US" w:eastAsia="zh-CN"/>
        </w:rPr>
        <w:t>3</w:t>
      </w:r>
      <w:r>
        <w:rPr>
          <w:rFonts w:hint="eastAsia" w:ascii="宋体" w:hAnsi="宋体"/>
          <w:color w:val="auto"/>
          <w:highlight w:val="none"/>
        </w:rPr>
        <w:t xml:space="preserve">.1 </w:t>
      </w:r>
      <w:r>
        <w:rPr>
          <w:rFonts w:hint="eastAsia" w:ascii="宋体" w:hAnsi="宋体"/>
          <w:color w:val="auto"/>
          <w:highlight w:val="none"/>
          <w:lang w:val="en-US" w:eastAsia="zh-CN"/>
        </w:rPr>
        <w:t xml:space="preserve"> </w:t>
      </w:r>
      <w:r>
        <w:rPr>
          <w:rFonts w:hint="eastAsia" w:ascii="宋体" w:hAnsi="宋体"/>
          <w:color w:val="auto"/>
          <w:highlight w:val="none"/>
        </w:rPr>
        <w:t>环境温度：-15---</w:t>
      </w:r>
      <w:r>
        <w:rPr>
          <w:rFonts w:ascii="宋体" w:hAnsi="宋体"/>
          <w:color w:val="auto"/>
          <w:highlight w:val="none"/>
        </w:rPr>
        <w:t>+</w:t>
      </w:r>
      <w:r>
        <w:rPr>
          <w:rFonts w:hint="eastAsia" w:ascii="宋体" w:hAnsi="宋体"/>
          <w:color w:val="auto"/>
          <w:highlight w:val="none"/>
        </w:rPr>
        <w:t>45℃</w:t>
      </w:r>
      <w:bookmarkEnd w:id="40"/>
      <w:bookmarkEnd w:id="41"/>
      <w:r>
        <w:rPr>
          <w:rFonts w:hint="eastAsia" w:ascii="宋体" w:hAnsi="宋体"/>
          <w:color w:val="auto"/>
          <w:highlight w:val="none"/>
          <w:lang w:eastAsia="zh-CN"/>
        </w:rPr>
        <w:t>；</w:t>
      </w:r>
    </w:p>
    <w:p>
      <w:pPr>
        <w:spacing w:line="360" w:lineRule="auto"/>
        <w:rPr>
          <w:rFonts w:hint="eastAsia" w:eastAsia="宋体" w:asciiTheme="minorEastAsia" w:hAnsiTheme="minorEastAsia" w:cstheme="minorEastAsia"/>
          <w:color w:val="auto"/>
          <w:highlight w:val="none"/>
          <w:lang w:val="en-US" w:eastAsia="zh-CN"/>
        </w:rPr>
      </w:pPr>
      <w:bookmarkStart w:id="42" w:name="_Toc13664_WPSOffice_Level2"/>
      <w:bookmarkStart w:id="43" w:name="_Toc15120_WPSOffice_Level2"/>
      <w:r>
        <w:rPr>
          <w:rFonts w:hint="eastAsia" w:ascii="宋体" w:hAnsi="宋体"/>
          <w:color w:val="auto"/>
          <w:highlight w:val="none"/>
          <w:lang w:val="en-US" w:eastAsia="zh-CN"/>
        </w:rPr>
        <w:t>3</w:t>
      </w:r>
      <w:r>
        <w:rPr>
          <w:rFonts w:ascii="宋体" w:hAnsi="宋体"/>
          <w:color w:val="auto"/>
          <w:highlight w:val="none"/>
        </w:rPr>
        <w:t xml:space="preserve">.2 </w:t>
      </w:r>
      <w:r>
        <w:rPr>
          <w:rFonts w:hint="eastAsia" w:ascii="宋体" w:hAnsi="宋体"/>
          <w:color w:val="auto"/>
          <w:highlight w:val="none"/>
          <w:lang w:val="en-US" w:eastAsia="zh-CN"/>
        </w:rPr>
        <w:t xml:space="preserve"> </w:t>
      </w:r>
      <w:r>
        <w:rPr>
          <w:rFonts w:hint="eastAsia" w:ascii="宋体" w:hAnsi="宋体"/>
          <w:color w:val="auto"/>
          <w:highlight w:val="none"/>
        </w:rPr>
        <w:t>相对湿度：5%---</w:t>
      </w:r>
      <w:r>
        <w:rPr>
          <w:rFonts w:ascii="宋体" w:hAnsi="宋体"/>
          <w:color w:val="auto"/>
          <w:highlight w:val="none"/>
        </w:rPr>
        <w:t>9</w:t>
      </w:r>
      <w:r>
        <w:rPr>
          <w:rFonts w:hint="eastAsia" w:ascii="宋体" w:hAnsi="宋体"/>
          <w:color w:val="auto"/>
          <w:highlight w:val="none"/>
        </w:rPr>
        <w:t>5</w:t>
      </w:r>
      <w:r>
        <w:rPr>
          <w:rFonts w:ascii="宋体" w:hAnsi="宋体"/>
          <w:color w:val="auto"/>
          <w:highlight w:val="none"/>
        </w:rPr>
        <w:t>%</w:t>
      </w:r>
      <w:bookmarkEnd w:id="42"/>
      <w:bookmarkEnd w:id="43"/>
      <w:r>
        <w:rPr>
          <w:rFonts w:hint="eastAsia" w:ascii="宋体" w:hAnsi="宋体"/>
          <w:color w:val="auto"/>
          <w:highlight w:val="none"/>
          <w:lang w:eastAsia="zh-CN"/>
        </w:rPr>
        <w:t>。</w:t>
      </w:r>
    </w:p>
    <w:p>
      <w:pPr>
        <w:pStyle w:val="14"/>
        <w:keepNext w:val="0"/>
        <w:keepLines w:val="0"/>
        <w:pageBreakBefore w:val="0"/>
        <w:widowControl w:val="0"/>
        <w:kinsoku/>
        <w:wordWrap/>
        <w:overflowPunct/>
        <w:topLinePunct/>
        <w:autoSpaceDE/>
        <w:autoSpaceDN/>
        <w:bidi w:val="0"/>
        <w:adjustRightInd/>
        <w:snapToGrid/>
        <w:spacing w:line="360" w:lineRule="auto"/>
        <w:textAlignment w:val="auto"/>
        <w:outlineLvl w:val="0"/>
        <w:rPr>
          <w:color w:val="auto"/>
          <w:sz w:val="24"/>
          <w:szCs w:val="24"/>
          <w:highlight w:val="none"/>
        </w:rPr>
      </w:pPr>
      <w:bookmarkStart w:id="44" w:name="_Toc1514_WPSOffice_Level1"/>
      <w:bookmarkStart w:id="45" w:name="_Toc312851679"/>
      <w:bookmarkStart w:id="46" w:name="_Toc10893_WPSOffice_Level1"/>
      <w:bookmarkStart w:id="47" w:name="_Toc296074033"/>
      <w:bookmarkStart w:id="48" w:name="_Toc8789_WPSOffice_Level1"/>
      <w:r>
        <w:rPr>
          <w:rFonts w:hint="eastAsia"/>
          <w:color w:val="auto"/>
          <w:sz w:val="24"/>
          <w:szCs w:val="24"/>
          <w:highlight w:val="none"/>
          <w:lang w:val="en-US" w:eastAsia="zh-CN"/>
        </w:rPr>
        <w:t>4  服务</w:t>
      </w:r>
      <w:r>
        <w:rPr>
          <w:color w:val="auto"/>
          <w:sz w:val="24"/>
          <w:szCs w:val="24"/>
          <w:highlight w:val="none"/>
        </w:rPr>
        <w:t>质量保证</w:t>
      </w:r>
      <w:bookmarkEnd w:id="44"/>
      <w:bookmarkEnd w:id="45"/>
      <w:bookmarkEnd w:id="46"/>
      <w:bookmarkEnd w:id="47"/>
      <w:bookmarkEnd w:id="48"/>
    </w:p>
    <w:p>
      <w:pPr>
        <w:pStyle w:val="16"/>
        <w:spacing w:line="360" w:lineRule="auto"/>
        <w:outlineLvl w:val="1"/>
        <w:rPr>
          <w:rFonts w:hint="eastAsia"/>
          <w:color w:val="auto"/>
          <w:highlight w:val="none"/>
          <w:lang w:val="en-US" w:eastAsia="zh-CN"/>
        </w:rPr>
      </w:pPr>
      <w:bookmarkStart w:id="49" w:name="_Toc12237_WPSOffice_Level2"/>
      <w:r>
        <w:rPr>
          <w:rFonts w:hint="eastAsia"/>
          <w:color w:val="auto"/>
          <w:highlight w:val="none"/>
          <w:lang w:val="en-US" w:eastAsia="zh-CN"/>
        </w:rPr>
        <w:t>4.1  服务保证</w:t>
      </w:r>
      <w:bookmarkEnd w:id="49"/>
    </w:p>
    <w:p>
      <w:pPr>
        <w:pStyle w:val="2"/>
        <w:keepNext w:val="0"/>
        <w:keepLines w:val="0"/>
        <w:pageBreakBefore w:val="0"/>
        <w:widowControl w:val="0"/>
        <w:kinsoku/>
        <w:wordWrap/>
        <w:overflowPunct/>
        <w:topLinePunct/>
        <w:autoSpaceDE/>
        <w:autoSpaceDN/>
        <w:bidi w:val="0"/>
        <w:adjustRightInd/>
        <w:snapToGrid/>
        <w:spacing w:line="360" w:lineRule="auto"/>
        <w:textAlignment w:val="auto"/>
        <w:outlineLvl w:val="9"/>
        <w:rPr>
          <w:rFonts w:hint="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4.1.1   </w:t>
      </w:r>
      <w:r>
        <w:rPr>
          <w:rFonts w:hint="eastAsia" w:asciiTheme="minorEastAsia" w:hAnsiTheme="minorEastAsia" w:eastAsiaTheme="minorEastAsia" w:cstheme="minorEastAsia"/>
          <w:color w:val="auto"/>
          <w:sz w:val="21"/>
          <w:szCs w:val="21"/>
          <w:highlight w:val="none"/>
          <w:lang w:val="en-US" w:eastAsia="zh-CN"/>
        </w:rPr>
        <w:t>卖方保证所提供的设备在各个方面符合招标文件规定的质量、规格和性能。在合同规定的质量保证期内。</w:t>
      </w:r>
    </w:p>
    <w:p>
      <w:pPr>
        <w:pStyle w:val="16"/>
        <w:spacing w:line="360" w:lineRule="auto"/>
        <w:outlineLvl w:val="1"/>
        <w:rPr>
          <w:rFonts w:hint="eastAsia"/>
          <w:color w:val="auto"/>
          <w:highlight w:val="none"/>
          <w:lang w:val="en-US" w:eastAsia="zh-CN"/>
        </w:rPr>
      </w:pPr>
      <w:bookmarkStart w:id="50" w:name="_Toc9752_WPSOffice_Level2"/>
      <w:r>
        <w:rPr>
          <w:rFonts w:hint="eastAsia"/>
          <w:color w:val="auto"/>
          <w:highlight w:val="none"/>
          <w:lang w:val="en-US" w:eastAsia="zh-CN"/>
        </w:rPr>
        <w:t>4.2  质量保证</w:t>
      </w:r>
      <w:bookmarkEnd w:id="50"/>
    </w:p>
    <w:p>
      <w:pPr>
        <w:keepNext w:val="0"/>
        <w:keepLines w:val="0"/>
        <w:pageBreakBefore w:val="0"/>
        <w:widowControl w:val="0"/>
        <w:numPr>
          <w:ilvl w:val="0"/>
          <w:numId w:val="0"/>
        </w:numPr>
        <w:kinsoku/>
        <w:wordWrap/>
        <w:overflowPunct/>
        <w:topLinePunct/>
        <w:autoSpaceDE/>
        <w:autoSpaceDN/>
        <w:bidi w:val="0"/>
        <w:adjustRightInd/>
        <w:snapToGrid/>
        <w:spacing w:line="360" w:lineRule="auto"/>
        <w:ind w:leftChars="1"/>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4.2.1  卖方应保证制造过程中的所有工艺、材料、试验等（包括卖方的外购件在内）均应符合本规范书的规定。</w:t>
      </w:r>
    </w:p>
    <w:p>
      <w:pPr>
        <w:keepNext w:val="0"/>
        <w:keepLines w:val="0"/>
        <w:pageBreakBefore w:val="0"/>
        <w:widowControl w:val="0"/>
        <w:tabs>
          <w:tab w:val="left" w:pos="525"/>
        </w:tabs>
        <w:kinsoku/>
        <w:wordWrap/>
        <w:overflowPunct/>
        <w:topLinePunct/>
        <w:autoSpaceDE/>
        <w:autoSpaceDN/>
        <w:bidi w:val="0"/>
        <w:adjustRightInd/>
        <w:snapToGrid/>
        <w:spacing w:line="360" w:lineRule="auto"/>
        <w:ind w:left="523" w:hanging="523" w:hangingChars="218"/>
        <w:textAlignment w:val="auto"/>
        <w:rPr>
          <w:rFonts w:hint="eastAsia"/>
          <w:color w:val="auto"/>
          <w:sz w:val="24"/>
          <w:highlight w:val="none"/>
        </w:rPr>
      </w:pPr>
    </w:p>
    <w:p>
      <w:pPr>
        <w:pStyle w:val="2"/>
        <w:keepNext w:val="0"/>
        <w:keepLines w:val="0"/>
        <w:pageBreakBefore w:val="0"/>
        <w:widowControl w:val="0"/>
        <w:kinsoku/>
        <w:wordWrap/>
        <w:overflowPunct/>
        <w:topLinePunct/>
        <w:autoSpaceDE/>
        <w:autoSpaceDN/>
        <w:bidi w:val="0"/>
        <w:adjustRightInd/>
        <w:snapToGrid/>
        <w:textAlignment w:val="auto"/>
        <w:rPr>
          <w:rFonts w:hint="eastAsia"/>
          <w:color w:val="auto"/>
          <w:szCs w:val="21"/>
          <w:highlight w:val="none"/>
        </w:rPr>
      </w:pPr>
    </w:p>
    <w:p>
      <w:pPr>
        <w:pStyle w:val="14"/>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snapToGrid w:val="0"/>
          <w:color w:val="auto"/>
          <w:kern w:val="0"/>
          <w:sz w:val="24"/>
          <w:szCs w:val="24"/>
          <w:highlight w:val="none"/>
          <w:lang w:val="en-US" w:eastAsia="zh-CN"/>
        </w:rPr>
      </w:pPr>
      <w:bookmarkStart w:id="51" w:name="_Toc255467568"/>
      <w:bookmarkStart w:id="52" w:name="_Toc31582_WPSOffice_Level1"/>
      <w:bookmarkStart w:id="53" w:name="_Toc247518078"/>
      <w:bookmarkStart w:id="54" w:name="_Toc3157_WPSOffice_Level1"/>
      <w:bookmarkStart w:id="55" w:name="_Toc247549759"/>
      <w:bookmarkStart w:id="56" w:name="_Toc247536312"/>
      <w:bookmarkStart w:id="57" w:name="_Toc247549055"/>
      <w:bookmarkStart w:id="58" w:name="_Toc256329705"/>
    </w:p>
    <w:bookmarkEnd w:id="51"/>
    <w:bookmarkEnd w:id="52"/>
    <w:bookmarkEnd w:id="53"/>
    <w:bookmarkEnd w:id="54"/>
    <w:bookmarkEnd w:id="55"/>
    <w:bookmarkEnd w:id="56"/>
    <w:bookmarkEnd w:id="57"/>
    <w:bookmarkEnd w:id="58"/>
    <w:p>
      <w:pPr>
        <w:rPr>
          <w:color w:val="auto"/>
          <w:highlight w:val="none"/>
        </w:rPr>
      </w:pPr>
    </w:p>
    <w:p>
      <w:pPr>
        <w:numPr>
          <w:ilvl w:val="0"/>
          <w:numId w:val="0"/>
        </w:numPr>
        <w:spacing w:line="360" w:lineRule="auto"/>
        <w:ind w:leftChars="0"/>
        <w:rPr>
          <w:rFonts w:hint="default" w:ascii="宋体" w:hAnsi="宋体"/>
          <w:color w:val="auto"/>
          <w:lang w:val="en-US" w:eastAsia="zh-CN"/>
        </w:rPr>
      </w:pPr>
    </w:p>
    <w:sectPr>
      <w:footerReference r:id="rId8"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EU-F1">
    <w:altName w:val="宋体"/>
    <w:panose1 w:val="03000509000000000000"/>
    <w:charset w:val="86"/>
    <w:family w:val="script"/>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right" w:y="1"/>
      <w:rPr>
        <w:rStyle w:val="9"/>
      </w:rPr>
    </w:pPr>
    <w:r>
      <w:fldChar w:fldCharType="begin"/>
    </w:r>
    <w:r>
      <w:rPr>
        <w:rStyle w:val="9"/>
      </w:rPr>
      <w:instrText xml:space="preserve">PAGE  </w:instrText>
    </w:r>
    <w:r>
      <w:fldChar w:fldCharType="end"/>
    </w:r>
  </w:p>
  <w:p>
    <w:pPr>
      <w:pStyle w:val="5"/>
      <w:ind w:right="360"/>
      <w:jc w:val="center"/>
    </w:pPr>
    <w:r>
      <w:rPr>
        <w:kern w:val="0"/>
        <w:szCs w:val="21"/>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single" w:color="auto" w:sz="4"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E87135"/>
    <w:rsid w:val="000C60BB"/>
    <w:rsid w:val="00175BD9"/>
    <w:rsid w:val="002119BB"/>
    <w:rsid w:val="002E103D"/>
    <w:rsid w:val="003B251B"/>
    <w:rsid w:val="00C73BA8"/>
    <w:rsid w:val="00F2425B"/>
    <w:rsid w:val="01063FA6"/>
    <w:rsid w:val="011E57AB"/>
    <w:rsid w:val="013A0CFD"/>
    <w:rsid w:val="018C2693"/>
    <w:rsid w:val="01B95F36"/>
    <w:rsid w:val="01BF6DF6"/>
    <w:rsid w:val="02096CE4"/>
    <w:rsid w:val="02106C88"/>
    <w:rsid w:val="02431700"/>
    <w:rsid w:val="025850A3"/>
    <w:rsid w:val="025906EB"/>
    <w:rsid w:val="0267616F"/>
    <w:rsid w:val="029C28B0"/>
    <w:rsid w:val="02B95D3E"/>
    <w:rsid w:val="02BF3FBF"/>
    <w:rsid w:val="02F216CC"/>
    <w:rsid w:val="031C32ED"/>
    <w:rsid w:val="034855BD"/>
    <w:rsid w:val="0379214E"/>
    <w:rsid w:val="03AB38D2"/>
    <w:rsid w:val="03B52BB2"/>
    <w:rsid w:val="03BA06B0"/>
    <w:rsid w:val="03BE429A"/>
    <w:rsid w:val="0407049A"/>
    <w:rsid w:val="04347595"/>
    <w:rsid w:val="04576A57"/>
    <w:rsid w:val="04774DC7"/>
    <w:rsid w:val="04A65B3B"/>
    <w:rsid w:val="04BC3AFD"/>
    <w:rsid w:val="04BF2CD0"/>
    <w:rsid w:val="04D3194A"/>
    <w:rsid w:val="04D52427"/>
    <w:rsid w:val="04F2458C"/>
    <w:rsid w:val="054045AB"/>
    <w:rsid w:val="05742578"/>
    <w:rsid w:val="05887562"/>
    <w:rsid w:val="05B50167"/>
    <w:rsid w:val="05EB2152"/>
    <w:rsid w:val="061B543B"/>
    <w:rsid w:val="063A2E72"/>
    <w:rsid w:val="06486829"/>
    <w:rsid w:val="064D7F48"/>
    <w:rsid w:val="06B342E3"/>
    <w:rsid w:val="06EA548E"/>
    <w:rsid w:val="0702184A"/>
    <w:rsid w:val="07026236"/>
    <w:rsid w:val="070808BC"/>
    <w:rsid w:val="07347AFD"/>
    <w:rsid w:val="079C726E"/>
    <w:rsid w:val="07AA53FE"/>
    <w:rsid w:val="07C40D13"/>
    <w:rsid w:val="07FB1208"/>
    <w:rsid w:val="08125E0B"/>
    <w:rsid w:val="082C70FC"/>
    <w:rsid w:val="083A391D"/>
    <w:rsid w:val="084E0CB1"/>
    <w:rsid w:val="08505746"/>
    <w:rsid w:val="08796E99"/>
    <w:rsid w:val="08803E0D"/>
    <w:rsid w:val="08815531"/>
    <w:rsid w:val="08A16EF6"/>
    <w:rsid w:val="08DA6656"/>
    <w:rsid w:val="08F02790"/>
    <w:rsid w:val="08F2137F"/>
    <w:rsid w:val="09183B11"/>
    <w:rsid w:val="091E6D0B"/>
    <w:rsid w:val="09537C87"/>
    <w:rsid w:val="09D251DB"/>
    <w:rsid w:val="09E90A9D"/>
    <w:rsid w:val="09E9731B"/>
    <w:rsid w:val="0A083C21"/>
    <w:rsid w:val="0A2647F2"/>
    <w:rsid w:val="0A54114F"/>
    <w:rsid w:val="0A6B328E"/>
    <w:rsid w:val="0A9A372A"/>
    <w:rsid w:val="0AB356BE"/>
    <w:rsid w:val="0AB573E3"/>
    <w:rsid w:val="0AB72E5F"/>
    <w:rsid w:val="0AC64740"/>
    <w:rsid w:val="0AEE7487"/>
    <w:rsid w:val="0AF71130"/>
    <w:rsid w:val="0B0E43D6"/>
    <w:rsid w:val="0B15212A"/>
    <w:rsid w:val="0B2946B1"/>
    <w:rsid w:val="0B42082F"/>
    <w:rsid w:val="0B862825"/>
    <w:rsid w:val="0B9A2FDB"/>
    <w:rsid w:val="0BA438DA"/>
    <w:rsid w:val="0BDE2087"/>
    <w:rsid w:val="0C2B0BC5"/>
    <w:rsid w:val="0C410CD1"/>
    <w:rsid w:val="0C603D35"/>
    <w:rsid w:val="0CF761D9"/>
    <w:rsid w:val="0D031D8D"/>
    <w:rsid w:val="0D140A1F"/>
    <w:rsid w:val="0D3F44BB"/>
    <w:rsid w:val="0D4E6BF4"/>
    <w:rsid w:val="0D515015"/>
    <w:rsid w:val="0D53198F"/>
    <w:rsid w:val="0D5B4741"/>
    <w:rsid w:val="0D694770"/>
    <w:rsid w:val="0D7D3C4E"/>
    <w:rsid w:val="0D8D64C0"/>
    <w:rsid w:val="0DB92AA7"/>
    <w:rsid w:val="0DE965DD"/>
    <w:rsid w:val="0DEF4E85"/>
    <w:rsid w:val="0DFD741A"/>
    <w:rsid w:val="0E160995"/>
    <w:rsid w:val="0E187A4A"/>
    <w:rsid w:val="0E396B70"/>
    <w:rsid w:val="0E804E7B"/>
    <w:rsid w:val="0EAB7A74"/>
    <w:rsid w:val="0EBC4BEA"/>
    <w:rsid w:val="0EC42CA7"/>
    <w:rsid w:val="0EC77533"/>
    <w:rsid w:val="0F0D63DE"/>
    <w:rsid w:val="0F147222"/>
    <w:rsid w:val="0F33697C"/>
    <w:rsid w:val="0FF55FDD"/>
    <w:rsid w:val="100C6AB6"/>
    <w:rsid w:val="102051EE"/>
    <w:rsid w:val="10221797"/>
    <w:rsid w:val="102B6E04"/>
    <w:rsid w:val="103F3C8D"/>
    <w:rsid w:val="10605C6B"/>
    <w:rsid w:val="10972725"/>
    <w:rsid w:val="109A2E27"/>
    <w:rsid w:val="10F61265"/>
    <w:rsid w:val="112E4B46"/>
    <w:rsid w:val="11481F54"/>
    <w:rsid w:val="114B3984"/>
    <w:rsid w:val="115C7499"/>
    <w:rsid w:val="11D74DA7"/>
    <w:rsid w:val="11ED28CD"/>
    <w:rsid w:val="11F03357"/>
    <w:rsid w:val="11FF2FF3"/>
    <w:rsid w:val="1202520B"/>
    <w:rsid w:val="121001E0"/>
    <w:rsid w:val="122A4BDA"/>
    <w:rsid w:val="123B0F73"/>
    <w:rsid w:val="125D2D90"/>
    <w:rsid w:val="12723018"/>
    <w:rsid w:val="12A409F0"/>
    <w:rsid w:val="12C81442"/>
    <w:rsid w:val="12CB43C8"/>
    <w:rsid w:val="12DC4DDD"/>
    <w:rsid w:val="12EE5F82"/>
    <w:rsid w:val="132B0D25"/>
    <w:rsid w:val="1353014D"/>
    <w:rsid w:val="14231402"/>
    <w:rsid w:val="146F1BC6"/>
    <w:rsid w:val="14957EC9"/>
    <w:rsid w:val="14A81930"/>
    <w:rsid w:val="14DC10C5"/>
    <w:rsid w:val="15163B21"/>
    <w:rsid w:val="1532766B"/>
    <w:rsid w:val="15673D1E"/>
    <w:rsid w:val="157079BA"/>
    <w:rsid w:val="15732FEA"/>
    <w:rsid w:val="158533C2"/>
    <w:rsid w:val="15E35B63"/>
    <w:rsid w:val="15F361ED"/>
    <w:rsid w:val="15FE68B0"/>
    <w:rsid w:val="1605776E"/>
    <w:rsid w:val="16095113"/>
    <w:rsid w:val="16272FD8"/>
    <w:rsid w:val="164A7F3C"/>
    <w:rsid w:val="164E42F6"/>
    <w:rsid w:val="165A5D30"/>
    <w:rsid w:val="166A085D"/>
    <w:rsid w:val="16767B19"/>
    <w:rsid w:val="170F1351"/>
    <w:rsid w:val="175C4B1B"/>
    <w:rsid w:val="17632EF8"/>
    <w:rsid w:val="17C427C7"/>
    <w:rsid w:val="17EB5FD9"/>
    <w:rsid w:val="18036E8A"/>
    <w:rsid w:val="18085151"/>
    <w:rsid w:val="180F4374"/>
    <w:rsid w:val="182302EC"/>
    <w:rsid w:val="183857A0"/>
    <w:rsid w:val="18406063"/>
    <w:rsid w:val="18473CD5"/>
    <w:rsid w:val="185402B7"/>
    <w:rsid w:val="185F1AC8"/>
    <w:rsid w:val="1860402F"/>
    <w:rsid w:val="18691437"/>
    <w:rsid w:val="1871050D"/>
    <w:rsid w:val="18761A47"/>
    <w:rsid w:val="188C7283"/>
    <w:rsid w:val="18C12E1C"/>
    <w:rsid w:val="18C53D81"/>
    <w:rsid w:val="18FF7ADD"/>
    <w:rsid w:val="19400E26"/>
    <w:rsid w:val="19577F95"/>
    <w:rsid w:val="19646B9D"/>
    <w:rsid w:val="199832CF"/>
    <w:rsid w:val="19B55A6D"/>
    <w:rsid w:val="19D02F08"/>
    <w:rsid w:val="19DA0759"/>
    <w:rsid w:val="1A2C1077"/>
    <w:rsid w:val="1A330B95"/>
    <w:rsid w:val="1A403B74"/>
    <w:rsid w:val="1A5B7D18"/>
    <w:rsid w:val="1A5C14FC"/>
    <w:rsid w:val="1A916EAB"/>
    <w:rsid w:val="1A9C0403"/>
    <w:rsid w:val="1AF8523E"/>
    <w:rsid w:val="1B481BEB"/>
    <w:rsid w:val="1B5074C0"/>
    <w:rsid w:val="1B87622E"/>
    <w:rsid w:val="1B9B13E9"/>
    <w:rsid w:val="1BB42E00"/>
    <w:rsid w:val="1BCB6D30"/>
    <w:rsid w:val="1BFC4AEB"/>
    <w:rsid w:val="1C03148C"/>
    <w:rsid w:val="1C3F02FC"/>
    <w:rsid w:val="1C470EDA"/>
    <w:rsid w:val="1C626051"/>
    <w:rsid w:val="1C863B63"/>
    <w:rsid w:val="1CD319C3"/>
    <w:rsid w:val="1CEB44BF"/>
    <w:rsid w:val="1D166330"/>
    <w:rsid w:val="1D1948C7"/>
    <w:rsid w:val="1D397BB9"/>
    <w:rsid w:val="1D462390"/>
    <w:rsid w:val="1D512C4D"/>
    <w:rsid w:val="1D610F78"/>
    <w:rsid w:val="1D790492"/>
    <w:rsid w:val="1DD9072A"/>
    <w:rsid w:val="1DDC7260"/>
    <w:rsid w:val="1E2E68C8"/>
    <w:rsid w:val="1E3A7D54"/>
    <w:rsid w:val="1E7C7B1C"/>
    <w:rsid w:val="1EB86A20"/>
    <w:rsid w:val="1EEA49BB"/>
    <w:rsid w:val="1EFF502F"/>
    <w:rsid w:val="1F0C01E6"/>
    <w:rsid w:val="1F2C4DD2"/>
    <w:rsid w:val="1F45729E"/>
    <w:rsid w:val="1F684768"/>
    <w:rsid w:val="1F890AD2"/>
    <w:rsid w:val="1F9A3FE1"/>
    <w:rsid w:val="1FCD483B"/>
    <w:rsid w:val="1FCD6E40"/>
    <w:rsid w:val="1FE11306"/>
    <w:rsid w:val="1FEF1DDA"/>
    <w:rsid w:val="1FF173E4"/>
    <w:rsid w:val="20175506"/>
    <w:rsid w:val="20335E1B"/>
    <w:rsid w:val="207F6D4C"/>
    <w:rsid w:val="20AA45C6"/>
    <w:rsid w:val="20B04A35"/>
    <w:rsid w:val="20C01385"/>
    <w:rsid w:val="20C309F6"/>
    <w:rsid w:val="20ED1288"/>
    <w:rsid w:val="21063CD8"/>
    <w:rsid w:val="210D1A55"/>
    <w:rsid w:val="210E19DD"/>
    <w:rsid w:val="21271435"/>
    <w:rsid w:val="2139183F"/>
    <w:rsid w:val="214E069A"/>
    <w:rsid w:val="21641983"/>
    <w:rsid w:val="216E07DD"/>
    <w:rsid w:val="21714A43"/>
    <w:rsid w:val="218F6B44"/>
    <w:rsid w:val="220417AA"/>
    <w:rsid w:val="220F7CAD"/>
    <w:rsid w:val="223B688A"/>
    <w:rsid w:val="22677698"/>
    <w:rsid w:val="226E5FEC"/>
    <w:rsid w:val="22AB1531"/>
    <w:rsid w:val="22BF41E7"/>
    <w:rsid w:val="22E330E7"/>
    <w:rsid w:val="22FA51E6"/>
    <w:rsid w:val="231F3CF8"/>
    <w:rsid w:val="233E379E"/>
    <w:rsid w:val="234E0FC0"/>
    <w:rsid w:val="23516881"/>
    <w:rsid w:val="23A10B25"/>
    <w:rsid w:val="23BC1B4F"/>
    <w:rsid w:val="246D6BB0"/>
    <w:rsid w:val="247A4D84"/>
    <w:rsid w:val="24862E5E"/>
    <w:rsid w:val="24A80ED1"/>
    <w:rsid w:val="24C84B52"/>
    <w:rsid w:val="24CB38A4"/>
    <w:rsid w:val="24DD100E"/>
    <w:rsid w:val="2511456B"/>
    <w:rsid w:val="2537668D"/>
    <w:rsid w:val="256D4B40"/>
    <w:rsid w:val="256F32ED"/>
    <w:rsid w:val="25981E5F"/>
    <w:rsid w:val="25A02B34"/>
    <w:rsid w:val="25B013AA"/>
    <w:rsid w:val="25C352FB"/>
    <w:rsid w:val="25F31D6E"/>
    <w:rsid w:val="25F61511"/>
    <w:rsid w:val="25F6589B"/>
    <w:rsid w:val="261418DB"/>
    <w:rsid w:val="262B400F"/>
    <w:rsid w:val="266C7937"/>
    <w:rsid w:val="267A6902"/>
    <w:rsid w:val="26AF3BDE"/>
    <w:rsid w:val="26C93FC9"/>
    <w:rsid w:val="26D64B02"/>
    <w:rsid w:val="26D952A1"/>
    <w:rsid w:val="270A1B68"/>
    <w:rsid w:val="2711257A"/>
    <w:rsid w:val="27165463"/>
    <w:rsid w:val="273449E4"/>
    <w:rsid w:val="273749CF"/>
    <w:rsid w:val="276E100B"/>
    <w:rsid w:val="276E722F"/>
    <w:rsid w:val="278000C1"/>
    <w:rsid w:val="27861E06"/>
    <w:rsid w:val="278B0EB6"/>
    <w:rsid w:val="27915CD3"/>
    <w:rsid w:val="27B524C4"/>
    <w:rsid w:val="27D03F9A"/>
    <w:rsid w:val="27EA4B3E"/>
    <w:rsid w:val="281743F6"/>
    <w:rsid w:val="281D3BF5"/>
    <w:rsid w:val="28451C46"/>
    <w:rsid w:val="285C1E10"/>
    <w:rsid w:val="28BC5C4D"/>
    <w:rsid w:val="28E872B8"/>
    <w:rsid w:val="28F923CC"/>
    <w:rsid w:val="29326812"/>
    <w:rsid w:val="29751207"/>
    <w:rsid w:val="29862DD6"/>
    <w:rsid w:val="29973FA3"/>
    <w:rsid w:val="29AD2974"/>
    <w:rsid w:val="29BC25FB"/>
    <w:rsid w:val="29C01662"/>
    <w:rsid w:val="29C51C33"/>
    <w:rsid w:val="29D626D5"/>
    <w:rsid w:val="2A1E1184"/>
    <w:rsid w:val="2A6158D3"/>
    <w:rsid w:val="2A740A64"/>
    <w:rsid w:val="2ABF54CC"/>
    <w:rsid w:val="2B041773"/>
    <w:rsid w:val="2B3332A0"/>
    <w:rsid w:val="2B3C7E99"/>
    <w:rsid w:val="2B4B7A2F"/>
    <w:rsid w:val="2B4D1D04"/>
    <w:rsid w:val="2B8E2D92"/>
    <w:rsid w:val="2BD63537"/>
    <w:rsid w:val="2BD75CB2"/>
    <w:rsid w:val="2BE5227E"/>
    <w:rsid w:val="2BFA645E"/>
    <w:rsid w:val="2C08137E"/>
    <w:rsid w:val="2C1A1CBE"/>
    <w:rsid w:val="2C282502"/>
    <w:rsid w:val="2C545943"/>
    <w:rsid w:val="2C9C4D52"/>
    <w:rsid w:val="2CA3571A"/>
    <w:rsid w:val="2CE27D2F"/>
    <w:rsid w:val="2D057A28"/>
    <w:rsid w:val="2D174729"/>
    <w:rsid w:val="2D1C7BED"/>
    <w:rsid w:val="2D901C80"/>
    <w:rsid w:val="2D903C65"/>
    <w:rsid w:val="2DD9041F"/>
    <w:rsid w:val="2DE566A2"/>
    <w:rsid w:val="2DF67C66"/>
    <w:rsid w:val="2E00568F"/>
    <w:rsid w:val="2EA1785D"/>
    <w:rsid w:val="2F085721"/>
    <w:rsid w:val="2F1361F0"/>
    <w:rsid w:val="2F3177B1"/>
    <w:rsid w:val="2F4F0FF6"/>
    <w:rsid w:val="2F597461"/>
    <w:rsid w:val="2F630799"/>
    <w:rsid w:val="2F7D49D0"/>
    <w:rsid w:val="2F856774"/>
    <w:rsid w:val="2F931115"/>
    <w:rsid w:val="2FBB7EAE"/>
    <w:rsid w:val="2FBE5A82"/>
    <w:rsid w:val="2FC42D41"/>
    <w:rsid w:val="2FDA3BA8"/>
    <w:rsid w:val="30024B4F"/>
    <w:rsid w:val="300F23C9"/>
    <w:rsid w:val="307653BD"/>
    <w:rsid w:val="30930E37"/>
    <w:rsid w:val="30C44A34"/>
    <w:rsid w:val="30D1015C"/>
    <w:rsid w:val="30F34145"/>
    <w:rsid w:val="312531A8"/>
    <w:rsid w:val="3142410D"/>
    <w:rsid w:val="314547C4"/>
    <w:rsid w:val="31531918"/>
    <w:rsid w:val="315C3192"/>
    <w:rsid w:val="316235B4"/>
    <w:rsid w:val="31940811"/>
    <w:rsid w:val="31CD6EC1"/>
    <w:rsid w:val="31D426C2"/>
    <w:rsid w:val="321D789F"/>
    <w:rsid w:val="322B238B"/>
    <w:rsid w:val="323378AF"/>
    <w:rsid w:val="32E11C4B"/>
    <w:rsid w:val="330324DE"/>
    <w:rsid w:val="336C787C"/>
    <w:rsid w:val="33C86299"/>
    <w:rsid w:val="3431150F"/>
    <w:rsid w:val="347B103D"/>
    <w:rsid w:val="34B845F0"/>
    <w:rsid w:val="34C9202D"/>
    <w:rsid w:val="34CE1D19"/>
    <w:rsid w:val="34D11D8A"/>
    <w:rsid w:val="34E8052E"/>
    <w:rsid w:val="34EF6337"/>
    <w:rsid w:val="350E51BB"/>
    <w:rsid w:val="355834C6"/>
    <w:rsid w:val="35673F59"/>
    <w:rsid w:val="359164B9"/>
    <w:rsid w:val="3594687B"/>
    <w:rsid w:val="359E325C"/>
    <w:rsid w:val="35F30879"/>
    <w:rsid w:val="3641644D"/>
    <w:rsid w:val="36497611"/>
    <w:rsid w:val="365D5BBE"/>
    <w:rsid w:val="36602487"/>
    <w:rsid w:val="366B3ADA"/>
    <w:rsid w:val="36C62835"/>
    <w:rsid w:val="36CC2CDE"/>
    <w:rsid w:val="36F56BE4"/>
    <w:rsid w:val="37203BC4"/>
    <w:rsid w:val="372822D1"/>
    <w:rsid w:val="37460288"/>
    <w:rsid w:val="374E7583"/>
    <w:rsid w:val="37720B61"/>
    <w:rsid w:val="378835C2"/>
    <w:rsid w:val="379045C2"/>
    <w:rsid w:val="37AF70A3"/>
    <w:rsid w:val="37B82000"/>
    <w:rsid w:val="383B4D64"/>
    <w:rsid w:val="38452B82"/>
    <w:rsid w:val="3847446B"/>
    <w:rsid w:val="3852084A"/>
    <w:rsid w:val="38567493"/>
    <w:rsid w:val="3863051C"/>
    <w:rsid w:val="386843D6"/>
    <w:rsid w:val="386F085F"/>
    <w:rsid w:val="387B34B6"/>
    <w:rsid w:val="388A286C"/>
    <w:rsid w:val="38CD78AD"/>
    <w:rsid w:val="38D7586F"/>
    <w:rsid w:val="390E3032"/>
    <w:rsid w:val="39594A68"/>
    <w:rsid w:val="397C0F56"/>
    <w:rsid w:val="398642E6"/>
    <w:rsid w:val="398B1C12"/>
    <w:rsid w:val="39CF3E87"/>
    <w:rsid w:val="39E90DDB"/>
    <w:rsid w:val="39F20083"/>
    <w:rsid w:val="3A3055D2"/>
    <w:rsid w:val="3A344F55"/>
    <w:rsid w:val="3A4E2FE8"/>
    <w:rsid w:val="3A6D2768"/>
    <w:rsid w:val="3A9014A9"/>
    <w:rsid w:val="3AB55884"/>
    <w:rsid w:val="3AEC20DA"/>
    <w:rsid w:val="3B0D10B7"/>
    <w:rsid w:val="3B103E8C"/>
    <w:rsid w:val="3B733A16"/>
    <w:rsid w:val="3B7E12D2"/>
    <w:rsid w:val="3BDF2F90"/>
    <w:rsid w:val="3C0270F4"/>
    <w:rsid w:val="3C103EE5"/>
    <w:rsid w:val="3C1E3759"/>
    <w:rsid w:val="3C3825B6"/>
    <w:rsid w:val="3C4E6D67"/>
    <w:rsid w:val="3C5930C4"/>
    <w:rsid w:val="3C6825BC"/>
    <w:rsid w:val="3C812FBB"/>
    <w:rsid w:val="3C85126B"/>
    <w:rsid w:val="3C9F0F85"/>
    <w:rsid w:val="3CA663CE"/>
    <w:rsid w:val="3CAB4C3A"/>
    <w:rsid w:val="3CBE1A42"/>
    <w:rsid w:val="3CD01CD1"/>
    <w:rsid w:val="3CD678C0"/>
    <w:rsid w:val="3CDD5657"/>
    <w:rsid w:val="3CDE2F0E"/>
    <w:rsid w:val="3CE94653"/>
    <w:rsid w:val="3CEC0929"/>
    <w:rsid w:val="3CED0D28"/>
    <w:rsid w:val="3CFA62BE"/>
    <w:rsid w:val="3CFF6E26"/>
    <w:rsid w:val="3D093273"/>
    <w:rsid w:val="3D420CAF"/>
    <w:rsid w:val="3D4E70FF"/>
    <w:rsid w:val="3D7A5508"/>
    <w:rsid w:val="3DBA423C"/>
    <w:rsid w:val="3DC27A5F"/>
    <w:rsid w:val="3DC45395"/>
    <w:rsid w:val="3DC525DA"/>
    <w:rsid w:val="3DCE2CB8"/>
    <w:rsid w:val="3DD14C48"/>
    <w:rsid w:val="3DF530FD"/>
    <w:rsid w:val="3E1E0FB4"/>
    <w:rsid w:val="3E514F82"/>
    <w:rsid w:val="3E632AE7"/>
    <w:rsid w:val="3E660A56"/>
    <w:rsid w:val="3E697A36"/>
    <w:rsid w:val="3E98534F"/>
    <w:rsid w:val="3EA50AB4"/>
    <w:rsid w:val="3EB40EE5"/>
    <w:rsid w:val="3EBB0751"/>
    <w:rsid w:val="3F413095"/>
    <w:rsid w:val="3F68774C"/>
    <w:rsid w:val="3FA8591C"/>
    <w:rsid w:val="3FC37956"/>
    <w:rsid w:val="3FE3228B"/>
    <w:rsid w:val="3FF07B44"/>
    <w:rsid w:val="40583145"/>
    <w:rsid w:val="405956C6"/>
    <w:rsid w:val="40642A12"/>
    <w:rsid w:val="40812D2A"/>
    <w:rsid w:val="40D36E09"/>
    <w:rsid w:val="40E61C49"/>
    <w:rsid w:val="40F12813"/>
    <w:rsid w:val="410B4D71"/>
    <w:rsid w:val="41136CDA"/>
    <w:rsid w:val="4125109D"/>
    <w:rsid w:val="41385945"/>
    <w:rsid w:val="4143657F"/>
    <w:rsid w:val="416F76DA"/>
    <w:rsid w:val="41E6426F"/>
    <w:rsid w:val="421C211D"/>
    <w:rsid w:val="423249BE"/>
    <w:rsid w:val="426A5D93"/>
    <w:rsid w:val="42715674"/>
    <w:rsid w:val="42752A18"/>
    <w:rsid w:val="42A307EA"/>
    <w:rsid w:val="42C61CEC"/>
    <w:rsid w:val="42D869A0"/>
    <w:rsid w:val="42DC2884"/>
    <w:rsid w:val="42EF1F7C"/>
    <w:rsid w:val="4325051D"/>
    <w:rsid w:val="43704C93"/>
    <w:rsid w:val="437C454A"/>
    <w:rsid w:val="439C4827"/>
    <w:rsid w:val="43C963B8"/>
    <w:rsid w:val="441956EA"/>
    <w:rsid w:val="441B5254"/>
    <w:rsid w:val="44361648"/>
    <w:rsid w:val="444E2004"/>
    <w:rsid w:val="44661765"/>
    <w:rsid w:val="44946EAC"/>
    <w:rsid w:val="44B664AB"/>
    <w:rsid w:val="44C84698"/>
    <w:rsid w:val="44C87DFE"/>
    <w:rsid w:val="44D55446"/>
    <w:rsid w:val="44FE4223"/>
    <w:rsid w:val="45256D7E"/>
    <w:rsid w:val="45737763"/>
    <w:rsid w:val="45776422"/>
    <w:rsid w:val="457E5086"/>
    <w:rsid w:val="458374E8"/>
    <w:rsid w:val="45906749"/>
    <w:rsid w:val="45AE6287"/>
    <w:rsid w:val="45AE6315"/>
    <w:rsid w:val="45CF5669"/>
    <w:rsid w:val="45E56B16"/>
    <w:rsid w:val="45F24722"/>
    <w:rsid w:val="461871BC"/>
    <w:rsid w:val="463E077D"/>
    <w:rsid w:val="466021FF"/>
    <w:rsid w:val="46994D6F"/>
    <w:rsid w:val="46AF2CBB"/>
    <w:rsid w:val="46E56A67"/>
    <w:rsid w:val="46F00684"/>
    <w:rsid w:val="46F74123"/>
    <w:rsid w:val="471127A4"/>
    <w:rsid w:val="471979A7"/>
    <w:rsid w:val="475D44F8"/>
    <w:rsid w:val="47601CAF"/>
    <w:rsid w:val="47702DA9"/>
    <w:rsid w:val="48245F57"/>
    <w:rsid w:val="482D55EF"/>
    <w:rsid w:val="48442480"/>
    <w:rsid w:val="48514CA1"/>
    <w:rsid w:val="48612A1F"/>
    <w:rsid w:val="487A4662"/>
    <w:rsid w:val="48912A0C"/>
    <w:rsid w:val="48A20BA8"/>
    <w:rsid w:val="48BB3BE7"/>
    <w:rsid w:val="48DB228F"/>
    <w:rsid w:val="48F23D50"/>
    <w:rsid w:val="48FE1E5E"/>
    <w:rsid w:val="48FE5425"/>
    <w:rsid w:val="491A1CAE"/>
    <w:rsid w:val="492C0917"/>
    <w:rsid w:val="494B302D"/>
    <w:rsid w:val="49C407B3"/>
    <w:rsid w:val="49CD4949"/>
    <w:rsid w:val="49E44B1C"/>
    <w:rsid w:val="49F25069"/>
    <w:rsid w:val="4A006536"/>
    <w:rsid w:val="4A0879B2"/>
    <w:rsid w:val="4A116B2B"/>
    <w:rsid w:val="4A1D58F2"/>
    <w:rsid w:val="4A244192"/>
    <w:rsid w:val="4A4B725E"/>
    <w:rsid w:val="4A536B07"/>
    <w:rsid w:val="4A767863"/>
    <w:rsid w:val="4A770BF8"/>
    <w:rsid w:val="4A9903A8"/>
    <w:rsid w:val="4AC81168"/>
    <w:rsid w:val="4B5057F1"/>
    <w:rsid w:val="4B517747"/>
    <w:rsid w:val="4BD231B4"/>
    <w:rsid w:val="4BE21971"/>
    <w:rsid w:val="4BEE533D"/>
    <w:rsid w:val="4BF13328"/>
    <w:rsid w:val="4C2B1178"/>
    <w:rsid w:val="4C44600C"/>
    <w:rsid w:val="4C4B08A0"/>
    <w:rsid w:val="4C5350C9"/>
    <w:rsid w:val="4C6B49E8"/>
    <w:rsid w:val="4CB35512"/>
    <w:rsid w:val="4DF4181F"/>
    <w:rsid w:val="4E2075F0"/>
    <w:rsid w:val="4E3F0B77"/>
    <w:rsid w:val="4EDE0516"/>
    <w:rsid w:val="4F9C58B8"/>
    <w:rsid w:val="4FB15061"/>
    <w:rsid w:val="4FBA0225"/>
    <w:rsid w:val="4FC26F96"/>
    <w:rsid w:val="4FFA5944"/>
    <w:rsid w:val="502D0577"/>
    <w:rsid w:val="503E6071"/>
    <w:rsid w:val="50417322"/>
    <w:rsid w:val="507C6E2B"/>
    <w:rsid w:val="50970183"/>
    <w:rsid w:val="50C6454E"/>
    <w:rsid w:val="50DE45AE"/>
    <w:rsid w:val="50E23A25"/>
    <w:rsid w:val="50E75F69"/>
    <w:rsid w:val="50EA3A41"/>
    <w:rsid w:val="50F75FBF"/>
    <w:rsid w:val="51082BCC"/>
    <w:rsid w:val="511D0CD8"/>
    <w:rsid w:val="513A7953"/>
    <w:rsid w:val="515A423F"/>
    <w:rsid w:val="515E5CEF"/>
    <w:rsid w:val="51827A12"/>
    <w:rsid w:val="519E2364"/>
    <w:rsid w:val="51F575DF"/>
    <w:rsid w:val="5203441B"/>
    <w:rsid w:val="521C23AF"/>
    <w:rsid w:val="522F1F24"/>
    <w:rsid w:val="524B6481"/>
    <w:rsid w:val="526A41FC"/>
    <w:rsid w:val="52783511"/>
    <w:rsid w:val="527E2786"/>
    <w:rsid w:val="52903ABE"/>
    <w:rsid w:val="52922B51"/>
    <w:rsid w:val="529A7DCE"/>
    <w:rsid w:val="52B967B6"/>
    <w:rsid w:val="53315140"/>
    <w:rsid w:val="533E792C"/>
    <w:rsid w:val="53714C92"/>
    <w:rsid w:val="537824CB"/>
    <w:rsid w:val="537F04F1"/>
    <w:rsid w:val="53AA3DBD"/>
    <w:rsid w:val="53E06CB4"/>
    <w:rsid w:val="54432E25"/>
    <w:rsid w:val="5491156F"/>
    <w:rsid w:val="549321E5"/>
    <w:rsid w:val="54C20ECA"/>
    <w:rsid w:val="54C71877"/>
    <w:rsid w:val="54D16760"/>
    <w:rsid w:val="552C2DCC"/>
    <w:rsid w:val="553F47E2"/>
    <w:rsid w:val="55816D84"/>
    <w:rsid w:val="55A0308A"/>
    <w:rsid w:val="55AA6975"/>
    <w:rsid w:val="55DD4B1A"/>
    <w:rsid w:val="55E36AE5"/>
    <w:rsid w:val="55F44089"/>
    <w:rsid w:val="560A5EEB"/>
    <w:rsid w:val="56254C55"/>
    <w:rsid w:val="567566AD"/>
    <w:rsid w:val="567D36F8"/>
    <w:rsid w:val="56C7517F"/>
    <w:rsid w:val="56E97E5D"/>
    <w:rsid w:val="56EB2A48"/>
    <w:rsid w:val="57360267"/>
    <w:rsid w:val="57657A74"/>
    <w:rsid w:val="57682C44"/>
    <w:rsid w:val="578741B9"/>
    <w:rsid w:val="57966B35"/>
    <w:rsid w:val="57B25A18"/>
    <w:rsid w:val="57C93E75"/>
    <w:rsid w:val="57CB4F26"/>
    <w:rsid w:val="57D04921"/>
    <w:rsid w:val="57E87135"/>
    <w:rsid w:val="57F55ADD"/>
    <w:rsid w:val="580B06DA"/>
    <w:rsid w:val="580E5A6E"/>
    <w:rsid w:val="5863773F"/>
    <w:rsid w:val="587C70DE"/>
    <w:rsid w:val="58AE41E9"/>
    <w:rsid w:val="58C245E8"/>
    <w:rsid w:val="59067A38"/>
    <w:rsid w:val="59162DF8"/>
    <w:rsid w:val="593468DA"/>
    <w:rsid w:val="598D5345"/>
    <w:rsid w:val="59B23A98"/>
    <w:rsid w:val="59B43BCA"/>
    <w:rsid w:val="59C93CD7"/>
    <w:rsid w:val="59E41C54"/>
    <w:rsid w:val="5A027A6A"/>
    <w:rsid w:val="5A0D4298"/>
    <w:rsid w:val="5A266856"/>
    <w:rsid w:val="5A4E4737"/>
    <w:rsid w:val="5A750733"/>
    <w:rsid w:val="5A7644F7"/>
    <w:rsid w:val="5A964ED5"/>
    <w:rsid w:val="5AB6358B"/>
    <w:rsid w:val="5AC05B4D"/>
    <w:rsid w:val="5ACE047F"/>
    <w:rsid w:val="5AF03ED0"/>
    <w:rsid w:val="5AF2089F"/>
    <w:rsid w:val="5B5024A5"/>
    <w:rsid w:val="5B821B28"/>
    <w:rsid w:val="5B8701F8"/>
    <w:rsid w:val="5BCF51AD"/>
    <w:rsid w:val="5BE8677F"/>
    <w:rsid w:val="5C126285"/>
    <w:rsid w:val="5C7653A1"/>
    <w:rsid w:val="5CA01C99"/>
    <w:rsid w:val="5D274E36"/>
    <w:rsid w:val="5D3F4523"/>
    <w:rsid w:val="5DA74F7A"/>
    <w:rsid w:val="5DAC12B7"/>
    <w:rsid w:val="5DAF0C50"/>
    <w:rsid w:val="5DC23321"/>
    <w:rsid w:val="5DF34CFF"/>
    <w:rsid w:val="5E1D1259"/>
    <w:rsid w:val="5E253D03"/>
    <w:rsid w:val="5E2C242E"/>
    <w:rsid w:val="5E7357F1"/>
    <w:rsid w:val="5E7E5CDE"/>
    <w:rsid w:val="5E7F5D7B"/>
    <w:rsid w:val="5E814123"/>
    <w:rsid w:val="5E8E4BAB"/>
    <w:rsid w:val="5EEC0D64"/>
    <w:rsid w:val="5EFA6349"/>
    <w:rsid w:val="5F70534E"/>
    <w:rsid w:val="5F751EE0"/>
    <w:rsid w:val="5FA167C2"/>
    <w:rsid w:val="5FB73D99"/>
    <w:rsid w:val="5FDE0B73"/>
    <w:rsid w:val="6009785B"/>
    <w:rsid w:val="60220973"/>
    <w:rsid w:val="6026614D"/>
    <w:rsid w:val="6037456E"/>
    <w:rsid w:val="60446A97"/>
    <w:rsid w:val="606E3A26"/>
    <w:rsid w:val="60784231"/>
    <w:rsid w:val="607C1968"/>
    <w:rsid w:val="60D53B57"/>
    <w:rsid w:val="60EE2C41"/>
    <w:rsid w:val="60F96715"/>
    <w:rsid w:val="610C240E"/>
    <w:rsid w:val="6185018C"/>
    <w:rsid w:val="618F72CB"/>
    <w:rsid w:val="61B3388A"/>
    <w:rsid w:val="61F63920"/>
    <w:rsid w:val="62090A76"/>
    <w:rsid w:val="62747AC0"/>
    <w:rsid w:val="62C54959"/>
    <w:rsid w:val="62EF0FE2"/>
    <w:rsid w:val="635E7E17"/>
    <w:rsid w:val="636606C5"/>
    <w:rsid w:val="63735DD2"/>
    <w:rsid w:val="63C75114"/>
    <w:rsid w:val="63E57AE8"/>
    <w:rsid w:val="64131673"/>
    <w:rsid w:val="64355561"/>
    <w:rsid w:val="646E66DC"/>
    <w:rsid w:val="648D64E4"/>
    <w:rsid w:val="64CA59F2"/>
    <w:rsid w:val="64D31A55"/>
    <w:rsid w:val="64FF3A52"/>
    <w:rsid w:val="6537621C"/>
    <w:rsid w:val="656B0E3A"/>
    <w:rsid w:val="65722963"/>
    <w:rsid w:val="657F57DA"/>
    <w:rsid w:val="65DA6150"/>
    <w:rsid w:val="66106F69"/>
    <w:rsid w:val="661C619C"/>
    <w:rsid w:val="6622011B"/>
    <w:rsid w:val="66303484"/>
    <w:rsid w:val="66393520"/>
    <w:rsid w:val="66434215"/>
    <w:rsid w:val="66536820"/>
    <w:rsid w:val="66551277"/>
    <w:rsid w:val="66745E16"/>
    <w:rsid w:val="66B24342"/>
    <w:rsid w:val="66ED68A1"/>
    <w:rsid w:val="66F7719C"/>
    <w:rsid w:val="66FF0134"/>
    <w:rsid w:val="674D541B"/>
    <w:rsid w:val="67AD2F9F"/>
    <w:rsid w:val="67FC5D47"/>
    <w:rsid w:val="67FF152A"/>
    <w:rsid w:val="68170F5E"/>
    <w:rsid w:val="68362935"/>
    <w:rsid w:val="68515546"/>
    <w:rsid w:val="686077D3"/>
    <w:rsid w:val="686D7F38"/>
    <w:rsid w:val="68792611"/>
    <w:rsid w:val="688F4DEE"/>
    <w:rsid w:val="68BD4EF8"/>
    <w:rsid w:val="68EB2E91"/>
    <w:rsid w:val="68FC6F28"/>
    <w:rsid w:val="6908597A"/>
    <w:rsid w:val="693B107B"/>
    <w:rsid w:val="694931FA"/>
    <w:rsid w:val="69710D51"/>
    <w:rsid w:val="6988248C"/>
    <w:rsid w:val="69917E6F"/>
    <w:rsid w:val="69A77BCD"/>
    <w:rsid w:val="69B26C4C"/>
    <w:rsid w:val="69BA7327"/>
    <w:rsid w:val="69D85833"/>
    <w:rsid w:val="69D86197"/>
    <w:rsid w:val="69E22797"/>
    <w:rsid w:val="6A1716D7"/>
    <w:rsid w:val="6A255C40"/>
    <w:rsid w:val="6A256568"/>
    <w:rsid w:val="6A2C03CD"/>
    <w:rsid w:val="6A55331B"/>
    <w:rsid w:val="6A5F4338"/>
    <w:rsid w:val="6AC81A68"/>
    <w:rsid w:val="6AE05E9F"/>
    <w:rsid w:val="6B524DB8"/>
    <w:rsid w:val="6BA45BFC"/>
    <w:rsid w:val="6BB40816"/>
    <w:rsid w:val="6BBD1116"/>
    <w:rsid w:val="6BD8351F"/>
    <w:rsid w:val="6BF430DA"/>
    <w:rsid w:val="6C0A2FA2"/>
    <w:rsid w:val="6C35691E"/>
    <w:rsid w:val="6C3E70C3"/>
    <w:rsid w:val="6C53282B"/>
    <w:rsid w:val="6C55498F"/>
    <w:rsid w:val="6C5608ED"/>
    <w:rsid w:val="6C6373F9"/>
    <w:rsid w:val="6C7A16C2"/>
    <w:rsid w:val="6CA216CE"/>
    <w:rsid w:val="6CB64A19"/>
    <w:rsid w:val="6CC8766B"/>
    <w:rsid w:val="6CEC506E"/>
    <w:rsid w:val="6D0713F9"/>
    <w:rsid w:val="6D4F7601"/>
    <w:rsid w:val="6D623F1D"/>
    <w:rsid w:val="6D6B22F0"/>
    <w:rsid w:val="6D972616"/>
    <w:rsid w:val="6DB9616E"/>
    <w:rsid w:val="6DC60A4E"/>
    <w:rsid w:val="6DEA65E3"/>
    <w:rsid w:val="6DFE57BC"/>
    <w:rsid w:val="6E0823EC"/>
    <w:rsid w:val="6E2D497E"/>
    <w:rsid w:val="6E5E7D45"/>
    <w:rsid w:val="6EA957DC"/>
    <w:rsid w:val="6EB013B4"/>
    <w:rsid w:val="6EB81E40"/>
    <w:rsid w:val="6EDC2B18"/>
    <w:rsid w:val="6EE06A50"/>
    <w:rsid w:val="6F2229E5"/>
    <w:rsid w:val="6F265F9B"/>
    <w:rsid w:val="6F451458"/>
    <w:rsid w:val="6F4653EA"/>
    <w:rsid w:val="6F803E9E"/>
    <w:rsid w:val="6F882569"/>
    <w:rsid w:val="6F886F1A"/>
    <w:rsid w:val="6F977B51"/>
    <w:rsid w:val="6FB91F6F"/>
    <w:rsid w:val="6FD878B3"/>
    <w:rsid w:val="6FF63464"/>
    <w:rsid w:val="6FF92572"/>
    <w:rsid w:val="6FFA6072"/>
    <w:rsid w:val="70166A76"/>
    <w:rsid w:val="7021421A"/>
    <w:rsid w:val="702D567D"/>
    <w:rsid w:val="70622DCC"/>
    <w:rsid w:val="706B4A9C"/>
    <w:rsid w:val="707967B1"/>
    <w:rsid w:val="70933F1F"/>
    <w:rsid w:val="7094159F"/>
    <w:rsid w:val="70A5619F"/>
    <w:rsid w:val="70A567D8"/>
    <w:rsid w:val="710E5602"/>
    <w:rsid w:val="71287486"/>
    <w:rsid w:val="713F0060"/>
    <w:rsid w:val="71436E0B"/>
    <w:rsid w:val="715050A9"/>
    <w:rsid w:val="715E5BEF"/>
    <w:rsid w:val="718A6D4A"/>
    <w:rsid w:val="71A70B5C"/>
    <w:rsid w:val="71C52116"/>
    <w:rsid w:val="71DB4190"/>
    <w:rsid w:val="71EC54A2"/>
    <w:rsid w:val="71F90010"/>
    <w:rsid w:val="724A5BC0"/>
    <w:rsid w:val="725B7BDD"/>
    <w:rsid w:val="728D18E6"/>
    <w:rsid w:val="729E416A"/>
    <w:rsid w:val="729F2938"/>
    <w:rsid w:val="72B36C76"/>
    <w:rsid w:val="72BC029C"/>
    <w:rsid w:val="72E83DC4"/>
    <w:rsid w:val="73077967"/>
    <w:rsid w:val="73092230"/>
    <w:rsid w:val="73122DCA"/>
    <w:rsid w:val="732C7D13"/>
    <w:rsid w:val="73524AD8"/>
    <w:rsid w:val="73BB2C51"/>
    <w:rsid w:val="73D246AB"/>
    <w:rsid w:val="73F04858"/>
    <w:rsid w:val="74211301"/>
    <w:rsid w:val="742771E3"/>
    <w:rsid w:val="742B0EF6"/>
    <w:rsid w:val="74462EE3"/>
    <w:rsid w:val="74575772"/>
    <w:rsid w:val="745A3D79"/>
    <w:rsid w:val="74981844"/>
    <w:rsid w:val="74A64904"/>
    <w:rsid w:val="74B8022B"/>
    <w:rsid w:val="74C72866"/>
    <w:rsid w:val="74F63BF5"/>
    <w:rsid w:val="74F71AB2"/>
    <w:rsid w:val="74FF2BB7"/>
    <w:rsid w:val="7532507E"/>
    <w:rsid w:val="753276D3"/>
    <w:rsid w:val="7573793C"/>
    <w:rsid w:val="75795B8B"/>
    <w:rsid w:val="75896E09"/>
    <w:rsid w:val="758A50F5"/>
    <w:rsid w:val="75D75411"/>
    <w:rsid w:val="760A3BAC"/>
    <w:rsid w:val="76353747"/>
    <w:rsid w:val="76615B69"/>
    <w:rsid w:val="76796850"/>
    <w:rsid w:val="769355D8"/>
    <w:rsid w:val="76A85DF0"/>
    <w:rsid w:val="76C22B7B"/>
    <w:rsid w:val="76D16D23"/>
    <w:rsid w:val="76FA210E"/>
    <w:rsid w:val="76FE0E0E"/>
    <w:rsid w:val="773533DB"/>
    <w:rsid w:val="77784420"/>
    <w:rsid w:val="778C7E4B"/>
    <w:rsid w:val="77A86E7D"/>
    <w:rsid w:val="77D80E2A"/>
    <w:rsid w:val="77DE6A08"/>
    <w:rsid w:val="78367B8A"/>
    <w:rsid w:val="78374DC0"/>
    <w:rsid w:val="784903F9"/>
    <w:rsid w:val="784D5E24"/>
    <w:rsid w:val="78685C19"/>
    <w:rsid w:val="78BB78DF"/>
    <w:rsid w:val="78D53C91"/>
    <w:rsid w:val="78D56577"/>
    <w:rsid w:val="79062F35"/>
    <w:rsid w:val="792C494B"/>
    <w:rsid w:val="7930434C"/>
    <w:rsid w:val="793E5831"/>
    <w:rsid w:val="799739D9"/>
    <w:rsid w:val="799979E0"/>
    <w:rsid w:val="79FA7BBB"/>
    <w:rsid w:val="7A4B101A"/>
    <w:rsid w:val="7A8E780B"/>
    <w:rsid w:val="7A9173E0"/>
    <w:rsid w:val="7A9448F3"/>
    <w:rsid w:val="7A9B7600"/>
    <w:rsid w:val="7AA5551A"/>
    <w:rsid w:val="7AB97B54"/>
    <w:rsid w:val="7AF52D15"/>
    <w:rsid w:val="7B5171B7"/>
    <w:rsid w:val="7B7B0937"/>
    <w:rsid w:val="7B9F3B9A"/>
    <w:rsid w:val="7BD56526"/>
    <w:rsid w:val="7BDF145B"/>
    <w:rsid w:val="7BF72901"/>
    <w:rsid w:val="7BFF71D8"/>
    <w:rsid w:val="7C172101"/>
    <w:rsid w:val="7C197C2B"/>
    <w:rsid w:val="7C387BDB"/>
    <w:rsid w:val="7C3B0975"/>
    <w:rsid w:val="7C596091"/>
    <w:rsid w:val="7C7A3259"/>
    <w:rsid w:val="7C8E37E7"/>
    <w:rsid w:val="7D180564"/>
    <w:rsid w:val="7D3736EB"/>
    <w:rsid w:val="7D6244C3"/>
    <w:rsid w:val="7D6F21DD"/>
    <w:rsid w:val="7D701E09"/>
    <w:rsid w:val="7D7E34BE"/>
    <w:rsid w:val="7DBC2739"/>
    <w:rsid w:val="7DBF32E2"/>
    <w:rsid w:val="7DDA5D65"/>
    <w:rsid w:val="7DFC50D4"/>
    <w:rsid w:val="7E18199F"/>
    <w:rsid w:val="7E32414E"/>
    <w:rsid w:val="7E4A0805"/>
    <w:rsid w:val="7EA24EC3"/>
    <w:rsid w:val="7EB202E6"/>
    <w:rsid w:val="7ED52E20"/>
    <w:rsid w:val="7EF07916"/>
    <w:rsid w:val="7F1B65FF"/>
    <w:rsid w:val="7F293D64"/>
    <w:rsid w:val="7F801F1B"/>
    <w:rsid w:val="7F8A6A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4">
    <w:name w:val="Plain Text"/>
    <w:basedOn w:val="1"/>
    <w:semiHidden/>
    <w:qFormat/>
    <w:uiPriority w:val="0"/>
    <w:rPr>
      <w:rFonts w:ascii="宋体" w:hAnsi="Courier New" w:cs="Courier New"/>
      <w:szCs w:val="21"/>
    </w:rPr>
  </w:style>
  <w:style w:type="paragraph" w:styleId="5">
    <w:name w:val="footer"/>
    <w:basedOn w:val="1"/>
    <w:qFormat/>
    <w:uiPriority w:val="99"/>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9">
    <w:name w:val="page number"/>
    <w:basedOn w:val="8"/>
    <w:qFormat/>
    <w:uiPriority w:val="0"/>
  </w:style>
  <w:style w:type="paragraph" w:customStyle="1" w:styleId="10">
    <w:name w:val="正文格式"/>
    <w:basedOn w:val="1"/>
    <w:qFormat/>
    <w:uiPriority w:val="0"/>
    <w:pPr>
      <w:topLinePunct/>
      <w:ind w:firstLine="420" w:firstLineChars="200"/>
    </w:pPr>
    <w:rPr>
      <w:rFonts w:ascii="宋体" w:hAnsi="宋体"/>
      <w:bCs/>
      <w:szCs w:val="21"/>
    </w:rPr>
  </w:style>
  <w:style w:type="character" w:customStyle="1" w:styleId="11">
    <w:name w:val="fontstyle01"/>
    <w:basedOn w:val="8"/>
    <w:qFormat/>
    <w:uiPriority w:val="0"/>
    <w:rPr>
      <w:rFonts w:ascii="宋体" w:hAnsi="宋体" w:eastAsia="宋体" w:cs="宋体"/>
      <w:color w:val="000000"/>
      <w:sz w:val="24"/>
      <w:szCs w:val="24"/>
    </w:rPr>
  </w:style>
  <w:style w:type="paragraph" w:customStyle="1" w:styleId="12">
    <w:name w:val="WPSOffice手动目录 1"/>
    <w:qFormat/>
    <w:uiPriority w:val="0"/>
    <w:pPr>
      <w:ind w:leftChars="0"/>
    </w:pPr>
    <w:rPr>
      <w:rFonts w:ascii="Times New Roman" w:hAnsi="Times New Roman" w:eastAsia="宋体" w:cs="Times New Roman"/>
      <w:sz w:val="20"/>
      <w:szCs w:val="20"/>
    </w:rPr>
  </w:style>
  <w:style w:type="paragraph" w:customStyle="1" w:styleId="13">
    <w:name w:val="WPSOffice手动目录 2"/>
    <w:qFormat/>
    <w:uiPriority w:val="0"/>
    <w:pPr>
      <w:ind w:leftChars="200"/>
    </w:pPr>
    <w:rPr>
      <w:rFonts w:ascii="Times New Roman" w:hAnsi="Times New Roman" w:eastAsia="宋体" w:cs="Times New Roman"/>
      <w:sz w:val="20"/>
      <w:szCs w:val="20"/>
    </w:rPr>
  </w:style>
  <w:style w:type="paragraph" w:customStyle="1" w:styleId="14">
    <w:name w:val="2z"/>
    <w:basedOn w:val="15"/>
    <w:qFormat/>
    <w:uiPriority w:val="0"/>
    <w:pPr>
      <w:spacing w:line="480" w:lineRule="auto"/>
    </w:pPr>
  </w:style>
  <w:style w:type="paragraph" w:customStyle="1" w:styleId="15">
    <w:name w:val="附录二"/>
    <w:basedOn w:val="4"/>
    <w:semiHidden/>
    <w:qFormat/>
    <w:uiPriority w:val="0"/>
    <w:pPr>
      <w:spacing w:line="312" w:lineRule="exact"/>
    </w:pPr>
    <w:rPr>
      <w:rFonts w:ascii="EU-F1" w:hAnsi="Times New Roman" w:eastAsia="黑体" w:cs="Times New Roman"/>
      <w:kern w:val="21"/>
    </w:rPr>
  </w:style>
  <w:style w:type="paragraph" w:customStyle="1" w:styleId="16">
    <w:name w:val="3z"/>
    <w:basedOn w:val="15"/>
    <w:qFormat/>
    <w:uiPriority w:val="0"/>
    <w:rPr>
      <w:kern w:val="2"/>
    </w:rPr>
  </w:style>
  <w:style w:type="character" w:customStyle="1" w:styleId="17">
    <w:name w:val="F1 Char"/>
    <w:link w:val="18"/>
    <w:qFormat/>
    <w:uiPriority w:val="0"/>
    <w:rPr>
      <w:kern w:val="2"/>
    </w:rPr>
  </w:style>
  <w:style w:type="paragraph" w:customStyle="1" w:styleId="18">
    <w:name w:val="F1"/>
    <w:basedOn w:val="15"/>
    <w:link w:val="17"/>
    <w:qFormat/>
    <w:uiPriority w:val="0"/>
    <w:pPr>
      <w:topLinePunct/>
    </w:pPr>
    <w:rPr>
      <w:kern w:val="2"/>
    </w:rPr>
  </w:style>
  <w:style w:type="paragraph" w:customStyle="1" w:styleId="19">
    <w:name w:val="b"/>
    <w:basedOn w:val="1"/>
    <w:qFormat/>
    <w:uiPriority w:val="0"/>
    <w:pPr>
      <w:tabs>
        <w:tab w:val="center" w:pos="4706"/>
        <w:tab w:val="right" w:pos="9044"/>
      </w:tabs>
      <w:topLinePunct/>
      <w:spacing w:before="160" w:after="60" w:line="312" w:lineRule="exact"/>
      <w:jc w:val="center"/>
    </w:pPr>
    <w:rPr>
      <w:rFonts w:ascii="Arial" w:hAnsi="Arial" w:eastAsia="黑体"/>
      <w:kern w:val="0"/>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glossaryDocument" Target="glossary/document.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2799b6d-bb01-46a6-8846-10dc46013b06}"/>
        <w:style w:val=""/>
        <w:category>
          <w:name w:val="常规"/>
          <w:gallery w:val="placeholder"/>
        </w:category>
        <w:types>
          <w:type w:val="bbPlcHdr"/>
        </w:types>
        <w:behaviors>
          <w:behavior w:val="content"/>
        </w:behaviors>
        <w:description w:val=""/>
        <w:guid w:val="{92799b6d-bb01-46a6-8846-10dc46013b06}"/>
      </w:docPartPr>
      <w:docPartBody>
        <w:p>
          <w:r>
            <w:rPr>
              <w:color w:val="808080"/>
            </w:rPr>
            <w:t>单击此处输入文字。</w:t>
          </w:r>
        </w:p>
      </w:docPartBody>
    </w:docPart>
    <w:docPart>
      <w:docPartPr>
        <w:name w:val="{85621f2a-5020-4188-bbe9-dde3156398a1}"/>
        <w:style w:val=""/>
        <w:category>
          <w:name w:val="常规"/>
          <w:gallery w:val="placeholder"/>
        </w:category>
        <w:types>
          <w:type w:val="bbPlcHdr"/>
        </w:types>
        <w:behaviors>
          <w:behavior w:val="content"/>
        </w:behaviors>
        <w:description w:val=""/>
        <w:guid w:val="{85621f2a-5020-4188-bbe9-dde3156398a1}"/>
      </w:docPartPr>
      <w:docPartBody>
        <w:p>
          <w:r>
            <w:rPr>
              <w:color w:val="808080"/>
            </w:rPr>
            <w:t>单击此处输入文字。</w:t>
          </w:r>
        </w:p>
      </w:docPartBody>
    </w:docPart>
    <w:docPart>
      <w:docPartPr>
        <w:name w:val="{69976f9c-a02f-4b7a-857c-4d010063a5ea}"/>
        <w:style w:val=""/>
        <w:category>
          <w:name w:val="常规"/>
          <w:gallery w:val="placeholder"/>
        </w:category>
        <w:types>
          <w:type w:val="bbPlcHdr"/>
        </w:types>
        <w:behaviors>
          <w:behavior w:val="content"/>
        </w:behaviors>
        <w:description w:val=""/>
        <w:guid w:val="{69976f9c-a02f-4b7a-857c-4d010063a5ea}"/>
      </w:docPartPr>
      <w:docPartBody>
        <w:p>
          <w:r>
            <w:rPr>
              <w:color w:val="808080"/>
            </w:rPr>
            <w:t>单击此处输入文字。</w:t>
          </w:r>
        </w:p>
      </w:docPartBody>
    </w:docPart>
    <w:docPart>
      <w:docPartPr>
        <w:name w:val="{572f5e4f-100e-46d5-85e1-288877a36738}"/>
        <w:style w:val=""/>
        <w:category>
          <w:name w:val="常规"/>
          <w:gallery w:val="placeholder"/>
        </w:category>
        <w:types>
          <w:type w:val="bbPlcHdr"/>
        </w:types>
        <w:behaviors>
          <w:behavior w:val="content"/>
        </w:behaviors>
        <w:description w:val=""/>
        <w:guid w:val="{572f5e4f-100e-46d5-85e1-288877a36738}"/>
      </w:docPartPr>
      <w:docPartBody>
        <w:p>
          <w:r>
            <w:rPr>
              <w:color w:val="808080"/>
            </w:rPr>
            <w:t>单击此处输入文字。</w:t>
          </w:r>
        </w:p>
      </w:docPartBody>
    </w:docPart>
    <w:docPart>
      <w:docPartPr>
        <w:name w:val="{18db1acb-0299-47e4-82ad-fd933b254dbb}"/>
        <w:style w:val=""/>
        <w:category>
          <w:name w:val="常规"/>
          <w:gallery w:val="placeholder"/>
        </w:category>
        <w:types>
          <w:type w:val="bbPlcHdr"/>
        </w:types>
        <w:behaviors>
          <w:behavior w:val="content"/>
        </w:behaviors>
        <w:description w:val=""/>
        <w:guid w:val="{18db1acb-0299-47e4-82ad-fd933b254dbb}"/>
      </w:docPartPr>
      <w:docPartBody>
        <w:p>
          <w:r>
            <w:rPr>
              <w:color w:val="808080"/>
            </w:rPr>
            <w:t>单击此处输入文字。</w:t>
          </w:r>
        </w:p>
      </w:docPartBody>
    </w:docPart>
    <w:docPart>
      <w:docPartPr>
        <w:name w:val="{edc40be5-e46a-4c80-9fcb-934c704dcc41}"/>
        <w:style w:val=""/>
        <w:category>
          <w:name w:val="常规"/>
          <w:gallery w:val="placeholder"/>
        </w:category>
        <w:types>
          <w:type w:val="bbPlcHdr"/>
        </w:types>
        <w:behaviors>
          <w:behavior w:val="content"/>
        </w:behaviors>
        <w:description w:val=""/>
        <w:guid w:val="{edc40be5-e46a-4c80-9fcb-934c704dcc41}"/>
      </w:docPartPr>
      <w:docPartBody>
        <w:p>
          <w:r>
            <w:rPr>
              <w:color w:val="808080"/>
            </w:rPr>
            <w:t>单击此处输入文字。</w:t>
          </w:r>
        </w:p>
      </w:docPartBody>
    </w:docPart>
    <w:docPart>
      <w:docPartPr>
        <w:name w:val="{d655dd11-cbd4-4c3e-9832-9bd07193fe1b}"/>
        <w:style w:val=""/>
        <w:category>
          <w:name w:val="常规"/>
          <w:gallery w:val="placeholder"/>
        </w:category>
        <w:types>
          <w:type w:val="bbPlcHdr"/>
        </w:types>
        <w:behaviors>
          <w:behavior w:val="content"/>
        </w:behaviors>
        <w:description w:val=""/>
        <w:guid w:val="{d655dd11-cbd4-4c3e-9832-9bd07193fe1b}"/>
      </w:docPartPr>
      <w:docPartBody>
        <w:p>
          <w:r>
            <w:rPr>
              <w:color w:val="808080"/>
            </w:rPr>
            <w:t>单击此处输入文字。</w:t>
          </w:r>
        </w:p>
      </w:docPartBody>
    </w:docPart>
    <w:docPart>
      <w:docPartPr>
        <w:name w:val="{a57c55c0-43a1-4fb8-8649-ccd983973a19}"/>
        <w:style w:val=""/>
        <w:category>
          <w:name w:val="常规"/>
          <w:gallery w:val="placeholder"/>
        </w:category>
        <w:types>
          <w:type w:val="bbPlcHdr"/>
        </w:types>
        <w:behaviors>
          <w:behavior w:val="content"/>
        </w:behaviors>
        <w:description w:val=""/>
        <w:guid w:val="{a57c55c0-43a1-4fb8-8649-ccd983973a19}"/>
      </w:docPartPr>
      <w:docPartBody>
        <w:p>
          <w:r>
            <w:rPr>
              <w:color w:val="808080"/>
            </w:rPr>
            <w:t>单击此处输入文字。</w:t>
          </w:r>
        </w:p>
      </w:docPartBody>
    </w:docPart>
    <w:docPart>
      <w:docPartPr>
        <w:name w:val="{8fc20e22-2bdc-4127-817e-49cf45177426}"/>
        <w:style w:val=""/>
        <w:category>
          <w:name w:val="常规"/>
          <w:gallery w:val="placeholder"/>
        </w:category>
        <w:types>
          <w:type w:val="bbPlcHdr"/>
        </w:types>
        <w:behaviors>
          <w:behavior w:val="content"/>
        </w:behaviors>
        <w:description w:val=""/>
        <w:guid w:val="{8fc20e22-2bdc-4127-817e-49cf45177426}"/>
      </w:docPartPr>
      <w:docPartBody>
        <w:p>
          <w:r>
            <w:rPr>
              <w:color w:val="808080"/>
            </w:rPr>
            <w:t>单击此处输入文字。</w:t>
          </w:r>
        </w:p>
      </w:docPartBody>
    </w:docPart>
    <w:docPart>
      <w:docPartPr>
        <w:name w:val="{49deb65a-b7b2-40d5-b2a4-e3d24140f5a4}"/>
        <w:style w:val=""/>
        <w:category>
          <w:name w:val="常规"/>
          <w:gallery w:val="placeholder"/>
        </w:category>
        <w:types>
          <w:type w:val="bbPlcHdr"/>
        </w:types>
        <w:behaviors>
          <w:behavior w:val="content"/>
        </w:behaviors>
        <w:description w:val=""/>
        <w:guid w:val="{49deb65a-b7b2-40d5-b2a4-e3d24140f5a4}"/>
      </w:docPartPr>
      <w:docPartBody>
        <w:p>
          <w:r>
            <w:rPr>
              <w:color w:val="808080"/>
            </w:rPr>
            <w:t>单击此处输入文字。</w:t>
          </w:r>
        </w:p>
      </w:docPartBody>
    </w:docPart>
    <w:docPart>
      <w:docPartPr>
        <w:name w:val="{8cab3144-a20e-4ce9-97e5-d19abf59f536}"/>
        <w:style w:val=""/>
        <w:category>
          <w:name w:val="常规"/>
          <w:gallery w:val="placeholder"/>
        </w:category>
        <w:types>
          <w:type w:val="bbPlcHdr"/>
        </w:types>
        <w:behaviors>
          <w:behavior w:val="content"/>
        </w:behaviors>
        <w:description w:val=""/>
        <w:guid w:val="{8cab3144-a20e-4ce9-97e5-d19abf59f536}"/>
      </w:docPartPr>
      <w:docPartBody>
        <w:p>
          <w:r>
            <w:rPr>
              <w:color w:val="808080"/>
            </w:rPr>
            <w:t>单击此处输入文字。</w:t>
          </w:r>
        </w:p>
      </w:docPartBody>
    </w:docPart>
    <w:docPart>
      <w:docPartPr>
        <w:name w:val="{e3699f96-aa72-4f4c-ab76-014e291f3d90}"/>
        <w:style w:val=""/>
        <w:category>
          <w:name w:val="常规"/>
          <w:gallery w:val="placeholder"/>
        </w:category>
        <w:types>
          <w:type w:val="bbPlcHdr"/>
        </w:types>
        <w:behaviors>
          <w:behavior w:val="content"/>
        </w:behaviors>
        <w:description w:val=""/>
        <w:guid w:val="{e3699f96-aa72-4f4c-ab76-014e291f3d90}"/>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2023-04-25T02:25:00Z</dcterms:created>
  <dc:creator>DJS</dc:creator>
  <cp:lastModifiedBy>User</cp:lastModifiedBy>
  <dcterms:modified xsi:type="dcterms:W3CDTF">2024-03-05T09:01:39Z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8ABBCAC548C0435BB192A336DA545D33</vt:lpwstr>
  </property>
</Properties>
</file>