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 w:after="156" w:afterLines="50" w:line="560" w:lineRule="atLeast"/>
        <w:jc w:val="center"/>
        <w:rPr>
          <w:rFonts w:hint="eastAsia" w:ascii="Times New Roman" w:eastAsia="楷体_GB2312"/>
          <w:b/>
          <w:color w:val="000000"/>
          <w:position w:val="16"/>
          <w:sz w:val="56"/>
          <w:szCs w:val="72"/>
        </w:rPr>
      </w:pPr>
    </w:p>
    <w:p>
      <w:pPr>
        <w:widowControl/>
        <w:spacing w:before="156" w:beforeLines="50" w:after="156" w:afterLines="50" w:line="560" w:lineRule="atLeast"/>
        <w:jc w:val="center"/>
        <w:rPr>
          <w:rFonts w:hint="eastAsia" w:ascii="Times New Roman" w:eastAsia="楷体_GB2312"/>
          <w:b/>
          <w:color w:val="000000"/>
          <w:position w:val="16"/>
          <w:sz w:val="56"/>
          <w:szCs w:val="72"/>
        </w:rPr>
      </w:pPr>
    </w:p>
    <w:p>
      <w:pPr>
        <w:widowControl/>
        <w:spacing w:before="156" w:beforeLines="50" w:after="156" w:afterLines="50" w:line="560" w:lineRule="atLeast"/>
        <w:jc w:val="center"/>
        <w:rPr>
          <w:rFonts w:hint="eastAsia" w:ascii="Times New Roman" w:eastAsia="楷体_GB2312"/>
          <w:b/>
          <w:color w:val="000000"/>
          <w:position w:val="16"/>
          <w:sz w:val="56"/>
          <w:szCs w:val="72"/>
        </w:rPr>
      </w:pPr>
      <w:r>
        <w:rPr>
          <w:rFonts w:hint="eastAsia" w:ascii="Times New Roman" w:eastAsia="楷体_GB2312"/>
          <w:b/>
          <w:color w:val="000000"/>
          <w:position w:val="16"/>
          <w:sz w:val="56"/>
          <w:szCs w:val="72"/>
        </w:rPr>
        <w:t>海南蓄能发电有限公司</w:t>
      </w:r>
    </w:p>
    <w:p>
      <w:pPr>
        <w:widowControl/>
        <w:spacing w:before="156" w:beforeLines="50" w:after="156" w:afterLines="50" w:line="560" w:lineRule="atLeast"/>
        <w:jc w:val="center"/>
        <w:rPr>
          <w:rFonts w:hint="eastAsia" w:ascii="Times New Roman" w:eastAsia="楷体_GB2312"/>
          <w:b/>
          <w:color w:val="000000"/>
          <w:position w:val="16"/>
          <w:sz w:val="56"/>
          <w:szCs w:val="72"/>
          <w:lang w:val="en-US" w:eastAsia="zh-CN"/>
        </w:rPr>
      </w:pPr>
      <w:r>
        <w:rPr>
          <w:rFonts w:hint="eastAsia" w:ascii="Times New Roman" w:eastAsia="楷体_GB2312"/>
          <w:b/>
          <w:color w:val="000000"/>
          <w:position w:val="16"/>
          <w:sz w:val="56"/>
          <w:szCs w:val="72"/>
          <w:lang w:val="en-US" w:eastAsia="zh-CN"/>
        </w:rPr>
        <w:t>海蓄公司琼中电厂2024年保安备用电源保护装置返厂维修项目</w:t>
      </w:r>
      <w:bookmarkStart w:id="0" w:name="_GoBack"/>
      <w:bookmarkEnd w:id="0"/>
    </w:p>
    <w:p>
      <w:pPr>
        <w:widowControl/>
        <w:spacing w:before="156" w:beforeLines="50" w:after="156" w:afterLines="50" w:line="560" w:lineRule="atLeast"/>
        <w:jc w:val="center"/>
        <w:rPr>
          <w:rFonts w:hint="eastAsia" w:ascii="Times New Roman" w:eastAsia="楷体_GB2312"/>
          <w:b/>
          <w:bCs/>
          <w:color w:val="000000"/>
          <w:position w:val="16"/>
          <w:sz w:val="56"/>
          <w:szCs w:val="72"/>
          <w:lang w:val="en-US" w:eastAsia="zh-CN"/>
        </w:rPr>
      </w:pPr>
      <w:r>
        <w:rPr>
          <w:rFonts w:hint="eastAsia" w:ascii="Times New Roman" w:eastAsia="楷体_GB2312"/>
          <w:b/>
          <w:bCs/>
          <w:color w:val="000000"/>
          <w:position w:val="16"/>
          <w:sz w:val="56"/>
          <w:szCs w:val="72"/>
        </w:rPr>
        <w:t>技术</w:t>
      </w:r>
      <w:r>
        <w:rPr>
          <w:rFonts w:hint="eastAsia" w:ascii="Times New Roman" w:eastAsia="楷体_GB2312"/>
          <w:b/>
          <w:bCs/>
          <w:color w:val="000000"/>
          <w:position w:val="16"/>
          <w:sz w:val="56"/>
          <w:szCs w:val="72"/>
          <w:lang w:val="en-US" w:eastAsia="zh-CN"/>
        </w:rPr>
        <w:t>规范书</w:t>
      </w:r>
    </w:p>
    <w:p>
      <w:pPr>
        <w:widowControl/>
        <w:spacing w:before="156" w:beforeLines="50" w:after="156" w:afterLines="50" w:line="560" w:lineRule="atLeast"/>
        <w:jc w:val="center"/>
        <w:rPr>
          <w:rFonts w:ascii="Times New Roman" w:eastAsia="楷体_GB2312"/>
          <w:b/>
          <w:color w:val="000000"/>
          <w:position w:val="16"/>
          <w:sz w:val="56"/>
          <w:szCs w:val="72"/>
        </w:rPr>
      </w:pPr>
    </w:p>
    <w:p>
      <w:pPr>
        <w:ind w:firstLine="3614" w:firstLineChars="1000"/>
        <w:rPr>
          <w:rFonts w:ascii="Times New Roman" w:eastAsia="楷体_GB2312"/>
          <w:b/>
          <w:color w:val="000000"/>
          <w:position w:val="16"/>
          <w:sz w:val="36"/>
          <w:szCs w:val="44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pStyle w:val="14"/>
        <w:keepLines w:val="0"/>
        <w:pageBreakBefore w:val="0"/>
        <w:tabs>
          <w:tab w:val="left" w:pos="284"/>
        </w:tabs>
        <w:topLinePunct w:val="0"/>
        <w:bidi w:val="0"/>
        <w:spacing w:before="0" w:beforeAutospacing="0" w:after="0" w:afterAutospacing="0" w:line="240" w:lineRule="auto"/>
        <w:ind w:left="0" w:leftChars="0" w:right="0" w:firstLine="0" w:firstLineChars="0"/>
        <w:jc w:val="center"/>
        <w:rPr>
          <w:rFonts w:hint="default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楷体_GB2312"/>
          <w:b/>
          <w:color w:val="000000"/>
          <w:position w:val="16"/>
          <w:sz w:val="36"/>
        </w:rPr>
        <w:t>二〇</w:t>
      </w:r>
      <w:r>
        <w:rPr>
          <w:rFonts w:hint="eastAsia" w:eastAsia="楷体_GB2312"/>
          <w:b/>
          <w:color w:val="000000"/>
          <w:position w:val="16"/>
          <w:sz w:val="36"/>
          <w:lang w:val="en-US" w:eastAsia="zh-CN"/>
        </w:rPr>
        <w:t>二四</w:t>
      </w:r>
      <w:r>
        <w:rPr>
          <w:rFonts w:hint="eastAsia" w:eastAsia="楷体_GB2312"/>
          <w:b/>
          <w:color w:val="000000"/>
          <w:position w:val="16"/>
          <w:sz w:val="36"/>
        </w:rPr>
        <w:t>年</w:t>
      </w:r>
      <w:r>
        <w:rPr>
          <w:rFonts w:hint="eastAsia" w:eastAsia="楷体_GB2312"/>
          <w:b/>
          <w:color w:val="000000"/>
          <w:position w:val="16"/>
          <w:sz w:val="36"/>
          <w:lang w:val="en-US" w:eastAsia="zh-CN"/>
        </w:rPr>
        <w:t>三</w:t>
      </w:r>
      <w:r>
        <w:rPr>
          <w:rFonts w:hint="eastAsia" w:eastAsia="楷体_GB2312"/>
          <w:b/>
          <w:color w:val="000000"/>
          <w:position w:val="16"/>
          <w:sz w:val="36"/>
        </w:rPr>
        <w:t>月</w:t>
      </w:r>
    </w:p>
    <w:p>
      <w:pPr>
        <w:jc w:val="left"/>
        <w:rPr>
          <w:rFonts w:ascii="宋体" w:hAnsi="宋体" w:eastAsia="宋体" w:cs="Times New Roman"/>
          <w:b/>
          <w:sz w:val="28"/>
          <w:szCs w:val="24"/>
        </w:rPr>
      </w:pPr>
      <w:r>
        <w:rPr>
          <w:rFonts w:hint="eastAsia" w:ascii="宋体" w:hAnsi="宋体" w:eastAsia="宋体" w:cs="Times New Roman"/>
          <w:b/>
          <w:sz w:val="28"/>
          <w:szCs w:val="24"/>
        </w:rPr>
        <w:t xml:space="preserve">一、引用技术标准的规定  </w:t>
      </w:r>
    </w:p>
    <w:p>
      <w:pPr>
        <w:spacing w:line="500" w:lineRule="exact"/>
        <w:ind w:firstLine="480" w:firstLineChars="200"/>
        <w:textAlignment w:val="baseline"/>
        <w:rPr>
          <w:rFonts w:hint="eastAsia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无</w:t>
      </w:r>
    </w:p>
    <w:p>
      <w:pPr>
        <w:numPr>
          <w:ilvl w:val="0"/>
          <w:numId w:val="4"/>
        </w:numPr>
        <w:spacing w:line="360" w:lineRule="auto"/>
        <w:rPr>
          <w:rFonts w:hint="eastAsia" w:ascii="宋体" w:hAnsi="宋体" w:eastAsia="宋体" w:cs="Times New Roman"/>
          <w:b/>
          <w:sz w:val="28"/>
          <w:szCs w:val="24"/>
        </w:rPr>
      </w:pPr>
      <w:r>
        <w:rPr>
          <w:rFonts w:hint="eastAsia" w:ascii="宋体" w:hAnsi="宋体" w:eastAsia="宋体" w:cs="Times New Roman"/>
          <w:b/>
          <w:sz w:val="28"/>
          <w:szCs w:val="24"/>
        </w:rPr>
        <w:t>质量保证要求</w:t>
      </w:r>
    </w:p>
    <w:p>
      <w:pPr>
        <w:spacing w:line="500" w:lineRule="exact"/>
        <w:ind w:firstLine="480" w:firstLineChars="200"/>
        <w:textAlignment w:val="baseline"/>
        <w:rPr>
          <w:rFonts w:hint="default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乙方应提供保护装置的故障检测报告、维修报告、出厂检验合格报告，相关技术要求需符合装置技术说明书中的技术指标、保护原理。</w:t>
      </w:r>
    </w:p>
    <w:p>
      <w:pPr>
        <w:spacing w:line="360" w:lineRule="auto"/>
        <w:rPr>
          <w:rFonts w:ascii="宋体" w:hAnsi="宋体" w:eastAsia="宋体" w:cs="Times New Roman"/>
          <w:b/>
          <w:sz w:val="28"/>
          <w:szCs w:val="24"/>
        </w:rPr>
      </w:pPr>
      <w:r>
        <w:rPr>
          <w:rFonts w:hint="eastAsia" w:ascii="宋体" w:hAnsi="宋体" w:eastAsia="宋体" w:cs="Times New Roman"/>
          <w:b/>
          <w:sz w:val="28"/>
          <w:szCs w:val="24"/>
        </w:rPr>
        <w:t>三、</w:t>
      </w:r>
      <w:r>
        <w:rPr>
          <w:rFonts w:hint="eastAsia" w:cs="Times New Roman"/>
          <w:b/>
          <w:sz w:val="28"/>
          <w:szCs w:val="24"/>
          <w:lang w:val="en-US" w:eastAsia="zh-CN"/>
        </w:rPr>
        <w:t>服务内容</w:t>
      </w:r>
      <w:r>
        <w:rPr>
          <w:rFonts w:hint="eastAsia" w:ascii="宋体" w:hAnsi="宋体" w:eastAsia="宋体" w:cs="Times New Roman"/>
          <w:b/>
          <w:sz w:val="28"/>
          <w:szCs w:val="24"/>
        </w:rPr>
        <w:t>要求</w:t>
      </w:r>
    </w:p>
    <w:p>
      <w:pPr>
        <w:widowControl/>
        <w:numPr>
          <w:ilvl w:val="0"/>
          <w:numId w:val="0"/>
        </w:numPr>
        <w:spacing w:line="360" w:lineRule="auto"/>
        <w:jc w:val="left"/>
        <w:rPr>
          <w:rFonts w:hint="eastAsia" w:ascii="宋体" w:hAnsi="Times New Roman" w:eastAsia="宋体" w:cs="宋体"/>
          <w:b/>
          <w:color w:val="auto"/>
          <w:sz w:val="24"/>
          <w:szCs w:val="24"/>
          <w:lang w:val="en-US" w:eastAsia="zh-CN"/>
        </w:rPr>
      </w:pPr>
      <w:r>
        <w:rPr>
          <w:rFonts w:hint="eastAsia" w:hAnsi="Times New Roman" w:cs="宋体"/>
          <w:b/>
          <w:color w:val="auto"/>
          <w:sz w:val="24"/>
          <w:szCs w:val="24"/>
          <w:lang w:val="en-US" w:eastAsia="zh-CN"/>
        </w:rPr>
        <w:t>3.1</w:t>
      </w:r>
      <w:r>
        <w:rPr>
          <w:rFonts w:hint="eastAsia" w:ascii="宋体" w:hAnsi="Times New Roman" w:eastAsia="宋体" w:cs="宋体"/>
          <w:b/>
          <w:color w:val="auto"/>
          <w:sz w:val="24"/>
          <w:szCs w:val="24"/>
          <w:lang w:val="en-US" w:eastAsia="zh-CN"/>
        </w:rPr>
        <w:t>项目概况</w:t>
      </w:r>
    </w:p>
    <w:p>
      <w:pPr>
        <w:spacing w:line="500" w:lineRule="exact"/>
        <w:ind w:firstLine="480" w:firstLineChars="200"/>
        <w:textAlignment w:val="baseline"/>
        <w:rPr>
          <w:rFonts w:hint="default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default" w:ascii="Arial" w:hAnsi="Arial" w:eastAsiaTheme="minorEastAsia" w:cstheme="minorBidi"/>
          <w:kern w:val="0"/>
          <w:sz w:val="24"/>
          <w:lang w:val="en-US" w:eastAsia="zh-CN"/>
        </w:rPr>
        <w:t>2024年2月，检修中心开展保安备用电源保护测控屏定检，定检期间发现保护测控屏存在以下问题：（1）发电机后备保护，跳发电机断路器的出口不动作，复压记忆过电流保护和转子一点接地保护动作不正确；（2）变压器差动保护，跳变压器高压侧断路器的出口不动作，跳发电机断路器的出口不动作；（3）变压器后备保护，低压侧零序电压保护动作不正确。</w:t>
      </w:r>
    </w:p>
    <w:p>
      <w:pPr>
        <w:spacing w:line="500" w:lineRule="exact"/>
        <w:ind w:firstLine="480" w:firstLineChars="200"/>
        <w:textAlignment w:val="baseline"/>
        <w:rPr>
          <w:rFonts w:hint="default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default" w:ascii="Arial" w:hAnsi="Arial" w:eastAsiaTheme="minorEastAsia" w:cstheme="minorBidi"/>
          <w:kern w:val="0"/>
          <w:sz w:val="24"/>
          <w:lang w:val="en-US" w:eastAsia="zh-CN"/>
        </w:rPr>
        <w:t>经排查，该问题为3台保护装置内部故障导致，为及时消除缺陷，恢复保安备用电源机组保护功能，须将3台保护装置返厂维修。</w:t>
      </w:r>
    </w:p>
    <w:p>
      <w:pPr>
        <w:spacing w:line="500" w:lineRule="exact"/>
        <w:ind w:firstLine="480" w:firstLineChars="200"/>
        <w:textAlignment w:val="baseline"/>
        <w:rPr>
          <w:rFonts w:hint="eastAsia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（1） 装置基本信息</w:t>
      </w:r>
    </w:p>
    <w:tbl>
      <w:tblPr>
        <w:tblStyle w:val="10"/>
        <w:tblW w:w="499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4"/>
        <w:gridCol w:w="1264"/>
        <w:gridCol w:w="1264"/>
        <w:gridCol w:w="1264"/>
        <w:gridCol w:w="1264"/>
        <w:gridCol w:w="1126"/>
        <w:gridCol w:w="1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装置名称</w:t>
            </w:r>
          </w:p>
        </w:tc>
        <w:tc>
          <w:tcPr>
            <w:tcW w:w="742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装置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型号</w:t>
            </w:r>
          </w:p>
        </w:tc>
        <w:tc>
          <w:tcPr>
            <w:tcW w:w="742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CPU名称</w:t>
            </w:r>
          </w:p>
        </w:tc>
        <w:tc>
          <w:tcPr>
            <w:tcW w:w="742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版本号</w:t>
            </w:r>
          </w:p>
        </w:tc>
        <w:tc>
          <w:tcPr>
            <w:tcW w:w="742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CRC码</w:t>
            </w:r>
          </w:p>
        </w:tc>
        <w:tc>
          <w:tcPr>
            <w:tcW w:w="661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模板版本</w:t>
            </w:r>
          </w:p>
        </w:tc>
        <w:tc>
          <w:tcPr>
            <w:tcW w:w="626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制作时间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发电机后备保护单元</w:t>
            </w:r>
          </w:p>
        </w:tc>
        <w:tc>
          <w:tcPr>
            <w:tcW w:w="742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AE-6052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管理CPU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4.23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5dab</w:t>
            </w:r>
          </w:p>
        </w:tc>
        <w:tc>
          <w:tcPr>
            <w:tcW w:w="661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V1.10</w:t>
            </w:r>
          </w:p>
        </w:tc>
        <w:tc>
          <w:tcPr>
            <w:tcW w:w="626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20171028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continue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保护CPU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3.11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887c</w:t>
            </w:r>
          </w:p>
        </w:tc>
        <w:tc>
          <w:tcPr>
            <w:tcW w:w="661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62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continue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显示CPU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3.01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0655</w:t>
            </w:r>
          </w:p>
        </w:tc>
        <w:tc>
          <w:tcPr>
            <w:tcW w:w="661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62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continue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保护PLC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default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bCs/>
                <w:color w:val="auto"/>
                <w:sz w:val="21"/>
                <w:szCs w:val="21"/>
                <w:lang w:val="en-US" w:eastAsia="zh-CN"/>
              </w:rPr>
              <w:t>1.14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df11</w:t>
            </w:r>
          </w:p>
        </w:tc>
        <w:tc>
          <w:tcPr>
            <w:tcW w:w="661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62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continue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智能插件1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61.41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8aad</w:t>
            </w:r>
          </w:p>
        </w:tc>
        <w:tc>
          <w:tcPr>
            <w:tcW w:w="661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62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continue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智能插件2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73.02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4561</w:t>
            </w:r>
          </w:p>
        </w:tc>
        <w:tc>
          <w:tcPr>
            <w:tcW w:w="661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62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装置名称</w:t>
            </w:r>
          </w:p>
        </w:tc>
        <w:tc>
          <w:tcPr>
            <w:tcW w:w="742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装置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型号</w:t>
            </w:r>
          </w:p>
        </w:tc>
        <w:tc>
          <w:tcPr>
            <w:tcW w:w="742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CPU名称</w:t>
            </w:r>
          </w:p>
        </w:tc>
        <w:tc>
          <w:tcPr>
            <w:tcW w:w="742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版本号</w:t>
            </w:r>
          </w:p>
        </w:tc>
        <w:tc>
          <w:tcPr>
            <w:tcW w:w="742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CRC码</w:t>
            </w:r>
          </w:p>
        </w:tc>
        <w:tc>
          <w:tcPr>
            <w:tcW w:w="661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模板版本</w:t>
            </w:r>
          </w:p>
        </w:tc>
        <w:tc>
          <w:tcPr>
            <w:tcW w:w="626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制作时间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主变差动保护装置</w:t>
            </w:r>
          </w:p>
        </w:tc>
        <w:tc>
          <w:tcPr>
            <w:tcW w:w="742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AE-6021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管理CPU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3.37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5dc6</w:t>
            </w:r>
          </w:p>
        </w:tc>
        <w:tc>
          <w:tcPr>
            <w:tcW w:w="661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V1.10</w:t>
            </w:r>
          </w:p>
        </w:tc>
        <w:tc>
          <w:tcPr>
            <w:tcW w:w="626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20171028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continue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保护CPU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2.13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7459</w:t>
            </w:r>
          </w:p>
        </w:tc>
        <w:tc>
          <w:tcPr>
            <w:tcW w:w="661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62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continue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显示CPU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3.01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0655</w:t>
            </w:r>
          </w:p>
        </w:tc>
        <w:tc>
          <w:tcPr>
            <w:tcW w:w="661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62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continue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保护PLC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default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cs="宋体"/>
                <w:bCs/>
                <w:color w:val="auto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0a2f</w:t>
            </w:r>
          </w:p>
        </w:tc>
        <w:tc>
          <w:tcPr>
            <w:tcW w:w="661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62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continue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智能插件1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21.6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183b</w:t>
            </w:r>
          </w:p>
        </w:tc>
        <w:tc>
          <w:tcPr>
            <w:tcW w:w="661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62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continue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661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62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装置名称</w:t>
            </w:r>
          </w:p>
        </w:tc>
        <w:tc>
          <w:tcPr>
            <w:tcW w:w="742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装置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型号</w:t>
            </w:r>
          </w:p>
        </w:tc>
        <w:tc>
          <w:tcPr>
            <w:tcW w:w="742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CPU名称</w:t>
            </w:r>
          </w:p>
        </w:tc>
        <w:tc>
          <w:tcPr>
            <w:tcW w:w="742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版本号</w:t>
            </w:r>
          </w:p>
        </w:tc>
        <w:tc>
          <w:tcPr>
            <w:tcW w:w="742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CRC码</w:t>
            </w:r>
          </w:p>
        </w:tc>
        <w:tc>
          <w:tcPr>
            <w:tcW w:w="661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模板版本</w:t>
            </w:r>
          </w:p>
        </w:tc>
        <w:tc>
          <w:tcPr>
            <w:tcW w:w="626" w:type="pct"/>
            <w:vAlign w:val="center"/>
          </w:tcPr>
          <w:p>
            <w:pPr>
              <w:keepLines w:val="0"/>
              <w:pageBreakBefore w:val="0"/>
              <w:topLinePunct w:val="0"/>
              <w:bidi w:val="0"/>
              <w:snapToGrid w:val="0"/>
              <w:spacing w:before="0" w:beforeAutospacing="0" w:after="0" w:afterAutospacing="0" w:line="240" w:lineRule="auto"/>
              <w:ind w:left="0" w:leftChars="0" w:right="0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制作时间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主变高后备保护测控装置</w:t>
            </w:r>
          </w:p>
        </w:tc>
        <w:tc>
          <w:tcPr>
            <w:tcW w:w="742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AE-6024/G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管理CPU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3.37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5dc6</w:t>
            </w:r>
          </w:p>
        </w:tc>
        <w:tc>
          <w:tcPr>
            <w:tcW w:w="661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V1.10</w:t>
            </w:r>
          </w:p>
        </w:tc>
        <w:tc>
          <w:tcPr>
            <w:tcW w:w="626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20171028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continue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保护CPU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2.13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7459</w:t>
            </w:r>
          </w:p>
        </w:tc>
        <w:tc>
          <w:tcPr>
            <w:tcW w:w="661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62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continue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显示CPU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3.01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0655</w:t>
            </w:r>
          </w:p>
        </w:tc>
        <w:tc>
          <w:tcPr>
            <w:tcW w:w="661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62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continue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保护PLC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cs="宋体"/>
                <w:bCs/>
                <w:color w:val="auto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D459</w:t>
            </w:r>
          </w:p>
        </w:tc>
        <w:tc>
          <w:tcPr>
            <w:tcW w:w="661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62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continue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智能插件1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11.60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183b</w:t>
            </w:r>
          </w:p>
        </w:tc>
        <w:tc>
          <w:tcPr>
            <w:tcW w:w="661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62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742" w:type="pct"/>
            <w:vMerge w:val="continue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after="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智能插件1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bCs/>
                <w:color w:val="auto"/>
                <w:sz w:val="21"/>
                <w:szCs w:val="21"/>
                <w:lang w:val="en-US" w:eastAsia="zh-CN"/>
              </w:rPr>
              <w:t>31.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60</w:t>
            </w:r>
          </w:p>
        </w:tc>
        <w:tc>
          <w:tcPr>
            <w:tcW w:w="74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  <w:t>183b</w:t>
            </w:r>
          </w:p>
        </w:tc>
        <w:tc>
          <w:tcPr>
            <w:tcW w:w="661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626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</w:tbl>
    <w:p>
      <w:pPr>
        <w:spacing w:line="500" w:lineRule="exact"/>
        <w:ind w:firstLine="480" w:firstLineChars="200"/>
        <w:textAlignment w:val="baseline"/>
        <w:rPr>
          <w:rFonts w:hint="default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（2） 装置故障信息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1680"/>
        <w:gridCol w:w="2175"/>
        <w:gridCol w:w="3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5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类型</w:t>
            </w:r>
          </w:p>
        </w:tc>
        <w:tc>
          <w:tcPr>
            <w:tcW w:w="1680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2175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缺陷信息</w:t>
            </w:r>
          </w:p>
        </w:tc>
        <w:tc>
          <w:tcPr>
            <w:tcW w:w="3972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缺陷表象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5" w:type="dxa"/>
            <w:vMerge w:val="restart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保护出口</w:t>
            </w:r>
          </w:p>
        </w:tc>
        <w:tc>
          <w:tcPr>
            <w:tcW w:w="1680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发电机后备保护</w:t>
            </w:r>
          </w:p>
        </w:tc>
        <w:tc>
          <w:tcPr>
            <w:tcW w:w="2175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跳发电机断路器的出口不动作</w:t>
            </w:r>
          </w:p>
        </w:tc>
        <w:tc>
          <w:tcPr>
            <w:tcW w:w="3972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模拟故障保护装置动作，</w:t>
            </w:r>
            <w:r>
              <w:rPr>
                <w:rFonts w:hint="eastAsia" w:cs="宋体"/>
                <w:color w:val="auto"/>
                <w:sz w:val="21"/>
                <w:szCs w:val="21"/>
                <w:highlight w:val="none"/>
                <w:lang w:val="en-US" w:eastAsia="zh-CN"/>
              </w:rPr>
              <w:t>测量发电机后备保护背板的出口2n-411（110.5V）和2n-412（-108.6V）没有电位变化。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5" w:type="dxa"/>
            <w:vMerge w:val="continue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</w:p>
        </w:tc>
        <w:tc>
          <w:tcPr>
            <w:tcW w:w="1680" w:type="dxa"/>
            <w:vMerge w:val="restart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变压器差动保护</w:t>
            </w:r>
          </w:p>
        </w:tc>
        <w:tc>
          <w:tcPr>
            <w:tcW w:w="2175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跳变压器高压侧断路器的出口不动作</w:t>
            </w:r>
          </w:p>
        </w:tc>
        <w:tc>
          <w:tcPr>
            <w:tcW w:w="3972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模拟故障保护装置动作，</w:t>
            </w:r>
            <w:r>
              <w:rPr>
                <w:rFonts w:hint="eastAsia" w:cs="宋体"/>
                <w:color w:val="auto"/>
                <w:sz w:val="21"/>
                <w:szCs w:val="21"/>
                <w:highlight w:val="none"/>
                <w:lang w:val="en-US" w:eastAsia="zh-CN"/>
              </w:rPr>
              <w:t>测量变压器差动保护背板的出口3n-526（110.6V）和3n-527（-108.6V）没有电位变化。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5" w:type="dxa"/>
            <w:vMerge w:val="continue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</w:p>
        </w:tc>
        <w:tc>
          <w:tcPr>
            <w:tcW w:w="1680" w:type="dxa"/>
            <w:vMerge w:val="continue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</w:p>
        </w:tc>
        <w:tc>
          <w:tcPr>
            <w:tcW w:w="2175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跳发电机断路器的出口不动作</w:t>
            </w:r>
          </w:p>
        </w:tc>
        <w:tc>
          <w:tcPr>
            <w:tcW w:w="3972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模拟故障保护装置动作</w:t>
            </w:r>
            <w:r>
              <w:rPr>
                <w:rFonts w:hint="eastAsia" w:hAnsi="宋体" w:cs="宋体"/>
                <w:color w:val="auto"/>
                <w:sz w:val="21"/>
                <w:szCs w:val="21"/>
                <w:lang w:val="en-US" w:eastAsia="zh-CN"/>
              </w:rPr>
              <w:t>，</w:t>
            </w:r>
            <w:r>
              <w:rPr>
                <w:rFonts w:hint="eastAsia" w:cs="宋体"/>
                <w:color w:val="auto"/>
                <w:sz w:val="21"/>
                <w:szCs w:val="21"/>
                <w:highlight w:val="none"/>
                <w:lang w:val="en-US" w:eastAsia="zh-CN"/>
              </w:rPr>
              <w:t>测量变压器差动保护背板的出口3n-528（110.6V）和3n-529（-108.6V）没有电位变化。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5" w:type="dxa"/>
            <w:vMerge w:val="restart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保护功能</w:t>
            </w:r>
          </w:p>
        </w:tc>
        <w:tc>
          <w:tcPr>
            <w:tcW w:w="1680" w:type="dxa"/>
            <w:vMerge w:val="restart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发电机后备保护</w:t>
            </w:r>
          </w:p>
        </w:tc>
        <w:tc>
          <w:tcPr>
            <w:tcW w:w="2175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复压记忆过电流保护</w:t>
            </w: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动作不正确</w:t>
            </w:r>
          </w:p>
        </w:tc>
        <w:tc>
          <w:tcPr>
            <w:tcW w:w="3972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先加</w:t>
            </w: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正序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三相电流</w:t>
            </w: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3.6A（＞过流1段）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，正序三相电压57V</w:t>
            </w: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eastAsia="zh-CN"/>
              </w:rPr>
              <w:t>，</w:t>
            </w: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持续1s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。</w:t>
            </w: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然后加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正序三相电压57V</w:t>
            </w: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eastAsia="zh-CN"/>
              </w:rPr>
              <w:t>，</w:t>
            </w: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电流0A，持续600s。最后加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加</w:t>
            </w: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正序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三相电流</w:t>
            </w: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1A（＜过流2段）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，正序三相电压40V</w:t>
            </w: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eastAsia="zh-CN"/>
              </w:rPr>
              <w:t>（</w:t>
            </w: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＜低电压</w:t>
            </w: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，复压过流仍能动作。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5" w:type="dxa"/>
            <w:vMerge w:val="continue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Merge w:val="continue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</w:p>
        </w:tc>
        <w:tc>
          <w:tcPr>
            <w:tcW w:w="2175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转子一点接地保护动作不正确</w:t>
            </w:r>
          </w:p>
        </w:tc>
        <w:tc>
          <w:tcPr>
            <w:tcW w:w="3972" w:type="dxa"/>
          </w:tcPr>
          <w:p>
            <w:pPr>
              <w:bidi w:val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模拟接地电阻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9k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</w:rPr>
              <w:t>Ω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＞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</w:rPr>
              <w:t>转子接地电阻高定值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），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保护装置报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转子一点接地低阻动作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接地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5" w:type="dxa"/>
            <w:vMerge w:val="continue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680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变压器后备保护</w:t>
            </w:r>
          </w:p>
        </w:tc>
        <w:tc>
          <w:tcPr>
            <w:tcW w:w="2175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</w:rPr>
              <w:t>低压侧零序电压保护动作不正确</w:t>
            </w:r>
          </w:p>
        </w:tc>
        <w:tc>
          <w:tcPr>
            <w:tcW w:w="3972" w:type="dxa"/>
          </w:tcPr>
          <w:p>
            <w:pPr>
              <w:pStyle w:val="14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84"/>
              </w:tabs>
              <w:kinsoku/>
              <w:topLinePunct w:val="0"/>
              <w:bidi w:val="0"/>
              <w:spacing w:before="0" w:beforeAutospacing="0" w:after="0" w:afterAutospacing="0" w:line="240" w:lineRule="auto"/>
              <w:ind w:right="0" w:rightChars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低压侧</w:t>
            </w:r>
            <w:r>
              <w:rPr>
                <w:rFonts w:hint="eastAsia" w:hAnsi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加零序电压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40V</w:t>
            </w:r>
            <w:r>
              <w:rPr>
                <w:rFonts w:hint="eastAsia" w:hAnsi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（＞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</w:rPr>
              <w:t>零序电压定值</w:t>
            </w:r>
            <w:r>
              <w:rPr>
                <w:rFonts w:hint="eastAsia" w:hAnsi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，</w:t>
            </w:r>
            <w:r>
              <w:rPr>
                <w:rFonts w:hint="eastAsia" w:hAnsi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持续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5s</w:t>
            </w:r>
            <w:r>
              <w:rPr>
                <w:rFonts w:hint="eastAsia" w:hAnsi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，保护不动作。</w:t>
            </w:r>
          </w:p>
        </w:tc>
      </w:tr>
    </w:tbl>
    <w:p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hint="default" w:ascii="宋体" w:hAnsi="Times New Roman" w:eastAsia="宋体" w:cs="宋体"/>
          <w:b/>
          <w:color w:val="auto"/>
          <w:sz w:val="24"/>
          <w:szCs w:val="24"/>
          <w:lang w:val="en-US" w:eastAsia="zh-CN"/>
        </w:rPr>
      </w:pPr>
      <w:r>
        <w:rPr>
          <w:rFonts w:hint="eastAsia" w:hAnsi="Times New Roman" w:cs="宋体"/>
          <w:b/>
          <w:color w:val="auto"/>
          <w:sz w:val="24"/>
          <w:szCs w:val="24"/>
          <w:lang w:val="en-US" w:eastAsia="zh-CN"/>
        </w:rPr>
        <w:t xml:space="preserve">3.2 </w:t>
      </w:r>
      <w:r>
        <w:rPr>
          <w:rFonts w:hint="eastAsia" w:ascii="宋体" w:hAnsi="Times New Roman" w:eastAsia="宋体" w:cs="宋体"/>
          <w:b/>
          <w:color w:val="auto"/>
          <w:sz w:val="24"/>
          <w:szCs w:val="24"/>
          <w:lang w:eastAsia="zh-CN"/>
        </w:rPr>
        <w:t>项目</w:t>
      </w:r>
      <w:r>
        <w:rPr>
          <w:rFonts w:hint="eastAsia" w:hAnsi="Times New Roman" w:cs="宋体"/>
          <w:b/>
          <w:color w:val="auto"/>
          <w:sz w:val="24"/>
          <w:szCs w:val="24"/>
          <w:lang w:val="en-US" w:eastAsia="zh-CN"/>
        </w:rPr>
        <w:t>内容</w:t>
      </w:r>
    </w:p>
    <w:p>
      <w:pPr>
        <w:spacing w:line="500" w:lineRule="exact"/>
        <w:ind w:firstLine="480" w:firstLineChars="200"/>
        <w:textAlignment w:val="baseline"/>
        <w:rPr>
          <w:rFonts w:hint="default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（1） 故障检测</w:t>
      </w:r>
    </w:p>
    <w:p>
      <w:pPr>
        <w:spacing w:line="500" w:lineRule="exact"/>
        <w:ind w:firstLine="480" w:firstLineChars="200"/>
        <w:textAlignment w:val="baseline"/>
        <w:rPr>
          <w:rFonts w:hint="eastAsia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乙方需在签收保护装置后的15个工作日内，完成对以上3台保护装置的故障检测，出具故障检测报告。</w:t>
      </w:r>
    </w:p>
    <w:p>
      <w:pPr>
        <w:spacing w:line="500" w:lineRule="exact"/>
        <w:ind w:firstLine="480" w:firstLineChars="200"/>
        <w:textAlignment w:val="baseline"/>
        <w:rPr>
          <w:rFonts w:hint="eastAsia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（2） 装置维修</w:t>
      </w:r>
    </w:p>
    <w:p>
      <w:pPr>
        <w:spacing w:line="500" w:lineRule="exact"/>
        <w:ind w:firstLine="480" w:firstLineChars="200"/>
        <w:textAlignment w:val="baseline"/>
        <w:rPr>
          <w:rFonts w:hint="eastAsia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乙方需在签收保护装置后的30个工作日内，完成对以上3台保护装置的维修，出具维修报告。</w:t>
      </w:r>
    </w:p>
    <w:p>
      <w:pPr>
        <w:spacing w:line="500" w:lineRule="exact"/>
        <w:ind w:firstLine="480" w:firstLineChars="200"/>
        <w:textAlignment w:val="baseline"/>
        <w:rPr>
          <w:rFonts w:hint="default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（3） 出厂检验</w:t>
      </w:r>
    </w:p>
    <w:p>
      <w:pPr>
        <w:spacing w:line="500" w:lineRule="exact"/>
        <w:ind w:firstLine="480" w:firstLineChars="200"/>
        <w:textAlignment w:val="baseline"/>
        <w:rPr>
          <w:rFonts w:hint="eastAsia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保护装置维修完成后，乙方需对以上3台保护装置开展出厂检验，质检合格。相关技术要求需符合装置技术说明书中的技术指标、保护原理。</w:t>
      </w:r>
    </w:p>
    <w:p>
      <w:pPr>
        <w:spacing w:line="500" w:lineRule="exact"/>
        <w:ind w:firstLine="480" w:firstLineChars="200"/>
        <w:textAlignment w:val="baseline"/>
        <w:rPr>
          <w:rFonts w:hint="default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（4） 配合调试验收</w:t>
      </w:r>
    </w:p>
    <w:p>
      <w:pPr>
        <w:spacing w:line="500" w:lineRule="exact"/>
        <w:ind w:firstLine="480" w:firstLineChars="200"/>
        <w:textAlignment w:val="baseline"/>
        <w:rPr>
          <w:rFonts w:hint="default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出厂检验</w:t>
      </w:r>
      <w:r>
        <w:rPr>
          <w:rFonts w:hint="default" w:ascii="Arial" w:hAnsi="Arial" w:eastAsiaTheme="minorEastAsia" w:cstheme="minorBidi"/>
          <w:kern w:val="0"/>
          <w:sz w:val="24"/>
          <w:lang w:val="en-US" w:eastAsia="zh-CN"/>
        </w:rPr>
        <w:t>报告经甲方验收通过后，乙方将保护装置寄送至甲方指定地点。</w:t>
      </w:r>
    </w:p>
    <w:p>
      <w:pPr>
        <w:spacing w:line="500" w:lineRule="exact"/>
        <w:ind w:firstLine="480" w:firstLineChars="200"/>
        <w:textAlignment w:val="baseline"/>
        <w:rPr>
          <w:rFonts w:hint="eastAsia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default" w:ascii="Arial" w:hAnsi="Arial" w:eastAsiaTheme="minorEastAsia" w:cstheme="minorBidi"/>
          <w:kern w:val="0"/>
          <w:sz w:val="24"/>
          <w:lang w:val="en-US" w:eastAsia="zh-CN"/>
        </w:rPr>
        <w:t>甲方</w:t>
      </w: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在签收保护装置后的30个工作日内，在</w:t>
      </w:r>
      <w:r>
        <w:rPr>
          <w:rFonts w:hint="default" w:ascii="Arial" w:hAnsi="Arial" w:eastAsiaTheme="minorEastAsia" w:cstheme="minorBidi"/>
          <w:kern w:val="0"/>
          <w:sz w:val="24"/>
          <w:lang w:val="en-US" w:eastAsia="zh-CN"/>
        </w:rPr>
        <w:t>海南琼中抽水蓄能电站</w:t>
      </w: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开展</w:t>
      </w:r>
      <w:r>
        <w:rPr>
          <w:rFonts w:hint="default" w:ascii="Arial" w:hAnsi="Arial" w:eastAsiaTheme="minorEastAsia" w:cstheme="minorBidi"/>
          <w:kern w:val="0"/>
          <w:sz w:val="24"/>
          <w:lang w:val="en-US" w:eastAsia="zh-CN"/>
        </w:rPr>
        <w:t>保护装置的现场调试验收</w:t>
      </w: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。</w:t>
      </w:r>
    </w:p>
    <w:p>
      <w:pPr>
        <w:spacing w:line="500" w:lineRule="exact"/>
        <w:ind w:firstLine="480" w:firstLineChars="200"/>
        <w:textAlignment w:val="baseline"/>
        <w:rPr>
          <w:rFonts w:hint="default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hAnsi="宋体"/>
          <w:sz w:val="24"/>
          <w:szCs w:val="24"/>
          <w:lang w:val="en-US" w:eastAsia="zh-CN"/>
        </w:rPr>
        <w:t>甲方</w:t>
      </w:r>
      <w:r>
        <w:rPr>
          <w:rFonts w:hint="eastAsia"/>
          <w:sz w:val="24"/>
          <w:szCs w:val="24"/>
          <w:lang w:val="en-US" w:eastAsia="zh-CN"/>
        </w:rPr>
        <w:t>开展保护装置调试验收</w:t>
      </w:r>
      <w:r>
        <w:rPr>
          <w:rFonts w:hint="eastAsia" w:hAnsi="宋体"/>
          <w:sz w:val="24"/>
          <w:szCs w:val="24"/>
          <w:lang w:val="en-US" w:eastAsia="zh-CN"/>
        </w:rPr>
        <w:t>时如不合格，乙方</w:t>
      </w:r>
      <w:r>
        <w:rPr>
          <w:rFonts w:hint="eastAsia"/>
          <w:sz w:val="24"/>
          <w:szCs w:val="24"/>
          <w:lang w:val="en-US" w:eastAsia="zh-CN"/>
        </w:rPr>
        <w:t>需</w:t>
      </w:r>
      <w:r>
        <w:rPr>
          <w:rFonts w:hint="eastAsia" w:hAnsi="宋体"/>
          <w:sz w:val="24"/>
          <w:szCs w:val="24"/>
          <w:lang w:val="en-US" w:eastAsia="zh-CN"/>
        </w:rPr>
        <w:t>再次</w:t>
      </w:r>
      <w:r>
        <w:rPr>
          <w:rFonts w:hint="eastAsia"/>
          <w:sz w:val="24"/>
          <w:szCs w:val="24"/>
          <w:lang w:val="en-US" w:eastAsia="zh-CN"/>
        </w:rPr>
        <w:t>开展维修和</w:t>
      </w:r>
      <w:r>
        <w:rPr>
          <w:rFonts w:hint="eastAsia" w:hAnsi="宋体"/>
          <w:sz w:val="24"/>
          <w:szCs w:val="24"/>
          <w:lang w:val="en-US" w:eastAsia="zh-CN"/>
        </w:rPr>
        <w:t>检验，其中发生的运输费用、</w:t>
      </w:r>
      <w:r>
        <w:rPr>
          <w:rFonts w:hint="eastAsia"/>
          <w:sz w:val="24"/>
          <w:szCs w:val="24"/>
          <w:lang w:val="en-US" w:eastAsia="zh-CN"/>
        </w:rPr>
        <w:t>维修</w:t>
      </w:r>
      <w:r>
        <w:rPr>
          <w:rFonts w:hint="eastAsia" w:hAnsi="宋体"/>
          <w:sz w:val="24"/>
          <w:szCs w:val="24"/>
          <w:lang w:val="en-US" w:eastAsia="zh-CN"/>
        </w:rPr>
        <w:t>费用、</w:t>
      </w:r>
      <w:r>
        <w:rPr>
          <w:rFonts w:hint="eastAsia"/>
          <w:sz w:val="24"/>
          <w:szCs w:val="24"/>
          <w:lang w:val="en-US" w:eastAsia="zh-CN"/>
        </w:rPr>
        <w:t>检验</w:t>
      </w:r>
      <w:r>
        <w:rPr>
          <w:rFonts w:hint="eastAsia" w:hAnsi="宋体"/>
          <w:sz w:val="24"/>
          <w:szCs w:val="24"/>
          <w:lang w:val="en-US" w:eastAsia="zh-CN"/>
        </w:rPr>
        <w:t>费用等全部由乙方负责。</w:t>
      </w:r>
    </w:p>
    <w:p>
      <w:pPr>
        <w:spacing w:line="500" w:lineRule="exact"/>
        <w:ind w:firstLine="480" w:firstLineChars="200"/>
        <w:textAlignment w:val="baseline"/>
        <w:rPr>
          <w:rFonts w:hint="default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保护装置经甲方现场调试验收合格后，乙方提供增值税专用发票，甲方在30个工作日内完成支付。</w:t>
      </w:r>
    </w:p>
    <w:p>
      <w:pPr>
        <w:spacing w:line="500" w:lineRule="exact"/>
        <w:ind w:firstLine="480" w:firstLineChars="200"/>
        <w:textAlignment w:val="baseline"/>
        <w:rPr>
          <w:rFonts w:hint="eastAsia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（5） 服务支持</w:t>
      </w:r>
    </w:p>
    <w:p>
      <w:pPr>
        <w:spacing w:line="500" w:lineRule="exact"/>
        <w:ind w:firstLine="480" w:firstLineChars="200"/>
        <w:textAlignment w:val="baseline"/>
        <w:rPr>
          <w:rFonts w:hint="eastAsia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乙方需对维修后的保护装置提供为期一年的质量保证和服务支持。</w:t>
      </w:r>
    </w:p>
    <w:p>
      <w:pPr>
        <w:widowControl/>
        <w:spacing w:line="360" w:lineRule="auto"/>
        <w:rPr>
          <w:rFonts w:ascii="宋体" w:hAnsi="宋体" w:eastAsia="宋体" w:cs="Times New Roman"/>
          <w:b/>
          <w:sz w:val="28"/>
          <w:szCs w:val="24"/>
        </w:rPr>
      </w:pPr>
      <w:r>
        <w:rPr>
          <w:rFonts w:hint="eastAsia" w:ascii="宋体" w:hAnsi="宋体" w:eastAsia="宋体" w:cs="Times New Roman"/>
          <w:b/>
          <w:sz w:val="28"/>
          <w:szCs w:val="24"/>
        </w:rPr>
        <w:t>四、供货及包装、运输技术要求</w:t>
      </w:r>
    </w:p>
    <w:p>
      <w:pPr>
        <w:spacing w:line="500" w:lineRule="exact"/>
        <w:ind w:firstLine="480" w:firstLineChars="200"/>
        <w:textAlignment w:val="baseline"/>
        <w:rPr>
          <w:rFonts w:hint="eastAsia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（1）设备包装应避免运输过程中腐蚀、受潮、破损、变形和损坏。</w:t>
      </w:r>
    </w:p>
    <w:p>
      <w:pPr>
        <w:spacing w:line="360" w:lineRule="auto"/>
        <w:rPr>
          <w:rFonts w:ascii="宋体" w:hAnsi="宋体" w:eastAsia="宋体" w:cs="Times New Roman"/>
          <w:b/>
          <w:bCs w:val="0"/>
          <w:color w:val="auto"/>
          <w:sz w:val="28"/>
          <w:szCs w:val="24"/>
        </w:rPr>
      </w:pPr>
      <w:r>
        <w:rPr>
          <w:rFonts w:hint="eastAsia" w:cs="Times New Roman"/>
          <w:b/>
          <w:bCs w:val="0"/>
          <w:color w:val="auto"/>
          <w:sz w:val="28"/>
          <w:szCs w:val="24"/>
          <w:lang w:val="en-US" w:eastAsia="zh-CN"/>
        </w:rPr>
        <w:t>五</w:t>
      </w:r>
      <w:r>
        <w:rPr>
          <w:rFonts w:hint="eastAsia" w:ascii="宋体" w:hAnsi="宋体" w:eastAsia="宋体" w:cs="Times New Roman"/>
          <w:b/>
          <w:bCs w:val="0"/>
          <w:color w:val="auto"/>
          <w:sz w:val="28"/>
          <w:szCs w:val="24"/>
        </w:rPr>
        <w:t>、其他要求</w:t>
      </w:r>
    </w:p>
    <w:p>
      <w:pPr>
        <w:spacing w:line="500" w:lineRule="exact"/>
        <w:ind w:firstLine="480" w:firstLineChars="200"/>
        <w:textAlignment w:val="baseline"/>
        <w:rPr>
          <w:rFonts w:hint="eastAsia" w:ascii="Arial" w:hAnsi="Arial" w:eastAsiaTheme="minorEastAsia" w:cstheme="minorBidi"/>
          <w:kern w:val="0"/>
          <w:sz w:val="24"/>
          <w:lang w:val="en-US" w:eastAsia="zh-CN"/>
        </w:rPr>
      </w:pPr>
      <w:r>
        <w:rPr>
          <w:rFonts w:hint="eastAsia" w:ascii="Arial" w:hAnsi="Arial" w:eastAsiaTheme="minorEastAsia" w:cstheme="minorBidi"/>
          <w:kern w:val="0"/>
          <w:sz w:val="24"/>
          <w:lang w:val="en-US" w:eastAsia="zh-CN"/>
        </w:rPr>
        <w:t>无</w:t>
      </w:r>
    </w:p>
    <w:p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hint="default" w:ascii="宋体" w:hAnsi="Times New Roman" w:eastAsia="宋体" w:cs="宋体"/>
          <w:b/>
          <w:color w:val="auto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BE08DA"/>
    <w:multiLevelType w:val="multilevel"/>
    <w:tmpl w:val="22BE08DA"/>
    <w:lvl w:ilvl="0" w:tentative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992" w:hanging="992"/>
      </w:pPr>
      <w:rPr>
        <w:rFonts w:hint="eastAsia" w:ascii="黑体" w:hAnsi="黑体" w:eastAsia="黑体"/>
        <w:b w:val="0"/>
        <w:color w:val="auto"/>
      </w:rPr>
    </w:lvl>
    <w:lvl w:ilvl="2" w:tentative="0">
      <w:start w:val="1"/>
      <w:numFmt w:val="decimal"/>
      <w:suff w:val="space"/>
      <w:lvlText w:val="%1.%2.%3"/>
      <w:lvlJc w:val="left"/>
      <w:pPr>
        <w:ind w:left="851" w:hanging="851"/>
      </w:pPr>
      <w:rPr>
        <w:rFonts w:hint="eastAsia" w:ascii="黑体" w:hAnsi="黑体" w:eastAsia="黑体"/>
        <w:b w:val="0"/>
        <w:color w:val="auto"/>
      </w:rPr>
    </w:lvl>
    <w:lvl w:ilvl="3" w:tentative="0">
      <w:start w:val="1"/>
      <w:numFmt w:val="decimal"/>
      <w:pStyle w:val="20"/>
      <w:suff w:val="space"/>
      <w:lvlText w:val="%1.%2.%3.%4"/>
      <w:lvlJc w:val="left"/>
      <w:pPr>
        <w:ind w:left="1984" w:hanging="1984"/>
      </w:pPr>
      <w:rPr>
        <w:rFonts w:hint="eastAsia" w:eastAsia="宋体" w:asciiTheme="minorEastAsia" w:hAnsiTheme="minorEastAsia"/>
        <w:color w:val="auto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>
    <w:nsid w:val="5E8FCFBB"/>
    <w:multiLevelType w:val="multilevel"/>
    <w:tmpl w:val="5E8FCFBB"/>
    <w:lvl w:ilvl="0" w:tentative="0">
      <w:start w:val="1"/>
      <w:numFmt w:val="decimal"/>
      <w:pStyle w:val="17"/>
      <w:lvlText w:val="%1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</w:rPr>
    </w:lvl>
    <w:lvl w:ilvl="1" w:tentative="0">
      <w:start w:val="1"/>
      <w:numFmt w:val="decimal"/>
      <w:pStyle w:val="16"/>
      <w:lvlText w:val="%1.%2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</w:rPr>
    </w:lvl>
    <w:lvl w:ilvl="2" w:tentative="0">
      <w:start w:val="1"/>
      <w:numFmt w:val="decimal"/>
      <w:pStyle w:val="15"/>
      <w:suff w:val="space"/>
      <w:lvlText w:val="%1.%2.%3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</w:rPr>
    </w:lvl>
    <w:lvl w:ilvl="3" w:tentative="0">
      <w:start w:val="1"/>
      <w:numFmt w:val="decimal"/>
      <w:lvlText w:val="%1.%2.%3.%4"/>
      <w:lvlJc w:val="left"/>
      <w:pPr>
        <w:ind w:left="850" w:hanging="850"/>
      </w:pPr>
      <w:rPr>
        <w:rFonts w:hint="default" w:ascii="宋体" w:hAnsi="宋体" w:eastAsia="宋体" w:cs="宋体"/>
      </w:rPr>
    </w:lvl>
    <w:lvl w:ilvl="4" w:tentative="0">
      <w:start w:val="1"/>
      <w:numFmt w:val="decimal"/>
      <w:lvlText w:val="%1.%2.%3.%4.%5"/>
      <w:lvlJc w:val="left"/>
      <w:pPr>
        <w:ind w:left="991" w:hanging="991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134" w:hanging="1134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275" w:hanging="1275"/>
      </w:pPr>
      <w:rPr>
        <w:rFonts w:hint="default" w:ascii="宋体" w:hAnsi="宋体" w:eastAsia="宋体" w:cs="宋体"/>
      </w:rPr>
    </w:lvl>
    <w:lvl w:ilvl="7" w:tentative="0">
      <w:start w:val="1"/>
      <w:numFmt w:val="decimal"/>
      <w:lvlText w:val="%1.%2.%3.%4.%5.%6.%7.%8"/>
      <w:lvlJc w:val="left"/>
      <w:pPr>
        <w:ind w:left="1418" w:hanging="1418"/>
      </w:pPr>
      <w:rPr>
        <w:rFonts w:hint="default" w:ascii="宋体" w:hAnsi="宋体" w:eastAsia="宋体" w:cs="宋体"/>
      </w:rPr>
    </w:lvl>
    <w:lvl w:ilvl="8" w:tentative="0">
      <w:start w:val="1"/>
      <w:numFmt w:val="decimal"/>
      <w:lvlText w:val="%1.%2.%3.%4.%5.%6.%7.%8.%9"/>
      <w:lvlJc w:val="left"/>
      <w:pPr>
        <w:ind w:left="1558" w:hanging="1558"/>
      </w:pPr>
      <w:rPr>
        <w:rFonts w:hint="default" w:ascii="宋体" w:hAnsi="宋体" w:eastAsia="宋体" w:cs="宋体"/>
      </w:rPr>
    </w:lvl>
  </w:abstractNum>
  <w:abstractNum w:abstractNumId="2">
    <w:nsid w:val="6754FDA5"/>
    <w:multiLevelType w:val="singleLevel"/>
    <w:tmpl w:val="6754FDA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6933334"/>
    <w:multiLevelType w:val="multilevel"/>
    <w:tmpl w:val="76933334"/>
    <w:lvl w:ilvl="0" w:tentative="0">
      <w:start w:val="1"/>
      <w:numFmt w:val="upperLetter"/>
      <w:pStyle w:val="21"/>
      <w:suff w:val="nothing"/>
      <w:lvlText w:val="附  录  %1 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  <w:szCs w:val="21"/>
      </w:rPr>
    </w:lvl>
    <w:lvl w:ilvl="1" w:tentative="0">
      <w:start w:val="1"/>
      <w:numFmt w:val="decimal"/>
      <w:suff w:val="nothing"/>
      <w:lvlText w:val="%1%2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771"/>
        </w:tabs>
        <w:ind w:left="438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97"/>
        </w:tabs>
        <w:ind w:left="5097" w:hanging="1700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zNGZlZjdjYzcyYWM4YTdkNTliZjIxZWZkMjEwODEifQ=="/>
  </w:docVars>
  <w:rsids>
    <w:rsidRoot w:val="00000000"/>
    <w:rsid w:val="011145B6"/>
    <w:rsid w:val="02A46BB1"/>
    <w:rsid w:val="037A40C6"/>
    <w:rsid w:val="03DC68B4"/>
    <w:rsid w:val="04AF0093"/>
    <w:rsid w:val="054D3B3F"/>
    <w:rsid w:val="0AE05343"/>
    <w:rsid w:val="0E8A02B9"/>
    <w:rsid w:val="105E23FD"/>
    <w:rsid w:val="11572E8D"/>
    <w:rsid w:val="1290604A"/>
    <w:rsid w:val="14EF0366"/>
    <w:rsid w:val="17CD20C5"/>
    <w:rsid w:val="18D4004A"/>
    <w:rsid w:val="1E2E49FA"/>
    <w:rsid w:val="1E564F90"/>
    <w:rsid w:val="1E745A2C"/>
    <w:rsid w:val="1F3518C1"/>
    <w:rsid w:val="1F445FB7"/>
    <w:rsid w:val="20AA2164"/>
    <w:rsid w:val="215F79F8"/>
    <w:rsid w:val="2223653E"/>
    <w:rsid w:val="22B06E96"/>
    <w:rsid w:val="237F09E4"/>
    <w:rsid w:val="23876F54"/>
    <w:rsid w:val="246C1FEE"/>
    <w:rsid w:val="24892425"/>
    <w:rsid w:val="268A1F04"/>
    <w:rsid w:val="26937E0C"/>
    <w:rsid w:val="26B64AE2"/>
    <w:rsid w:val="2B4A5EB5"/>
    <w:rsid w:val="2B762831"/>
    <w:rsid w:val="2C706946"/>
    <w:rsid w:val="2C87397F"/>
    <w:rsid w:val="2D894E77"/>
    <w:rsid w:val="2F354F9E"/>
    <w:rsid w:val="2FC949E6"/>
    <w:rsid w:val="33736984"/>
    <w:rsid w:val="348A4CBF"/>
    <w:rsid w:val="34D128B0"/>
    <w:rsid w:val="39BF40A5"/>
    <w:rsid w:val="39D97BC0"/>
    <w:rsid w:val="3A4B6BF0"/>
    <w:rsid w:val="3A617939"/>
    <w:rsid w:val="3CA04220"/>
    <w:rsid w:val="496C16BA"/>
    <w:rsid w:val="4B663FE5"/>
    <w:rsid w:val="4C2D252F"/>
    <w:rsid w:val="4C5D5FF1"/>
    <w:rsid w:val="4E9E4ABB"/>
    <w:rsid w:val="505025CD"/>
    <w:rsid w:val="51A26E98"/>
    <w:rsid w:val="53195188"/>
    <w:rsid w:val="532A3347"/>
    <w:rsid w:val="544B268E"/>
    <w:rsid w:val="54F72A83"/>
    <w:rsid w:val="55B97975"/>
    <w:rsid w:val="5A8B3529"/>
    <w:rsid w:val="5AD324CE"/>
    <w:rsid w:val="5EDA62E9"/>
    <w:rsid w:val="60C72C73"/>
    <w:rsid w:val="624C462A"/>
    <w:rsid w:val="62DA0294"/>
    <w:rsid w:val="632877B1"/>
    <w:rsid w:val="651741B8"/>
    <w:rsid w:val="66590BF3"/>
    <w:rsid w:val="66C75126"/>
    <w:rsid w:val="684D6073"/>
    <w:rsid w:val="69894F6A"/>
    <w:rsid w:val="69D71CCC"/>
    <w:rsid w:val="6AE54E58"/>
    <w:rsid w:val="6B502BB4"/>
    <w:rsid w:val="6B6D18B2"/>
    <w:rsid w:val="6BB55A52"/>
    <w:rsid w:val="6E595BB4"/>
    <w:rsid w:val="6ECB392F"/>
    <w:rsid w:val="6EFC78C2"/>
    <w:rsid w:val="74C16CDF"/>
    <w:rsid w:val="758A5266"/>
    <w:rsid w:val="75D13DB6"/>
    <w:rsid w:val="77F12301"/>
    <w:rsid w:val="789C7825"/>
    <w:rsid w:val="7C6A0A85"/>
    <w:rsid w:val="7D22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宋体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0" w:afterAutospacing="0" w:line="560" w:lineRule="exact"/>
      <w:ind w:firstLine="0" w:firstLineChars="0"/>
      <w:jc w:val="left"/>
      <w:outlineLvl w:val="0"/>
    </w:pPr>
    <w:rPr>
      <w:rFonts w:hint="eastAsia" w:eastAsia="黑体" w:cs="宋体"/>
      <w:bCs/>
      <w:kern w:val="44"/>
      <w:szCs w:val="48"/>
      <w:lang w:bidi="ar"/>
    </w:rPr>
  </w:style>
  <w:style w:type="paragraph" w:styleId="5">
    <w:name w:val="heading 2"/>
    <w:basedOn w:val="1"/>
    <w:next w:val="1"/>
    <w:link w:val="13"/>
    <w:semiHidden/>
    <w:unhideWhenUsed/>
    <w:qFormat/>
    <w:uiPriority w:val="0"/>
    <w:pPr>
      <w:keepNext/>
      <w:keepLines/>
      <w:spacing w:beforeLines="0" w:afterLines="0"/>
      <w:ind w:firstLine="0" w:firstLineChars="0"/>
      <w:jc w:val="left"/>
      <w:outlineLvl w:val="1"/>
    </w:pPr>
    <w:rPr>
      <w:rFonts w:ascii="Times New Roman" w:hAnsi="Times New Roman" w:eastAsia="宋体" w:cs="Times New Roman"/>
      <w:b/>
      <w:bCs/>
      <w:szCs w:val="32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2"/>
    </w:pPr>
    <w:rPr>
      <w:b/>
      <w:sz w:val="30"/>
    </w:rPr>
  </w:style>
  <w:style w:type="paragraph" w:styleId="7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3"/>
    </w:pPr>
    <w:rPr>
      <w:b/>
      <w:sz w:val="28"/>
    </w:rPr>
  </w:style>
  <w:style w:type="paragraph" w:styleId="8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4"/>
    </w:pPr>
    <w:rPr>
      <w:b/>
      <w:sz w:val="24"/>
    </w:rPr>
  </w:style>
  <w:style w:type="character" w:default="1" w:styleId="12">
    <w:name w:val="Default Paragraph Font"/>
    <w:autoRedefine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rPr>
      <w:rFonts w:ascii="Arial" w:hAnsi="Arial" w:eastAsia="宋体" w:cstheme="minorBidi"/>
      <w:sz w:val="21"/>
    </w:rPr>
  </w:style>
  <w:style w:type="paragraph" w:styleId="3">
    <w:name w:val="Title"/>
    <w:basedOn w:val="1"/>
    <w:next w:val="1"/>
    <w:autoRedefine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9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11">
    <w:name w:val="Table Grid"/>
    <w:basedOn w:val="10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2 Char"/>
    <w:link w:val="5"/>
    <w:autoRedefine/>
    <w:qFormat/>
    <w:uiPriority w:val="0"/>
    <w:rPr>
      <w:rFonts w:ascii="Times New Roman" w:hAnsi="Times New Roman" w:eastAsia="宋体" w:cs="Times New Roman"/>
      <w:b/>
      <w:bCs/>
      <w:sz w:val="24"/>
      <w:szCs w:val="32"/>
    </w:rPr>
  </w:style>
  <w:style w:type="paragraph" w:customStyle="1" w:styleId="14">
    <w:name w:val="段"/>
    <w:autoRedefine/>
    <w:qFormat/>
    <w:uiPriority w:val="0"/>
    <w:pPr>
      <w:autoSpaceDE w:val="0"/>
      <w:autoSpaceDN w:val="0"/>
      <w:spacing w:before="240" w:after="60"/>
      <w:ind w:firstLine="420" w:firstLineChars="200"/>
      <w:jc w:val="both"/>
    </w:pPr>
    <w:rPr>
      <w:rFonts w:ascii="宋体" w:hAnsi="Times New Roman" w:eastAsia="宋体" w:cs="黑体"/>
      <w:kern w:val="2"/>
      <w:sz w:val="21"/>
      <w:szCs w:val="22"/>
      <w:lang w:val="en-US" w:eastAsia="zh-CN" w:bidi="ar-SA"/>
    </w:rPr>
  </w:style>
  <w:style w:type="paragraph" w:customStyle="1" w:styleId="15">
    <w:name w:val="作业标题3"/>
    <w:basedOn w:val="16"/>
    <w:next w:val="18"/>
    <w:autoRedefine/>
    <w:qFormat/>
    <w:uiPriority w:val="0"/>
    <w:pPr>
      <w:numPr>
        <w:ilvl w:val="2"/>
        <w:numId w:val="1"/>
      </w:numPr>
      <w:tabs>
        <w:tab w:val="left" w:pos="420"/>
      </w:tabs>
      <w:spacing w:line="360" w:lineRule="auto"/>
      <w:ind w:left="0" w:firstLine="0"/>
    </w:pPr>
    <w:rPr>
      <w:rFonts w:eastAsia="宋体"/>
    </w:rPr>
  </w:style>
  <w:style w:type="paragraph" w:customStyle="1" w:styleId="16">
    <w:name w:val="作业标题2"/>
    <w:basedOn w:val="17"/>
    <w:next w:val="18"/>
    <w:autoRedefine/>
    <w:qFormat/>
    <w:uiPriority w:val="0"/>
    <w:pPr>
      <w:numPr>
        <w:ilvl w:val="1"/>
        <w:numId w:val="1"/>
      </w:numPr>
      <w:tabs>
        <w:tab w:val="left" w:pos="0"/>
      </w:tabs>
      <w:ind w:left="0" w:firstLine="0"/>
      <w:jc w:val="left"/>
    </w:pPr>
  </w:style>
  <w:style w:type="paragraph" w:customStyle="1" w:styleId="17">
    <w:name w:val="作业标题1"/>
    <w:basedOn w:val="4"/>
    <w:next w:val="18"/>
    <w:autoRedefine/>
    <w:qFormat/>
    <w:uiPriority w:val="0"/>
    <w:pPr>
      <w:numPr>
        <w:ilvl w:val="0"/>
        <w:numId w:val="1"/>
      </w:numPr>
      <w:spacing w:line="360" w:lineRule="auto"/>
    </w:pPr>
    <w:rPr>
      <w:rFonts w:ascii="Times New Roman" w:hAnsi="Times New Roman"/>
    </w:rPr>
  </w:style>
  <w:style w:type="paragraph" w:customStyle="1" w:styleId="18">
    <w:name w:val="作业正文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宋体" w:eastAsia="宋体" w:cs="Times New Roman"/>
      <w:sz w:val="21"/>
      <w:lang w:val="en-US" w:eastAsia="zh-CN" w:bidi="ar-SA"/>
    </w:rPr>
  </w:style>
  <w:style w:type="paragraph" w:customStyle="1" w:styleId="19">
    <w:name w:val="格式4"/>
    <w:basedOn w:val="20"/>
    <w:autoRedefine/>
    <w:qFormat/>
    <w:uiPriority w:val="0"/>
    <w:pPr>
      <w:tabs>
        <w:tab w:val="left" w:pos="567"/>
        <w:tab w:val="left" w:pos="709"/>
        <w:tab w:val="left" w:pos="993"/>
        <w:tab w:val="left" w:pos="6405"/>
      </w:tabs>
    </w:pPr>
  </w:style>
  <w:style w:type="paragraph" w:customStyle="1" w:styleId="20">
    <w:name w:val="样式5"/>
    <w:basedOn w:val="21"/>
    <w:autoRedefine/>
    <w:qFormat/>
    <w:uiPriority w:val="0"/>
    <w:pPr>
      <w:keepNext/>
      <w:numPr>
        <w:ilvl w:val="3"/>
        <w:numId w:val="2"/>
      </w:numPr>
      <w:tabs>
        <w:tab w:val="left" w:pos="567"/>
        <w:tab w:val="left" w:pos="709"/>
        <w:tab w:val="left" w:pos="993"/>
        <w:tab w:val="left" w:pos="6405"/>
      </w:tabs>
      <w:spacing w:before="0" w:after="0"/>
      <w:jc w:val="both"/>
      <w:outlineLvl w:val="9"/>
    </w:pPr>
    <w:rPr>
      <w:rFonts w:asciiTheme="minorEastAsia" w:hAnsiTheme="minorEastAsia"/>
    </w:rPr>
  </w:style>
  <w:style w:type="paragraph" w:customStyle="1" w:styleId="21">
    <w:name w:val="附录标识"/>
    <w:basedOn w:val="22"/>
    <w:autoRedefine/>
    <w:qFormat/>
    <w:uiPriority w:val="0"/>
    <w:pPr>
      <w:numPr>
        <w:ilvl w:val="0"/>
        <w:numId w:val="3"/>
      </w:numPr>
      <w:tabs>
        <w:tab w:val="left" w:pos="6405"/>
      </w:tabs>
      <w:spacing w:after="200"/>
    </w:pPr>
    <w:rPr>
      <w:sz w:val="21"/>
    </w:rPr>
  </w:style>
  <w:style w:type="paragraph" w:customStyle="1" w:styleId="22">
    <w:name w:val="前言、引言标题"/>
    <w:next w:val="1"/>
    <w:autoRedefine/>
    <w:qFormat/>
    <w:uiPriority w:val="0"/>
    <w:pPr>
      <w:shd w:val="clear" w:color="FFFFFF" w:fill="FFFFFF"/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2022-04-22T16:00:00Z</dcterms:created>
  <dc:creator>梅文星</dc:creator>
  <cp:lastModifiedBy>千羽辰风</cp:lastModifiedBy>
  <dcterms:modified xsi:type="dcterms:W3CDTF">2024-03-19T07:06:00Z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7051AEB6AFA64B8C9840AF1CE0F6ED85</vt:lpwstr>
  </property>
</Properties>
</file>