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b/>
          <w:color w:val="auto"/>
          <w:sz w:val="44"/>
          <w:szCs w:val="44"/>
          <w:highlight w:val="none"/>
        </w:rPr>
      </w:pPr>
      <w:bookmarkStart w:id="0" w:name="_Toc274902993"/>
      <w:bookmarkStart w:id="1" w:name="_Toc244916004"/>
      <w:bookmarkStart w:id="2" w:name="_Toc371453819"/>
      <w:bookmarkStart w:id="3" w:name="_Toc371453820"/>
      <w:bookmarkStart w:id="4" w:name="_Toc371343936"/>
      <w:bookmarkStart w:id="5" w:name="_Toc339216643"/>
      <w:bookmarkStart w:id="6" w:name="_Toc274903054"/>
      <w:bookmarkStart w:id="7" w:name="_Toc323572795"/>
      <w:bookmarkStart w:id="8" w:name="_Toc339216642"/>
      <w:bookmarkStart w:id="9" w:name="_Toc371343937"/>
      <w:r>
        <w:rPr>
          <w:color w:val="auto"/>
        </w:rPr>
        <w:drawing>
          <wp:anchor distT="0" distB="0" distL="114300" distR="114300" simplePos="0" relativeHeight="251659264" behindDoc="1" locked="0" layoutInCell="1" allowOverlap="1">
            <wp:simplePos x="0" y="0"/>
            <wp:positionH relativeFrom="column">
              <wp:posOffset>-889635</wp:posOffset>
            </wp:positionH>
            <wp:positionV relativeFrom="paragraph">
              <wp:posOffset>-948055</wp:posOffset>
            </wp:positionV>
            <wp:extent cx="7886700" cy="10948035"/>
            <wp:effectExtent l="0" t="0" r="7620" b="9525"/>
            <wp:wrapNone/>
            <wp:docPr id="1" name="图片 2" descr="会议封面-空白-A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会议封面-空白-A4"/>
                    <pic:cNvPicPr>
                      <a:picLocks noChangeAspect="1"/>
                    </pic:cNvPicPr>
                  </pic:nvPicPr>
                  <pic:blipFill>
                    <a:blip r:embed="rId8"/>
                    <a:stretch>
                      <a:fillRect/>
                    </a:stretch>
                  </pic:blipFill>
                  <pic:spPr>
                    <a:xfrm>
                      <a:off x="0" y="0"/>
                      <a:ext cx="7886700" cy="10948035"/>
                    </a:xfrm>
                    <a:prstGeom prst="rect">
                      <a:avLst/>
                    </a:prstGeom>
                    <a:noFill/>
                    <a:ln>
                      <a:noFill/>
                    </a:ln>
                  </pic:spPr>
                </pic:pic>
              </a:graphicData>
            </a:graphic>
          </wp:anchor>
        </w:drawing>
      </w:r>
    </w:p>
    <w:p>
      <w:pPr>
        <w:jc w:val="center"/>
        <w:rPr>
          <w:rFonts w:hint="eastAsia" w:eastAsia="黑体"/>
          <w:b/>
          <w:color w:val="auto"/>
          <w:sz w:val="48"/>
          <w:szCs w:val="48"/>
          <w:highlight w:val="none"/>
        </w:rPr>
      </w:pPr>
    </w:p>
    <w:p>
      <w:pPr>
        <w:jc w:val="center"/>
        <w:rPr>
          <w:rFonts w:hint="eastAsia" w:eastAsia="黑体"/>
          <w:b/>
          <w:color w:val="auto"/>
          <w:sz w:val="48"/>
          <w:szCs w:val="48"/>
          <w:highlight w:val="none"/>
        </w:rPr>
      </w:pPr>
    </w:p>
    <w:p>
      <w:pPr>
        <w:jc w:val="center"/>
        <w:rPr>
          <w:rFonts w:hint="eastAsia" w:eastAsia="黑体"/>
          <w:b/>
          <w:color w:val="auto"/>
          <w:sz w:val="48"/>
          <w:szCs w:val="48"/>
          <w:highlight w:val="none"/>
        </w:rPr>
      </w:pPr>
    </w:p>
    <w:p>
      <w:pPr>
        <w:jc w:val="center"/>
        <w:rPr>
          <w:rFonts w:hint="eastAsia" w:eastAsia="黑体"/>
          <w:b/>
          <w:color w:val="auto"/>
          <w:sz w:val="48"/>
          <w:szCs w:val="48"/>
          <w:highlight w:val="none"/>
        </w:rPr>
      </w:pPr>
    </w:p>
    <w:p>
      <w:pPr>
        <w:jc w:val="center"/>
        <w:rPr>
          <w:rFonts w:hint="eastAsia" w:eastAsia="黑体"/>
          <w:b/>
          <w:color w:val="auto"/>
          <w:sz w:val="48"/>
          <w:szCs w:val="48"/>
          <w:highlight w:val="none"/>
        </w:rPr>
      </w:pPr>
    </w:p>
    <w:p>
      <w:pPr>
        <w:jc w:val="center"/>
        <w:rPr>
          <w:rFonts w:hint="eastAsia" w:eastAsia="黑体"/>
          <w:b/>
          <w:color w:val="auto"/>
          <w:sz w:val="48"/>
          <w:szCs w:val="48"/>
          <w:highlight w:val="none"/>
        </w:rPr>
      </w:pPr>
    </w:p>
    <w:p>
      <w:pPr>
        <w:jc w:val="center"/>
        <w:rPr>
          <w:rFonts w:hint="eastAsia" w:eastAsia="黑体"/>
          <w:b/>
          <w:color w:val="auto"/>
          <w:sz w:val="48"/>
          <w:szCs w:val="48"/>
          <w:highlight w:val="none"/>
        </w:rPr>
      </w:pPr>
    </w:p>
    <w:p>
      <w:pPr>
        <w:jc w:val="center"/>
        <w:outlineLvl w:val="0"/>
        <w:rPr>
          <w:rFonts w:ascii="黑体" w:hAnsi="黑体" w:eastAsia="黑体"/>
          <w:b/>
          <w:color w:val="auto"/>
          <w:sz w:val="32"/>
          <w:szCs w:val="32"/>
          <w:highlight w:val="none"/>
        </w:rPr>
      </w:pPr>
      <w:r>
        <w:rPr>
          <w:rFonts w:hint="eastAsia" w:ascii="宋体" w:hAnsi="宋体" w:cs="宋体"/>
          <w:b/>
          <w:color w:val="auto"/>
          <w:sz w:val="44"/>
          <w:szCs w:val="44"/>
          <w:highlight w:val="none"/>
          <w:lang w:val="en-US" w:eastAsia="zh-CN"/>
        </w:rPr>
        <w:t>柳州局2024-2025年办公设备</w:t>
      </w:r>
      <w:r>
        <w:rPr>
          <w:rFonts w:hint="eastAsia" w:ascii="宋体" w:hAnsi="宋体" w:eastAsia="宋体" w:cs="宋体"/>
          <w:b/>
          <w:color w:val="auto"/>
          <w:sz w:val="44"/>
          <w:szCs w:val="44"/>
          <w:highlight w:val="none"/>
          <w:lang w:val="en-US" w:eastAsia="zh-CN"/>
        </w:rPr>
        <w:t>维修服务项目询价材料</w:t>
      </w:r>
    </w:p>
    <w:p>
      <w:pPr>
        <w:spacing w:line="280" w:lineRule="exact"/>
        <w:jc w:val="center"/>
        <w:rPr>
          <w:rFonts w:ascii="黑体" w:hAnsi="黑体" w:eastAsia="黑体"/>
          <w:b/>
          <w:color w:val="auto"/>
          <w:sz w:val="30"/>
          <w:szCs w:val="30"/>
          <w:highlight w:val="none"/>
        </w:rPr>
      </w:pPr>
    </w:p>
    <w:p>
      <w:pPr>
        <w:spacing w:line="280" w:lineRule="exact"/>
        <w:jc w:val="center"/>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before="480" w:beforeLines="200" w:line="320" w:lineRule="exact"/>
        <w:jc w:val="both"/>
        <w:rPr>
          <w:rFonts w:hint="eastAsia" w:ascii="宋体" w:hAnsi="宋体" w:cs="宋体"/>
          <w:color w:val="auto"/>
          <w:sz w:val="30"/>
          <w:szCs w:val="30"/>
          <w:highlight w:val="none"/>
        </w:rPr>
      </w:pPr>
    </w:p>
    <w:p>
      <w:pPr>
        <w:spacing w:before="480" w:beforeLines="200" w:line="320" w:lineRule="exact"/>
        <w:jc w:val="center"/>
        <w:rPr>
          <w:rFonts w:hint="eastAsia" w:ascii="宋体" w:hAnsi="宋体" w:cs="宋体"/>
          <w:color w:val="auto"/>
          <w:sz w:val="30"/>
          <w:szCs w:val="30"/>
          <w:highlight w:val="none"/>
        </w:rPr>
      </w:pPr>
    </w:p>
    <w:p>
      <w:pPr>
        <w:spacing w:before="480" w:beforeLines="200" w:line="320" w:lineRule="exact"/>
        <w:jc w:val="center"/>
        <w:outlineLvl w:val="0"/>
        <w:rPr>
          <w:rFonts w:hint="eastAsia" w:ascii="宋体" w:hAnsi="宋体" w:cs="宋体"/>
          <w:color w:val="auto"/>
          <w:sz w:val="30"/>
          <w:szCs w:val="30"/>
          <w:highlight w:val="none"/>
          <w:lang w:val="en-US" w:eastAsia="zh-CN"/>
        </w:rPr>
      </w:pPr>
      <w:r>
        <w:rPr>
          <w:rFonts w:hint="eastAsia" w:ascii="宋体" w:hAnsi="宋体" w:cs="宋体"/>
          <w:color w:val="auto"/>
          <w:sz w:val="30"/>
          <w:szCs w:val="30"/>
          <w:highlight w:val="none"/>
        </w:rPr>
        <w:t>超高压</w:t>
      </w:r>
      <w:r>
        <w:rPr>
          <w:rFonts w:hint="eastAsia" w:ascii="宋体" w:hAnsi="宋体" w:cs="宋体"/>
          <w:color w:val="auto"/>
          <w:sz w:val="30"/>
          <w:szCs w:val="30"/>
          <w:highlight w:val="none"/>
          <w:lang w:eastAsia="zh-CN"/>
        </w:rPr>
        <w:t>输电</w:t>
      </w:r>
      <w:r>
        <w:rPr>
          <w:rFonts w:hint="eastAsia" w:ascii="宋体" w:hAnsi="宋体" w:cs="宋体"/>
          <w:color w:val="auto"/>
          <w:sz w:val="30"/>
          <w:szCs w:val="30"/>
          <w:highlight w:val="none"/>
        </w:rPr>
        <w:t>公司</w:t>
      </w:r>
      <w:r>
        <w:rPr>
          <w:rFonts w:hint="eastAsia" w:ascii="宋体" w:hAnsi="宋体" w:cs="宋体"/>
          <w:color w:val="auto"/>
          <w:sz w:val="30"/>
          <w:szCs w:val="30"/>
          <w:highlight w:val="none"/>
          <w:lang w:eastAsia="zh-CN"/>
        </w:rPr>
        <w:t>柳州</w:t>
      </w:r>
      <w:r>
        <w:rPr>
          <w:rFonts w:hint="eastAsia" w:ascii="宋体" w:hAnsi="宋体" w:cs="宋体"/>
          <w:color w:val="auto"/>
          <w:sz w:val="30"/>
          <w:szCs w:val="30"/>
          <w:highlight w:val="none"/>
        </w:rPr>
        <w:t>局</w:t>
      </w:r>
      <w:r>
        <w:rPr>
          <w:rFonts w:hint="eastAsia" w:ascii="宋体" w:hAnsi="宋体" w:cs="宋体"/>
          <w:color w:val="auto"/>
          <w:sz w:val="30"/>
          <w:szCs w:val="30"/>
          <w:highlight w:val="none"/>
          <w:lang w:val="en-US" w:eastAsia="zh-CN"/>
        </w:rPr>
        <w:t>办公室</w:t>
      </w:r>
    </w:p>
    <w:p>
      <w:pPr>
        <w:spacing w:before="480" w:beforeLines="200" w:line="320" w:lineRule="exact"/>
        <w:jc w:val="center"/>
        <w:outlineLvl w:val="0"/>
        <w:rPr>
          <w:rFonts w:ascii="仿宋_GB2312" w:eastAsia="仿宋_GB2312"/>
          <w:color w:val="auto"/>
          <w:szCs w:val="21"/>
          <w:highlight w:val="none"/>
        </w:rPr>
      </w:pPr>
      <w:r>
        <w:rPr>
          <w:rFonts w:hint="eastAsia" w:ascii="宋体" w:hAnsi="宋体" w:cs="宋体"/>
          <w:color w:val="auto"/>
          <w:sz w:val="30"/>
          <w:szCs w:val="30"/>
          <w:highlight w:val="none"/>
        </w:rPr>
        <w:t>202</w:t>
      </w:r>
      <w:r>
        <w:rPr>
          <w:rFonts w:hint="eastAsia" w:ascii="宋体" w:hAnsi="宋体" w:cs="宋体"/>
          <w:color w:val="auto"/>
          <w:sz w:val="30"/>
          <w:szCs w:val="30"/>
          <w:highlight w:val="none"/>
          <w:lang w:val="en-US" w:eastAsia="zh-CN"/>
        </w:rPr>
        <w:t>4</w:t>
      </w:r>
      <w:r>
        <w:rPr>
          <w:rFonts w:hint="eastAsia" w:ascii="宋体" w:hAnsi="宋体" w:cs="宋体"/>
          <w:color w:val="auto"/>
          <w:sz w:val="30"/>
          <w:szCs w:val="30"/>
          <w:highlight w:val="none"/>
        </w:rPr>
        <w:t>年</w:t>
      </w:r>
      <w:r>
        <w:rPr>
          <w:rFonts w:hint="eastAsia" w:ascii="宋体" w:hAnsi="宋体" w:cs="宋体"/>
          <w:color w:val="auto"/>
          <w:sz w:val="30"/>
          <w:szCs w:val="30"/>
          <w:highlight w:val="none"/>
          <w:lang w:val="en-US" w:eastAsia="zh-CN"/>
        </w:rPr>
        <w:t>3</w:t>
      </w:r>
      <w:r>
        <w:rPr>
          <w:rFonts w:hint="eastAsia" w:ascii="宋体" w:hAnsi="宋体" w:cs="宋体"/>
          <w:color w:val="auto"/>
          <w:sz w:val="30"/>
          <w:szCs w:val="30"/>
          <w:highlight w:val="none"/>
        </w:rPr>
        <w:t>月</w:t>
      </w:r>
    </w:p>
    <w:p>
      <w:pPr>
        <w:rPr>
          <w:rFonts w:ascii="宋体" w:hAnsi="宋体"/>
          <w:b/>
          <w:color w:val="auto"/>
          <w:sz w:val="24"/>
          <w:highlight w:val="none"/>
        </w:rPr>
        <w:sectPr>
          <w:headerReference r:id="rId3" w:type="default"/>
          <w:footerReference r:id="rId4" w:type="default"/>
          <w:pgSz w:w="11907" w:h="16839"/>
          <w:pgMar w:top="1417" w:right="1134" w:bottom="1134" w:left="1417" w:header="907" w:footer="1134" w:gutter="0"/>
          <w:pgNumType w:fmt="decimal"/>
          <w:cols w:space="720" w:num="1"/>
          <w:docGrid w:linePitch="312" w:charSpace="0"/>
        </w:sectPr>
      </w:pPr>
    </w:p>
    <w:bookmarkEnd w:id="0"/>
    <w:bookmarkEnd w:id="1"/>
    <w:bookmarkEnd w:id="2"/>
    <w:bookmarkEnd w:id="3"/>
    <w:bookmarkEnd w:id="4"/>
    <w:bookmarkEnd w:id="5"/>
    <w:bookmarkEnd w:id="6"/>
    <w:bookmarkEnd w:id="7"/>
    <w:bookmarkEnd w:id="8"/>
    <w:bookmarkEnd w:id="9"/>
    <w:p>
      <w:pPr>
        <w:numPr>
          <w:ilvl w:val="0"/>
          <w:numId w:val="0"/>
        </w:numPr>
        <w:adjustRightInd w:val="0"/>
        <w:snapToGrid w:val="0"/>
        <w:spacing w:line="360" w:lineRule="auto"/>
        <w:ind w:firstLine="482" w:firstLineChars="200"/>
        <w:rPr>
          <w:rFonts w:ascii="宋体" w:hAnsi="宋体"/>
          <w:b/>
          <w:bCs/>
          <w:color w:val="auto"/>
          <w:sz w:val="24"/>
          <w:highlight w:val="none"/>
        </w:rPr>
      </w:pPr>
      <w:bookmarkStart w:id="10" w:name="_Toc399839020"/>
      <w:bookmarkStart w:id="11" w:name="_Toc371344042"/>
      <w:bookmarkStart w:id="12" w:name="_Toc371153697"/>
      <w:bookmarkStart w:id="13" w:name="_Toc372699294"/>
      <w:bookmarkStart w:id="14" w:name="_Toc369269815"/>
      <w:r>
        <w:rPr>
          <w:rFonts w:hint="eastAsia" w:ascii="宋体" w:hAnsi="宋体"/>
          <w:b/>
          <w:bCs/>
          <w:color w:val="auto"/>
          <w:sz w:val="24"/>
          <w:highlight w:val="none"/>
          <w:lang w:val="en-US" w:eastAsia="zh-CN"/>
        </w:rPr>
        <w:t xml:space="preserve">1 </w:t>
      </w:r>
      <w:r>
        <w:rPr>
          <w:rFonts w:hint="eastAsia" w:ascii="宋体" w:hAnsi="宋体"/>
          <w:b/>
          <w:bCs/>
          <w:color w:val="auto"/>
          <w:sz w:val="24"/>
          <w:highlight w:val="none"/>
        </w:rPr>
        <w:t>项目名称</w:t>
      </w:r>
    </w:p>
    <w:p>
      <w:pPr>
        <w:adjustRightInd w:val="0"/>
        <w:snapToGrid w:val="0"/>
        <w:spacing w:line="360" w:lineRule="auto"/>
        <w:ind w:firstLine="480" w:firstLineChars="200"/>
        <w:rPr>
          <w:rFonts w:hint="eastAsia" w:ascii="宋体" w:hAnsi="宋体"/>
          <w:color w:val="auto"/>
          <w:sz w:val="24"/>
          <w:highlight w:val="none"/>
          <w:lang w:val="en-US" w:eastAsia="zh-CN"/>
        </w:rPr>
      </w:pPr>
      <w:r>
        <w:rPr>
          <w:rFonts w:hint="eastAsia" w:ascii="宋体" w:hAnsi="宋体"/>
          <w:color w:val="auto"/>
          <w:sz w:val="24"/>
          <w:highlight w:val="none"/>
          <w:lang w:val="en-US" w:eastAsia="zh-CN"/>
        </w:rPr>
        <w:t>柳州局办公设备维修服务项目询价材料</w:t>
      </w:r>
    </w:p>
    <w:p>
      <w:pPr>
        <w:numPr>
          <w:ilvl w:val="0"/>
          <w:numId w:val="0"/>
        </w:numPr>
        <w:adjustRightInd w:val="0"/>
        <w:snapToGrid w:val="0"/>
        <w:spacing w:line="360" w:lineRule="auto"/>
        <w:ind w:firstLine="482" w:firstLineChars="200"/>
        <w:rPr>
          <w:rFonts w:hint="eastAsia" w:ascii="宋体" w:hAnsi="宋体"/>
          <w:b/>
          <w:bCs/>
          <w:color w:val="auto"/>
          <w:sz w:val="24"/>
          <w:highlight w:val="none"/>
        </w:rPr>
      </w:pPr>
      <w:r>
        <w:rPr>
          <w:rFonts w:hint="eastAsia" w:ascii="宋体" w:hAnsi="宋体"/>
          <w:b/>
          <w:bCs/>
          <w:color w:val="auto"/>
          <w:sz w:val="24"/>
          <w:highlight w:val="none"/>
          <w:lang w:val="en-US" w:eastAsia="zh-CN"/>
        </w:rPr>
        <w:t xml:space="preserve">2 </w:t>
      </w:r>
      <w:r>
        <w:rPr>
          <w:rFonts w:hint="eastAsia" w:ascii="宋体" w:hAnsi="宋体"/>
          <w:b/>
          <w:bCs/>
          <w:color w:val="auto"/>
          <w:sz w:val="24"/>
          <w:highlight w:val="none"/>
        </w:rPr>
        <w:t>项目需求内容</w:t>
      </w:r>
    </w:p>
    <w:p>
      <w:pPr>
        <w:numPr>
          <w:ilvl w:val="0"/>
          <w:numId w:val="0"/>
        </w:numPr>
        <w:adjustRightInd w:val="0"/>
        <w:snapToGrid w:val="0"/>
        <w:spacing w:line="360" w:lineRule="auto"/>
        <w:ind w:firstLine="480" w:firstLineChars="200"/>
        <w:rPr>
          <w:rFonts w:hint="eastAsia" w:ascii="宋体" w:hAnsi="宋体" w:cs="Times New Roman"/>
          <w:color w:val="auto"/>
          <w:kern w:val="2"/>
          <w:sz w:val="24"/>
          <w:szCs w:val="24"/>
          <w:highlight w:val="none"/>
          <w:vertAlign w:val="baseline"/>
          <w:lang w:val="en-US" w:eastAsia="zh-CN" w:bidi="ar-SA"/>
        </w:rPr>
      </w:pPr>
      <w:r>
        <w:rPr>
          <w:rFonts w:hint="eastAsia" w:ascii="宋体" w:hAnsi="宋体" w:eastAsia="宋体" w:cs="Times New Roman"/>
          <w:color w:val="auto"/>
          <w:kern w:val="2"/>
          <w:sz w:val="24"/>
          <w:szCs w:val="24"/>
          <w:highlight w:val="none"/>
          <w:lang w:val="en-US" w:eastAsia="zh-CN" w:bidi="ar-SA"/>
        </w:rPr>
        <w:t>提供</w:t>
      </w:r>
      <w:r>
        <w:rPr>
          <w:rFonts w:hint="eastAsia" w:ascii="宋体" w:hAnsi="宋体" w:cs="Times New Roman"/>
          <w:color w:val="auto"/>
          <w:kern w:val="2"/>
          <w:sz w:val="24"/>
          <w:szCs w:val="24"/>
          <w:highlight w:val="none"/>
          <w:lang w:val="en-US" w:eastAsia="zh-CN" w:bidi="ar-SA"/>
        </w:rPr>
        <w:t>柳州局打印机、复印机、扫描仪、投影仪等办公设备的维修服务。服务费用据实结算，</w:t>
      </w:r>
      <w:r>
        <w:rPr>
          <w:rFonts w:hint="eastAsia" w:ascii="宋体" w:hAnsi="宋体" w:cs="Times New Roman"/>
          <w:color w:val="auto"/>
          <w:kern w:val="2"/>
          <w:sz w:val="24"/>
          <w:szCs w:val="24"/>
          <w:highlight w:val="red"/>
          <w:lang w:val="en-US" w:eastAsia="zh-CN" w:bidi="ar-SA"/>
        </w:rPr>
        <w:t>服务期限截止至下一同类服务采购完成之前</w:t>
      </w:r>
      <w:r>
        <w:rPr>
          <w:rFonts w:hint="eastAsia" w:ascii="宋体" w:hAnsi="宋体" w:cs="Times New Roman"/>
          <w:color w:val="auto"/>
          <w:kern w:val="2"/>
          <w:sz w:val="24"/>
          <w:szCs w:val="24"/>
          <w:highlight w:val="none"/>
          <w:lang w:val="en-US" w:eastAsia="zh-CN" w:bidi="ar-SA"/>
        </w:rPr>
        <w:t>。柳州局主要办公设备信息见附表，维修范围包含但不限于附表所列设备。</w:t>
      </w:r>
    </w:p>
    <w:p>
      <w:pPr>
        <w:adjustRightInd w:val="0"/>
        <w:snapToGrid w:val="0"/>
        <w:spacing w:line="360" w:lineRule="auto"/>
        <w:ind w:firstLine="482" w:firstLineChars="200"/>
        <w:rPr>
          <w:rFonts w:hint="eastAsia" w:ascii="宋体" w:hAnsi="宋体"/>
          <w:b/>
          <w:bCs/>
          <w:color w:val="auto"/>
          <w:sz w:val="24"/>
          <w:highlight w:val="none"/>
          <w:lang w:val="en-US" w:eastAsia="zh-CN"/>
        </w:rPr>
      </w:pPr>
      <w:r>
        <w:rPr>
          <w:rFonts w:hint="eastAsia" w:ascii="宋体" w:hAnsi="宋体"/>
          <w:b/>
          <w:bCs/>
          <w:color w:val="auto"/>
          <w:sz w:val="24"/>
          <w:highlight w:val="none"/>
          <w:lang w:val="en-US" w:eastAsia="zh-CN"/>
        </w:rPr>
        <w:t>3 技术要求</w:t>
      </w:r>
    </w:p>
    <w:p>
      <w:pPr>
        <w:adjustRightInd w:val="0"/>
        <w:snapToGrid w:val="0"/>
        <w:spacing w:line="360" w:lineRule="auto"/>
        <w:ind w:firstLine="480" w:firstLineChars="200"/>
        <w:outlineLvl w:val="0"/>
        <w:rPr>
          <w:rFonts w:hint="eastAsia" w:ascii="宋体" w:hAnsi="宋体"/>
          <w:color w:val="auto"/>
          <w:sz w:val="24"/>
          <w:highlight w:val="none"/>
          <w:lang w:val="en-US" w:eastAsia="zh-CN"/>
        </w:rPr>
      </w:pPr>
      <w:r>
        <w:rPr>
          <w:rFonts w:hint="eastAsia" w:ascii="宋体" w:hAnsi="宋体"/>
          <w:color w:val="auto"/>
          <w:sz w:val="24"/>
          <w:highlight w:val="none"/>
          <w:lang w:val="en-US" w:eastAsia="zh-CN"/>
        </w:rPr>
        <w:t>3.1场地要求</w:t>
      </w:r>
      <w:r>
        <w:rPr>
          <w:rFonts w:hint="eastAsia" w:ascii="宋体" w:hAnsi="宋体"/>
          <w:color w:val="auto"/>
          <w:sz w:val="24"/>
          <w:highlight w:val="none"/>
          <w:lang w:val="en-US" w:eastAsia="zh-CN"/>
        </w:rPr>
        <w:tab/>
      </w:r>
    </w:p>
    <w:p>
      <w:pPr>
        <w:adjustRightInd w:val="0"/>
        <w:snapToGrid w:val="0"/>
        <w:spacing w:line="360" w:lineRule="auto"/>
        <w:ind w:firstLine="480" w:firstLineChars="200"/>
        <w:outlineLvl w:val="0"/>
        <w:rPr>
          <w:rFonts w:hint="eastAsia" w:ascii="宋体" w:hAnsi="宋体"/>
          <w:color w:val="auto"/>
          <w:sz w:val="24"/>
          <w:highlight w:val="none"/>
          <w:lang w:val="en-US" w:eastAsia="zh-CN"/>
        </w:rPr>
      </w:pPr>
      <w:r>
        <w:rPr>
          <w:rFonts w:hint="eastAsia" w:ascii="宋体" w:hAnsi="宋体"/>
          <w:color w:val="auto"/>
          <w:sz w:val="24"/>
          <w:highlight w:val="none"/>
          <w:lang w:val="en-US" w:eastAsia="zh-CN"/>
        </w:rPr>
        <w:t>在柳州市区范围内有固定的维修办公场所，包含维修车间、零配件仓库等。</w:t>
      </w:r>
    </w:p>
    <w:p>
      <w:pPr>
        <w:adjustRightInd w:val="0"/>
        <w:snapToGrid w:val="0"/>
        <w:spacing w:line="360" w:lineRule="auto"/>
        <w:ind w:firstLine="480" w:firstLineChars="200"/>
        <w:outlineLvl w:val="0"/>
        <w:rPr>
          <w:rFonts w:hint="eastAsia" w:ascii="宋体" w:hAnsi="宋体"/>
          <w:color w:val="auto"/>
          <w:sz w:val="24"/>
          <w:highlight w:val="none"/>
          <w:lang w:val="en-US" w:eastAsia="zh-CN"/>
        </w:rPr>
      </w:pPr>
      <w:r>
        <w:rPr>
          <w:rFonts w:hint="eastAsia" w:ascii="宋体" w:hAnsi="宋体"/>
          <w:color w:val="auto"/>
          <w:sz w:val="24"/>
          <w:highlight w:val="none"/>
          <w:lang w:val="en-US" w:eastAsia="zh-CN"/>
        </w:rPr>
        <w:t>3.2人员要求</w:t>
      </w:r>
      <w:r>
        <w:rPr>
          <w:rFonts w:hint="eastAsia" w:ascii="宋体" w:hAnsi="宋体"/>
          <w:color w:val="auto"/>
          <w:sz w:val="24"/>
          <w:highlight w:val="none"/>
          <w:lang w:val="en-US" w:eastAsia="zh-CN"/>
        </w:rPr>
        <w:tab/>
      </w:r>
    </w:p>
    <w:p>
      <w:pPr>
        <w:adjustRightInd w:val="0"/>
        <w:snapToGrid w:val="0"/>
        <w:spacing w:line="360" w:lineRule="auto"/>
        <w:ind w:firstLine="480" w:firstLineChars="200"/>
        <w:outlineLvl w:val="0"/>
        <w:rPr>
          <w:rFonts w:hint="eastAsia" w:ascii="宋体" w:hAnsi="宋体"/>
          <w:color w:val="auto"/>
          <w:sz w:val="24"/>
          <w:highlight w:val="none"/>
          <w:lang w:val="en-US" w:eastAsia="zh-CN"/>
        </w:rPr>
      </w:pPr>
      <w:r>
        <w:rPr>
          <w:rFonts w:hint="eastAsia" w:ascii="宋体" w:hAnsi="宋体"/>
          <w:color w:val="auto"/>
          <w:sz w:val="24"/>
          <w:highlight w:val="none"/>
          <w:lang w:val="en-US" w:eastAsia="zh-CN"/>
        </w:rPr>
        <w:t>配备技术管理人员不少于1人，技术工人不少于5人。</w:t>
      </w:r>
      <w:r>
        <w:rPr>
          <w:rFonts w:hint="eastAsia" w:ascii="宋体" w:hAnsi="宋体"/>
          <w:color w:val="auto"/>
          <w:sz w:val="24"/>
          <w:highlight w:val="none"/>
          <w:lang w:val="en-US" w:eastAsia="zh-CN"/>
        </w:rPr>
        <w:tab/>
      </w:r>
    </w:p>
    <w:p>
      <w:pPr>
        <w:adjustRightInd w:val="0"/>
        <w:snapToGrid w:val="0"/>
        <w:spacing w:line="360" w:lineRule="auto"/>
        <w:ind w:firstLine="480" w:firstLineChars="200"/>
        <w:outlineLvl w:val="0"/>
        <w:rPr>
          <w:rFonts w:hint="eastAsia" w:ascii="宋体" w:hAnsi="宋体"/>
          <w:color w:val="auto"/>
          <w:sz w:val="24"/>
          <w:highlight w:val="none"/>
          <w:lang w:val="en-US" w:eastAsia="zh-CN"/>
        </w:rPr>
      </w:pPr>
      <w:r>
        <w:rPr>
          <w:rFonts w:hint="eastAsia" w:ascii="宋体" w:hAnsi="宋体"/>
          <w:color w:val="auto"/>
          <w:sz w:val="24"/>
          <w:highlight w:val="none"/>
          <w:lang w:val="en-US" w:eastAsia="zh-CN"/>
        </w:rPr>
        <w:t>3.3零配件要求</w:t>
      </w:r>
      <w:r>
        <w:rPr>
          <w:rFonts w:hint="eastAsia" w:ascii="宋体" w:hAnsi="宋体"/>
          <w:color w:val="auto"/>
          <w:sz w:val="24"/>
          <w:highlight w:val="none"/>
          <w:lang w:val="en-US" w:eastAsia="zh-CN"/>
        </w:rPr>
        <w:tab/>
      </w:r>
    </w:p>
    <w:p>
      <w:pPr>
        <w:adjustRightInd w:val="0"/>
        <w:snapToGrid w:val="0"/>
        <w:spacing w:line="360" w:lineRule="auto"/>
        <w:ind w:firstLine="480" w:firstLineChars="200"/>
        <w:outlineLvl w:val="0"/>
        <w:rPr>
          <w:rFonts w:hint="eastAsia" w:ascii="宋体" w:hAnsi="宋体"/>
          <w:color w:val="auto"/>
          <w:sz w:val="24"/>
          <w:highlight w:val="none"/>
          <w:lang w:val="en-US" w:eastAsia="zh-CN"/>
        </w:rPr>
      </w:pPr>
      <w:r>
        <w:rPr>
          <w:rFonts w:hint="eastAsia" w:ascii="宋体" w:hAnsi="宋体"/>
          <w:color w:val="auto"/>
          <w:sz w:val="24"/>
          <w:highlight w:val="none"/>
          <w:lang w:val="en-US" w:eastAsia="zh-CN"/>
        </w:rPr>
        <w:t>设备维修必须使用原厂配件（或 3C 认证的零部件产品），不得使用假冒伪劣配件。</w:t>
      </w:r>
      <w:r>
        <w:rPr>
          <w:rFonts w:hint="eastAsia" w:ascii="宋体" w:hAnsi="宋体"/>
          <w:color w:val="auto"/>
          <w:sz w:val="24"/>
          <w:highlight w:val="none"/>
          <w:lang w:val="en-US" w:eastAsia="zh-CN"/>
        </w:rPr>
        <w:tab/>
      </w:r>
    </w:p>
    <w:p>
      <w:pPr>
        <w:adjustRightInd w:val="0"/>
        <w:snapToGrid w:val="0"/>
        <w:spacing w:line="360" w:lineRule="auto"/>
        <w:ind w:firstLine="480" w:firstLineChars="200"/>
        <w:outlineLvl w:val="0"/>
        <w:rPr>
          <w:rFonts w:hint="eastAsia" w:ascii="宋体" w:hAnsi="宋体"/>
          <w:color w:val="auto"/>
          <w:sz w:val="24"/>
          <w:highlight w:val="none"/>
          <w:lang w:val="en-US" w:eastAsia="zh-CN"/>
        </w:rPr>
      </w:pPr>
      <w:r>
        <w:rPr>
          <w:rFonts w:hint="eastAsia" w:ascii="宋体" w:hAnsi="宋体"/>
          <w:color w:val="auto"/>
          <w:sz w:val="24"/>
          <w:highlight w:val="none"/>
          <w:lang w:val="en-US" w:eastAsia="zh-CN"/>
        </w:rPr>
        <w:t>3.4售后要求</w:t>
      </w:r>
      <w:r>
        <w:rPr>
          <w:rFonts w:hint="eastAsia" w:ascii="宋体" w:hAnsi="宋体"/>
          <w:color w:val="auto"/>
          <w:sz w:val="24"/>
          <w:highlight w:val="none"/>
          <w:lang w:val="en-US" w:eastAsia="zh-CN"/>
        </w:rPr>
        <w:tab/>
      </w:r>
    </w:p>
    <w:p>
      <w:pPr>
        <w:adjustRightInd w:val="0"/>
        <w:snapToGrid w:val="0"/>
        <w:spacing w:line="360" w:lineRule="auto"/>
        <w:ind w:firstLine="480" w:firstLineChars="200"/>
        <w:outlineLvl w:val="0"/>
        <w:rPr>
          <w:rFonts w:hint="eastAsia" w:ascii="宋体" w:hAnsi="宋体"/>
          <w:color w:val="auto"/>
          <w:sz w:val="24"/>
          <w:highlight w:val="none"/>
          <w:lang w:val="en-US" w:eastAsia="zh-CN"/>
        </w:rPr>
      </w:pPr>
      <w:r>
        <w:rPr>
          <w:rFonts w:hint="eastAsia" w:ascii="宋体" w:hAnsi="宋体"/>
          <w:color w:val="auto"/>
          <w:sz w:val="24"/>
          <w:highlight w:val="none"/>
          <w:lang w:val="en-US" w:eastAsia="zh-CN"/>
        </w:rPr>
        <w:t>质保期内，发生同一配件再次故障或相同维修项目的，应当及时无偿返修，不得故意拖延或者无理拒绝。</w:t>
      </w:r>
    </w:p>
    <w:p>
      <w:pPr>
        <w:numPr>
          <w:ilvl w:val="0"/>
          <w:numId w:val="0"/>
        </w:numPr>
        <w:adjustRightInd w:val="0"/>
        <w:snapToGrid w:val="0"/>
        <w:spacing w:line="360" w:lineRule="auto"/>
        <w:ind w:firstLine="482" w:firstLineChars="200"/>
        <w:rPr>
          <w:rFonts w:ascii="宋体" w:hAnsi="宋体"/>
          <w:b/>
          <w:bCs/>
          <w:color w:val="auto"/>
          <w:sz w:val="24"/>
          <w:highlight w:val="none"/>
        </w:rPr>
      </w:pPr>
      <w:r>
        <w:rPr>
          <w:rFonts w:hint="eastAsia" w:ascii="宋体" w:hAnsi="宋体"/>
          <w:b/>
          <w:bCs/>
          <w:color w:val="auto"/>
          <w:sz w:val="24"/>
          <w:highlight w:val="none"/>
          <w:lang w:val="en-US" w:eastAsia="zh-CN"/>
        </w:rPr>
        <w:t xml:space="preserve">4 </w:t>
      </w:r>
      <w:r>
        <w:rPr>
          <w:rFonts w:hint="eastAsia" w:ascii="宋体" w:hAnsi="宋体"/>
          <w:b/>
          <w:bCs/>
          <w:color w:val="auto"/>
          <w:sz w:val="24"/>
          <w:highlight w:val="none"/>
        </w:rPr>
        <w:t>资质要求</w:t>
      </w:r>
    </w:p>
    <w:tbl>
      <w:tblPr>
        <w:tblStyle w:val="21"/>
        <w:tblW w:w="76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8"/>
        <w:gridCol w:w="69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8" w:type="dxa"/>
            <w:vAlign w:val="center"/>
          </w:tcPr>
          <w:p>
            <w:pPr>
              <w:jc w:val="center"/>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olor w:val="auto"/>
                <w:sz w:val="24"/>
                <w:highlight w:val="none"/>
              </w:rPr>
              <w:t>4</w:t>
            </w:r>
            <w:r>
              <w:rPr>
                <w:rFonts w:hint="eastAsia" w:ascii="宋体" w:hAnsi="宋体"/>
                <w:color w:val="auto"/>
                <w:sz w:val="24"/>
                <w:highlight w:val="none"/>
                <w:lang w:val="en-US" w:eastAsia="zh-CN"/>
              </w:rPr>
              <w:t>.</w:t>
            </w:r>
            <w:r>
              <w:rPr>
                <w:rFonts w:hint="eastAsia" w:ascii="宋体" w:hAnsi="宋体" w:eastAsia="宋体"/>
                <w:color w:val="auto"/>
                <w:sz w:val="24"/>
                <w:highlight w:val="none"/>
              </w:rPr>
              <w:t>1</w:t>
            </w:r>
          </w:p>
        </w:tc>
        <w:tc>
          <w:tcPr>
            <w:tcW w:w="6960" w:type="dxa"/>
            <w:vAlign w:val="center"/>
          </w:tcPr>
          <w:p>
            <w:pPr>
              <w:ind w:left="113" w:leftChars="0"/>
              <w:rPr>
                <w:rFonts w:hint="eastAsia" w:ascii="宋体" w:hAnsi="宋体" w:eastAsia="宋体"/>
                <w:color w:val="auto"/>
                <w:sz w:val="24"/>
                <w:highlight w:val="none"/>
              </w:rPr>
            </w:pPr>
            <w:r>
              <w:rPr>
                <w:rFonts w:hint="eastAsia" w:ascii="宋体" w:hAnsi="宋体" w:eastAsia="宋体"/>
                <w:color w:val="auto"/>
                <w:sz w:val="24"/>
                <w:highlight w:val="none"/>
              </w:rPr>
              <w:t>具备以下条件之一：</w:t>
            </w:r>
          </w:p>
          <w:p>
            <w:pPr>
              <w:ind w:left="113" w:leftChars="0"/>
              <w:rPr>
                <w:rFonts w:hint="eastAsia" w:ascii="宋体" w:hAnsi="宋体" w:eastAsia="宋体"/>
                <w:color w:val="auto"/>
                <w:sz w:val="24"/>
                <w:highlight w:val="none"/>
              </w:rPr>
            </w:pPr>
            <w:r>
              <w:rPr>
                <w:rFonts w:hint="eastAsia" w:ascii="宋体" w:hAnsi="宋体" w:eastAsia="宋体"/>
                <w:color w:val="auto"/>
                <w:sz w:val="24"/>
                <w:highlight w:val="none"/>
              </w:rPr>
              <w:t>①具有独立法人资格且为中华人民共和国境内注册的法人，持有合法有效的企业法人营业执照、组织机构代码证、税务登记证或有工商行政管理部门核发统一社会信用代码的企业法人营业执照；</w:t>
            </w:r>
          </w:p>
          <w:p>
            <w:pPr>
              <w:ind w:left="113" w:leftChars="0"/>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olor w:val="auto"/>
                <w:sz w:val="24"/>
                <w:highlight w:val="none"/>
              </w:rPr>
              <w:t>②具有独立承担民事责任能力的事业单位或其他组织；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8" w:type="dxa"/>
            <w:vAlign w:val="center"/>
          </w:tcPr>
          <w:p>
            <w:pPr>
              <w:jc w:val="center"/>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olor w:val="auto"/>
                <w:sz w:val="24"/>
                <w:highlight w:val="none"/>
              </w:rPr>
              <w:t>4</w:t>
            </w:r>
            <w:r>
              <w:rPr>
                <w:rFonts w:hint="eastAsia" w:ascii="宋体" w:hAnsi="宋体"/>
                <w:color w:val="auto"/>
                <w:sz w:val="24"/>
                <w:highlight w:val="none"/>
                <w:lang w:val="en-US" w:eastAsia="zh-CN"/>
              </w:rPr>
              <w:t>.</w:t>
            </w:r>
            <w:r>
              <w:rPr>
                <w:rFonts w:hint="eastAsia" w:ascii="宋体" w:hAnsi="宋体" w:eastAsia="宋体"/>
                <w:color w:val="auto"/>
                <w:sz w:val="24"/>
                <w:highlight w:val="none"/>
              </w:rPr>
              <w:t>2</w:t>
            </w:r>
          </w:p>
        </w:tc>
        <w:tc>
          <w:tcPr>
            <w:tcW w:w="6960" w:type="dxa"/>
            <w:vAlign w:val="center"/>
          </w:tcPr>
          <w:p>
            <w:pPr>
              <w:ind w:left="113" w:leftChars="0"/>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olor w:val="auto"/>
                <w:sz w:val="24"/>
                <w:highlight w:val="none"/>
              </w:rPr>
              <w:t>没有处于被责令停业或破产状态，且资产未被重组或接管。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8" w:type="dxa"/>
            <w:vAlign w:val="center"/>
          </w:tcPr>
          <w:p>
            <w:pPr>
              <w:jc w:val="center"/>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olor w:val="auto"/>
                <w:sz w:val="24"/>
                <w:highlight w:val="none"/>
              </w:rPr>
              <w:t>4</w:t>
            </w:r>
            <w:r>
              <w:rPr>
                <w:rFonts w:hint="eastAsia" w:ascii="宋体" w:hAnsi="宋体"/>
                <w:color w:val="auto"/>
                <w:sz w:val="24"/>
                <w:highlight w:val="none"/>
                <w:lang w:val="en-US" w:eastAsia="zh-CN"/>
              </w:rPr>
              <w:t>.</w:t>
            </w:r>
            <w:r>
              <w:rPr>
                <w:rFonts w:hint="eastAsia" w:ascii="宋体" w:hAnsi="宋体" w:eastAsia="宋体"/>
                <w:color w:val="auto"/>
                <w:sz w:val="24"/>
                <w:highlight w:val="none"/>
              </w:rPr>
              <w:t>3</w:t>
            </w:r>
          </w:p>
        </w:tc>
        <w:tc>
          <w:tcPr>
            <w:tcW w:w="6960" w:type="dxa"/>
            <w:vAlign w:val="center"/>
          </w:tcPr>
          <w:p>
            <w:pPr>
              <w:ind w:left="113" w:leftChars="0"/>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olor w:val="auto"/>
                <w:sz w:val="24"/>
                <w:highlight w:val="none"/>
              </w:rPr>
              <w:t>在经营活动中无重大违法记录，在中国南方电网有限责任公司或超高压输电公司没有处于限制投标资格的处罚。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8" w:type="dxa"/>
            <w:vAlign w:val="center"/>
          </w:tcPr>
          <w:p>
            <w:pPr>
              <w:jc w:val="center"/>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olor w:val="auto"/>
                <w:sz w:val="24"/>
                <w:highlight w:val="none"/>
              </w:rPr>
              <w:t>4</w:t>
            </w:r>
            <w:r>
              <w:rPr>
                <w:rFonts w:hint="eastAsia" w:ascii="宋体" w:hAnsi="宋体"/>
                <w:color w:val="auto"/>
                <w:sz w:val="24"/>
                <w:highlight w:val="none"/>
                <w:lang w:val="en-US" w:eastAsia="zh-CN"/>
              </w:rPr>
              <w:t>.</w:t>
            </w:r>
            <w:r>
              <w:rPr>
                <w:rFonts w:hint="eastAsia" w:ascii="宋体" w:hAnsi="宋体" w:eastAsia="宋体"/>
                <w:color w:val="auto"/>
                <w:sz w:val="24"/>
                <w:highlight w:val="none"/>
                <w:lang w:val="en-US" w:eastAsia="zh-CN"/>
              </w:rPr>
              <w:t>4</w:t>
            </w:r>
          </w:p>
        </w:tc>
        <w:tc>
          <w:tcPr>
            <w:tcW w:w="6960" w:type="dxa"/>
            <w:vAlign w:val="center"/>
          </w:tcPr>
          <w:p>
            <w:pPr>
              <w:ind w:left="113" w:leftChars="0"/>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olor w:val="auto"/>
                <w:sz w:val="24"/>
                <w:highlight w:val="none"/>
              </w:rPr>
              <w:t>单位负责人为同一人或者存在控股、管理关系的不同单位，不得参加</w:t>
            </w:r>
            <w:r>
              <w:rPr>
                <w:rFonts w:hint="eastAsia" w:ascii="宋体" w:hAnsi="宋体" w:eastAsia="宋体"/>
                <w:color w:val="auto"/>
                <w:sz w:val="24"/>
                <w:highlight w:val="none"/>
                <w:lang w:eastAsia="zh-CN"/>
              </w:rPr>
              <w:t>同一项目报价</w:t>
            </w:r>
            <w:r>
              <w:rPr>
                <w:rFonts w:hint="eastAsia" w:ascii="宋体" w:hAnsi="宋体" w:eastAsia="宋体"/>
                <w:color w:val="auto"/>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8" w:type="dxa"/>
            <w:vAlign w:val="center"/>
          </w:tcPr>
          <w:p>
            <w:pPr>
              <w:jc w:val="center"/>
              <w:rPr>
                <w:rFonts w:hint="default" w:ascii="宋体" w:hAnsi="宋体" w:eastAsia="宋体"/>
                <w:color w:val="auto"/>
                <w:sz w:val="24"/>
                <w:highlight w:val="none"/>
                <w:lang w:val="en-US" w:eastAsia="zh-CN"/>
              </w:rPr>
            </w:pPr>
            <w:r>
              <w:rPr>
                <w:rFonts w:hint="eastAsia" w:ascii="宋体" w:hAnsi="宋体"/>
                <w:color w:val="auto"/>
                <w:sz w:val="24"/>
                <w:highlight w:val="none"/>
                <w:lang w:val="en-US" w:eastAsia="zh-CN"/>
              </w:rPr>
              <w:t>4.5</w:t>
            </w:r>
          </w:p>
        </w:tc>
        <w:tc>
          <w:tcPr>
            <w:tcW w:w="6960" w:type="dxa"/>
            <w:vAlign w:val="center"/>
          </w:tcPr>
          <w:p>
            <w:pPr>
              <w:ind w:left="113" w:leftChars="0"/>
              <w:rPr>
                <w:rFonts w:hint="default" w:ascii="宋体" w:hAnsi="宋体" w:eastAsia="宋体"/>
                <w:color w:val="auto"/>
                <w:sz w:val="24"/>
                <w:highlight w:val="none"/>
                <w:lang w:val="en-US" w:eastAsia="zh-CN"/>
              </w:rPr>
            </w:pPr>
            <w:r>
              <w:rPr>
                <w:rFonts w:hint="eastAsia" w:ascii="宋体" w:hAnsi="宋体"/>
                <w:color w:val="auto"/>
                <w:sz w:val="24"/>
                <w:highlight w:val="none"/>
                <w:lang w:val="en-US" w:eastAsia="zh-CN"/>
              </w:rPr>
              <w:t>经营范围包括办公设备维修。</w:t>
            </w:r>
          </w:p>
        </w:tc>
      </w:tr>
    </w:tbl>
    <w:p>
      <w:pPr>
        <w:adjustRightInd w:val="0"/>
        <w:snapToGrid w:val="0"/>
        <w:spacing w:line="360" w:lineRule="auto"/>
        <w:ind w:firstLine="482" w:firstLineChars="200"/>
        <w:rPr>
          <w:rFonts w:ascii="宋体" w:hAnsi="宋体"/>
          <w:b/>
          <w:bCs/>
          <w:color w:val="auto"/>
          <w:sz w:val="24"/>
          <w:highlight w:val="none"/>
        </w:rPr>
      </w:pPr>
      <w:r>
        <w:rPr>
          <w:rFonts w:hint="eastAsia" w:ascii="宋体" w:hAnsi="宋体"/>
          <w:b/>
          <w:bCs/>
          <w:color w:val="auto"/>
          <w:sz w:val="24"/>
          <w:highlight w:val="none"/>
        </w:rPr>
        <w:t>5</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lang w:eastAsia="zh-CN"/>
        </w:rPr>
        <w:t>项目采购</w:t>
      </w:r>
      <w:r>
        <w:rPr>
          <w:rFonts w:hint="eastAsia" w:ascii="宋体" w:hAnsi="宋体"/>
          <w:b/>
          <w:bCs/>
          <w:color w:val="auto"/>
          <w:sz w:val="24"/>
          <w:highlight w:val="none"/>
        </w:rPr>
        <w:t>清单</w:t>
      </w:r>
    </w:p>
    <w:tbl>
      <w:tblPr>
        <w:tblStyle w:val="20"/>
        <w:tblW w:w="76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980"/>
        <w:gridCol w:w="3682"/>
        <w:gridCol w:w="961"/>
        <w:gridCol w:w="1088"/>
        <w:gridCol w:w="9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75" w:hRule="atLeast"/>
          <w:jc w:val="center"/>
        </w:trPr>
        <w:tc>
          <w:tcPr>
            <w:tcW w:w="980" w:type="dxa"/>
            <w:tcBorders>
              <w:tl2br w:val="nil"/>
              <w:tr2bl w:val="nil"/>
            </w:tcBorders>
            <w:shd w:val="clear" w:color="auto" w:fill="auto"/>
            <w:vAlign w:val="center"/>
          </w:tcPr>
          <w:p>
            <w:pPr>
              <w:widowControl/>
              <w:jc w:val="center"/>
              <w:textAlignment w:val="center"/>
              <w:rPr>
                <w:rFonts w:hint="eastAsia" w:asciiTheme="minorEastAsia" w:hAnsiTheme="minorEastAsia" w:eastAsiaTheme="minorEastAsia" w:cstheme="minorEastAsia"/>
                <w:b/>
                <w:bCs/>
                <w:color w:val="auto"/>
                <w:sz w:val="24"/>
                <w:highlight w:val="none"/>
                <w:lang w:eastAsia="zh-CN"/>
              </w:rPr>
            </w:pPr>
            <w:r>
              <w:rPr>
                <w:rFonts w:hint="eastAsia" w:asciiTheme="minorEastAsia" w:hAnsiTheme="minorEastAsia" w:eastAsiaTheme="minorEastAsia" w:cstheme="minorEastAsia"/>
                <w:b/>
                <w:bCs/>
                <w:color w:val="auto"/>
                <w:kern w:val="0"/>
                <w:sz w:val="24"/>
                <w:highlight w:val="none"/>
                <w:lang w:eastAsia="zh-CN" w:bidi="ar"/>
              </w:rPr>
              <w:t>标包</w:t>
            </w:r>
          </w:p>
        </w:tc>
        <w:tc>
          <w:tcPr>
            <w:tcW w:w="3682" w:type="dxa"/>
            <w:tcBorders>
              <w:tl2br w:val="nil"/>
              <w:tr2bl w:val="nil"/>
            </w:tcBorders>
            <w:shd w:val="clear" w:color="auto" w:fill="auto"/>
            <w:vAlign w:val="center"/>
          </w:tcPr>
          <w:p>
            <w:pPr>
              <w:widowControl/>
              <w:jc w:val="center"/>
              <w:textAlignment w:val="center"/>
              <w:rPr>
                <w:rFonts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kern w:val="0"/>
                <w:sz w:val="24"/>
                <w:highlight w:val="none"/>
                <w:lang w:eastAsia="zh-CN" w:bidi="ar"/>
              </w:rPr>
              <w:t>标的</w:t>
            </w:r>
            <w:r>
              <w:rPr>
                <w:rFonts w:hint="eastAsia" w:asciiTheme="minorEastAsia" w:hAnsiTheme="minorEastAsia" w:eastAsiaTheme="minorEastAsia" w:cstheme="minorEastAsia"/>
                <w:b/>
                <w:bCs/>
                <w:color w:val="auto"/>
                <w:kern w:val="0"/>
                <w:sz w:val="24"/>
                <w:highlight w:val="none"/>
                <w:lang w:bidi="ar"/>
              </w:rPr>
              <w:t>名称</w:t>
            </w:r>
          </w:p>
        </w:tc>
        <w:tc>
          <w:tcPr>
            <w:tcW w:w="961" w:type="dxa"/>
            <w:tcBorders>
              <w:tl2br w:val="nil"/>
              <w:tr2bl w:val="nil"/>
            </w:tcBorders>
            <w:shd w:val="clear" w:color="auto" w:fill="auto"/>
            <w:vAlign w:val="center"/>
          </w:tcPr>
          <w:p>
            <w:pPr>
              <w:widowControl/>
              <w:jc w:val="center"/>
              <w:textAlignment w:val="center"/>
              <w:rPr>
                <w:rFonts w:hint="eastAsia" w:asciiTheme="minorEastAsia" w:hAnsiTheme="minorEastAsia" w:eastAsiaTheme="minorEastAsia" w:cstheme="minorEastAsia"/>
                <w:b/>
                <w:bCs/>
                <w:color w:val="auto"/>
                <w:kern w:val="0"/>
                <w:sz w:val="24"/>
                <w:szCs w:val="24"/>
                <w:highlight w:val="none"/>
                <w:lang w:val="en-US" w:eastAsia="zh-CN" w:bidi="ar"/>
              </w:rPr>
            </w:pPr>
            <w:r>
              <w:rPr>
                <w:rFonts w:hint="eastAsia" w:asciiTheme="minorEastAsia" w:hAnsiTheme="minorEastAsia" w:eastAsiaTheme="minorEastAsia" w:cstheme="minorEastAsia"/>
                <w:b/>
                <w:bCs/>
                <w:color w:val="auto"/>
                <w:kern w:val="0"/>
                <w:sz w:val="24"/>
                <w:highlight w:val="none"/>
                <w:lang w:eastAsia="zh-CN" w:bidi="ar"/>
              </w:rPr>
              <w:t>服务地点</w:t>
            </w:r>
          </w:p>
        </w:tc>
        <w:tc>
          <w:tcPr>
            <w:tcW w:w="1088" w:type="dxa"/>
            <w:tcBorders>
              <w:tl2br w:val="nil"/>
              <w:tr2bl w:val="nil"/>
            </w:tcBorders>
            <w:shd w:val="clear" w:color="auto" w:fill="auto"/>
            <w:vAlign w:val="center"/>
          </w:tcPr>
          <w:p>
            <w:pPr>
              <w:widowControl/>
              <w:jc w:val="center"/>
              <w:textAlignment w:val="center"/>
              <w:rPr>
                <w:rFonts w:hint="eastAsia" w:asciiTheme="minorEastAsia" w:hAnsiTheme="minorEastAsia" w:eastAsiaTheme="minorEastAsia" w:cstheme="minorEastAsia"/>
                <w:b/>
                <w:bCs/>
                <w:color w:val="auto"/>
                <w:kern w:val="0"/>
                <w:sz w:val="24"/>
                <w:highlight w:val="none"/>
                <w:lang w:eastAsia="zh-CN" w:bidi="ar"/>
              </w:rPr>
            </w:pPr>
            <w:r>
              <w:rPr>
                <w:rFonts w:hint="eastAsia" w:asciiTheme="minorEastAsia" w:hAnsiTheme="minorEastAsia" w:eastAsiaTheme="minorEastAsia" w:cstheme="minorEastAsia"/>
                <w:b/>
                <w:bCs/>
                <w:color w:val="auto"/>
                <w:kern w:val="0"/>
                <w:sz w:val="24"/>
                <w:highlight w:val="none"/>
                <w:lang w:eastAsia="zh-CN" w:bidi="ar"/>
              </w:rPr>
              <w:t>最高限价</w:t>
            </w:r>
          </w:p>
          <w:p>
            <w:pPr>
              <w:widowControl/>
              <w:jc w:val="center"/>
              <w:textAlignment w:val="center"/>
              <w:rPr>
                <w:rFonts w:hint="eastAsia" w:asciiTheme="minorEastAsia" w:hAnsiTheme="minorEastAsia" w:eastAsiaTheme="minorEastAsia" w:cstheme="minorEastAsia"/>
                <w:b/>
                <w:bCs/>
                <w:color w:val="auto"/>
                <w:kern w:val="0"/>
                <w:sz w:val="24"/>
                <w:highlight w:val="none"/>
                <w:lang w:eastAsia="zh-CN" w:bidi="ar"/>
              </w:rPr>
            </w:pPr>
            <w:r>
              <w:rPr>
                <w:rFonts w:hint="eastAsia" w:asciiTheme="minorEastAsia" w:hAnsiTheme="minorEastAsia" w:eastAsiaTheme="minorEastAsia" w:cstheme="minorEastAsia"/>
                <w:b/>
                <w:bCs/>
                <w:color w:val="auto"/>
                <w:kern w:val="0"/>
                <w:sz w:val="24"/>
                <w:highlight w:val="none"/>
                <w:lang w:eastAsia="zh-CN" w:bidi="ar"/>
              </w:rPr>
              <w:t>（万元）</w:t>
            </w:r>
          </w:p>
        </w:tc>
        <w:tc>
          <w:tcPr>
            <w:tcW w:w="933" w:type="dxa"/>
            <w:tcBorders>
              <w:tl2br w:val="nil"/>
              <w:tr2bl w:val="nil"/>
            </w:tcBorders>
            <w:shd w:val="clear" w:color="auto" w:fill="auto"/>
            <w:vAlign w:val="center"/>
          </w:tcPr>
          <w:p>
            <w:pPr>
              <w:widowControl/>
              <w:jc w:val="center"/>
              <w:textAlignment w:val="center"/>
              <w:rPr>
                <w:rFonts w:ascii="宋体" w:hAnsi="宋体" w:cs="宋体"/>
                <w:b/>
                <w:color w:val="auto"/>
                <w:kern w:val="0"/>
                <w:sz w:val="24"/>
                <w:highlight w:val="none"/>
                <w:lang w:bidi="ar"/>
              </w:rPr>
            </w:pPr>
            <w:r>
              <w:rPr>
                <w:rFonts w:hint="eastAsia" w:ascii="宋体" w:hAnsi="宋体" w:cs="宋体"/>
                <w:b/>
                <w:color w:val="auto"/>
                <w:kern w:val="0"/>
                <w:sz w:val="24"/>
                <w:highlight w:val="none"/>
                <w:lang w:bidi="ar"/>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0" w:hRule="atLeast"/>
          <w:jc w:val="center"/>
        </w:trPr>
        <w:tc>
          <w:tcPr>
            <w:tcW w:w="980" w:type="dxa"/>
            <w:tcBorders>
              <w:tl2br w:val="nil"/>
              <w:tr2bl w:val="nil"/>
            </w:tcBorders>
            <w:shd w:val="clear" w:color="auto" w:fill="auto"/>
            <w:vAlign w:val="center"/>
          </w:tcPr>
          <w:p>
            <w:pPr>
              <w:ind w:left="113" w:leftChars="0"/>
              <w:jc w:val="center"/>
              <w:rPr>
                <w:rFonts w:hint="eastAsia" w:ascii="宋体" w:hAnsi="宋体" w:eastAsia="宋体"/>
                <w:color w:val="auto"/>
                <w:sz w:val="24"/>
                <w:highlight w:val="none"/>
              </w:rPr>
            </w:pPr>
            <w:r>
              <w:rPr>
                <w:rFonts w:hint="eastAsia" w:ascii="宋体" w:hAnsi="宋体" w:eastAsia="宋体"/>
                <w:color w:val="auto"/>
                <w:sz w:val="24"/>
                <w:highlight w:val="none"/>
              </w:rPr>
              <w:t>1</w:t>
            </w:r>
          </w:p>
        </w:tc>
        <w:tc>
          <w:tcPr>
            <w:tcW w:w="3682" w:type="dxa"/>
            <w:tcBorders>
              <w:tl2br w:val="nil"/>
              <w:tr2bl w:val="nil"/>
            </w:tcBorders>
            <w:shd w:val="clear" w:color="auto" w:fill="auto"/>
            <w:vAlign w:val="center"/>
          </w:tcPr>
          <w:p>
            <w:pPr>
              <w:ind w:left="113" w:leftChars="0"/>
              <w:rPr>
                <w:rFonts w:hint="default" w:ascii="宋体" w:hAnsi="宋体" w:eastAsia="宋体"/>
                <w:color w:val="auto"/>
                <w:sz w:val="24"/>
                <w:highlight w:val="none"/>
                <w:lang w:val="en-US" w:eastAsia="zh-CN"/>
              </w:rPr>
            </w:pPr>
            <w:r>
              <w:rPr>
                <w:rFonts w:hint="eastAsia" w:ascii="宋体" w:hAnsi="宋体"/>
                <w:color w:val="auto"/>
                <w:sz w:val="24"/>
                <w:highlight w:val="none"/>
                <w:lang w:val="en-US" w:eastAsia="zh-CN"/>
              </w:rPr>
              <w:t>柳州局2024-2025年办公设备维修服务项目</w:t>
            </w:r>
          </w:p>
        </w:tc>
        <w:tc>
          <w:tcPr>
            <w:tcW w:w="961" w:type="dxa"/>
            <w:tcBorders>
              <w:tl2br w:val="nil"/>
              <w:tr2bl w:val="nil"/>
            </w:tcBorders>
            <w:shd w:val="clear" w:color="auto" w:fill="auto"/>
            <w:vAlign w:val="center"/>
          </w:tcPr>
          <w:p>
            <w:pPr>
              <w:rPr>
                <w:rFonts w:hint="default" w:ascii="宋体" w:hAnsi="宋体" w:eastAsia="宋体"/>
                <w:color w:val="auto"/>
                <w:sz w:val="24"/>
                <w:highlight w:val="none"/>
                <w:lang w:val="en-US" w:eastAsia="zh-CN"/>
              </w:rPr>
            </w:pPr>
            <w:r>
              <w:rPr>
                <w:rFonts w:hint="eastAsia" w:ascii="宋体" w:hAnsi="宋体"/>
                <w:color w:val="auto"/>
                <w:sz w:val="24"/>
                <w:highlight w:val="none"/>
                <w:lang w:val="en-US" w:eastAsia="zh-CN"/>
              </w:rPr>
              <w:t>/</w:t>
            </w:r>
          </w:p>
        </w:tc>
        <w:tc>
          <w:tcPr>
            <w:tcW w:w="1088" w:type="dxa"/>
            <w:tcBorders>
              <w:tl2br w:val="nil"/>
              <w:tr2bl w:val="nil"/>
            </w:tcBorders>
            <w:shd w:val="clear" w:color="auto" w:fill="auto"/>
            <w:vAlign w:val="center"/>
          </w:tcPr>
          <w:p>
            <w:pPr>
              <w:jc w:val="center"/>
              <w:rPr>
                <w:rFonts w:hint="default" w:ascii="宋体" w:hAnsi="宋体" w:eastAsia="宋体"/>
                <w:color w:val="auto"/>
                <w:sz w:val="24"/>
                <w:highlight w:val="none"/>
                <w:lang w:val="en-US" w:eastAsia="zh-CN"/>
              </w:rPr>
            </w:pPr>
            <w:r>
              <w:rPr>
                <w:rFonts w:hint="eastAsia" w:ascii="宋体" w:hAnsi="宋体"/>
                <w:color w:val="auto"/>
                <w:sz w:val="24"/>
                <w:highlight w:val="none"/>
                <w:lang w:val="en-US" w:eastAsia="zh-CN"/>
              </w:rPr>
              <w:t>/</w:t>
            </w:r>
          </w:p>
        </w:tc>
        <w:tc>
          <w:tcPr>
            <w:tcW w:w="933" w:type="dxa"/>
            <w:tcBorders>
              <w:tl2br w:val="nil"/>
              <w:tr2bl w:val="nil"/>
            </w:tcBorders>
            <w:shd w:val="clear" w:color="auto" w:fill="auto"/>
            <w:vAlign w:val="center"/>
          </w:tcPr>
          <w:p>
            <w:pPr>
              <w:ind w:left="113" w:leftChars="0"/>
              <w:rPr>
                <w:rFonts w:hint="eastAsia" w:ascii="宋体" w:hAnsi="宋体" w:eastAsia="宋体"/>
                <w:color w:val="auto"/>
                <w:sz w:val="24"/>
                <w:highlight w:val="none"/>
                <w:lang w:eastAsia="zh-CN"/>
              </w:rPr>
            </w:pPr>
          </w:p>
        </w:tc>
      </w:tr>
    </w:tbl>
    <w:p>
      <w:pPr>
        <w:spacing w:line="360" w:lineRule="auto"/>
        <w:ind w:firstLine="482" w:firstLineChars="200"/>
        <w:rPr>
          <w:color w:val="auto"/>
        </w:rPr>
      </w:pPr>
      <w:r>
        <w:rPr>
          <w:rFonts w:hint="eastAsia" w:ascii="宋体" w:hAnsi="宋体" w:cs="宋体"/>
          <w:b/>
          <w:bCs/>
          <w:color w:val="auto"/>
          <w:sz w:val="24"/>
          <w:highlight w:val="none"/>
        </w:rPr>
        <w:t>6</w:t>
      </w:r>
      <w:bookmarkEnd w:id="10"/>
      <w:bookmarkEnd w:id="11"/>
      <w:bookmarkEnd w:id="12"/>
      <w:bookmarkEnd w:id="13"/>
      <w:bookmarkEnd w:id="14"/>
      <w:r>
        <w:rPr>
          <w:rFonts w:hint="eastAsia" w:ascii="宋体" w:hAnsi="宋体" w:cs="宋体"/>
          <w:b/>
          <w:bCs/>
          <w:color w:val="auto"/>
          <w:sz w:val="24"/>
          <w:highlight w:val="none"/>
          <w:lang w:val="en-US" w:eastAsia="zh-CN"/>
        </w:rPr>
        <w:t xml:space="preserve"> </w:t>
      </w:r>
      <w:r>
        <w:rPr>
          <w:rFonts w:hint="eastAsia" w:ascii="宋体" w:hAnsi="宋体" w:cs="宋体"/>
          <w:b/>
          <w:bCs/>
          <w:color w:val="auto"/>
          <w:sz w:val="24"/>
          <w:highlight w:val="none"/>
        </w:rPr>
        <w:t>售后服务要求</w:t>
      </w:r>
      <w:r>
        <w:rPr>
          <w:rFonts w:hint="eastAsia" w:ascii="宋体" w:hAnsi="宋体" w:cs="宋体"/>
          <w:b/>
          <w:bCs/>
          <w:color w:val="auto"/>
          <w:sz w:val="24"/>
          <w:highlight w:val="none"/>
          <w:lang w:eastAsia="zh-CN"/>
        </w:rPr>
        <w:t>：</w:t>
      </w:r>
      <w:r>
        <w:rPr>
          <w:rFonts w:hint="eastAsia" w:ascii="宋体" w:hAnsi="宋体" w:cs="宋体"/>
          <w:color w:val="auto"/>
          <w:sz w:val="24"/>
          <w:highlight w:val="none"/>
        </w:rPr>
        <w:t>产品发票要求：报价单位</w:t>
      </w:r>
      <w:r>
        <w:rPr>
          <w:rFonts w:hint="eastAsia" w:ascii="宋体" w:hAnsi="宋体" w:cs="宋体"/>
          <w:color w:val="auto"/>
          <w:sz w:val="24"/>
          <w:highlight w:val="none"/>
          <w:lang w:val="en-US" w:eastAsia="zh-CN"/>
        </w:rPr>
        <w:t>提供</w:t>
      </w:r>
      <w:r>
        <w:rPr>
          <w:rFonts w:hint="eastAsia" w:ascii="宋体" w:hAnsi="宋体" w:cs="宋体"/>
          <w:b/>
          <w:bCs/>
          <w:color w:val="auto"/>
          <w:sz w:val="24"/>
          <w:highlight w:val="none"/>
          <w:lang w:val="en-US" w:eastAsia="zh-CN"/>
        </w:rPr>
        <w:t>增值税专用发票</w:t>
      </w:r>
      <w:r>
        <w:rPr>
          <w:rFonts w:hint="eastAsia" w:ascii="宋体" w:hAnsi="宋体" w:cs="宋体"/>
          <w:color w:val="auto"/>
          <w:sz w:val="24"/>
          <w:highlight w:val="none"/>
          <w:lang w:val="en-US" w:eastAsia="zh-CN"/>
        </w:rPr>
        <w:t>、有项目负责人签字的验收材料给询价方。</w:t>
      </w:r>
    </w:p>
    <w:p>
      <w:pPr>
        <w:spacing w:line="360" w:lineRule="auto"/>
        <w:ind w:firstLine="482" w:firstLineChars="200"/>
        <w:rPr>
          <w:rFonts w:hint="eastAsia" w:ascii="宋体" w:hAnsi="宋体" w:cs="宋体"/>
          <w:b/>
          <w:bCs/>
          <w:color w:val="auto"/>
          <w:sz w:val="24"/>
          <w:highlight w:val="none"/>
        </w:rPr>
      </w:pPr>
      <w:r>
        <w:rPr>
          <w:rFonts w:hint="eastAsia" w:ascii="宋体" w:hAnsi="宋体" w:cs="宋体"/>
          <w:b/>
          <w:bCs/>
          <w:color w:val="auto"/>
          <w:sz w:val="24"/>
          <w:highlight w:val="none"/>
        </w:rPr>
        <w:t>7</w:t>
      </w:r>
      <w:r>
        <w:rPr>
          <w:rFonts w:hint="eastAsia" w:ascii="宋体" w:hAnsi="宋体" w:cs="宋体"/>
          <w:b/>
          <w:bCs/>
          <w:color w:val="auto"/>
          <w:sz w:val="24"/>
          <w:highlight w:val="none"/>
          <w:lang w:val="en-US" w:eastAsia="zh-CN"/>
        </w:rPr>
        <w:t xml:space="preserve"> </w:t>
      </w:r>
      <w:r>
        <w:rPr>
          <w:rFonts w:hint="eastAsia" w:ascii="宋体" w:hAnsi="宋体" w:cs="宋体"/>
          <w:b/>
          <w:bCs/>
          <w:color w:val="auto"/>
          <w:sz w:val="24"/>
          <w:highlight w:val="none"/>
        </w:rPr>
        <w:t>报价文件格式要求</w:t>
      </w:r>
    </w:p>
    <w:p>
      <w:pPr>
        <w:spacing w:line="360" w:lineRule="auto"/>
        <w:jc w:val="left"/>
        <w:outlineLvl w:val="5"/>
        <w:rPr>
          <w:rFonts w:hint="eastAsia" w:ascii="宋体" w:hAnsi="宋体" w:cs="宋体"/>
          <w:color w:val="auto"/>
          <w:sz w:val="24"/>
          <w:highlight w:val="none"/>
          <w:lang w:eastAsia="zh-CN"/>
        </w:rPr>
      </w:pPr>
      <w:r>
        <w:rPr>
          <w:rFonts w:hint="eastAsia" w:ascii="宋体" w:hAnsi="宋体" w:cs="宋体"/>
          <w:color w:val="auto"/>
          <w:sz w:val="24"/>
          <w:highlight w:val="none"/>
          <w:lang w:val="en-US" w:eastAsia="zh-CN"/>
        </w:rPr>
        <w:t xml:space="preserve">    7.1 </w:t>
      </w:r>
      <w:r>
        <w:rPr>
          <w:rFonts w:hint="eastAsia" w:ascii="宋体" w:hAnsi="宋体" w:cs="宋体"/>
          <w:color w:val="auto"/>
          <w:sz w:val="24"/>
          <w:highlight w:val="none"/>
        </w:rPr>
        <w:t>报价单位需提供盖章版（单位行政印章）纸质报价文件，报价文件包括但不限于：报价表、品质、售后服务及相关资质文件（复印件），报价文件格式</w:t>
      </w:r>
      <w:r>
        <w:rPr>
          <w:rFonts w:hint="eastAsia" w:ascii="宋体" w:hAnsi="宋体" w:cs="宋体"/>
          <w:color w:val="auto"/>
          <w:sz w:val="24"/>
          <w:highlight w:val="none"/>
          <w:lang w:eastAsia="zh-CN"/>
        </w:rPr>
        <w:t>如下：</w:t>
      </w:r>
    </w:p>
    <w:p>
      <w:pPr>
        <w:rPr>
          <w:rFonts w:hint="eastAsia" w:ascii="宋体" w:hAnsi="宋体" w:cs="宋体"/>
          <w:color w:val="auto"/>
          <w:sz w:val="24"/>
          <w:highlight w:val="none"/>
          <w:lang w:eastAsia="zh-CN"/>
        </w:rPr>
        <w:sectPr>
          <w:headerReference r:id="rId5" w:type="default"/>
          <w:footerReference r:id="rId6" w:type="default"/>
          <w:pgSz w:w="11906" w:h="16838"/>
          <w:pgMar w:top="1440" w:right="1803" w:bottom="1440" w:left="1803" w:header="851" w:footer="992" w:gutter="0"/>
          <w:pgNumType w:fmt="decimal"/>
          <w:cols w:space="0" w:num="1"/>
          <w:rtlGutter w:val="0"/>
          <w:docGrid w:type="lines" w:linePitch="319" w:charSpace="0"/>
        </w:sectPr>
      </w:pPr>
      <w:r>
        <w:rPr>
          <w:rFonts w:hint="eastAsia" w:ascii="宋体" w:hAnsi="宋体" w:cs="宋体"/>
          <w:color w:val="auto"/>
          <w:sz w:val="24"/>
          <w:highlight w:val="none"/>
          <w:lang w:eastAsia="zh-CN"/>
        </w:rPr>
        <w:br w:type="page"/>
      </w:r>
    </w:p>
    <w:tbl>
      <w:tblPr>
        <w:tblStyle w:val="20"/>
        <w:tblW w:w="1391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
      <w:tblGrid>
        <w:gridCol w:w="139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50" w:hRule="atLeast"/>
        </w:trPr>
        <w:tc>
          <w:tcPr>
            <w:tcW w:w="13910" w:type="dxa"/>
            <w:tcBorders>
              <w:top w:val="nil"/>
              <w:left w:val="nil"/>
              <w:bottom w:val="nil"/>
              <w:right w:val="nil"/>
            </w:tcBorders>
            <w:shd w:val="clear" w:color="auto" w:fill="auto"/>
            <w:tcMar>
              <w:top w:w="15" w:type="dxa"/>
              <w:left w:w="15" w:type="dxa"/>
              <w:right w:w="15" w:type="dxa"/>
            </w:tcMar>
            <w:vAlign w:val="top"/>
          </w:tcPr>
          <w:p>
            <w:pPr>
              <w:keepNext w:val="0"/>
              <w:keepLines w:val="0"/>
              <w:widowControl/>
              <w:suppressLineNumbers w:val="0"/>
              <w:jc w:val="center"/>
              <w:textAlignment w:val="top"/>
              <w:rPr>
                <w:rFonts w:hint="eastAsia" w:ascii="宋体" w:hAnsi="宋体" w:eastAsia="宋体" w:cs="宋体"/>
                <w:b/>
                <w:i w:val="0"/>
                <w:color w:val="auto"/>
                <w:sz w:val="28"/>
                <w:szCs w:val="28"/>
                <w:u w:val="none"/>
              </w:rPr>
            </w:pPr>
            <w:r>
              <w:rPr>
                <w:rFonts w:hint="eastAsia" w:ascii="宋体" w:hAnsi="宋体" w:eastAsia="宋体" w:cs="宋体"/>
                <w:b/>
                <w:i w:val="0"/>
                <w:color w:val="auto"/>
                <w:kern w:val="0"/>
                <w:sz w:val="28"/>
                <w:szCs w:val="28"/>
                <w:u w:val="none"/>
                <w:lang w:val="en-US" w:eastAsia="zh-CN" w:bidi="ar"/>
              </w:rPr>
              <w:t>Xxx单位报价表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360" w:hRule="atLeast"/>
        </w:trPr>
        <w:tc>
          <w:tcPr>
            <w:tcW w:w="13910" w:type="dxa"/>
            <w:tcBorders>
              <w:top w:val="nil"/>
              <w:left w:val="nil"/>
              <w:bottom w:val="nil"/>
              <w:right w:val="nil"/>
            </w:tcBorders>
            <w:shd w:val="clear" w:color="auto" w:fill="auto"/>
            <w:tcMar>
              <w:top w:w="15" w:type="dxa"/>
              <w:left w:w="15" w:type="dxa"/>
              <w:right w:w="15" w:type="dxa"/>
            </w:tcMar>
            <w:vAlign w:val="top"/>
          </w:tcPr>
          <w:p>
            <w:pPr>
              <w:keepNext w:val="0"/>
              <w:keepLines w:val="0"/>
              <w:widowControl/>
              <w:suppressLineNumbers w:val="0"/>
              <w:jc w:val="center"/>
              <w:textAlignment w:val="top"/>
              <w:rPr>
                <w:rFonts w:hint="eastAsia"/>
                <w:lang w:val="en-US" w:eastAsia="zh-CN"/>
              </w:rPr>
            </w:pPr>
          </w:p>
          <w:tbl>
            <w:tblPr>
              <w:tblStyle w:val="20"/>
              <w:tblW w:w="13760" w:type="dxa"/>
              <w:tblInd w:w="-2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80"/>
              <w:gridCol w:w="2680"/>
              <w:gridCol w:w="2565"/>
              <w:gridCol w:w="825"/>
              <w:gridCol w:w="4110"/>
              <w:gridCol w:w="1515"/>
              <w:gridCol w:w="148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8"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序号</w:t>
                  </w:r>
                </w:p>
              </w:tc>
              <w:tc>
                <w:tcPr>
                  <w:tcW w:w="2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资产名称</w:t>
                  </w:r>
                </w:p>
              </w:tc>
              <w:tc>
                <w:tcPr>
                  <w:tcW w:w="25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规格型号</w:t>
                  </w:r>
                </w:p>
              </w:tc>
              <w:tc>
                <w:tcPr>
                  <w:tcW w:w="8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数量</w:t>
                  </w:r>
                </w:p>
              </w:tc>
              <w:tc>
                <w:tcPr>
                  <w:tcW w:w="41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设备所在地</w:t>
                  </w:r>
                </w:p>
              </w:tc>
              <w:tc>
                <w:tcPr>
                  <w:tcW w:w="151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距柳州市大约路程</w:t>
                  </w:r>
                </w:p>
              </w:tc>
              <w:tc>
                <w:tcPr>
                  <w:tcW w:w="14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上门</w:t>
                  </w:r>
                  <w:r>
                    <w:rPr>
                      <w:rFonts w:hint="eastAsia" w:ascii="宋体" w:hAnsi="宋体" w:cs="宋体"/>
                      <w:b/>
                      <w:bCs/>
                      <w:i w:val="0"/>
                      <w:iCs w:val="0"/>
                      <w:color w:val="000000"/>
                      <w:kern w:val="0"/>
                      <w:sz w:val="22"/>
                      <w:szCs w:val="22"/>
                      <w:u w:val="none"/>
                      <w:lang w:val="en-US" w:eastAsia="zh-CN" w:bidi="ar"/>
                    </w:rPr>
                    <w:t>维修</w:t>
                  </w:r>
                  <w:r>
                    <w:rPr>
                      <w:rFonts w:hint="eastAsia" w:ascii="宋体" w:hAnsi="宋体" w:eastAsia="宋体" w:cs="宋体"/>
                      <w:b/>
                      <w:bCs/>
                      <w:i w:val="0"/>
                      <w:iCs w:val="0"/>
                      <w:color w:val="000000"/>
                      <w:kern w:val="0"/>
                      <w:sz w:val="22"/>
                      <w:szCs w:val="22"/>
                      <w:u w:val="none"/>
                      <w:lang w:val="en-US" w:eastAsia="zh-CN" w:bidi="ar"/>
                    </w:rPr>
                    <w:t>费（元）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传真机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无</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桂林市灵川县县城北5公里</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160公里</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9"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投影机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东芝 TLP-X3000C</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柳州市鱼峰区雒容镇桐林新村</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45公里</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投影机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爱普生EB-C55W</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桂林市灵川县县城北5公里</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160公里</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黑白复印机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佳能iR-ADV 4525</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柳州市鹿寨县中渡镇</w:t>
                  </w:r>
                </w:p>
              </w:tc>
              <w:tc>
                <w:tcPr>
                  <w:tcW w:w="1515"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71公里</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彩色复印机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东芝e-STUDIO4515AC</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柳州市鹿寨县中渡镇</w:t>
                  </w:r>
                </w:p>
              </w:tc>
              <w:tc>
                <w:tcPr>
                  <w:tcW w:w="1515"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71公里</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黑白复印机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佳能iR-ADV 4525</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柳州市鹿寨县中渡镇</w:t>
                  </w:r>
                </w:p>
              </w:tc>
              <w:tc>
                <w:tcPr>
                  <w:tcW w:w="1515"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71公里</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投影仪</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爱普生CB-2042</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柳州市鹿寨县中渡镇</w:t>
                  </w:r>
                </w:p>
              </w:tc>
              <w:tc>
                <w:tcPr>
                  <w:tcW w:w="1515"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71公里</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投影仪</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爱普生CB-2042</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柳州市鹿寨县中渡镇</w:t>
                  </w:r>
                </w:p>
              </w:tc>
              <w:tc>
                <w:tcPr>
                  <w:tcW w:w="1515"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71公里</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复印机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东芝FC-3515AC</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柳州市海关路</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复印机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佳能2530i</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柳州市海关路</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投影机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爱普生CB-X41</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柳州市海关路</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复印机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佳能2530i</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柳州市海关路</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复印机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佳能2530i</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来宾市兴宾区长梅路罗村路口</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76公里</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4"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投影机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爱普生CB-X41</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来宾市兴宾区长梅路罗村路口</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76公里</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4"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复印机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佳能2530i</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柳州市鱼峰区雒容镇桐林新村</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45公里</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河池站复印机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佳能2530i</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河池市宜州区德胜镇</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117公里</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复印机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东芝2515AC</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柳州市海关路</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4"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录像机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佳能HF R86</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来宾市兴宾区长梅路罗村路口</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76公里</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19</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摄像机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索尼AX40</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桂林市临桂区四塘镇东村</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117公里</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摄像机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索尼PXW-X280</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柳州市海关路</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21</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投影机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日立 HCP-FU50</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柳州市海关路</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投影机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日立 HCP-FU50</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柳州市海关路</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23</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摄像机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Precision 1080p 12x</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柳州市海关路</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24</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多功能复合机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柳州市海关路</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投影仪</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爱普生CB-X36</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柳州市海关路</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26</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投影机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爱普生CB-X36</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柳州市海关路</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27</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一体化办公黑白打印机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佳能IR2520I</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柳州市新兴农场二厂队</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25公里</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28</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一体化办公黑白打印机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佳能IR2520I</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柳州市新兴农场二厂队</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25公里</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29</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投影仪</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VPL-EW3215</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柳州市海关路</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投影仪</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索尼 VPL-EW315</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河池市宜州区德胜镇</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117公里</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31</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投影仪</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索尼 VPL-EW315</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柳州市新兴农场二厂队</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25公里</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32</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投影仪</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索尼 VPL-EW315</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柳州市新兴农场二厂队</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25公里</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33</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投影仪</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索尼 VPL-EW315</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柳州市新兴农场二厂队</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25公里</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34</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投影机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VPL-EW296</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桂林市临桂区四塘镇东村</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117公里</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35</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投影机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EPSON CB-W18</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柳州市海关路</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36</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投影机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EPSON CB-W18</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柳州市海关路</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37</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投影机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爱普生CB-U04</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柳州市海关路</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38</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摄像机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佳能R66</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柳州市海关路</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39</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投影机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EPSON(CB-S18)</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柳州市海关路</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投影机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爱普生EB-C710X</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柳州市海关路</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41</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投影机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爱普生EB-C710X</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柳州市海关路</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42</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投影机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索尼VPL-DX142</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柳州市海关路</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43</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投影仪</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爱普生CB-2042</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柳州市鹿寨县中渡镇</w:t>
                  </w:r>
                </w:p>
              </w:tc>
              <w:tc>
                <w:tcPr>
                  <w:tcW w:w="1515"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71公里</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44</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投影仪</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爱普生CB-2042</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柳州市鹿寨县中渡镇</w:t>
                  </w:r>
                </w:p>
              </w:tc>
              <w:tc>
                <w:tcPr>
                  <w:tcW w:w="1515"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71公里</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45</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投影仪</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爱普生CB-2265U</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柳州市海关路</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46</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黑白一体机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夏普MX-M2658NV</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柳州市海关路</w:t>
                  </w:r>
                </w:p>
              </w:tc>
              <w:tc>
                <w:tcPr>
                  <w:tcW w:w="1515"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162公里</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47</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彩色一体机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夏普DX-2008UC</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河池市金城江区东城国际</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160公里</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48</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彩色一体机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夏普DX-2008UC</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桂林市灵川县百花路12号</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180公里</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49</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彩色一体机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夏普DX-2008UC</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桂林市灵川县百花路12号</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180公里</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黑白一体机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夏普MX-M2658NV</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桂林市灵川县县城北5公里</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160公里</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51</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一体机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XM-MAR26TW（32寸）</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柳州市鹿寨县中渡镇</w:t>
                  </w:r>
                </w:p>
              </w:tc>
              <w:tc>
                <w:tcPr>
                  <w:tcW w:w="1515"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71公里</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52</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一体机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XM-MAR32TW（23寸）</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柳州市鹿寨县中渡镇</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117公里</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53</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打印机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HP HP2035</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河池市宜州区德胜镇</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117公里</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54</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打印机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PT-9500PC</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柳州市海关路</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55</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电缆牌打印机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C-330P</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柳州市海关路</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56</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标签打印机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兄弟2700</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柳州市海关路</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4"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57</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打印机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HP Pro300 Color M35la</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柳州市海关路</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9"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58</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打印机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HP 5200LX</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来宾市兴宾区长梅路罗村路口</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76公里</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59</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打印机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HP M1005</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桂林市灵川县县城北5公里</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160公里</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60</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打印机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HP M1536DNF</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柳州市海关路</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61</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打印机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佳能6300</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柳州市海关路</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62</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打印机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HP 1106</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柳州市海关路</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63</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打印机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HP 1106</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柳州市海关路</w:t>
                  </w:r>
                </w:p>
              </w:tc>
              <w:tc>
                <w:tcPr>
                  <w:tcW w:w="1515"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162公里</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64</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打印机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HP 1106</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河池市金城江区东城国际</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160公里</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65</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打印机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佳能 6300DN</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柳州市海关路</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66</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打印机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HP 1606DN</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柳州市海关路</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67</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打印机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佳能 LBP6300DN</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柳州市海关路</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68</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打印机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HP1536DN</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柳州市海关路</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69</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打印机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HP5200</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柳州市海关路</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70</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打印机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Canon LBP6300</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柳州市海关路</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71</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打印机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Canon LBP6300</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柳州市海关路</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72</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打印机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三星651</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柳州市海关路</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73</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打印机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HPM451DN</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柳州市海关路</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74</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打印机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HP LaserJet 1536dnf</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柳州市海关路</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75</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打印机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HP LaserJet 1536dnf</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柳州市海关路</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76</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标签打印机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兄弟PT-2430PCZ</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柳州市海关路</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77</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打印机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Canon LBP6300</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柳州市海关路</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78</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打印机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Canon LBP6300</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柳州市海关路</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79</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打印机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EPSONLQ-20K</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柳州市海关路</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80</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打印机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Canon LBP6300</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柳州市海关路</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81</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打印机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Canon LBP6300</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柳州市海关路</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82</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打印机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HP 1536DNF</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柳州市海关路</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83</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打印机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HP M1536dnf</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柳州市海关路</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117公里</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84</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打印机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HP M1536dnf</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桂林市临桂区四塘镇东村</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117公里</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85</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打印机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佳能LBP6300</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柳州市海关路</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86</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打印机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GL412E</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柳州市海关路</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87</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打印机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佳能LBP6300</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桂林市灵川县百花路12号</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180公里</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88</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打印机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爱普生T50</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柳州市海关路</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89</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打印机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佳能MF266dn</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柳州市海关路</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90</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打印机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佳能MF441DW</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柳州市海关路</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117公里</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91</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打印机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佳能LBP8100N</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河池市宜州区德胜镇</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117公里</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92</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打印机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佳能LBP623CDN</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柳州市海关路</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93</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打印机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佳能LBP623CDN</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柳州市海关路</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94</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打印机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佳能MF266dn</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柳州市海关路</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95</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打印机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佳能MF645Cx</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柳州市海关路</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96</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打印机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佳能MF645Cx</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柳州市海关路</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97</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打印机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佳能MF266dn</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柳州市海关路</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98</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打印机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佳能MF266dn</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柳州市海关路</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99</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打印机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佳能MF266dn</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柳州市海关路</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打印机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佳能MF266dn</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柳州市海关路</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101</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标签打印机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兄弟PT-900</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桂林市灵川县县城北5公里</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160公里</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102</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智能标签打印机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GT700C</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柳州市海关路</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103</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标签打印机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GT500A-2F</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柳州市海关路</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104</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标签打印机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GT500A-2F</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柳州市海关路</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105</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标签打印机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PT-900</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柳州市海关路</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106</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打印机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M427DW</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柳州市海关路</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107</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打印机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M427DW</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柳州市海关路</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108</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打印机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M427DW</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柳州市海关路</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109</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打印机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M427DW</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柳州市海关路</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110</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打印机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M427DW</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柳州市海关路</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111</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打印机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M427DW</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柳州市海关路</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112</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打印机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M427DW</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柳州市海关路</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9"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113</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打印机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Canon iC MF243d imageCLASS</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柳州市海关路</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9"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114</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打印机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Canon iC MF243d imageCLASS</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柳州市鹿寨县中渡镇</w:t>
                  </w:r>
                </w:p>
              </w:tc>
              <w:tc>
                <w:tcPr>
                  <w:tcW w:w="1515"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71公里</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9"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115</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打印机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Canon iC MF243d imageCLASS</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柳州市海关路</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116</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标签打印机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brother  PT-P900</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柳州市鹿寨县中渡镇</w:t>
                  </w:r>
                </w:p>
              </w:tc>
              <w:tc>
                <w:tcPr>
                  <w:tcW w:w="1515"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71公里</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117</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标签打印机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brother  PT-P900</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柳州市鹿寨县中渡镇</w:t>
                  </w:r>
                </w:p>
              </w:tc>
              <w:tc>
                <w:tcPr>
                  <w:tcW w:w="1515" w:type="dxa"/>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71公里</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118</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标签打印机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兄弟PT-P900</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柳州市海关路</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119</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打印机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理光920</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柳州市海关路</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120</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打印机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HP1606DN</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柳州市海关路</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121</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打印机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DL-888T</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柳州市海关路</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122</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打印机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DL-888T</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柳州市新兴农场二厂队</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25公里</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123</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打印机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LBP6230DN</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柳州市新兴农场二厂队</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25公里</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124</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打印机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兄弟P900</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柳州市海关路</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125</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打印机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OKI B820dn</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桂林市临桂区四塘镇东村</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117公里</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126</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打印机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HPM701A</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桂林市临桂区四塘镇东村</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117公里</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127</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打印机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HPM701A</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桂林市临桂区四塘镇东村</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117公里</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128</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打印机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兄弟PT-P750W</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桂林市临桂区四塘镇东村</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117公里</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129</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打印机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爱普生LQ680K</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柳州市海关路</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130</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打印机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佳能MF229dw</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柳州市海关路</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131</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打印机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HP-MFPM436nda</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桂林市临桂区四塘镇东村</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117公里</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132</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打印机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施乐2108B</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柳州市海关路</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133</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打印机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施乐2108B</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柳州市海关路</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134</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打印机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施乐2108B</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柳州市海关路</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135</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打印机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DocuPrint 2108 b</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柳州市海关路</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4"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136</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打印机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HP M226dw</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柳州市海关路</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9"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137</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打印机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HP M277dw </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柳州市海关路</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138</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打印机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佳能MF229DW</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柳州市海关路</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139</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打印机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佳能LBP6230dw</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柳州市海关路</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140</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打印机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佳能LBP6230dw</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柳州市海关路</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141</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打印机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佳能LBP6230DW</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柳州市海关路</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142</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打印机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佳能LBP6230DW</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柳州市海关路</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143</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打印机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佳能LBP6230DW</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柳州市海关路</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144</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打印机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佳能LBP6230DW</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柳州市海关路</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145</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打印机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佳能LBP6230DW</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柳州市海关路</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146</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打印机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佳能MF229dw</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柳州市海关路</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147</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打印机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佳能MF229DW</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柳州市海关路</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148</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打印机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佳能MF229DW</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柳州市海关路</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149</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打印机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佳能MF229DW</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柳州市海关路</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150</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打印机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佳能LBP6230DW</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柳州市海关路</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151</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打印机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柳州市海关路</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152</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打印机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硕方TP76</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柳州市新兴农场二厂队</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25公里</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153</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打印机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硕方SP650</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柳州市新兴农场二厂队</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25公里</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4"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154</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标签打印机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PT-9700</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柳州市鱼峰区雒容镇桐林新村</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45公里</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9"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155</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一体化办公黑白打印机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佳能IR2520I</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柳州市新兴农场二厂队</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25公里</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9"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156</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一体化办公黑白打印机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佳能IR2520I</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柳州市新兴农场二厂队</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25公里</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157</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打印机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佳能LBP7780CX</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柳州市新兴农场二厂队</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25公里</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158</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打印机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佳能LBP7780CX</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柳州市海关路</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159</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打印机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佳能LBP7780CX</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柳州市新兴农场二厂队</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25公里</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160</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打印机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佳能LBP6670dn</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河池市宜州区德胜镇</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117公里</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9"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161</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打印机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佳能LBP6670dn</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来宾市兴宾区长梅路罗村路口</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76公里</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162</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打印机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佳能LBP6670dn</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柳州市海关路</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163</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打印机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佳能LBP6670dn</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柳州市海关路</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164</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打印机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佳能LBP6670dn</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柳州市海关路</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165</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打印机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佳能LBP6670dn</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柳州市海关路</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166</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打印机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佳能LBP6670dn</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桂林市灵川县县城北5公里</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160公里</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167</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打印机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LBP6670dn</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柳州市海关路</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45公里</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9"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168</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打印机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佳能LBP6670dn</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柳州市鱼峰区雒容镇桐林新村</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45公里</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169</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打印机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佳能IC MF226DN</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柳州市海关路</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170</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打印机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佳能IC MF226DN</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柳州市新兴农场二厂队</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25公里</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171</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打印机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佳能IC MF226DN</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柳州市新兴农场二厂队</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25公里</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4"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172</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打印机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兄弟 PT-9700PC</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来宾市兴宾区长梅路罗村路口</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76公里</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173</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打印机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兄弟 PT-9700PC</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柳州市新兴农场二厂队</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25公里</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174</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打印机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兄弟 PT-9700PC</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柳州市新兴农场二厂队</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25公里</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175</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标签打印机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兄弟 PT-9700PC</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柳州市新兴农场二厂队</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25公里</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176</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监控系统打印机2</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HP 打印机</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河池市宜州区德胜镇</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117公里</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177</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监控系统打印机1</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HP 打印机</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河池市宜州区德胜镇</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117公里</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178</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打印机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惠普CP1025</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柳州市海关路</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179</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打印机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LBP3500</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河池市宜州区德胜镇</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117公里</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4"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180</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打印机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LBP3500</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来宾市兴宾区长梅路罗村路口</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76公里</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181</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打印机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MF226DN</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柳州市海关路</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182</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打印机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MF226DN</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柳州市海关路</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183</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打印机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MF226DN</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柳州市海关路</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184</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打印机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MF226DN</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柳州市海关路</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185</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打印机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MF226DN</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柳州市海关路</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186</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打印机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MF226DN</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柳州市海关路</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187</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打印机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MF226DN</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河池市金城江区东城国际</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160公里</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188</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打印机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Lbp7200Cdn</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柳州市海关路</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189</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打印机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Lbp7200Cdn</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柳州市海关路</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190</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打印机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兄弟PT-9700PC</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桂林市灵川县县城北5公里</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160公里</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191</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打印机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兄弟PT-9700PC</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柳州市海关路</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192</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打印机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惠普M1536DNF</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柳州市海关路</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193</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打印机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佳能LBP6670DN</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柳州市海关路</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194</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打印机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佳能LBP6670DN</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柳州市海关路</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195</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打印机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佳能LBP6670DN</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柳州市海关路</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196</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打印机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佳能LBP6670DN</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柳州市海关路</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197</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打印机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佳能LBP6670DN</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柳州市海关路</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198</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打印机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佳能LBP6670DN</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河池市金城江区东城国际</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160公里</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199</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打印机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佳能LBP6670DN</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柳州市海关路</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打印机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佳能LBP6670DN</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柳州市海关路</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201</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打印机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佳能LBP6670DN</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柳州市海关路</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打印机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佳能LBP6670DN</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柳州市海关路</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203</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打印机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惠普M451dn</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柳州市海关路</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204</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打印机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惠普M451dn彩色</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柳州市海关路</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205</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打印机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佳能MF4830DN</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柳州市海关路</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206</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打印机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佳能MF4890DW</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柳州市海关路</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207</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打印机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惠普451DN彩色</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河池市金城江区东城国际</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160公里</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208</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打印机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惠普451DN彩色</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桂林市灵川县县城北5公里</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160公里</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209</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打印机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佳能LBP663Cdn</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柳州市海关路</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210</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打印机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佳能LBP663Cdn</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柳州市海关路</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211</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打印机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佳能LBP663Cdn</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柳州市海关路</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212</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打印机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佳能MF443DW</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柳州市海关路</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213</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打印机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佳能MF443DW</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河池市金城江区东城国际</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160公里</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214</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打印机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佳能MF443DW</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柳州市海关路</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215</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打印机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佳能MF443DW</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柳州市海关路</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216</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打印机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佳能MF443DW</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柳州市海关路</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217</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打印机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佳能MF443DW</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柳州市海关路</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218</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打印机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佳能MF443DW</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柳州市海关路</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219</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打印机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佳能MF443DW</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柳州市海关路</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220</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打印机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佳能MF443DW</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柳州市海关路</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221</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打印机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HP  M454dn</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柳州市海关路</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222</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打印机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HP  M454dn</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柳州市海关路</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223</w:t>
                  </w:r>
                </w:p>
              </w:tc>
              <w:tc>
                <w:tcPr>
                  <w:tcW w:w="268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标签打印机</w:t>
                  </w:r>
                </w:p>
              </w:tc>
              <w:tc>
                <w:tcPr>
                  <w:tcW w:w="256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GT500A-2F</w:t>
                  </w:r>
                </w:p>
              </w:tc>
              <w:tc>
                <w:tcPr>
                  <w:tcW w:w="82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柳州市海关路</w:t>
                  </w:r>
                </w:p>
              </w:tc>
              <w:tc>
                <w:tcPr>
                  <w:tcW w:w="1515" w:type="dxa"/>
                  <w:tcBorders>
                    <w:top w:val="single" w:color="000000" w:sz="4" w:space="0"/>
                    <w:left w:val="single" w:color="000000" w:sz="4" w:space="0"/>
                    <w:bottom w:val="single" w:color="000000" w:sz="4" w:space="0"/>
                    <w:right w:val="nil"/>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5" w:hRule="atLeast"/>
              </w:trPr>
              <w:tc>
                <w:tcPr>
                  <w:tcW w:w="580" w:type="dxa"/>
                  <w:tcBorders>
                    <w:top w:val="single" w:color="000000" w:sz="4" w:space="0"/>
                    <w:left w:val="single" w:color="000000" w:sz="4" w:space="0"/>
                    <w:bottom w:val="single" w:color="auto" w:sz="4" w:space="0"/>
                    <w:right w:val="single" w:color="000000"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224</w:t>
                  </w:r>
                </w:p>
              </w:tc>
              <w:tc>
                <w:tcPr>
                  <w:tcW w:w="2680" w:type="dxa"/>
                  <w:tcBorders>
                    <w:top w:val="single" w:color="000000" w:sz="4" w:space="0"/>
                    <w:left w:val="single" w:color="000000" w:sz="4" w:space="0"/>
                    <w:bottom w:val="single" w:color="auto"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标签打印机</w:t>
                  </w:r>
                </w:p>
              </w:tc>
              <w:tc>
                <w:tcPr>
                  <w:tcW w:w="2565" w:type="dxa"/>
                  <w:tcBorders>
                    <w:top w:val="single" w:color="000000" w:sz="4" w:space="0"/>
                    <w:left w:val="single" w:color="000000" w:sz="4" w:space="0"/>
                    <w:bottom w:val="single" w:color="auto"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GT500A-2F</w:t>
                  </w:r>
                </w:p>
              </w:tc>
              <w:tc>
                <w:tcPr>
                  <w:tcW w:w="825" w:type="dxa"/>
                  <w:tcBorders>
                    <w:top w:val="single" w:color="000000" w:sz="4" w:space="0"/>
                    <w:left w:val="single" w:color="000000" w:sz="4" w:space="0"/>
                    <w:bottom w:val="single" w:color="auto" w:sz="4" w:space="0"/>
                    <w:right w:val="single" w:color="000000"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110" w:type="dxa"/>
                  <w:tcBorders>
                    <w:top w:val="single" w:color="000000" w:sz="4" w:space="0"/>
                    <w:left w:val="single" w:color="000000" w:sz="4" w:space="0"/>
                    <w:bottom w:val="single" w:color="auto"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柳州市海关路</w:t>
                  </w:r>
                </w:p>
              </w:tc>
              <w:tc>
                <w:tcPr>
                  <w:tcW w:w="1515" w:type="dxa"/>
                  <w:tcBorders>
                    <w:top w:val="single" w:color="000000" w:sz="4" w:space="0"/>
                    <w:left w:val="single" w:color="000000" w:sz="4" w:space="0"/>
                    <w:bottom w:val="single" w:color="auto" w:sz="4" w:space="0"/>
                    <w:right w:val="single" w:color="000000"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kern w:val="2"/>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w:t>
                  </w:r>
                </w:p>
              </w:tc>
              <w:tc>
                <w:tcPr>
                  <w:tcW w:w="1485" w:type="dxa"/>
                  <w:tcBorders>
                    <w:top w:val="single" w:color="000000" w:sz="4" w:space="0"/>
                    <w:left w:val="single" w:color="000000" w:sz="4" w:space="0"/>
                    <w:bottom w:val="single" w:color="auto" w:sz="4" w:space="0"/>
                    <w:right w:val="single" w:color="000000"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5" w:hRule="atLeast"/>
              </w:trPr>
              <w:tc>
                <w:tcPr>
                  <w:tcW w:w="580"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225</w:t>
                  </w:r>
                </w:p>
              </w:tc>
              <w:tc>
                <w:tcPr>
                  <w:tcW w:w="2680"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打印机</w:t>
                  </w:r>
                </w:p>
              </w:tc>
              <w:tc>
                <w:tcPr>
                  <w:tcW w:w="2565"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HP M454dn</w:t>
                  </w:r>
                </w:p>
              </w:tc>
              <w:tc>
                <w:tcPr>
                  <w:tcW w:w="825" w:type="dxa"/>
                  <w:tcBorders>
                    <w:top w:val="single" w:color="auto" w:sz="4" w:space="0"/>
                    <w:left w:val="single" w:color="auto" w:sz="4" w:space="0"/>
                    <w:bottom w:val="single" w:color="auto" w:sz="4" w:space="0"/>
                    <w:right w:val="single" w:color="auto"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cs="宋体"/>
                      <w:i w:val="0"/>
                      <w:iCs w:val="0"/>
                      <w:color w:val="000000"/>
                      <w:kern w:val="0"/>
                      <w:sz w:val="22"/>
                      <w:szCs w:val="22"/>
                      <w:u w:val="none"/>
                      <w:lang w:val="en-US" w:eastAsia="zh-CN" w:bidi="ar"/>
                    </w:rPr>
                    <w:t>2</w:t>
                  </w:r>
                  <w:r>
                    <w:rPr>
                      <w:rFonts w:hint="eastAsia" w:ascii="宋体" w:hAnsi="宋体" w:eastAsia="宋体" w:cs="宋体"/>
                      <w:i w:val="0"/>
                      <w:iCs w:val="0"/>
                      <w:color w:val="000000"/>
                      <w:kern w:val="0"/>
                      <w:sz w:val="22"/>
                      <w:szCs w:val="22"/>
                      <w:u w:val="none"/>
                      <w:lang w:val="en-US" w:eastAsia="zh-CN" w:bidi="ar"/>
                    </w:rPr>
                    <w:t>.00</w:t>
                  </w:r>
                </w:p>
              </w:tc>
              <w:tc>
                <w:tcPr>
                  <w:tcW w:w="4110" w:type="dxa"/>
                  <w:tcBorders>
                    <w:top w:val="single" w:color="auto" w:sz="4" w:space="0"/>
                    <w:left w:val="single" w:color="auto" w:sz="4" w:space="0"/>
                    <w:bottom w:val="single" w:color="auto" w:sz="4" w:space="0"/>
                    <w:right w:val="single" w:color="auto"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河池市金城江区东城国际</w:t>
                  </w:r>
                </w:p>
              </w:tc>
              <w:tc>
                <w:tcPr>
                  <w:tcW w:w="1515" w:type="dxa"/>
                  <w:tcBorders>
                    <w:top w:val="single" w:color="auto" w:sz="4" w:space="0"/>
                    <w:left w:val="single" w:color="auto" w:sz="4" w:space="0"/>
                    <w:bottom w:val="single" w:color="auto" w:sz="4" w:space="0"/>
                    <w:right w:val="single" w:color="auto"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160公里</w:t>
                  </w:r>
                </w:p>
              </w:tc>
              <w:tc>
                <w:tcPr>
                  <w:tcW w:w="1485" w:type="dxa"/>
                  <w:tcBorders>
                    <w:top w:val="single" w:color="auto" w:sz="4" w:space="0"/>
                    <w:left w:val="single" w:color="auto" w:sz="4" w:space="0"/>
                    <w:bottom w:val="single" w:color="auto" w:sz="4" w:space="0"/>
                    <w:right w:val="single" w:color="auto"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4" w:hRule="atLeast"/>
              </w:trPr>
              <w:tc>
                <w:tcPr>
                  <w:tcW w:w="580"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226</w:t>
                  </w:r>
                </w:p>
              </w:tc>
              <w:tc>
                <w:tcPr>
                  <w:tcW w:w="2680"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打印机</w:t>
                  </w:r>
                </w:p>
              </w:tc>
              <w:tc>
                <w:tcPr>
                  <w:tcW w:w="2565"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HP M455dn</w:t>
                  </w:r>
                </w:p>
              </w:tc>
              <w:tc>
                <w:tcPr>
                  <w:tcW w:w="825" w:type="dxa"/>
                  <w:tcBorders>
                    <w:top w:val="single" w:color="auto" w:sz="4" w:space="0"/>
                    <w:left w:val="single" w:color="auto" w:sz="4" w:space="0"/>
                    <w:bottom w:val="single" w:color="auto" w:sz="4" w:space="0"/>
                    <w:right w:val="single" w:color="auto" w:sz="4" w:space="0"/>
                  </w:tcBorders>
                  <w:shd w:val="clear" w:color="auto" w:fill="auto"/>
                  <w:noWrap/>
                  <w:vAlign w:val="bottom"/>
                </w:tcPr>
                <w:p>
                  <w:pPr>
                    <w:keepNext w:val="0"/>
                    <w:keepLines w:val="0"/>
                    <w:widowControl/>
                    <w:suppressLineNumbers w:val="0"/>
                    <w:jc w:val="right"/>
                    <w:textAlignment w:val="bottom"/>
                    <w:rPr>
                      <w:rFonts w:hint="eastAsia" w:ascii="宋体" w:hAnsi="宋体" w:eastAsia="宋体" w:cs="宋体"/>
                      <w:i w:val="0"/>
                      <w:iCs w:val="0"/>
                      <w:color w:val="000000"/>
                      <w:sz w:val="22"/>
                      <w:szCs w:val="22"/>
                      <w:u w:val="none"/>
                    </w:rPr>
                  </w:pPr>
                  <w:r>
                    <w:rPr>
                      <w:rFonts w:hint="eastAsia" w:ascii="宋体" w:hAnsi="宋体" w:cs="宋体"/>
                      <w:i w:val="0"/>
                      <w:iCs w:val="0"/>
                      <w:color w:val="000000"/>
                      <w:kern w:val="0"/>
                      <w:sz w:val="22"/>
                      <w:szCs w:val="22"/>
                      <w:u w:val="none"/>
                      <w:lang w:val="en-US" w:eastAsia="zh-CN" w:bidi="ar"/>
                    </w:rPr>
                    <w:t>2</w:t>
                  </w:r>
                  <w:r>
                    <w:rPr>
                      <w:rFonts w:hint="eastAsia" w:ascii="宋体" w:hAnsi="宋体" w:eastAsia="宋体" w:cs="宋体"/>
                      <w:i w:val="0"/>
                      <w:iCs w:val="0"/>
                      <w:color w:val="000000"/>
                      <w:kern w:val="0"/>
                      <w:sz w:val="22"/>
                      <w:szCs w:val="22"/>
                      <w:u w:val="none"/>
                      <w:lang w:val="en-US" w:eastAsia="zh-CN" w:bidi="ar"/>
                    </w:rPr>
                    <w:t>.00</w:t>
                  </w:r>
                </w:p>
              </w:tc>
              <w:tc>
                <w:tcPr>
                  <w:tcW w:w="4110" w:type="dxa"/>
                  <w:tcBorders>
                    <w:top w:val="single" w:color="auto" w:sz="4" w:space="0"/>
                    <w:left w:val="single" w:color="auto" w:sz="4" w:space="0"/>
                    <w:bottom w:val="single" w:color="auto" w:sz="4" w:space="0"/>
                    <w:right w:val="single" w:color="auto"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桂林市灵川县百花路12号</w:t>
                  </w:r>
                </w:p>
              </w:tc>
              <w:tc>
                <w:tcPr>
                  <w:tcW w:w="1515" w:type="dxa"/>
                  <w:tcBorders>
                    <w:top w:val="single" w:color="auto" w:sz="4" w:space="0"/>
                    <w:left w:val="single" w:color="auto" w:sz="4" w:space="0"/>
                    <w:bottom w:val="single" w:color="auto" w:sz="4" w:space="0"/>
                    <w:right w:val="single" w:color="auto"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180公里</w:t>
                  </w:r>
                </w:p>
              </w:tc>
              <w:tc>
                <w:tcPr>
                  <w:tcW w:w="1485" w:type="dxa"/>
                  <w:tcBorders>
                    <w:top w:val="single" w:color="auto" w:sz="4" w:space="0"/>
                    <w:left w:val="single" w:color="auto" w:sz="4" w:space="0"/>
                    <w:bottom w:val="single" w:color="auto" w:sz="4" w:space="0"/>
                    <w:right w:val="single" w:color="auto"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4" w:hRule="atLeast"/>
              </w:trPr>
              <w:tc>
                <w:tcPr>
                  <w:tcW w:w="10760" w:type="dxa"/>
                  <w:gridSpan w:val="5"/>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left"/>
                    <w:textAlignment w:val="bottom"/>
                    <w:rPr>
                      <w:rFonts w:hint="eastAsia"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合计</w:t>
                  </w:r>
                </w:p>
              </w:tc>
              <w:tc>
                <w:tcPr>
                  <w:tcW w:w="1515" w:type="dxa"/>
                  <w:tcBorders>
                    <w:top w:val="single" w:color="auto" w:sz="4" w:space="0"/>
                    <w:left w:val="single" w:color="auto" w:sz="4" w:space="0"/>
                    <w:bottom w:val="single" w:color="auto" w:sz="4" w:space="0"/>
                    <w:right w:val="single" w:color="auto" w:sz="4" w:space="0"/>
                  </w:tcBorders>
                  <w:shd w:val="clear" w:color="auto" w:fill="auto"/>
                  <w:noWrap/>
                  <w:vAlign w:val="bottom"/>
                </w:tcPr>
                <w:p>
                  <w:pPr>
                    <w:keepNext w:val="0"/>
                    <w:keepLines w:val="0"/>
                    <w:widowControl/>
                    <w:suppressLineNumbers w:val="0"/>
                    <w:jc w:val="left"/>
                    <w:textAlignment w:val="bottom"/>
                    <w:rPr>
                      <w:rFonts w:hint="eastAsia" w:ascii="宋体" w:hAnsi="宋体" w:eastAsia="宋体" w:cs="宋体"/>
                      <w:i w:val="0"/>
                      <w:iCs w:val="0"/>
                      <w:color w:val="000000"/>
                      <w:kern w:val="0"/>
                      <w:sz w:val="22"/>
                      <w:szCs w:val="22"/>
                      <w:u w:val="none"/>
                      <w:lang w:val="en-US" w:eastAsia="zh-CN" w:bidi="ar"/>
                    </w:rPr>
                  </w:pPr>
                </w:p>
              </w:tc>
              <w:tc>
                <w:tcPr>
                  <w:tcW w:w="1485" w:type="dxa"/>
                  <w:tcBorders>
                    <w:top w:val="single" w:color="auto" w:sz="4" w:space="0"/>
                    <w:left w:val="single" w:color="auto" w:sz="4" w:space="0"/>
                    <w:bottom w:val="single" w:color="auto" w:sz="4" w:space="0"/>
                    <w:right w:val="single" w:color="auto" w:sz="4" w:space="0"/>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4" w:hRule="atLeast"/>
              </w:trPr>
              <w:tc>
                <w:tcPr>
                  <w:tcW w:w="13760" w:type="dxa"/>
                  <w:gridSpan w:val="7"/>
                  <w:tcBorders>
                    <w:top w:val="single" w:color="auto" w:sz="4" w:space="0"/>
                    <w:left w:val="single" w:color="auto" w:sz="4" w:space="0"/>
                    <w:bottom w:val="single" w:color="auto" w:sz="4" w:space="0"/>
                    <w:right w:val="single" w:color="auto" w:sz="4" w:space="0"/>
                  </w:tcBorders>
                  <w:shd w:val="clear" w:color="auto" w:fill="auto"/>
                  <w:noWrap/>
                  <w:vAlign w:val="center"/>
                </w:tcPr>
                <w:p>
                  <w:pPr>
                    <w:rPr>
                      <w:rFonts w:hint="eastAsia" w:ascii="宋体" w:hAnsi="宋体" w:eastAsia="宋体" w:cs="宋体"/>
                      <w:i w:val="0"/>
                      <w:iCs w:val="0"/>
                      <w:color w:val="000000"/>
                      <w:sz w:val="22"/>
                      <w:szCs w:val="22"/>
                      <w:u w:val="none"/>
                    </w:rPr>
                  </w:pPr>
                  <w:r>
                    <w:rPr>
                      <w:rStyle w:val="67"/>
                      <w:color w:val="auto"/>
                      <w:lang w:val="en-US" w:eastAsia="zh-CN" w:bidi="ar"/>
                    </w:rPr>
                    <w:t>注：</w:t>
                  </w:r>
                  <w:r>
                    <w:rPr>
                      <w:rStyle w:val="67"/>
                      <w:color w:val="auto"/>
                      <w:highlight w:val="red"/>
                      <w:lang w:val="en-US" w:eastAsia="zh-CN" w:bidi="ar"/>
                    </w:rPr>
                    <w:t>未在此表包含范围的企业办公设备参考此表价格结算，</w:t>
                  </w:r>
                  <w:r>
                    <w:rPr>
                      <w:rStyle w:val="67"/>
                      <w:color w:val="auto"/>
                      <w:lang w:val="en-US" w:eastAsia="zh-CN" w:bidi="ar"/>
                    </w:rPr>
                    <w:t>维修费按报价单价</w:t>
                  </w:r>
                  <w:r>
                    <w:rPr>
                      <w:rStyle w:val="67"/>
                      <w:rFonts w:hint="eastAsia"/>
                      <w:color w:val="auto"/>
                      <w:lang w:val="en-US" w:eastAsia="zh-CN" w:bidi="ar"/>
                    </w:rPr>
                    <w:t>+材料费（</w:t>
                  </w:r>
                  <w:r>
                    <w:rPr>
                      <w:rStyle w:val="67"/>
                      <w:color w:val="auto"/>
                      <w:lang w:val="en-US" w:eastAsia="zh-CN" w:bidi="ar"/>
                    </w:rPr>
                    <w:t>参考京东、造价网相应配件报价</w:t>
                  </w:r>
                  <w:r>
                    <w:rPr>
                      <w:rStyle w:val="67"/>
                      <w:rFonts w:hint="eastAsia"/>
                      <w:color w:val="auto"/>
                      <w:lang w:val="en-US" w:eastAsia="zh-CN" w:bidi="ar"/>
                    </w:rPr>
                    <w:t>）</w:t>
                  </w:r>
                  <w:r>
                    <w:rPr>
                      <w:rStyle w:val="67"/>
                      <w:color w:val="auto"/>
                      <w:lang w:val="en-US" w:eastAsia="zh-CN" w:bidi="ar"/>
                    </w:rPr>
                    <w:t>据实结算。</w:t>
                  </w:r>
                </w:p>
              </w:tc>
            </w:tr>
          </w:tbl>
          <w:p>
            <w:pPr>
              <w:pStyle w:val="2"/>
              <w:rPr>
                <w:rFonts w:hint="eastAsia"/>
                <w:lang w:val="en-US" w:eastAsia="zh-CN"/>
              </w:rPr>
            </w:pPr>
          </w:p>
        </w:tc>
      </w:tr>
    </w:tbl>
    <w:p>
      <w:pPr>
        <w:tabs>
          <w:tab w:val="left" w:pos="7180"/>
          <w:tab w:val="left" w:pos="7601"/>
        </w:tabs>
        <w:spacing w:line="360" w:lineRule="auto"/>
        <w:jc w:val="right"/>
        <w:rPr>
          <w:rFonts w:asciiTheme="minorEastAsia" w:hAnsiTheme="minorEastAsia" w:eastAsiaTheme="minorEastAsia" w:cstheme="minorEastAsia"/>
          <w:color w:val="auto"/>
          <w:spacing w:val="23"/>
          <w:kern w:val="0"/>
          <w:sz w:val="24"/>
          <w:highlight w:val="none"/>
          <w:lang w:val="zh-CN"/>
        </w:rPr>
      </w:pPr>
      <w:r>
        <w:rPr>
          <w:rFonts w:hint="eastAsia" w:asciiTheme="minorEastAsia" w:hAnsiTheme="minorEastAsia" w:eastAsiaTheme="minorEastAsia" w:cstheme="minorEastAsia"/>
          <w:color w:val="auto"/>
          <w:spacing w:val="-1"/>
          <w:kern w:val="0"/>
          <w:sz w:val="24"/>
          <w:highlight w:val="none"/>
          <w:lang w:val="zh-CN"/>
        </w:rPr>
        <w:t>报价单位：</w:t>
      </w:r>
      <w:r>
        <w:rPr>
          <w:rFonts w:hint="eastAsia" w:asciiTheme="minorEastAsia" w:hAnsiTheme="minorEastAsia" w:eastAsiaTheme="minorEastAsia" w:cstheme="minorEastAsia"/>
          <w:color w:val="auto"/>
          <w:spacing w:val="-1"/>
          <w:kern w:val="0"/>
          <w:sz w:val="24"/>
          <w:highlight w:val="none"/>
          <w:u w:val="single" w:color="000000"/>
          <w:lang w:val="zh-CN"/>
        </w:rPr>
        <w:t xml:space="preserve">               </w:t>
      </w:r>
      <w:r>
        <w:rPr>
          <w:rFonts w:hint="eastAsia" w:asciiTheme="minorEastAsia" w:hAnsiTheme="minorEastAsia" w:eastAsiaTheme="minorEastAsia" w:cstheme="minorEastAsia"/>
          <w:color w:val="auto"/>
          <w:kern w:val="0"/>
          <w:sz w:val="24"/>
          <w:highlight w:val="none"/>
          <w:lang w:val="zh-CN"/>
        </w:rPr>
        <w:t>（盖单位章）</w:t>
      </w:r>
    </w:p>
    <w:p>
      <w:pPr>
        <w:tabs>
          <w:tab w:val="left" w:pos="7180"/>
          <w:tab w:val="left" w:pos="7601"/>
        </w:tabs>
        <w:spacing w:line="360" w:lineRule="auto"/>
        <w:jc w:val="right"/>
        <w:rPr>
          <w:rFonts w:asciiTheme="minorEastAsia" w:hAnsiTheme="minorEastAsia" w:eastAsiaTheme="minorEastAsia" w:cstheme="minorEastAsia"/>
          <w:color w:val="auto"/>
          <w:kern w:val="0"/>
          <w:sz w:val="24"/>
          <w:highlight w:val="none"/>
          <w:lang w:val="zh-CN"/>
        </w:rPr>
      </w:pPr>
      <w:r>
        <w:rPr>
          <w:rFonts w:hint="eastAsia" w:asciiTheme="minorEastAsia" w:hAnsiTheme="minorEastAsia" w:eastAsiaTheme="minorEastAsia" w:cstheme="minorEastAsia"/>
          <w:color w:val="auto"/>
          <w:spacing w:val="-1"/>
          <w:kern w:val="0"/>
          <w:sz w:val="24"/>
          <w:highlight w:val="none"/>
          <w:lang w:val="zh-CN"/>
        </w:rPr>
        <w:t>法定代表人或授权代表：</w:t>
      </w:r>
      <w:r>
        <w:rPr>
          <w:rFonts w:hint="eastAsia" w:asciiTheme="minorEastAsia" w:hAnsiTheme="minorEastAsia" w:eastAsiaTheme="minorEastAsia" w:cstheme="minorEastAsia"/>
          <w:color w:val="auto"/>
          <w:spacing w:val="-1"/>
          <w:kern w:val="0"/>
          <w:sz w:val="24"/>
          <w:highlight w:val="none"/>
          <w:u w:val="single" w:color="000000"/>
          <w:lang w:val="zh-CN"/>
        </w:rPr>
        <w:t xml:space="preserve">        </w:t>
      </w:r>
      <w:r>
        <w:rPr>
          <w:rFonts w:hint="eastAsia" w:asciiTheme="minorEastAsia" w:hAnsiTheme="minorEastAsia" w:eastAsiaTheme="minorEastAsia" w:cstheme="minorEastAsia"/>
          <w:color w:val="auto"/>
          <w:kern w:val="0"/>
          <w:sz w:val="24"/>
          <w:highlight w:val="none"/>
          <w:lang w:val="zh-CN"/>
        </w:rPr>
        <w:t>（签字）</w:t>
      </w:r>
    </w:p>
    <w:p>
      <w:pPr>
        <w:tabs>
          <w:tab w:val="left" w:pos="722"/>
          <w:tab w:val="left" w:pos="1323"/>
        </w:tabs>
        <w:spacing w:line="360" w:lineRule="auto"/>
        <w:jc w:val="right"/>
        <w:rPr>
          <w:b/>
          <w:bCs/>
          <w:color w:val="auto"/>
          <w:spacing w:val="14"/>
          <w:kern w:val="0"/>
          <w:sz w:val="28"/>
          <w:szCs w:val="28"/>
          <w:highlight w:val="none"/>
        </w:rPr>
      </w:pPr>
      <w:r>
        <w:rPr>
          <w:rFonts w:hint="eastAsia" w:asciiTheme="minorEastAsia" w:hAnsiTheme="minorEastAsia" w:eastAsiaTheme="minorEastAsia" w:cstheme="minorEastAsia"/>
          <w:color w:val="auto"/>
          <w:kern w:val="0"/>
          <w:sz w:val="24"/>
          <w:highlight w:val="none"/>
          <w:lang w:val="zh-CN"/>
        </w:rPr>
        <w:t>年      月      日</w:t>
      </w:r>
    </w:p>
    <w:p>
      <w:pPr>
        <w:spacing w:line="360" w:lineRule="auto"/>
        <w:jc w:val="center"/>
        <w:outlineLvl w:val="5"/>
        <w:rPr>
          <w:rFonts w:hint="eastAsia" w:ascii="宋体" w:hAnsi="宋体" w:cs="宋体"/>
          <w:color w:val="auto"/>
          <w:sz w:val="24"/>
          <w:highlight w:val="none"/>
          <w:lang w:val="en-US" w:eastAsia="zh-CN"/>
        </w:rPr>
      </w:pPr>
    </w:p>
    <w:p>
      <w:pPr>
        <w:rPr>
          <w:rFonts w:hint="eastAsia" w:ascii="宋体" w:hAnsi="宋体" w:cs="宋体"/>
          <w:color w:val="auto"/>
          <w:sz w:val="24"/>
          <w:highlight w:val="none"/>
          <w:lang w:val="en-US" w:eastAsia="zh-CN"/>
        </w:rPr>
      </w:pPr>
    </w:p>
    <w:p>
      <w:pPr>
        <w:pStyle w:val="2"/>
        <w:rPr>
          <w:rFonts w:hint="eastAsia" w:ascii="宋体" w:hAnsi="宋体" w:cs="宋体"/>
          <w:color w:val="auto"/>
          <w:sz w:val="24"/>
          <w:highlight w:val="none"/>
          <w:lang w:val="en-US" w:eastAsia="zh-CN"/>
        </w:rPr>
      </w:pPr>
    </w:p>
    <w:p>
      <w:pPr>
        <w:rPr>
          <w:rFonts w:hint="eastAsia"/>
          <w:lang w:val="en-US" w:eastAsia="zh-CN"/>
        </w:rPr>
        <w:sectPr>
          <w:pgSz w:w="16838" w:h="11906" w:orient="landscape"/>
          <w:pgMar w:top="1803" w:right="1440" w:bottom="1803" w:left="1440" w:header="851" w:footer="992" w:gutter="0"/>
          <w:pgNumType w:fmt="decimal"/>
          <w:cols w:space="0" w:num="1"/>
          <w:rtlGutter w:val="0"/>
          <w:docGrid w:type="lines" w:linePitch="319" w:charSpace="0"/>
        </w:sectPr>
      </w:pPr>
    </w:p>
    <w:p>
      <w:pPr>
        <w:spacing w:line="360" w:lineRule="auto"/>
        <w:jc w:val="center"/>
        <w:outlineLvl w:val="5"/>
        <w:rPr>
          <w:rFonts w:hint="default" w:ascii="宋体" w:hAnsi="宋体" w:eastAsia="宋体" w:cs="宋体"/>
          <w:color w:val="auto"/>
          <w:szCs w:val="21"/>
          <w:highlight w:val="none"/>
          <w:lang w:val="en-US" w:eastAsia="zh-CN"/>
        </w:rPr>
      </w:pPr>
      <w:r>
        <w:rPr>
          <w:rFonts w:hint="eastAsia"/>
          <w:b/>
          <w:bCs/>
          <w:color w:val="auto"/>
          <w:spacing w:val="14"/>
          <w:kern w:val="0"/>
          <w:sz w:val="28"/>
          <w:szCs w:val="28"/>
          <w:highlight w:val="none"/>
        </w:rPr>
        <w:t>品质</w:t>
      </w:r>
    </w:p>
    <w:tbl>
      <w:tblPr>
        <w:tblStyle w:val="20"/>
        <w:tblpPr w:leftFromText="180" w:rightFromText="180" w:vertAnchor="text" w:horzAnchor="page" w:tblpXSpec="center" w:tblpY="129"/>
        <w:tblOverlap w:val="never"/>
        <w:tblW w:w="8554"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15" w:type="dxa"/>
          <w:left w:w="15" w:type="dxa"/>
          <w:bottom w:w="15" w:type="dxa"/>
          <w:right w:w="15" w:type="dxa"/>
        </w:tblCellMar>
      </w:tblPr>
      <w:tblGrid>
        <w:gridCol w:w="682"/>
        <w:gridCol w:w="5826"/>
        <w:gridCol w:w="2046"/>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351" w:hRule="atLeast"/>
          <w:jc w:val="center"/>
        </w:trPr>
        <w:tc>
          <w:tcPr>
            <w:tcW w:w="682"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spacing w:line="240" w:lineRule="auto"/>
              <w:jc w:val="center"/>
              <w:textAlignment w:val="center"/>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kern w:val="0"/>
                <w:sz w:val="24"/>
                <w:highlight w:val="none"/>
                <w:lang w:bidi="ar"/>
              </w:rPr>
              <w:t>序号</w:t>
            </w:r>
          </w:p>
        </w:tc>
        <w:tc>
          <w:tcPr>
            <w:tcW w:w="5826"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spacing w:line="240" w:lineRule="auto"/>
              <w:jc w:val="center"/>
              <w:textAlignment w:val="center"/>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kern w:val="0"/>
                <w:sz w:val="24"/>
                <w:highlight w:val="none"/>
                <w:lang w:bidi="ar"/>
              </w:rPr>
              <w:t>技术要求</w:t>
            </w:r>
          </w:p>
        </w:tc>
        <w:tc>
          <w:tcPr>
            <w:tcW w:w="2046"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color w:val="auto"/>
                <w:kern w:val="0"/>
                <w:sz w:val="24"/>
                <w:highlight w:val="none"/>
                <w:lang w:bidi="ar"/>
              </w:rPr>
            </w:pPr>
            <w:r>
              <w:rPr>
                <w:rFonts w:hint="eastAsia" w:asciiTheme="minorEastAsia" w:hAnsiTheme="minorEastAsia" w:eastAsiaTheme="minorEastAsia" w:cstheme="minorEastAsia"/>
                <w:b/>
                <w:color w:val="auto"/>
                <w:kern w:val="0"/>
                <w:sz w:val="24"/>
                <w:highlight w:val="none"/>
                <w:lang w:eastAsia="zh-CN" w:bidi="ar"/>
              </w:rPr>
              <w:t>报价单位</w:t>
            </w:r>
            <w:r>
              <w:rPr>
                <w:rFonts w:hint="eastAsia" w:asciiTheme="minorEastAsia" w:hAnsiTheme="minorEastAsia" w:eastAsiaTheme="minorEastAsia" w:cstheme="minorEastAsia"/>
                <w:b/>
                <w:color w:val="auto"/>
                <w:kern w:val="0"/>
                <w:sz w:val="24"/>
                <w:highlight w:val="none"/>
                <w:lang w:bidi="ar"/>
              </w:rPr>
              <w:t>是否满足</w:t>
            </w:r>
          </w:p>
          <w:p>
            <w:pPr>
              <w:keepNext w:val="0"/>
              <w:keepLines w:val="0"/>
              <w:pageBreakBefore w:val="0"/>
              <w:widowControl/>
              <w:kinsoku/>
              <w:wordWrap/>
              <w:overflowPunct/>
              <w:topLinePunct w:val="0"/>
              <w:autoSpaceDE/>
              <w:autoSpaceDN/>
              <w:bidi w:val="0"/>
              <w:spacing w:line="240" w:lineRule="auto"/>
              <w:jc w:val="center"/>
              <w:textAlignment w:val="center"/>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kern w:val="0"/>
                <w:sz w:val="24"/>
                <w:highlight w:val="none"/>
                <w:lang w:bidi="ar"/>
              </w:rPr>
              <w:t>（填：是/否）</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567" w:hRule="atLeast"/>
          <w:jc w:val="center"/>
        </w:trPr>
        <w:tc>
          <w:tcPr>
            <w:tcW w:w="682"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spacing w:line="240" w:lineRule="auto"/>
              <w:ind w:firstLine="0" w:firstLineChars="0"/>
              <w:jc w:val="center"/>
              <w:textAlignment w:val="center"/>
              <w:rPr>
                <w:rFonts w:asciiTheme="minorEastAsia" w:hAnsiTheme="minorEastAsia" w:eastAsiaTheme="minorEastAsia" w:cstheme="minorEastAsia"/>
                <w:b/>
                <w:color w:val="auto"/>
                <w:kern w:val="0"/>
                <w:sz w:val="24"/>
                <w:highlight w:val="none"/>
                <w:lang w:bidi="ar"/>
              </w:rPr>
            </w:pPr>
            <w:r>
              <w:rPr>
                <w:rFonts w:hint="eastAsia" w:asciiTheme="minorEastAsia" w:hAnsiTheme="minorEastAsia" w:eastAsiaTheme="minorEastAsia" w:cstheme="minorEastAsia"/>
                <w:b/>
                <w:color w:val="auto"/>
                <w:kern w:val="0"/>
                <w:sz w:val="24"/>
                <w:highlight w:val="none"/>
                <w:lang w:bidi="ar"/>
              </w:rPr>
              <w:t>1</w:t>
            </w:r>
          </w:p>
        </w:tc>
        <w:tc>
          <w:tcPr>
            <w:tcW w:w="5826" w:type="dxa"/>
            <w:tcBorders>
              <w:tl2br w:val="nil"/>
              <w:tr2bl w:val="nil"/>
            </w:tcBorders>
            <w:shd w:val="clear" w:color="auto" w:fill="auto"/>
            <w:vAlign w:val="center"/>
          </w:tcPr>
          <w:p>
            <w:pPr>
              <w:adjustRightInd w:val="0"/>
              <w:snapToGrid w:val="0"/>
              <w:spacing w:line="360" w:lineRule="auto"/>
              <w:ind w:firstLine="240" w:firstLineChars="100"/>
              <w:rPr>
                <w:rFonts w:hint="eastAsia" w:ascii="宋体" w:hAnsi="宋体" w:eastAsia="宋体"/>
                <w:color w:val="auto"/>
                <w:sz w:val="24"/>
                <w:highlight w:val="none"/>
                <w:lang w:val="en-US" w:eastAsia="zh-CN"/>
              </w:rPr>
            </w:pPr>
            <w:r>
              <w:rPr>
                <w:rFonts w:hint="eastAsia" w:ascii="宋体" w:hAnsi="宋体"/>
                <w:color w:val="auto"/>
                <w:sz w:val="24"/>
                <w:highlight w:val="none"/>
                <w:lang w:val="en-US" w:eastAsia="zh-CN"/>
              </w:rPr>
              <w:t>在柳州市区范围内有固定的维修办公场所，包含维修车间、零配件仓库等。</w:t>
            </w:r>
          </w:p>
        </w:tc>
        <w:tc>
          <w:tcPr>
            <w:tcW w:w="2046" w:type="dxa"/>
            <w:tcBorders>
              <w:tl2br w:val="nil"/>
              <w:tr2bl w:val="nil"/>
            </w:tcBorders>
            <w:shd w:val="clear" w:color="auto" w:fill="auto"/>
            <w:vAlign w:val="center"/>
          </w:tcPr>
          <w:p>
            <w:pPr>
              <w:keepNext w:val="0"/>
              <w:keepLines w:val="0"/>
              <w:pageBreakBefore w:val="0"/>
              <w:kinsoku/>
              <w:wordWrap/>
              <w:overflowPunct/>
              <w:topLinePunct w:val="0"/>
              <w:autoSpaceDE/>
              <w:autoSpaceDN/>
              <w:bidi w:val="0"/>
              <w:spacing w:line="240" w:lineRule="auto"/>
              <w:ind w:firstLine="0" w:firstLineChars="0"/>
              <w:jc w:val="center"/>
              <w:rPr>
                <w:rFonts w:asciiTheme="minorEastAsia" w:hAnsiTheme="minorEastAsia" w:eastAsiaTheme="minorEastAsia" w:cstheme="minorEastAsia"/>
                <w:color w:val="auto"/>
                <w:sz w:val="24"/>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315" w:hRule="atLeast"/>
          <w:jc w:val="center"/>
        </w:trPr>
        <w:tc>
          <w:tcPr>
            <w:tcW w:w="682"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spacing w:line="240" w:lineRule="auto"/>
              <w:ind w:firstLine="0" w:firstLineChars="0"/>
              <w:jc w:val="center"/>
              <w:textAlignment w:val="center"/>
              <w:rPr>
                <w:rFonts w:hint="eastAsia" w:asciiTheme="minorEastAsia" w:hAnsiTheme="minorEastAsia" w:eastAsiaTheme="minorEastAsia" w:cstheme="minorEastAsia"/>
                <w:b/>
                <w:color w:val="auto"/>
                <w:kern w:val="0"/>
                <w:sz w:val="24"/>
                <w:highlight w:val="none"/>
                <w:lang w:bidi="ar"/>
              </w:rPr>
            </w:pPr>
          </w:p>
        </w:tc>
        <w:tc>
          <w:tcPr>
            <w:tcW w:w="5826" w:type="dxa"/>
            <w:tcBorders>
              <w:tl2br w:val="nil"/>
              <w:tr2bl w:val="nil"/>
            </w:tcBorders>
            <w:shd w:val="clear" w:color="auto" w:fill="auto"/>
            <w:vAlign w:val="center"/>
          </w:tcPr>
          <w:p>
            <w:pPr>
              <w:adjustRightInd w:val="0"/>
              <w:snapToGrid w:val="0"/>
              <w:spacing w:line="360" w:lineRule="auto"/>
              <w:ind w:firstLine="240" w:firstLineChars="100"/>
              <w:outlineLvl w:val="0"/>
              <w:rPr>
                <w:rFonts w:hint="eastAsia" w:ascii="宋体" w:hAnsi="宋体" w:cs="宋体"/>
                <w:sz w:val="24"/>
                <w:lang w:eastAsia="zh-CN"/>
              </w:rPr>
            </w:pPr>
            <w:r>
              <w:rPr>
                <w:rFonts w:hint="eastAsia" w:ascii="宋体" w:hAnsi="宋体"/>
                <w:color w:val="auto"/>
                <w:sz w:val="24"/>
                <w:highlight w:val="none"/>
                <w:lang w:val="en-US" w:eastAsia="zh-CN"/>
              </w:rPr>
              <w:t>配备技术管理人员不少于1人，技术工人不少于5人。</w:t>
            </w:r>
          </w:p>
        </w:tc>
        <w:tc>
          <w:tcPr>
            <w:tcW w:w="2046" w:type="dxa"/>
            <w:tcBorders>
              <w:tl2br w:val="nil"/>
              <w:tr2bl w:val="nil"/>
            </w:tcBorders>
            <w:shd w:val="clear" w:color="auto" w:fill="auto"/>
            <w:vAlign w:val="center"/>
          </w:tcPr>
          <w:p>
            <w:pPr>
              <w:keepNext w:val="0"/>
              <w:keepLines w:val="0"/>
              <w:pageBreakBefore w:val="0"/>
              <w:kinsoku/>
              <w:wordWrap/>
              <w:overflowPunct/>
              <w:topLinePunct w:val="0"/>
              <w:autoSpaceDE/>
              <w:autoSpaceDN/>
              <w:bidi w:val="0"/>
              <w:spacing w:line="240" w:lineRule="auto"/>
              <w:ind w:firstLine="0" w:firstLineChars="0"/>
              <w:jc w:val="center"/>
              <w:rPr>
                <w:rFonts w:asciiTheme="minorEastAsia" w:hAnsiTheme="minorEastAsia" w:eastAsiaTheme="minorEastAsia" w:cstheme="minorEastAsia"/>
                <w:color w:val="auto"/>
                <w:sz w:val="24"/>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567" w:hRule="atLeast"/>
          <w:jc w:val="center"/>
        </w:trPr>
        <w:tc>
          <w:tcPr>
            <w:tcW w:w="682"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spacing w:line="240" w:lineRule="auto"/>
              <w:ind w:firstLine="0" w:firstLineChars="0"/>
              <w:jc w:val="center"/>
              <w:textAlignment w:val="center"/>
              <w:rPr>
                <w:rFonts w:hint="eastAsia" w:asciiTheme="minorEastAsia" w:hAnsiTheme="minorEastAsia" w:eastAsiaTheme="minorEastAsia" w:cstheme="minorEastAsia"/>
                <w:b/>
                <w:color w:val="auto"/>
                <w:kern w:val="0"/>
                <w:sz w:val="24"/>
                <w:highlight w:val="none"/>
                <w:lang w:bidi="ar"/>
              </w:rPr>
            </w:pPr>
          </w:p>
        </w:tc>
        <w:tc>
          <w:tcPr>
            <w:tcW w:w="5826" w:type="dxa"/>
            <w:tcBorders>
              <w:tl2br w:val="nil"/>
              <w:tr2bl w:val="nil"/>
            </w:tcBorders>
            <w:shd w:val="clear" w:color="auto" w:fill="auto"/>
            <w:vAlign w:val="center"/>
          </w:tcPr>
          <w:p>
            <w:pPr>
              <w:adjustRightInd w:val="0"/>
              <w:snapToGrid w:val="0"/>
              <w:spacing w:line="360" w:lineRule="auto"/>
              <w:ind w:firstLine="240" w:firstLineChars="100"/>
              <w:outlineLvl w:val="0"/>
              <w:rPr>
                <w:rFonts w:hint="eastAsia" w:ascii="宋体" w:hAnsi="宋体" w:cs="宋体"/>
                <w:sz w:val="24"/>
                <w:lang w:eastAsia="zh-CN"/>
              </w:rPr>
            </w:pPr>
            <w:r>
              <w:rPr>
                <w:rFonts w:hint="eastAsia" w:ascii="宋体" w:hAnsi="宋体"/>
                <w:color w:val="auto"/>
                <w:sz w:val="24"/>
                <w:highlight w:val="none"/>
                <w:lang w:val="en-US" w:eastAsia="zh-CN"/>
              </w:rPr>
              <w:t>设备维修必须使用原厂配件（或 3C 认证的零部件产品），不得使用假冒伪劣配件。</w:t>
            </w:r>
          </w:p>
        </w:tc>
        <w:tc>
          <w:tcPr>
            <w:tcW w:w="2046" w:type="dxa"/>
            <w:tcBorders>
              <w:tl2br w:val="nil"/>
              <w:tr2bl w:val="nil"/>
            </w:tcBorders>
            <w:shd w:val="clear" w:color="auto" w:fill="auto"/>
            <w:vAlign w:val="center"/>
          </w:tcPr>
          <w:p>
            <w:pPr>
              <w:keepNext w:val="0"/>
              <w:keepLines w:val="0"/>
              <w:pageBreakBefore w:val="0"/>
              <w:kinsoku/>
              <w:wordWrap/>
              <w:overflowPunct/>
              <w:topLinePunct w:val="0"/>
              <w:autoSpaceDE/>
              <w:autoSpaceDN/>
              <w:bidi w:val="0"/>
              <w:spacing w:line="240" w:lineRule="auto"/>
              <w:ind w:firstLine="0" w:firstLineChars="0"/>
              <w:jc w:val="center"/>
              <w:rPr>
                <w:rFonts w:asciiTheme="minorEastAsia" w:hAnsiTheme="minorEastAsia" w:eastAsiaTheme="minorEastAsia" w:cstheme="minorEastAsia"/>
                <w:color w:val="auto"/>
                <w:sz w:val="24"/>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567" w:hRule="atLeast"/>
          <w:jc w:val="center"/>
        </w:trPr>
        <w:tc>
          <w:tcPr>
            <w:tcW w:w="682"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spacing w:line="240" w:lineRule="auto"/>
              <w:ind w:firstLine="0" w:firstLineChars="0"/>
              <w:jc w:val="center"/>
              <w:textAlignment w:val="center"/>
              <w:rPr>
                <w:rFonts w:hint="eastAsia" w:asciiTheme="minorEastAsia" w:hAnsiTheme="minorEastAsia" w:eastAsiaTheme="minorEastAsia" w:cstheme="minorEastAsia"/>
                <w:b/>
                <w:color w:val="auto"/>
                <w:kern w:val="0"/>
                <w:sz w:val="24"/>
                <w:highlight w:val="none"/>
                <w:lang w:bidi="ar"/>
              </w:rPr>
            </w:pPr>
          </w:p>
        </w:tc>
        <w:tc>
          <w:tcPr>
            <w:tcW w:w="5826" w:type="dxa"/>
            <w:tcBorders>
              <w:tl2br w:val="nil"/>
              <w:tr2bl w:val="nil"/>
            </w:tcBorders>
            <w:shd w:val="clear" w:color="auto" w:fill="auto"/>
            <w:vAlign w:val="center"/>
          </w:tcPr>
          <w:p>
            <w:pPr>
              <w:adjustRightInd w:val="0"/>
              <w:snapToGrid w:val="0"/>
              <w:spacing w:line="360" w:lineRule="auto"/>
              <w:ind w:firstLine="240" w:firstLineChars="100"/>
              <w:rPr>
                <w:rFonts w:hint="eastAsia" w:ascii="宋体" w:hAnsi="宋体" w:cs="宋体"/>
                <w:sz w:val="24"/>
                <w:lang w:eastAsia="zh-CN"/>
              </w:rPr>
            </w:pPr>
            <w:r>
              <w:rPr>
                <w:rFonts w:hint="eastAsia" w:ascii="宋体" w:hAnsi="宋体"/>
                <w:color w:val="auto"/>
                <w:sz w:val="24"/>
                <w:highlight w:val="none"/>
                <w:lang w:val="en-US" w:eastAsia="zh-CN"/>
              </w:rPr>
              <w:t>质保期内，发生同一配件再次故障或相同维修项目的，应当及时无偿返修，不得故意拖延或者无理拒绝。</w:t>
            </w:r>
          </w:p>
        </w:tc>
        <w:tc>
          <w:tcPr>
            <w:tcW w:w="2046" w:type="dxa"/>
            <w:tcBorders>
              <w:tl2br w:val="nil"/>
              <w:tr2bl w:val="nil"/>
            </w:tcBorders>
            <w:shd w:val="clear" w:color="auto" w:fill="auto"/>
            <w:vAlign w:val="center"/>
          </w:tcPr>
          <w:p>
            <w:pPr>
              <w:keepNext w:val="0"/>
              <w:keepLines w:val="0"/>
              <w:pageBreakBefore w:val="0"/>
              <w:kinsoku/>
              <w:wordWrap/>
              <w:overflowPunct/>
              <w:topLinePunct w:val="0"/>
              <w:autoSpaceDE/>
              <w:autoSpaceDN/>
              <w:bidi w:val="0"/>
              <w:spacing w:line="240" w:lineRule="auto"/>
              <w:ind w:firstLine="0" w:firstLineChars="0"/>
              <w:jc w:val="center"/>
              <w:rPr>
                <w:rFonts w:asciiTheme="minorEastAsia" w:hAnsiTheme="minorEastAsia" w:eastAsiaTheme="minorEastAsia" w:cstheme="minorEastAsia"/>
                <w:color w:val="auto"/>
                <w:sz w:val="24"/>
                <w:highlight w:val="none"/>
              </w:rPr>
            </w:pPr>
          </w:p>
        </w:tc>
      </w:tr>
    </w:tbl>
    <w:p>
      <w:pPr>
        <w:tabs>
          <w:tab w:val="left" w:pos="7180"/>
          <w:tab w:val="left" w:pos="7601"/>
        </w:tabs>
        <w:spacing w:line="360" w:lineRule="auto"/>
        <w:jc w:val="right"/>
        <w:rPr>
          <w:rFonts w:hint="eastAsia" w:asciiTheme="minorEastAsia" w:hAnsiTheme="minorEastAsia" w:eastAsiaTheme="minorEastAsia" w:cstheme="minorEastAsia"/>
          <w:color w:val="auto"/>
          <w:spacing w:val="-1"/>
          <w:kern w:val="0"/>
          <w:sz w:val="24"/>
          <w:highlight w:val="none"/>
          <w:lang w:val="zh-CN"/>
        </w:rPr>
      </w:pPr>
    </w:p>
    <w:p>
      <w:pPr>
        <w:pStyle w:val="2"/>
        <w:rPr>
          <w:rFonts w:hint="eastAsia"/>
          <w:lang w:val="zh-CN"/>
        </w:rPr>
      </w:pPr>
    </w:p>
    <w:p>
      <w:pPr>
        <w:spacing w:line="360" w:lineRule="auto"/>
        <w:jc w:val="center"/>
        <w:outlineLvl w:val="5"/>
        <w:rPr>
          <w:b/>
          <w:bCs/>
          <w:color w:val="auto"/>
          <w:spacing w:val="14"/>
          <w:kern w:val="0"/>
          <w:sz w:val="28"/>
          <w:szCs w:val="28"/>
          <w:highlight w:val="none"/>
        </w:rPr>
      </w:pPr>
      <w:r>
        <w:rPr>
          <w:rFonts w:hint="eastAsia"/>
          <w:b/>
          <w:bCs/>
          <w:color w:val="auto"/>
          <w:spacing w:val="14"/>
          <w:kern w:val="0"/>
          <w:sz w:val="28"/>
          <w:szCs w:val="28"/>
          <w:highlight w:val="none"/>
        </w:rPr>
        <w:t>售后服务</w:t>
      </w:r>
    </w:p>
    <w:tbl>
      <w:tblPr>
        <w:tblStyle w:val="20"/>
        <w:tblpPr w:leftFromText="180" w:rightFromText="180" w:vertAnchor="text" w:horzAnchor="page" w:tblpXSpec="center" w:tblpY="129"/>
        <w:tblOverlap w:val="never"/>
        <w:tblW w:w="8554"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15" w:type="dxa"/>
          <w:left w:w="15" w:type="dxa"/>
          <w:bottom w:w="15" w:type="dxa"/>
          <w:right w:w="15" w:type="dxa"/>
        </w:tblCellMar>
      </w:tblPr>
      <w:tblGrid>
        <w:gridCol w:w="588"/>
        <w:gridCol w:w="5920"/>
        <w:gridCol w:w="2046"/>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351" w:hRule="atLeast"/>
          <w:jc w:val="center"/>
        </w:trPr>
        <w:tc>
          <w:tcPr>
            <w:tcW w:w="588" w:type="dxa"/>
            <w:tcBorders>
              <w:tl2br w:val="nil"/>
              <w:tr2bl w:val="nil"/>
            </w:tcBorders>
            <w:shd w:val="clear" w:color="auto" w:fill="auto"/>
            <w:vAlign w:val="center"/>
          </w:tcPr>
          <w:p>
            <w:pPr>
              <w:widowControl/>
              <w:jc w:val="both"/>
              <w:textAlignment w:val="center"/>
              <w:rPr>
                <w:rFonts w:asciiTheme="minorEastAsia" w:hAnsiTheme="minorEastAsia" w:eastAsiaTheme="minorEastAsia" w:cstheme="minorEastAsia"/>
                <w:b/>
                <w:color w:val="auto"/>
                <w:kern w:val="2"/>
                <w:sz w:val="24"/>
                <w:szCs w:val="24"/>
                <w:highlight w:val="none"/>
                <w:lang w:val="en-US" w:eastAsia="zh-CN" w:bidi="ar-SA"/>
              </w:rPr>
            </w:pPr>
            <w:r>
              <w:rPr>
                <w:rFonts w:hint="eastAsia" w:asciiTheme="minorEastAsia" w:hAnsiTheme="minorEastAsia" w:eastAsiaTheme="minorEastAsia" w:cstheme="minorEastAsia"/>
                <w:b/>
                <w:color w:val="auto"/>
                <w:kern w:val="0"/>
                <w:sz w:val="24"/>
                <w:highlight w:val="none"/>
                <w:lang w:bidi="ar"/>
              </w:rPr>
              <w:t>序号</w:t>
            </w:r>
          </w:p>
        </w:tc>
        <w:tc>
          <w:tcPr>
            <w:tcW w:w="5920" w:type="dxa"/>
            <w:tcBorders>
              <w:tl2br w:val="nil"/>
              <w:tr2bl w:val="nil"/>
            </w:tcBorders>
            <w:shd w:val="clear" w:color="auto" w:fill="auto"/>
            <w:vAlign w:val="center"/>
          </w:tcPr>
          <w:p>
            <w:pPr>
              <w:widowControl/>
              <w:jc w:val="center"/>
              <w:textAlignment w:val="center"/>
              <w:rPr>
                <w:rFonts w:asciiTheme="minorEastAsia" w:hAnsiTheme="minorEastAsia" w:eastAsiaTheme="minorEastAsia" w:cstheme="minorEastAsia"/>
                <w:b/>
                <w:color w:val="auto"/>
                <w:kern w:val="2"/>
                <w:sz w:val="24"/>
                <w:szCs w:val="24"/>
                <w:highlight w:val="none"/>
                <w:lang w:val="en-US" w:eastAsia="zh-CN" w:bidi="ar-SA"/>
              </w:rPr>
            </w:pPr>
            <w:r>
              <w:rPr>
                <w:rFonts w:hint="eastAsia" w:asciiTheme="minorEastAsia" w:hAnsiTheme="minorEastAsia" w:eastAsiaTheme="minorEastAsia" w:cstheme="minorEastAsia"/>
                <w:b/>
                <w:color w:val="auto"/>
                <w:kern w:val="0"/>
                <w:sz w:val="24"/>
                <w:highlight w:val="none"/>
                <w:lang w:bidi="ar"/>
              </w:rPr>
              <w:t>售后服务要求</w:t>
            </w:r>
          </w:p>
        </w:tc>
        <w:tc>
          <w:tcPr>
            <w:tcW w:w="2046" w:type="dxa"/>
            <w:tcBorders>
              <w:tl2br w:val="nil"/>
              <w:tr2bl w:val="nil"/>
            </w:tcBorders>
            <w:shd w:val="clear" w:color="auto" w:fill="auto"/>
            <w:vAlign w:val="center"/>
          </w:tcPr>
          <w:p>
            <w:pPr>
              <w:widowControl/>
              <w:jc w:val="center"/>
              <w:textAlignment w:val="center"/>
              <w:rPr>
                <w:rFonts w:hint="eastAsia" w:asciiTheme="minorEastAsia" w:hAnsiTheme="minorEastAsia" w:eastAsiaTheme="minorEastAsia" w:cstheme="minorEastAsia"/>
                <w:b/>
                <w:color w:val="auto"/>
                <w:kern w:val="0"/>
                <w:sz w:val="24"/>
                <w:highlight w:val="none"/>
                <w:lang w:bidi="ar"/>
              </w:rPr>
            </w:pPr>
            <w:r>
              <w:rPr>
                <w:rFonts w:hint="eastAsia" w:asciiTheme="minorEastAsia" w:hAnsiTheme="minorEastAsia" w:eastAsiaTheme="minorEastAsia" w:cstheme="minorEastAsia"/>
                <w:b/>
                <w:color w:val="auto"/>
                <w:kern w:val="0"/>
                <w:sz w:val="24"/>
                <w:highlight w:val="none"/>
                <w:lang w:eastAsia="zh-CN" w:bidi="ar"/>
              </w:rPr>
              <w:t>报价单位</w:t>
            </w:r>
            <w:r>
              <w:rPr>
                <w:rFonts w:hint="eastAsia" w:asciiTheme="minorEastAsia" w:hAnsiTheme="minorEastAsia" w:eastAsiaTheme="minorEastAsia" w:cstheme="minorEastAsia"/>
                <w:b/>
                <w:color w:val="auto"/>
                <w:kern w:val="0"/>
                <w:sz w:val="24"/>
                <w:highlight w:val="none"/>
                <w:lang w:bidi="ar"/>
              </w:rPr>
              <w:t>是否满足</w:t>
            </w:r>
          </w:p>
          <w:p>
            <w:pPr>
              <w:widowControl/>
              <w:jc w:val="center"/>
              <w:textAlignment w:val="center"/>
              <w:rPr>
                <w:rFonts w:asciiTheme="minorEastAsia" w:hAnsiTheme="minorEastAsia" w:eastAsiaTheme="minorEastAsia" w:cstheme="minorEastAsia"/>
                <w:b/>
                <w:color w:val="auto"/>
                <w:kern w:val="2"/>
                <w:sz w:val="24"/>
                <w:szCs w:val="24"/>
                <w:highlight w:val="none"/>
                <w:lang w:val="en-US" w:eastAsia="zh-CN" w:bidi="ar-SA"/>
              </w:rPr>
            </w:pPr>
            <w:r>
              <w:rPr>
                <w:rFonts w:hint="eastAsia" w:asciiTheme="minorEastAsia" w:hAnsiTheme="minorEastAsia" w:eastAsiaTheme="minorEastAsia" w:cstheme="minorEastAsia"/>
                <w:b/>
                <w:color w:val="auto"/>
                <w:kern w:val="0"/>
                <w:sz w:val="24"/>
                <w:highlight w:val="none"/>
                <w:lang w:bidi="ar"/>
              </w:rPr>
              <w:t>（填：是/否）</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566" w:hRule="exact"/>
          <w:jc w:val="center"/>
        </w:trPr>
        <w:tc>
          <w:tcPr>
            <w:tcW w:w="588" w:type="dxa"/>
            <w:tcBorders>
              <w:tl2br w:val="nil"/>
              <w:tr2bl w:val="nil"/>
            </w:tcBorders>
            <w:shd w:val="clear" w:color="auto" w:fill="auto"/>
            <w:vAlign w:val="center"/>
          </w:tcPr>
          <w:p>
            <w:pPr>
              <w:widowControl/>
              <w:jc w:val="center"/>
              <w:textAlignment w:val="center"/>
              <w:rPr>
                <w:rFonts w:asciiTheme="minorEastAsia" w:hAnsiTheme="minorEastAsia" w:eastAsiaTheme="minorEastAsia" w:cstheme="minorEastAsia"/>
                <w:b/>
                <w:color w:val="auto"/>
                <w:kern w:val="0"/>
                <w:sz w:val="24"/>
                <w:highlight w:val="none"/>
                <w:lang w:bidi="ar"/>
              </w:rPr>
            </w:pPr>
            <w:r>
              <w:rPr>
                <w:rFonts w:hint="eastAsia" w:asciiTheme="minorEastAsia" w:hAnsiTheme="minorEastAsia" w:eastAsiaTheme="minorEastAsia" w:cstheme="minorEastAsia"/>
                <w:b/>
                <w:color w:val="auto"/>
                <w:kern w:val="0"/>
                <w:sz w:val="24"/>
                <w:highlight w:val="none"/>
                <w:lang w:bidi="ar"/>
              </w:rPr>
              <w:t>1</w:t>
            </w:r>
          </w:p>
        </w:tc>
        <w:tc>
          <w:tcPr>
            <w:tcW w:w="5920" w:type="dxa"/>
            <w:tcBorders>
              <w:tl2br w:val="nil"/>
              <w:tr2bl w:val="nil"/>
            </w:tcBorders>
            <w:shd w:val="clear" w:color="auto" w:fill="auto"/>
            <w:vAlign w:val="center"/>
          </w:tcPr>
          <w:p>
            <w:pPr>
              <w:widowControl/>
              <w:textAlignment w:val="center"/>
              <w:rPr>
                <w:rFonts w:ascii="宋体" w:hAnsi="宋体"/>
                <w:color w:val="auto"/>
                <w:sz w:val="24"/>
                <w:highlight w:val="none"/>
              </w:rPr>
            </w:pPr>
            <w:r>
              <w:rPr>
                <w:rFonts w:hint="eastAsia" w:ascii="宋体" w:hAnsi="宋体" w:cs="宋体"/>
                <w:b/>
                <w:bCs/>
                <w:color w:val="auto"/>
                <w:sz w:val="24"/>
                <w:highlight w:val="none"/>
              </w:rPr>
              <w:t>发票要求：</w:t>
            </w:r>
            <w:r>
              <w:rPr>
                <w:rFonts w:hint="eastAsia" w:ascii="宋体" w:hAnsi="宋体" w:cs="宋体"/>
                <w:color w:val="auto"/>
                <w:sz w:val="24"/>
                <w:highlight w:val="none"/>
              </w:rPr>
              <w:t>报价单位可提供符合规定税率的</w:t>
            </w:r>
            <w:r>
              <w:rPr>
                <w:rFonts w:hint="eastAsia" w:ascii="宋体" w:hAnsi="宋体" w:cs="宋体"/>
                <w:color w:val="auto"/>
                <w:sz w:val="24"/>
                <w:highlight w:val="none"/>
                <w:lang w:eastAsia="zh-CN"/>
              </w:rPr>
              <w:t>增值税</w:t>
            </w:r>
            <w:r>
              <w:rPr>
                <w:rFonts w:hint="eastAsia" w:ascii="宋体" w:hAnsi="宋体" w:cs="宋体"/>
                <w:color w:val="auto"/>
                <w:sz w:val="24"/>
                <w:highlight w:val="none"/>
              </w:rPr>
              <w:t>发票。</w:t>
            </w:r>
          </w:p>
        </w:tc>
        <w:tc>
          <w:tcPr>
            <w:tcW w:w="2046" w:type="dxa"/>
            <w:tcBorders>
              <w:tl2br w:val="nil"/>
              <w:tr2bl w:val="nil"/>
            </w:tcBorders>
            <w:shd w:val="clear" w:color="auto" w:fill="auto"/>
            <w:vAlign w:val="center"/>
          </w:tcPr>
          <w:p>
            <w:pPr>
              <w:jc w:val="center"/>
              <w:rPr>
                <w:rFonts w:asciiTheme="minorEastAsia" w:hAnsiTheme="minorEastAsia" w:eastAsiaTheme="minorEastAsia" w:cstheme="minorEastAsia"/>
                <w:color w:val="auto"/>
                <w:sz w:val="24"/>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1437" w:hRule="exact"/>
          <w:jc w:val="center"/>
        </w:trPr>
        <w:tc>
          <w:tcPr>
            <w:tcW w:w="588" w:type="dxa"/>
            <w:tcBorders>
              <w:tl2br w:val="nil"/>
              <w:tr2bl w:val="nil"/>
            </w:tcBorders>
            <w:shd w:val="clear" w:color="auto" w:fill="auto"/>
            <w:vAlign w:val="center"/>
          </w:tcPr>
          <w:p>
            <w:pPr>
              <w:widowControl/>
              <w:jc w:val="center"/>
              <w:textAlignment w:val="center"/>
              <w:rPr>
                <w:rFonts w:hint="eastAsia" w:asciiTheme="minorEastAsia" w:hAnsiTheme="minorEastAsia" w:eastAsiaTheme="minorEastAsia" w:cstheme="minorEastAsia"/>
                <w:b/>
                <w:color w:val="auto"/>
                <w:kern w:val="0"/>
                <w:sz w:val="24"/>
                <w:highlight w:val="none"/>
                <w:lang w:eastAsia="zh-CN" w:bidi="ar"/>
              </w:rPr>
            </w:pPr>
            <w:r>
              <w:rPr>
                <w:rFonts w:hint="eastAsia" w:asciiTheme="minorEastAsia" w:hAnsiTheme="minorEastAsia" w:eastAsiaTheme="minorEastAsia" w:cstheme="minorEastAsia"/>
                <w:b/>
                <w:color w:val="auto"/>
                <w:kern w:val="0"/>
                <w:sz w:val="24"/>
                <w:highlight w:val="none"/>
                <w:lang w:val="en-US" w:eastAsia="zh-CN" w:bidi="ar"/>
              </w:rPr>
              <w:t>2</w:t>
            </w:r>
          </w:p>
        </w:tc>
        <w:tc>
          <w:tcPr>
            <w:tcW w:w="5920" w:type="dxa"/>
            <w:tcBorders>
              <w:tl2br w:val="nil"/>
              <w:tr2bl w:val="nil"/>
            </w:tcBorders>
            <w:shd w:val="clear" w:color="auto" w:fill="auto"/>
            <w:vAlign w:val="center"/>
          </w:tcPr>
          <w:p>
            <w:pPr>
              <w:spacing w:line="360" w:lineRule="auto"/>
              <w:rPr>
                <w:rFonts w:hint="default" w:ascii="宋体" w:hAnsi="宋体" w:cs="宋体"/>
                <w:color w:val="auto"/>
                <w:sz w:val="24"/>
                <w:highlight w:val="none"/>
                <w:lang w:val="en-US"/>
              </w:rPr>
            </w:pPr>
            <w:r>
              <w:rPr>
                <w:rFonts w:hint="eastAsia" w:ascii="宋体" w:hAnsi="宋体" w:cs="宋体"/>
                <w:b/>
                <w:bCs/>
                <w:color w:val="auto"/>
                <w:sz w:val="24"/>
                <w:highlight w:val="none"/>
                <w:lang w:eastAsia="zh-CN"/>
              </w:rPr>
              <w:t>服务</w:t>
            </w:r>
            <w:r>
              <w:rPr>
                <w:rFonts w:hint="eastAsia" w:ascii="宋体" w:hAnsi="宋体" w:cs="宋体"/>
                <w:b/>
                <w:bCs/>
                <w:color w:val="auto"/>
                <w:sz w:val="24"/>
                <w:highlight w:val="none"/>
              </w:rPr>
              <w:t>时间及地点要求：</w:t>
            </w:r>
            <w:r>
              <w:rPr>
                <w:rFonts w:hint="eastAsia" w:ascii="宋体" w:hAnsi="宋体" w:cs="宋体"/>
                <w:color w:val="auto"/>
                <w:sz w:val="24"/>
                <w:highlight w:val="none"/>
              </w:rPr>
              <w:t>服务时间为自确定服务商之日起至</w:t>
            </w:r>
            <w:r>
              <w:rPr>
                <w:rFonts w:ascii="宋体" w:hAnsi="宋体" w:eastAsia="宋体" w:cs="宋体"/>
                <w:sz w:val="24"/>
                <w:szCs w:val="24"/>
              </w:rPr>
              <w:t>下一</w:t>
            </w:r>
            <w:bookmarkStart w:id="15" w:name="_GoBack"/>
            <w:bookmarkEnd w:id="15"/>
            <w:r>
              <w:rPr>
                <w:rFonts w:ascii="宋体" w:hAnsi="宋体" w:eastAsia="宋体" w:cs="宋体"/>
                <w:sz w:val="24"/>
                <w:szCs w:val="24"/>
              </w:rPr>
              <w:t>同类服务采购完成之前</w:t>
            </w:r>
            <w:r>
              <w:rPr>
                <w:rFonts w:hint="eastAsia" w:ascii="宋体" w:hAnsi="宋体" w:cs="宋体"/>
                <w:color w:val="auto"/>
                <w:sz w:val="24"/>
                <w:highlight w:val="none"/>
              </w:rPr>
              <w:t>，服务地点为</w:t>
            </w:r>
            <w:r>
              <w:rPr>
                <w:rFonts w:hint="eastAsia" w:ascii="宋体" w:hAnsi="宋体" w:cs="宋体"/>
                <w:color w:val="auto"/>
                <w:sz w:val="24"/>
                <w:highlight w:val="none"/>
                <w:lang w:eastAsia="zh-CN"/>
              </w:rPr>
              <w:t>柳州局及所辖站点</w:t>
            </w:r>
            <w:r>
              <w:rPr>
                <w:rFonts w:hint="eastAsia" w:ascii="宋体" w:hAnsi="宋体" w:cs="宋体"/>
                <w:color w:val="auto"/>
                <w:sz w:val="24"/>
                <w:highlight w:val="none"/>
                <w:lang w:val="en-US" w:eastAsia="zh-CN"/>
              </w:rPr>
              <w:t>。</w:t>
            </w:r>
          </w:p>
          <w:p>
            <w:pPr>
              <w:widowControl/>
              <w:textAlignment w:val="center"/>
              <w:rPr>
                <w:rFonts w:ascii="宋体" w:hAnsi="宋体"/>
                <w:color w:val="auto"/>
                <w:sz w:val="24"/>
                <w:highlight w:val="none"/>
              </w:rPr>
            </w:pPr>
          </w:p>
        </w:tc>
        <w:tc>
          <w:tcPr>
            <w:tcW w:w="2046" w:type="dxa"/>
            <w:tcBorders>
              <w:tl2br w:val="nil"/>
              <w:tr2bl w:val="nil"/>
            </w:tcBorders>
            <w:shd w:val="clear" w:color="auto" w:fill="auto"/>
            <w:vAlign w:val="center"/>
          </w:tcPr>
          <w:p>
            <w:pPr>
              <w:jc w:val="center"/>
              <w:rPr>
                <w:rFonts w:asciiTheme="minorEastAsia" w:hAnsiTheme="minorEastAsia" w:eastAsiaTheme="minorEastAsia" w:cstheme="minorEastAsia"/>
                <w:color w:val="auto"/>
                <w:sz w:val="24"/>
                <w:highlight w:val="none"/>
              </w:rPr>
            </w:pPr>
          </w:p>
        </w:tc>
      </w:tr>
    </w:tbl>
    <w:p>
      <w:pPr>
        <w:spacing w:line="360" w:lineRule="auto"/>
        <w:jc w:val="left"/>
        <w:outlineLvl w:val="5"/>
        <w:rPr>
          <w:color w:val="auto"/>
          <w:kern w:val="0"/>
          <w:sz w:val="24"/>
          <w:highlight w:val="none"/>
        </w:rPr>
      </w:pPr>
    </w:p>
    <w:p>
      <w:pPr>
        <w:tabs>
          <w:tab w:val="left" w:pos="7180"/>
          <w:tab w:val="left" w:pos="7601"/>
        </w:tabs>
        <w:spacing w:line="360" w:lineRule="auto"/>
        <w:jc w:val="right"/>
        <w:rPr>
          <w:color w:val="auto"/>
          <w:spacing w:val="-1"/>
          <w:kern w:val="0"/>
          <w:sz w:val="24"/>
          <w:highlight w:val="none"/>
          <w:lang w:val="zh-CN"/>
        </w:rPr>
      </w:pPr>
      <w:r>
        <w:rPr>
          <w:rFonts w:hint="eastAsia"/>
          <w:color w:val="auto"/>
          <w:spacing w:val="-1"/>
          <w:kern w:val="0"/>
          <w:sz w:val="24"/>
          <w:highlight w:val="none"/>
          <w:lang w:val="zh-CN"/>
        </w:rPr>
        <w:t>报价单位：</w:t>
      </w:r>
      <w:r>
        <w:rPr>
          <w:color w:val="auto"/>
          <w:spacing w:val="-1"/>
          <w:kern w:val="0"/>
          <w:sz w:val="24"/>
          <w:highlight w:val="none"/>
          <w:u w:val="single" w:color="000000"/>
          <w:lang w:val="zh-CN"/>
        </w:rPr>
        <w:t xml:space="preserve">               </w:t>
      </w:r>
      <w:r>
        <w:rPr>
          <w:rFonts w:hint="eastAsia"/>
          <w:color w:val="auto"/>
          <w:kern w:val="0"/>
          <w:sz w:val="24"/>
          <w:highlight w:val="none"/>
          <w:lang w:val="zh-CN"/>
        </w:rPr>
        <w:t>（盖单位章）</w:t>
      </w:r>
    </w:p>
    <w:p>
      <w:pPr>
        <w:tabs>
          <w:tab w:val="left" w:pos="7180"/>
          <w:tab w:val="left" w:pos="7601"/>
        </w:tabs>
        <w:spacing w:line="360" w:lineRule="auto"/>
        <w:jc w:val="right"/>
        <w:rPr>
          <w:color w:val="auto"/>
          <w:kern w:val="0"/>
          <w:sz w:val="24"/>
          <w:highlight w:val="none"/>
          <w:lang w:val="zh-CN"/>
        </w:rPr>
      </w:pPr>
      <w:r>
        <w:rPr>
          <w:rFonts w:hint="eastAsia"/>
          <w:color w:val="auto"/>
          <w:spacing w:val="-1"/>
          <w:kern w:val="0"/>
          <w:sz w:val="24"/>
          <w:highlight w:val="none"/>
          <w:lang w:val="zh-CN"/>
        </w:rPr>
        <w:t>法定代表人或授权代表：</w:t>
      </w:r>
      <w:r>
        <w:rPr>
          <w:rFonts w:hint="eastAsia"/>
          <w:color w:val="auto"/>
          <w:spacing w:val="-1"/>
          <w:kern w:val="0"/>
          <w:sz w:val="24"/>
          <w:highlight w:val="none"/>
          <w:u w:val="single" w:color="000000"/>
          <w:lang w:val="zh-CN"/>
        </w:rPr>
        <w:t xml:space="preserve">      </w:t>
      </w:r>
      <w:r>
        <w:rPr>
          <w:color w:val="auto"/>
          <w:spacing w:val="-1"/>
          <w:kern w:val="0"/>
          <w:sz w:val="24"/>
          <w:highlight w:val="none"/>
          <w:u w:val="single" w:color="000000"/>
          <w:lang w:val="zh-CN"/>
        </w:rPr>
        <w:t xml:space="preserve">  </w:t>
      </w:r>
      <w:r>
        <w:rPr>
          <w:rFonts w:hint="eastAsia"/>
          <w:color w:val="auto"/>
          <w:kern w:val="0"/>
          <w:sz w:val="24"/>
          <w:highlight w:val="none"/>
          <w:lang w:val="zh-CN"/>
        </w:rPr>
        <w:t>（签字）</w:t>
      </w:r>
    </w:p>
    <w:p>
      <w:pPr>
        <w:tabs>
          <w:tab w:val="left" w:pos="525"/>
          <w:tab w:val="left" w:pos="1051"/>
        </w:tabs>
        <w:wordWrap w:val="0"/>
        <w:spacing w:line="360" w:lineRule="auto"/>
        <w:jc w:val="right"/>
        <w:rPr>
          <w:color w:val="auto"/>
          <w:kern w:val="0"/>
          <w:sz w:val="24"/>
          <w:highlight w:val="none"/>
          <w:lang w:val="zh-CN"/>
        </w:rPr>
      </w:pPr>
    </w:p>
    <w:p>
      <w:pPr>
        <w:tabs>
          <w:tab w:val="left" w:pos="722"/>
          <w:tab w:val="left" w:pos="1323"/>
        </w:tabs>
        <w:spacing w:line="360" w:lineRule="auto"/>
        <w:jc w:val="right"/>
        <w:rPr>
          <w:rFonts w:hint="eastAsia"/>
          <w:color w:val="auto"/>
          <w:kern w:val="0"/>
          <w:sz w:val="24"/>
          <w:highlight w:val="none"/>
          <w:lang w:val="zh-CN"/>
        </w:rPr>
      </w:pPr>
      <w:r>
        <w:rPr>
          <w:rFonts w:hint="eastAsia"/>
          <w:color w:val="auto"/>
          <w:kern w:val="0"/>
          <w:sz w:val="24"/>
          <w:highlight w:val="none"/>
          <w:lang w:val="zh-CN"/>
        </w:rPr>
        <w:t>年</w:t>
      </w:r>
      <w:r>
        <w:rPr>
          <w:color w:val="auto"/>
          <w:kern w:val="0"/>
          <w:sz w:val="24"/>
          <w:highlight w:val="none"/>
          <w:lang w:val="zh-CN"/>
        </w:rPr>
        <w:t xml:space="preserve">      </w:t>
      </w:r>
      <w:r>
        <w:rPr>
          <w:rFonts w:hint="eastAsia"/>
          <w:color w:val="auto"/>
          <w:kern w:val="0"/>
          <w:sz w:val="24"/>
          <w:highlight w:val="none"/>
          <w:lang w:val="zh-CN"/>
        </w:rPr>
        <w:t>月</w:t>
      </w:r>
      <w:r>
        <w:rPr>
          <w:color w:val="auto"/>
          <w:kern w:val="0"/>
          <w:sz w:val="24"/>
          <w:highlight w:val="none"/>
          <w:lang w:val="zh-CN"/>
        </w:rPr>
        <w:t xml:space="preserve">      </w:t>
      </w:r>
      <w:r>
        <w:rPr>
          <w:rFonts w:hint="eastAsia"/>
          <w:color w:val="auto"/>
          <w:kern w:val="0"/>
          <w:sz w:val="24"/>
          <w:highlight w:val="none"/>
          <w:lang w:val="zh-CN"/>
        </w:rPr>
        <w:t>日</w:t>
      </w:r>
    </w:p>
    <w:p>
      <w:pPr>
        <w:rPr>
          <w:rFonts w:hint="eastAsia"/>
          <w:color w:val="auto"/>
          <w:kern w:val="0"/>
          <w:sz w:val="24"/>
          <w:highlight w:val="none"/>
          <w:lang w:val="zh-CN"/>
        </w:rPr>
      </w:pPr>
      <w:r>
        <w:rPr>
          <w:rFonts w:hint="eastAsia"/>
          <w:color w:val="auto"/>
          <w:kern w:val="0"/>
          <w:sz w:val="24"/>
          <w:highlight w:val="none"/>
          <w:lang w:val="zh-CN"/>
        </w:rPr>
        <w:br w:type="page"/>
      </w:r>
    </w:p>
    <w:p>
      <w:pPr>
        <w:spacing w:line="360" w:lineRule="auto"/>
        <w:ind w:firstLine="2506"/>
        <w:jc w:val="left"/>
        <w:outlineLvl w:val="5"/>
        <w:rPr>
          <w:b/>
          <w:bCs/>
          <w:color w:val="auto"/>
          <w:spacing w:val="13"/>
          <w:kern w:val="0"/>
          <w:sz w:val="28"/>
          <w:szCs w:val="28"/>
          <w:highlight w:val="none"/>
        </w:rPr>
      </w:pPr>
      <w:r>
        <w:rPr>
          <w:rFonts w:hint="eastAsia"/>
          <w:b/>
          <w:bCs/>
          <w:color w:val="auto"/>
          <w:spacing w:val="13"/>
          <w:kern w:val="0"/>
          <w:sz w:val="28"/>
          <w:szCs w:val="28"/>
          <w:highlight w:val="none"/>
        </w:rPr>
        <w:t>相关资质文件（复印件）</w:t>
      </w:r>
    </w:p>
    <w:p>
      <w:pPr>
        <w:spacing w:line="360" w:lineRule="auto"/>
        <w:jc w:val="center"/>
        <w:outlineLvl w:val="5"/>
        <w:rPr>
          <w:rFonts w:hint="default" w:ascii="宋体" w:hAnsi="宋体"/>
          <w:color w:val="auto"/>
          <w:sz w:val="24"/>
          <w:highlight w:val="none"/>
          <w:lang w:val="en-US" w:eastAsia="zh-CN"/>
        </w:rPr>
      </w:pPr>
      <w:r>
        <w:rPr>
          <w:rFonts w:hint="eastAsia" w:ascii="宋体" w:hAnsi="宋体"/>
          <w:bCs/>
          <w:color w:val="auto"/>
          <w:spacing w:val="15"/>
          <w:szCs w:val="21"/>
          <w:highlight w:val="none"/>
        </w:rPr>
        <w:t>包括但不限于：企业法人营业执照（三证合一）</w:t>
      </w:r>
      <w:r>
        <w:rPr>
          <w:rFonts w:hint="eastAsia" w:ascii="宋体" w:hAnsi="宋体"/>
          <w:bCs/>
          <w:color w:val="auto"/>
          <w:szCs w:val="21"/>
          <w:highlight w:val="none"/>
        </w:rPr>
        <w:t>等资质文件。</w:t>
      </w:r>
    </w:p>
    <w:sectPr>
      <w:pgSz w:w="11906" w:h="16838"/>
      <w:pgMar w:top="1440" w:right="1803" w:bottom="1440" w:left="1803" w:header="851" w:footer="992" w:gutter="0"/>
      <w:pgNumType w:fmt="decimal"/>
      <w:cols w:space="0" w:num="1"/>
      <w:rtlGutter w:val="0"/>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汉仪大宋简">
    <w:altName w:val="宋体"/>
    <w:panose1 w:val="00000000000000000000"/>
    <w:charset w:val="86"/>
    <w:family w:val="modern"/>
    <w:pitch w:val="default"/>
    <w:sig w:usb0="00000000" w:usb1="00000000" w:usb2="00000012" w:usb3="00000000" w:csb0="00040000" w:csb1="00000000"/>
  </w:font>
  <w:font w:name="Cambria">
    <w:panose1 w:val="02040503050406030204"/>
    <w:charset w:val="00"/>
    <w:family w:val="roman"/>
    <w:pitch w:val="default"/>
    <w:sig w:usb0="E00002FF" w:usb1="400004FF" w:usb2="00000000" w:usb3="00000000" w:csb0="2000019F" w:csb1="00000000"/>
  </w:font>
  <w:font w:name="方正书宋简体">
    <w:altName w:val="宋体"/>
    <w:panose1 w:val="00000000000000000000"/>
    <w:charset w:val="86"/>
    <w:family w:val="auto"/>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EU-F1">
    <w:altName w:val="宋体"/>
    <w:panose1 w:val="00000000000000000000"/>
    <w:charset w:val="86"/>
    <w:family w:val="script"/>
    <w:pitch w:val="default"/>
    <w:sig w:usb0="00000000" w:usb1="00000000" w:usb2="00000010" w:usb3="00000000" w:csb0="00040000"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rPr>
        <w:sz w:val="21"/>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 共 </w:t>
                          </w:r>
                          <w:r>
                            <w:rPr>
                              <w:rFonts w:hint="eastAsia"/>
                              <w:lang w:val="en-US" w:eastAsia="zh-CN"/>
                            </w:rPr>
                            <w:t>5</w:t>
                          </w:r>
                          <w:r>
                            <w:rPr>
                              <w:rFonts w:hint="eastAsia"/>
                              <w:lang w:eastAsia="zh-CN"/>
                            </w:rP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T72nYy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PvadjICAABjBAAADgAAAAAAAAABACAAAAAfAQAAZHJzL2Uyb0RvYy54bWxQSwUG&#10;AAAAAAYABgBZAQAAwwUAAAAA&#10;">
              <v:fill on="f" focussize="0,0"/>
              <v:stroke on="f" weight="0.5pt"/>
              <v:imagedata o:title=""/>
              <o:lock v:ext="edit" aspectratio="f"/>
              <v:textbox inset="0mm,0mm,0mm,0mm" style="mso-fit-shape-to-text:t;">
                <w:txbxContent>
                  <w:p>
                    <w:pPr>
                      <w:pStyle w:val="13"/>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 共 </w:t>
                    </w:r>
                    <w:r>
                      <w:rPr>
                        <w:rFonts w:hint="eastAsia"/>
                        <w:lang w:val="en-US" w:eastAsia="zh-CN"/>
                      </w:rPr>
                      <w:t>5</w:t>
                    </w:r>
                    <w:r>
                      <w:rPr>
                        <w:rFonts w:hint="eastAsia"/>
                        <w:lang w:eastAsia="zh-CN"/>
                      </w:rPr>
                      <w:t>页</w:t>
                    </w:r>
                  </w:p>
                </w:txbxContent>
              </v:textbox>
            </v:shape>
          </w:pict>
        </mc:Fallback>
      </mc:AlternateContent>
    </w: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sz w:val="1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pPr>
                      <w:snapToGrid w:val="0"/>
                      <w:rPr>
                        <w:sz w:val="18"/>
                      </w:rPr>
                    </w:pPr>
                  </w:p>
                </w:txbxContent>
              </v:textbox>
            </v:shape>
          </w:pict>
        </mc:Fallback>
      </mc:AlternateContent>
    </w: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09601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096010" cy="1828800"/>
                      </a:xfrm>
                      <a:prstGeom prst="rect">
                        <a:avLst/>
                      </a:prstGeom>
                      <a:noFill/>
                      <a:ln w="9525">
                        <a:noFill/>
                      </a:ln>
                    </wps:spPr>
                    <wps:txbx>
                      <w:txbxContent>
                        <w:p>
                          <w:pPr>
                            <w:snapToGrid w:val="0"/>
                            <w:rPr>
                              <w:sz w:val="18"/>
                            </w:rPr>
                          </w:pPr>
                        </w:p>
                      </w:txbxContent>
                    </wps:txbx>
                    <wps:bodyPr lIns="0" tIns="0" rIns="0" bIns="0" upright="1">
                      <a:spAutoFit/>
                    </wps:bodyPr>
                  </wps:wsp>
                </a:graphicData>
              </a:graphic>
            </wp:anchor>
          </w:drawing>
        </mc:Choice>
        <mc:Fallback>
          <w:pict>
            <v:shape id="_x0000_s1026" o:spid="_x0000_s1026" o:spt="202" type="#_x0000_t202" style="position:absolute;left:0pt;margin-top:0pt;height:144pt;width:86.3pt;mso-position-horizontal:center;mso-position-horizontal-relative:margin;z-index:251660288;mso-width-relative:page;mso-height-relative:page;" filled="f" stroked="f" coordsize="21600,21600" o:gfxdata="UEsDBAoAAAAAAIdO4kAAAAAAAAAAAAAAAAAEAAAAZHJzL1BLAwQUAAAACACHTuJAZyCZAtMAAAAF&#10;AQAADwAAAGRycy9kb3ducmV2LnhtbE2PMU/DMBCFdyT+g3VIXRC1nSGENE6HqizdKCxsbnwkUe1z&#10;FLtJ6K/HZYHlpKf39N531XZxlk04ht6TArkWwJAab3pqFXy8vz4VwELUZLT1hAq+McC2vr+rdGn8&#10;TG84HWPLUgmFUivoYhxKzkPTodNh7Qek5H350emY5NhyM+o5lTvLMyFy7nRPaaHTA+46bM7Hi1OQ&#10;L/vh8fCC2Xxt7ESfVykjSqVWD1JsgEVc4l8YbvgJHerEdPIXMoFZBemR+Htv3nOWAzspyIpCAK8r&#10;/p++/gFQSwMEFAAAAAgAh07iQOAe3lbPAQAAlgMAAA4AAABkcnMvZTJvRG9jLnhtbK1TS27bMBDd&#10;F8gdCO5ryQYcOILloIWRoEDRFkhzAJoiLQL8gUNb8gXaG3TVTfc9l8/RISU5QbLJohtqyJl5894j&#10;tb7tjSZHEUA5W9P5rKREWO4aZfc1ffx+935FCURmG6adFTU9CaC3m6t3685XYuFapxsRCIJYqDpf&#10;0zZGXxUF8FYYBjPnhcWkdMGwiNuwL5rAOkQ3uliU5XXRudD44LgAwNPtkKQjYngLoJNScbF1/GCE&#10;jQNqEJpFlASt8kA3ma2UgsevUoKIRNcUlca84hCMd2ktNmtW7QPzreIjBfYWCi80GaYsDr1AbVlk&#10;5BDUKyijeHDgZJxxZ4pBSHYEVczLF948tMyLrAWtBn8xHf4fLP9y/BaIamq6pMQygxd+/vXz/Pvv&#10;+c8Pskz2dB4qrHrwWBf7j67HRzOdAx4m1b0MJn1RD8E8mnu6mCv6SHhqKm+uUSIlHHPz1WK1KrP9&#10;xVO7DxDvhTMkBTUNeHvZVHb8DBGpYOlUkqZZd6e0zjeoLelqerNcLHPDJYMd2mJjEjGQTVHsd/2o&#10;bOeaEwrTnyyamh7IFIQp2E3BwQe1b5HXPM8A/+EQkUEmllAHqHEYXlfmOz6t9B6e73PV0++0+Qd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BnIJkC0wAAAAUBAAAPAAAAAAAAAAEAIAAAACIAAABkcnMv&#10;ZG93bnJldi54bWxQSwECFAAUAAAACACHTuJA4B7eVs8BAACWAwAADgAAAAAAAAABACAAAAAiAQAA&#10;ZHJzL2Uyb0RvYy54bWxQSwUGAAAAAAYABgBZAQAAYwUAAAAA&#10;">
              <v:fill on="f" focussize="0,0"/>
              <v:stroke on="f"/>
              <v:imagedata o:title=""/>
              <o:lock v:ext="edit" aspectratio="f"/>
              <v:textbox inset="0mm,0mm,0mm,0mm" style="mso-fit-shape-to-text:t;">
                <w:txbxContent>
                  <w:p>
                    <w:pPr>
                      <w:snapToGrid w:val="0"/>
                      <w:rPr>
                        <w:sz w:val="18"/>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Bdr>
        <w:bottom w:val="none" w:color="auto" w:sz="0" w:space="0"/>
      </w:pBdr>
    </w:pPr>
  </w:p>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1B"/>
    <w:multiLevelType w:val="multilevel"/>
    <w:tmpl w:val="0000001B"/>
    <w:lvl w:ilvl="0" w:tentative="0">
      <w:start w:val="1"/>
      <w:numFmt w:val="none"/>
      <w:pStyle w:val="3"/>
      <w:lvlText w:val="11"/>
      <w:lvlJc w:val="left"/>
      <w:pPr>
        <w:tabs>
          <w:tab w:val="left" w:pos="425"/>
        </w:tabs>
        <w:ind w:left="0" w:firstLine="0"/>
      </w:pPr>
      <w:rPr>
        <w:rFonts w:hint="eastAsia"/>
      </w:rPr>
    </w:lvl>
    <w:lvl w:ilvl="1" w:tentative="0">
      <w:start w:val="1"/>
      <w:numFmt w:val="upperLetter"/>
      <w:pStyle w:val="4"/>
      <w:lvlText w:val="%2."/>
      <w:lvlJc w:val="left"/>
      <w:pPr>
        <w:tabs>
          <w:tab w:val="left" w:pos="1276"/>
        </w:tabs>
        <w:ind w:left="851" w:firstLine="0"/>
      </w:pPr>
      <w:rPr>
        <w:rFonts w:hint="eastAsia"/>
      </w:rPr>
    </w:lvl>
    <w:lvl w:ilvl="2" w:tentative="0">
      <w:start w:val="1"/>
      <w:numFmt w:val="decimal"/>
      <w:lvlText w:val="%3."/>
      <w:lvlJc w:val="left"/>
      <w:pPr>
        <w:tabs>
          <w:tab w:val="left" w:pos="2126"/>
        </w:tabs>
        <w:ind w:left="1701" w:firstLine="0"/>
      </w:pPr>
      <w:rPr>
        <w:rFonts w:hint="eastAsia"/>
      </w:rPr>
    </w:lvl>
    <w:lvl w:ilvl="3" w:tentative="0">
      <w:start w:val="1"/>
      <w:numFmt w:val="lowerLetter"/>
      <w:lvlText w:val="%4)"/>
      <w:lvlJc w:val="left"/>
      <w:pPr>
        <w:tabs>
          <w:tab w:val="left" w:pos="2976"/>
        </w:tabs>
        <w:ind w:left="2551" w:firstLine="0"/>
      </w:pPr>
      <w:rPr>
        <w:rFonts w:hint="eastAsia"/>
      </w:rPr>
    </w:lvl>
    <w:lvl w:ilvl="4" w:tentative="0">
      <w:start w:val="1"/>
      <w:numFmt w:val="decimal"/>
      <w:lvlText w:val="(%5)"/>
      <w:lvlJc w:val="left"/>
      <w:pPr>
        <w:tabs>
          <w:tab w:val="left" w:pos="3827"/>
        </w:tabs>
        <w:ind w:left="3402" w:firstLine="0"/>
      </w:pPr>
      <w:rPr>
        <w:rFonts w:hint="eastAsia"/>
      </w:rPr>
    </w:lvl>
    <w:lvl w:ilvl="5" w:tentative="0">
      <w:start w:val="1"/>
      <w:numFmt w:val="lowerLetter"/>
      <w:lvlText w:val="(%6)"/>
      <w:lvlJc w:val="left"/>
      <w:pPr>
        <w:tabs>
          <w:tab w:val="left" w:pos="4677"/>
        </w:tabs>
        <w:ind w:left="4252" w:firstLine="0"/>
      </w:pPr>
      <w:rPr>
        <w:rFonts w:hint="eastAsia"/>
      </w:rPr>
    </w:lvl>
    <w:lvl w:ilvl="6" w:tentative="0">
      <w:start w:val="1"/>
      <w:numFmt w:val="lowerRoman"/>
      <w:lvlText w:val="(%7)"/>
      <w:lvlJc w:val="left"/>
      <w:pPr>
        <w:tabs>
          <w:tab w:val="left" w:pos="5528"/>
        </w:tabs>
        <w:ind w:left="5102" w:firstLine="0"/>
      </w:pPr>
      <w:rPr>
        <w:rFonts w:hint="eastAsia"/>
      </w:rPr>
    </w:lvl>
    <w:lvl w:ilvl="7" w:tentative="0">
      <w:start w:val="1"/>
      <w:numFmt w:val="lowerLetter"/>
      <w:lvlText w:val="(%8)"/>
      <w:lvlJc w:val="left"/>
      <w:pPr>
        <w:tabs>
          <w:tab w:val="left" w:pos="6378"/>
        </w:tabs>
        <w:ind w:left="5953" w:firstLine="0"/>
      </w:pPr>
      <w:rPr>
        <w:rFonts w:hint="eastAsia"/>
      </w:rPr>
    </w:lvl>
    <w:lvl w:ilvl="8" w:tentative="0">
      <w:start w:val="1"/>
      <w:numFmt w:val="lowerRoman"/>
      <w:lvlText w:val="(%9)"/>
      <w:lvlJc w:val="left"/>
      <w:pPr>
        <w:tabs>
          <w:tab w:val="left" w:pos="7228"/>
        </w:tabs>
        <w:ind w:left="6803" w:firstLine="0"/>
      </w:pPr>
      <w:rPr>
        <w:rFonts w:hint="eastAsia"/>
      </w:rPr>
    </w:lvl>
  </w:abstractNum>
  <w:abstractNum w:abstractNumId="1">
    <w:nsid w:val="57854CC9"/>
    <w:multiLevelType w:val="multilevel"/>
    <w:tmpl w:val="57854CC9"/>
    <w:lvl w:ilvl="0" w:tentative="0">
      <w:start w:val="1"/>
      <w:numFmt w:val="decimal"/>
      <w:pStyle w:val="52"/>
      <w:lvlText w:val="%1"/>
      <w:lvlJc w:val="left"/>
      <w:pPr>
        <w:ind w:left="425" w:hanging="425"/>
      </w:pPr>
      <w:rPr>
        <w:rFonts w:hint="eastAsia" w:cs="Times New Roman"/>
        <w:sz w:val="21"/>
        <w:szCs w:val="21"/>
      </w:rPr>
    </w:lvl>
    <w:lvl w:ilvl="1" w:tentative="0">
      <w:start w:val="1"/>
      <w:numFmt w:val="decimal"/>
      <w:pStyle w:val="47"/>
      <w:lvlText w:val="%1.%2"/>
      <w:lvlJc w:val="left"/>
      <w:pPr>
        <w:ind w:left="567" w:hanging="425"/>
      </w:pPr>
      <w:rPr>
        <w:rFonts w:hint="eastAsia" w:cs="Times New Roman"/>
        <w:sz w:val="21"/>
        <w:szCs w:val="21"/>
      </w:rPr>
    </w:lvl>
    <w:lvl w:ilvl="2" w:tentative="0">
      <w:start w:val="1"/>
      <w:numFmt w:val="decimal"/>
      <w:lvlText w:val="%1.%2.%3"/>
      <w:lvlJc w:val="left"/>
      <w:pPr>
        <w:ind w:left="851" w:hanging="851"/>
      </w:pPr>
      <w:rPr>
        <w:rFonts w:hint="eastAsia" w:cs="Times New Roman"/>
      </w:rPr>
    </w:lvl>
    <w:lvl w:ilvl="3" w:tentative="0">
      <w:start w:val="1"/>
      <w:numFmt w:val="decimal"/>
      <w:lvlText w:val="%1.%2.%3.%4"/>
      <w:lvlJc w:val="left"/>
      <w:pPr>
        <w:ind w:left="1276" w:hanging="1276"/>
      </w:pPr>
      <w:rPr>
        <w:rFonts w:hint="eastAsia" w:cs="Times New Roman"/>
      </w:rPr>
    </w:lvl>
    <w:lvl w:ilvl="4" w:tentative="0">
      <w:start w:val="1"/>
      <w:numFmt w:val="decimal"/>
      <w:lvlText w:val="%1.%2.%3.%4.%5"/>
      <w:lvlJc w:val="left"/>
      <w:pPr>
        <w:ind w:left="2551" w:hanging="850"/>
      </w:pPr>
      <w:rPr>
        <w:rFonts w:hint="eastAsia" w:cs="Times New Roman"/>
      </w:rPr>
    </w:lvl>
    <w:lvl w:ilvl="5" w:tentative="0">
      <w:start w:val="1"/>
      <w:numFmt w:val="decimal"/>
      <w:lvlText w:val="%1.%2.%3.%4.%5.%6"/>
      <w:lvlJc w:val="left"/>
      <w:pPr>
        <w:ind w:left="3260" w:hanging="1134"/>
      </w:pPr>
      <w:rPr>
        <w:rFonts w:hint="eastAsia" w:cs="Times New Roman"/>
      </w:rPr>
    </w:lvl>
    <w:lvl w:ilvl="6" w:tentative="0">
      <w:start w:val="1"/>
      <w:numFmt w:val="decimal"/>
      <w:lvlText w:val="%1.%2.%3.%4.%5.%6.%7"/>
      <w:lvlJc w:val="left"/>
      <w:pPr>
        <w:ind w:left="3827" w:hanging="1276"/>
      </w:pPr>
      <w:rPr>
        <w:rFonts w:hint="eastAsia" w:cs="Times New Roman"/>
      </w:rPr>
    </w:lvl>
    <w:lvl w:ilvl="7" w:tentative="0">
      <w:start w:val="1"/>
      <w:numFmt w:val="decimal"/>
      <w:lvlText w:val="%1.%2.%3.%4.%5.%6.%7.%8"/>
      <w:lvlJc w:val="left"/>
      <w:pPr>
        <w:ind w:left="4394" w:hanging="1418"/>
      </w:pPr>
      <w:rPr>
        <w:rFonts w:hint="eastAsia" w:cs="Times New Roman"/>
      </w:rPr>
    </w:lvl>
    <w:lvl w:ilvl="8" w:tentative="0">
      <w:start w:val="1"/>
      <w:numFmt w:val="decimal"/>
      <w:lvlText w:val="%1.%2.%3.%4.%5.%6.%7.%8.%9"/>
      <w:lvlJc w:val="left"/>
      <w:pPr>
        <w:ind w:left="5102" w:hanging="1700"/>
      </w:pPr>
      <w:rPr>
        <w:rFonts w:hint="eastAsia"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0"/>
  <w:bordersDoNotSurroundFooter w:val="0"/>
  <w:documentProtection w:enforcement="0"/>
  <w:defaultTabStop w:val="42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0C0C"/>
    <w:rsid w:val="000342AC"/>
    <w:rsid w:val="000872FD"/>
    <w:rsid w:val="00095578"/>
    <w:rsid w:val="000A66A7"/>
    <w:rsid w:val="000F2DDF"/>
    <w:rsid w:val="00116E19"/>
    <w:rsid w:val="001401FF"/>
    <w:rsid w:val="00141576"/>
    <w:rsid w:val="0018645D"/>
    <w:rsid w:val="001D7B66"/>
    <w:rsid w:val="0020233D"/>
    <w:rsid w:val="003008FE"/>
    <w:rsid w:val="00365916"/>
    <w:rsid w:val="003E3323"/>
    <w:rsid w:val="004913D8"/>
    <w:rsid w:val="004938A7"/>
    <w:rsid w:val="0060730C"/>
    <w:rsid w:val="00610134"/>
    <w:rsid w:val="00611AAA"/>
    <w:rsid w:val="00630461"/>
    <w:rsid w:val="006A222E"/>
    <w:rsid w:val="00700C0C"/>
    <w:rsid w:val="008444B1"/>
    <w:rsid w:val="008D1F6F"/>
    <w:rsid w:val="008E5C9A"/>
    <w:rsid w:val="0091043B"/>
    <w:rsid w:val="009B63E3"/>
    <w:rsid w:val="009B64F0"/>
    <w:rsid w:val="009C13CE"/>
    <w:rsid w:val="009C2B09"/>
    <w:rsid w:val="009E26B5"/>
    <w:rsid w:val="00A00FD5"/>
    <w:rsid w:val="00A276B2"/>
    <w:rsid w:val="00A465FA"/>
    <w:rsid w:val="00A7008F"/>
    <w:rsid w:val="00A73D90"/>
    <w:rsid w:val="00B42C10"/>
    <w:rsid w:val="00BE0E55"/>
    <w:rsid w:val="00C61456"/>
    <w:rsid w:val="00DB2F76"/>
    <w:rsid w:val="00DE3D98"/>
    <w:rsid w:val="00EC56DD"/>
    <w:rsid w:val="00F04019"/>
    <w:rsid w:val="00FE4E68"/>
    <w:rsid w:val="01A40F8A"/>
    <w:rsid w:val="01D36C84"/>
    <w:rsid w:val="02BF6D4A"/>
    <w:rsid w:val="02E84E1B"/>
    <w:rsid w:val="03473341"/>
    <w:rsid w:val="039A1E76"/>
    <w:rsid w:val="04501704"/>
    <w:rsid w:val="046B4A83"/>
    <w:rsid w:val="04CA6BD2"/>
    <w:rsid w:val="04FA303C"/>
    <w:rsid w:val="059852A9"/>
    <w:rsid w:val="05B67AF4"/>
    <w:rsid w:val="05CD2719"/>
    <w:rsid w:val="05F41940"/>
    <w:rsid w:val="05F96DC2"/>
    <w:rsid w:val="060804A0"/>
    <w:rsid w:val="060F4BD6"/>
    <w:rsid w:val="064A46A9"/>
    <w:rsid w:val="066B5C60"/>
    <w:rsid w:val="06910EC7"/>
    <w:rsid w:val="06AB0929"/>
    <w:rsid w:val="070A0B6B"/>
    <w:rsid w:val="07961E4E"/>
    <w:rsid w:val="079973BB"/>
    <w:rsid w:val="08B379B6"/>
    <w:rsid w:val="08B76F6B"/>
    <w:rsid w:val="08D01A69"/>
    <w:rsid w:val="092B66C0"/>
    <w:rsid w:val="095B0EE9"/>
    <w:rsid w:val="09B91536"/>
    <w:rsid w:val="09BD193B"/>
    <w:rsid w:val="0A07485D"/>
    <w:rsid w:val="0A5C68BB"/>
    <w:rsid w:val="0A726C5D"/>
    <w:rsid w:val="0A911DA6"/>
    <w:rsid w:val="0A9C5575"/>
    <w:rsid w:val="0AB60694"/>
    <w:rsid w:val="0B3145BB"/>
    <w:rsid w:val="0B5308D4"/>
    <w:rsid w:val="0B62608C"/>
    <w:rsid w:val="0BF7440E"/>
    <w:rsid w:val="0C183058"/>
    <w:rsid w:val="0C863536"/>
    <w:rsid w:val="0C8849AD"/>
    <w:rsid w:val="0C95712B"/>
    <w:rsid w:val="0C9E193A"/>
    <w:rsid w:val="0CBD44D5"/>
    <w:rsid w:val="0CC4072B"/>
    <w:rsid w:val="0CF24637"/>
    <w:rsid w:val="0CFD0263"/>
    <w:rsid w:val="0DF517DA"/>
    <w:rsid w:val="0E2B54C7"/>
    <w:rsid w:val="0E8F38EB"/>
    <w:rsid w:val="0F52610E"/>
    <w:rsid w:val="0F7B2D38"/>
    <w:rsid w:val="0FF27226"/>
    <w:rsid w:val="10090346"/>
    <w:rsid w:val="100E20E9"/>
    <w:rsid w:val="10181260"/>
    <w:rsid w:val="108F47AF"/>
    <w:rsid w:val="109C7D56"/>
    <w:rsid w:val="11260E5C"/>
    <w:rsid w:val="11325498"/>
    <w:rsid w:val="11727245"/>
    <w:rsid w:val="11797585"/>
    <w:rsid w:val="117A2B74"/>
    <w:rsid w:val="11911CAE"/>
    <w:rsid w:val="11C13F63"/>
    <w:rsid w:val="11C4398B"/>
    <w:rsid w:val="11DD40A3"/>
    <w:rsid w:val="124B085A"/>
    <w:rsid w:val="127C43FA"/>
    <w:rsid w:val="12E542C2"/>
    <w:rsid w:val="13340E23"/>
    <w:rsid w:val="13674243"/>
    <w:rsid w:val="1376193B"/>
    <w:rsid w:val="13AF2A62"/>
    <w:rsid w:val="140E14EE"/>
    <w:rsid w:val="1479174C"/>
    <w:rsid w:val="14A53C48"/>
    <w:rsid w:val="14C13416"/>
    <w:rsid w:val="15031A58"/>
    <w:rsid w:val="15043F04"/>
    <w:rsid w:val="15127864"/>
    <w:rsid w:val="153E2707"/>
    <w:rsid w:val="155E747D"/>
    <w:rsid w:val="15CE0DB9"/>
    <w:rsid w:val="161F112E"/>
    <w:rsid w:val="163D0A11"/>
    <w:rsid w:val="16A076A8"/>
    <w:rsid w:val="16E17FD7"/>
    <w:rsid w:val="17087877"/>
    <w:rsid w:val="170F3531"/>
    <w:rsid w:val="17192215"/>
    <w:rsid w:val="17292A78"/>
    <w:rsid w:val="178D1DDC"/>
    <w:rsid w:val="179B5A2D"/>
    <w:rsid w:val="17F90724"/>
    <w:rsid w:val="18377B1D"/>
    <w:rsid w:val="187E67B4"/>
    <w:rsid w:val="188E7C69"/>
    <w:rsid w:val="18C10B6A"/>
    <w:rsid w:val="18DB7358"/>
    <w:rsid w:val="18DC7149"/>
    <w:rsid w:val="18E65311"/>
    <w:rsid w:val="194873EC"/>
    <w:rsid w:val="19775419"/>
    <w:rsid w:val="197E0408"/>
    <w:rsid w:val="1B0A4145"/>
    <w:rsid w:val="1B7A6B81"/>
    <w:rsid w:val="1C27355C"/>
    <w:rsid w:val="1C3C4358"/>
    <w:rsid w:val="1C601D9D"/>
    <w:rsid w:val="1C9B0B55"/>
    <w:rsid w:val="1D244647"/>
    <w:rsid w:val="1D7651D8"/>
    <w:rsid w:val="1D792C9F"/>
    <w:rsid w:val="1E0A47EB"/>
    <w:rsid w:val="1E41056E"/>
    <w:rsid w:val="1E425E07"/>
    <w:rsid w:val="1E616B96"/>
    <w:rsid w:val="1EA91661"/>
    <w:rsid w:val="1ED95875"/>
    <w:rsid w:val="1EF814B6"/>
    <w:rsid w:val="1FB61E73"/>
    <w:rsid w:val="1FC82897"/>
    <w:rsid w:val="1FEA2DF0"/>
    <w:rsid w:val="202A5DF5"/>
    <w:rsid w:val="205639A3"/>
    <w:rsid w:val="205C6FC7"/>
    <w:rsid w:val="207A4B27"/>
    <w:rsid w:val="20C2474B"/>
    <w:rsid w:val="20DE7F97"/>
    <w:rsid w:val="21086AC5"/>
    <w:rsid w:val="21164180"/>
    <w:rsid w:val="213F6240"/>
    <w:rsid w:val="21D11228"/>
    <w:rsid w:val="21D65FA3"/>
    <w:rsid w:val="21EA76D2"/>
    <w:rsid w:val="22410CA3"/>
    <w:rsid w:val="230D5F83"/>
    <w:rsid w:val="231435E3"/>
    <w:rsid w:val="2325177D"/>
    <w:rsid w:val="237A7C95"/>
    <w:rsid w:val="2404685B"/>
    <w:rsid w:val="24147F02"/>
    <w:rsid w:val="242C1836"/>
    <w:rsid w:val="24DA55B7"/>
    <w:rsid w:val="256511FA"/>
    <w:rsid w:val="26B143E9"/>
    <w:rsid w:val="26C64B0B"/>
    <w:rsid w:val="26CF68D5"/>
    <w:rsid w:val="26D06059"/>
    <w:rsid w:val="27301C3D"/>
    <w:rsid w:val="27981887"/>
    <w:rsid w:val="27F77F60"/>
    <w:rsid w:val="289663AC"/>
    <w:rsid w:val="291D3964"/>
    <w:rsid w:val="298B6166"/>
    <w:rsid w:val="29D439C5"/>
    <w:rsid w:val="29F6505D"/>
    <w:rsid w:val="29F71DCE"/>
    <w:rsid w:val="2A5D4013"/>
    <w:rsid w:val="2A73216B"/>
    <w:rsid w:val="2AE728D8"/>
    <w:rsid w:val="2B3E6D0C"/>
    <w:rsid w:val="2B9932D9"/>
    <w:rsid w:val="2BB6604C"/>
    <w:rsid w:val="2BE76C7E"/>
    <w:rsid w:val="2C4634F8"/>
    <w:rsid w:val="2C8A7F2A"/>
    <w:rsid w:val="2CA351F8"/>
    <w:rsid w:val="2CDE5006"/>
    <w:rsid w:val="2CE0294C"/>
    <w:rsid w:val="2DDB37E6"/>
    <w:rsid w:val="2E0A0EFD"/>
    <w:rsid w:val="2E9D0FDA"/>
    <w:rsid w:val="2EE60F29"/>
    <w:rsid w:val="2F393534"/>
    <w:rsid w:val="2F3C75DF"/>
    <w:rsid w:val="2F4D7950"/>
    <w:rsid w:val="2F4D7F13"/>
    <w:rsid w:val="2F5C0B8A"/>
    <w:rsid w:val="2FD21CB1"/>
    <w:rsid w:val="2FF676AB"/>
    <w:rsid w:val="300924A8"/>
    <w:rsid w:val="306A2F25"/>
    <w:rsid w:val="30786DD9"/>
    <w:rsid w:val="30B351BB"/>
    <w:rsid w:val="30C42C66"/>
    <w:rsid w:val="30D83BD1"/>
    <w:rsid w:val="30D91360"/>
    <w:rsid w:val="3116556A"/>
    <w:rsid w:val="312D3206"/>
    <w:rsid w:val="31403EEE"/>
    <w:rsid w:val="314C4B41"/>
    <w:rsid w:val="3161392D"/>
    <w:rsid w:val="31F1799F"/>
    <w:rsid w:val="32AC098F"/>
    <w:rsid w:val="32D624B2"/>
    <w:rsid w:val="32FC2794"/>
    <w:rsid w:val="3327180B"/>
    <w:rsid w:val="33591408"/>
    <w:rsid w:val="338E2CB9"/>
    <w:rsid w:val="33AE5DBB"/>
    <w:rsid w:val="33D4600A"/>
    <w:rsid w:val="33E33E76"/>
    <w:rsid w:val="34485725"/>
    <w:rsid w:val="344C3454"/>
    <w:rsid w:val="346C1865"/>
    <w:rsid w:val="349730C3"/>
    <w:rsid w:val="34FB1B75"/>
    <w:rsid w:val="350967C7"/>
    <w:rsid w:val="354F537A"/>
    <w:rsid w:val="35A54830"/>
    <w:rsid w:val="35E26F61"/>
    <w:rsid w:val="365259A0"/>
    <w:rsid w:val="36A93D34"/>
    <w:rsid w:val="36BF4C53"/>
    <w:rsid w:val="36C4459F"/>
    <w:rsid w:val="36CA6E36"/>
    <w:rsid w:val="36CA7098"/>
    <w:rsid w:val="36CE7125"/>
    <w:rsid w:val="36DD06B5"/>
    <w:rsid w:val="38107BBE"/>
    <w:rsid w:val="38180E0D"/>
    <w:rsid w:val="383A560B"/>
    <w:rsid w:val="38592D41"/>
    <w:rsid w:val="38723B01"/>
    <w:rsid w:val="38B17DB0"/>
    <w:rsid w:val="38C252BC"/>
    <w:rsid w:val="391E59B1"/>
    <w:rsid w:val="393307F8"/>
    <w:rsid w:val="39345BEF"/>
    <w:rsid w:val="39902D75"/>
    <w:rsid w:val="399E5A8D"/>
    <w:rsid w:val="39FD6A6D"/>
    <w:rsid w:val="3A5C2D75"/>
    <w:rsid w:val="3A6C425E"/>
    <w:rsid w:val="3A7115CF"/>
    <w:rsid w:val="3A762EA6"/>
    <w:rsid w:val="3AE871ED"/>
    <w:rsid w:val="3B166795"/>
    <w:rsid w:val="3B3A4A72"/>
    <w:rsid w:val="3B426DFA"/>
    <w:rsid w:val="3BFC35AD"/>
    <w:rsid w:val="3C0C0FD1"/>
    <w:rsid w:val="3C0D22F1"/>
    <w:rsid w:val="3C4F3894"/>
    <w:rsid w:val="3CBF09C5"/>
    <w:rsid w:val="3CC9255C"/>
    <w:rsid w:val="3CFD0D4E"/>
    <w:rsid w:val="3CFD24F4"/>
    <w:rsid w:val="3D932ECE"/>
    <w:rsid w:val="3DF002EE"/>
    <w:rsid w:val="3DF6298B"/>
    <w:rsid w:val="3E032F55"/>
    <w:rsid w:val="3E195AFB"/>
    <w:rsid w:val="3E33668E"/>
    <w:rsid w:val="3E5A5D0F"/>
    <w:rsid w:val="3E785EA7"/>
    <w:rsid w:val="3ED24D2D"/>
    <w:rsid w:val="3ED75761"/>
    <w:rsid w:val="3EE60069"/>
    <w:rsid w:val="3F037F80"/>
    <w:rsid w:val="3F2D39F8"/>
    <w:rsid w:val="3F5D7C25"/>
    <w:rsid w:val="3F6E7356"/>
    <w:rsid w:val="3F8E2D81"/>
    <w:rsid w:val="3FA920FA"/>
    <w:rsid w:val="3FBF4A22"/>
    <w:rsid w:val="40557FDE"/>
    <w:rsid w:val="40711ECD"/>
    <w:rsid w:val="40A873D0"/>
    <w:rsid w:val="40CE4481"/>
    <w:rsid w:val="41044933"/>
    <w:rsid w:val="41770F11"/>
    <w:rsid w:val="41A951B9"/>
    <w:rsid w:val="41B64242"/>
    <w:rsid w:val="41D930E9"/>
    <w:rsid w:val="420172F8"/>
    <w:rsid w:val="42107CD8"/>
    <w:rsid w:val="4214444F"/>
    <w:rsid w:val="42332763"/>
    <w:rsid w:val="4264419B"/>
    <w:rsid w:val="428178ED"/>
    <w:rsid w:val="429645A5"/>
    <w:rsid w:val="42EB23F3"/>
    <w:rsid w:val="43114DB4"/>
    <w:rsid w:val="437F3C55"/>
    <w:rsid w:val="43CB3B9E"/>
    <w:rsid w:val="43DB7C71"/>
    <w:rsid w:val="4412053F"/>
    <w:rsid w:val="44265C90"/>
    <w:rsid w:val="443E1922"/>
    <w:rsid w:val="445544D0"/>
    <w:rsid w:val="44741832"/>
    <w:rsid w:val="44883556"/>
    <w:rsid w:val="44942CE1"/>
    <w:rsid w:val="453B2BB3"/>
    <w:rsid w:val="4553205D"/>
    <w:rsid w:val="4566672F"/>
    <w:rsid w:val="45671B81"/>
    <w:rsid w:val="457C2D86"/>
    <w:rsid w:val="4597553F"/>
    <w:rsid w:val="45B96669"/>
    <w:rsid w:val="45DD6DD6"/>
    <w:rsid w:val="46135148"/>
    <w:rsid w:val="46B251D5"/>
    <w:rsid w:val="46D75F15"/>
    <w:rsid w:val="46DB1D55"/>
    <w:rsid w:val="472B16E5"/>
    <w:rsid w:val="47794EC5"/>
    <w:rsid w:val="47873FED"/>
    <w:rsid w:val="478A5985"/>
    <w:rsid w:val="47D5260D"/>
    <w:rsid w:val="48077665"/>
    <w:rsid w:val="482D7CE4"/>
    <w:rsid w:val="484E0CAF"/>
    <w:rsid w:val="485A7764"/>
    <w:rsid w:val="48697707"/>
    <w:rsid w:val="487D34CE"/>
    <w:rsid w:val="48812C6D"/>
    <w:rsid w:val="48FA0CCE"/>
    <w:rsid w:val="497E67FC"/>
    <w:rsid w:val="49AB3619"/>
    <w:rsid w:val="49E83BBF"/>
    <w:rsid w:val="49FA4AA8"/>
    <w:rsid w:val="4A340908"/>
    <w:rsid w:val="4A654689"/>
    <w:rsid w:val="4A8955BD"/>
    <w:rsid w:val="4AC61286"/>
    <w:rsid w:val="4AE23D9C"/>
    <w:rsid w:val="4AFB712A"/>
    <w:rsid w:val="4B3F2937"/>
    <w:rsid w:val="4B722F98"/>
    <w:rsid w:val="4B791C20"/>
    <w:rsid w:val="4BDA732C"/>
    <w:rsid w:val="4C747C00"/>
    <w:rsid w:val="4CAE23D4"/>
    <w:rsid w:val="4CF16EBB"/>
    <w:rsid w:val="4CF27A3F"/>
    <w:rsid w:val="4D952847"/>
    <w:rsid w:val="4D9A6D61"/>
    <w:rsid w:val="4DD62762"/>
    <w:rsid w:val="4E111E7F"/>
    <w:rsid w:val="4E1F0A8F"/>
    <w:rsid w:val="4E9B72CC"/>
    <w:rsid w:val="4EAA6760"/>
    <w:rsid w:val="4EFE4BD1"/>
    <w:rsid w:val="4FB44EC5"/>
    <w:rsid w:val="4FC91CA8"/>
    <w:rsid w:val="4FF36AD1"/>
    <w:rsid w:val="503B6ED8"/>
    <w:rsid w:val="504870B1"/>
    <w:rsid w:val="506E60D9"/>
    <w:rsid w:val="50A32F8F"/>
    <w:rsid w:val="50E312B5"/>
    <w:rsid w:val="50F4209B"/>
    <w:rsid w:val="519E2D4E"/>
    <w:rsid w:val="51B306F8"/>
    <w:rsid w:val="51D17917"/>
    <w:rsid w:val="51E258CA"/>
    <w:rsid w:val="52910845"/>
    <w:rsid w:val="52E366E0"/>
    <w:rsid w:val="53646DCD"/>
    <w:rsid w:val="53932D81"/>
    <w:rsid w:val="539D4641"/>
    <w:rsid w:val="53A37439"/>
    <w:rsid w:val="53AB1337"/>
    <w:rsid w:val="53EF0B3B"/>
    <w:rsid w:val="54507861"/>
    <w:rsid w:val="547919F2"/>
    <w:rsid w:val="54FC1BBE"/>
    <w:rsid w:val="550E459E"/>
    <w:rsid w:val="553F47A0"/>
    <w:rsid w:val="554561C6"/>
    <w:rsid w:val="555108DF"/>
    <w:rsid w:val="55AE0DFF"/>
    <w:rsid w:val="55F857FB"/>
    <w:rsid w:val="560C77A6"/>
    <w:rsid w:val="56567713"/>
    <w:rsid w:val="56927883"/>
    <w:rsid w:val="569D378C"/>
    <w:rsid w:val="56AB6EAC"/>
    <w:rsid w:val="56F417A7"/>
    <w:rsid w:val="56F56768"/>
    <w:rsid w:val="571C15EB"/>
    <w:rsid w:val="577B7F65"/>
    <w:rsid w:val="585D55F4"/>
    <w:rsid w:val="58734628"/>
    <w:rsid w:val="59703A3B"/>
    <w:rsid w:val="59876CDE"/>
    <w:rsid w:val="598F0310"/>
    <w:rsid w:val="59B4187B"/>
    <w:rsid w:val="59FD2825"/>
    <w:rsid w:val="5A0B5058"/>
    <w:rsid w:val="5A881682"/>
    <w:rsid w:val="5B1F26BA"/>
    <w:rsid w:val="5B316EB3"/>
    <w:rsid w:val="5B406DD0"/>
    <w:rsid w:val="5B4162F2"/>
    <w:rsid w:val="5B6B1990"/>
    <w:rsid w:val="5B6E2B3B"/>
    <w:rsid w:val="5C270F1D"/>
    <w:rsid w:val="5C8F3336"/>
    <w:rsid w:val="5C927AE0"/>
    <w:rsid w:val="5CC0247A"/>
    <w:rsid w:val="5CDA582D"/>
    <w:rsid w:val="5CDE243B"/>
    <w:rsid w:val="5CE428FE"/>
    <w:rsid w:val="5D337748"/>
    <w:rsid w:val="5D5D0257"/>
    <w:rsid w:val="5D754213"/>
    <w:rsid w:val="5D837E1D"/>
    <w:rsid w:val="5D870AB5"/>
    <w:rsid w:val="5DAF4A90"/>
    <w:rsid w:val="5DDF1B33"/>
    <w:rsid w:val="5E102188"/>
    <w:rsid w:val="5EA6472F"/>
    <w:rsid w:val="5EBF7956"/>
    <w:rsid w:val="5EC22C27"/>
    <w:rsid w:val="5EEB46FC"/>
    <w:rsid w:val="5F041F5F"/>
    <w:rsid w:val="5F1337E9"/>
    <w:rsid w:val="5F3F6973"/>
    <w:rsid w:val="5F903AC8"/>
    <w:rsid w:val="5FA75912"/>
    <w:rsid w:val="5FE45DE0"/>
    <w:rsid w:val="5FE5141B"/>
    <w:rsid w:val="60A00C6F"/>
    <w:rsid w:val="60D85E8A"/>
    <w:rsid w:val="60E908AD"/>
    <w:rsid w:val="60F821F8"/>
    <w:rsid w:val="610322DC"/>
    <w:rsid w:val="611B379B"/>
    <w:rsid w:val="612E6E2A"/>
    <w:rsid w:val="61604458"/>
    <w:rsid w:val="61677961"/>
    <w:rsid w:val="61787BA7"/>
    <w:rsid w:val="61C92810"/>
    <w:rsid w:val="62FE7930"/>
    <w:rsid w:val="6315604E"/>
    <w:rsid w:val="633B06DD"/>
    <w:rsid w:val="637314E4"/>
    <w:rsid w:val="6390711D"/>
    <w:rsid w:val="644A2166"/>
    <w:rsid w:val="64BE7804"/>
    <w:rsid w:val="64F54A79"/>
    <w:rsid w:val="65037CE8"/>
    <w:rsid w:val="651821A3"/>
    <w:rsid w:val="65186C66"/>
    <w:rsid w:val="651B7FB1"/>
    <w:rsid w:val="652C0601"/>
    <w:rsid w:val="652D0705"/>
    <w:rsid w:val="653210C2"/>
    <w:rsid w:val="653257CF"/>
    <w:rsid w:val="65676159"/>
    <w:rsid w:val="65E26DFB"/>
    <w:rsid w:val="65EF3B0C"/>
    <w:rsid w:val="6660376B"/>
    <w:rsid w:val="66740FA8"/>
    <w:rsid w:val="670B0B64"/>
    <w:rsid w:val="6720474D"/>
    <w:rsid w:val="67522015"/>
    <w:rsid w:val="67C65F33"/>
    <w:rsid w:val="6877638B"/>
    <w:rsid w:val="687810E1"/>
    <w:rsid w:val="68BD7C5B"/>
    <w:rsid w:val="690B57BB"/>
    <w:rsid w:val="693718D7"/>
    <w:rsid w:val="69683C95"/>
    <w:rsid w:val="697D6879"/>
    <w:rsid w:val="69801D62"/>
    <w:rsid w:val="69AB4FCF"/>
    <w:rsid w:val="69AB7271"/>
    <w:rsid w:val="69AD1C3F"/>
    <w:rsid w:val="69B27FF1"/>
    <w:rsid w:val="6A5B058F"/>
    <w:rsid w:val="6AFB15BD"/>
    <w:rsid w:val="6B0C7C6D"/>
    <w:rsid w:val="6B8B15B7"/>
    <w:rsid w:val="6BA04A3E"/>
    <w:rsid w:val="6C042199"/>
    <w:rsid w:val="6C257B0B"/>
    <w:rsid w:val="6C2F1675"/>
    <w:rsid w:val="6C4A1BC7"/>
    <w:rsid w:val="6C4B5B21"/>
    <w:rsid w:val="6CE15D0F"/>
    <w:rsid w:val="6CE861D4"/>
    <w:rsid w:val="6CFC63A0"/>
    <w:rsid w:val="6D08659C"/>
    <w:rsid w:val="6D0D4F00"/>
    <w:rsid w:val="6D52528A"/>
    <w:rsid w:val="6D9165AA"/>
    <w:rsid w:val="6DDB10B7"/>
    <w:rsid w:val="6E445058"/>
    <w:rsid w:val="6E6F0C30"/>
    <w:rsid w:val="6E6F41E6"/>
    <w:rsid w:val="6E865A0B"/>
    <w:rsid w:val="6E97074D"/>
    <w:rsid w:val="6ECB5AFA"/>
    <w:rsid w:val="6EE637DD"/>
    <w:rsid w:val="6F2A656C"/>
    <w:rsid w:val="6F4D7433"/>
    <w:rsid w:val="6F9159A1"/>
    <w:rsid w:val="6FBF340D"/>
    <w:rsid w:val="6FE96964"/>
    <w:rsid w:val="70255170"/>
    <w:rsid w:val="708764A4"/>
    <w:rsid w:val="70966945"/>
    <w:rsid w:val="70D46D82"/>
    <w:rsid w:val="71462673"/>
    <w:rsid w:val="715A7A7A"/>
    <w:rsid w:val="718267C6"/>
    <w:rsid w:val="71CC0B94"/>
    <w:rsid w:val="720D5CE9"/>
    <w:rsid w:val="721C2D10"/>
    <w:rsid w:val="724E3782"/>
    <w:rsid w:val="72902DA7"/>
    <w:rsid w:val="72A57890"/>
    <w:rsid w:val="72AD55AD"/>
    <w:rsid w:val="73401DD2"/>
    <w:rsid w:val="73673268"/>
    <w:rsid w:val="73B54DDE"/>
    <w:rsid w:val="74255F70"/>
    <w:rsid w:val="743F2AD2"/>
    <w:rsid w:val="74502E9C"/>
    <w:rsid w:val="7470173A"/>
    <w:rsid w:val="747651D8"/>
    <w:rsid w:val="74CB497C"/>
    <w:rsid w:val="75B5721F"/>
    <w:rsid w:val="75F82604"/>
    <w:rsid w:val="76301283"/>
    <w:rsid w:val="7636519D"/>
    <w:rsid w:val="764F12F9"/>
    <w:rsid w:val="767874E3"/>
    <w:rsid w:val="768024F8"/>
    <w:rsid w:val="76D7556C"/>
    <w:rsid w:val="770B6106"/>
    <w:rsid w:val="77187B21"/>
    <w:rsid w:val="774B1B00"/>
    <w:rsid w:val="775725A0"/>
    <w:rsid w:val="777A2A82"/>
    <w:rsid w:val="789F099E"/>
    <w:rsid w:val="78D70170"/>
    <w:rsid w:val="78FE2CC9"/>
    <w:rsid w:val="79123E17"/>
    <w:rsid w:val="791952BB"/>
    <w:rsid w:val="791C4225"/>
    <w:rsid w:val="792B04A4"/>
    <w:rsid w:val="79387F53"/>
    <w:rsid w:val="7A31432B"/>
    <w:rsid w:val="7A7D2F58"/>
    <w:rsid w:val="7AE925C7"/>
    <w:rsid w:val="7AFC4ACA"/>
    <w:rsid w:val="7B1E640F"/>
    <w:rsid w:val="7B327A78"/>
    <w:rsid w:val="7B50712A"/>
    <w:rsid w:val="7C142488"/>
    <w:rsid w:val="7C2D6B7E"/>
    <w:rsid w:val="7C94167F"/>
    <w:rsid w:val="7D104923"/>
    <w:rsid w:val="7D580C1E"/>
    <w:rsid w:val="7DB76D14"/>
    <w:rsid w:val="7EDB703E"/>
    <w:rsid w:val="7EFB0050"/>
    <w:rsid w:val="7EFB4C63"/>
    <w:rsid w:val="7F642A46"/>
    <w:rsid w:val="7F64616D"/>
    <w:rsid w:val="7F861A6C"/>
    <w:rsid w:val="7FD81D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99" w:semiHidden="0" w:name="Normal Indent"/>
    <w:lsdException w:uiPriority="99" w:name="footnote text"/>
    <w:lsdException w:qFormat="1" w:uiPriority="99" w:semiHidden="0"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36"/>
    <w:qFormat/>
    <w:uiPriority w:val="0"/>
    <w:pPr>
      <w:keepNext/>
      <w:keepLines/>
      <w:numPr>
        <w:ilvl w:val="0"/>
        <w:numId w:val="1"/>
      </w:numPr>
      <w:topLinePunct/>
      <w:spacing w:line="480" w:lineRule="auto"/>
      <w:textAlignment w:val="baseline"/>
      <w:outlineLvl w:val="0"/>
    </w:pPr>
    <w:rPr>
      <w:rFonts w:eastAsia="汉仪大宋简"/>
      <w:kern w:val="44"/>
      <w:sz w:val="22"/>
      <w:szCs w:val="22"/>
      <w:lang w:val="zh-CN"/>
    </w:rPr>
  </w:style>
  <w:style w:type="paragraph" w:styleId="4">
    <w:name w:val="heading 2"/>
    <w:basedOn w:val="1"/>
    <w:next w:val="1"/>
    <w:link w:val="37"/>
    <w:qFormat/>
    <w:uiPriority w:val="0"/>
    <w:pPr>
      <w:keepNext/>
      <w:keepLines/>
      <w:numPr>
        <w:ilvl w:val="1"/>
        <w:numId w:val="1"/>
      </w:numPr>
      <w:tabs>
        <w:tab w:val="left" w:pos="425"/>
      </w:tabs>
      <w:topLinePunct/>
      <w:outlineLvl w:val="1"/>
    </w:pPr>
    <w:rPr>
      <w:rFonts w:eastAsia="黑体"/>
      <w:bCs/>
      <w:szCs w:val="21"/>
      <w:lang w:val="zh-CN"/>
    </w:rPr>
  </w:style>
  <w:style w:type="paragraph" w:styleId="5">
    <w:name w:val="heading 3"/>
    <w:basedOn w:val="1"/>
    <w:next w:val="1"/>
    <w:link w:val="38"/>
    <w:qFormat/>
    <w:uiPriority w:val="0"/>
    <w:pPr>
      <w:keepNext/>
      <w:keepLines/>
      <w:spacing w:before="260" w:after="260" w:line="416" w:lineRule="auto"/>
      <w:outlineLvl w:val="2"/>
    </w:pPr>
    <w:rPr>
      <w:b/>
      <w:bCs/>
      <w:sz w:val="32"/>
      <w:szCs w:val="32"/>
      <w:lang w:val="zh-CN"/>
    </w:rPr>
  </w:style>
  <w:style w:type="paragraph" w:styleId="6">
    <w:name w:val="heading 4"/>
    <w:basedOn w:val="1"/>
    <w:next w:val="1"/>
    <w:unhideWhenUsed/>
    <w:qFormat/>
    <w:uiPriority w:val="9"/>
    <w:pPr>
      <w:keepNext/>
      <w:keepLines/>
      <w:spacing w:before="280" w:after="290" w:line="376" w:lineRule="auto"/>
      <w:outlineLvl w:val="3"/>
    </w:pPr>
    <w:rPr>
      <w:rFonts w:ascii="Cambria" w:hAnsi="Cambria"/>
      <w:b/>
      <w:bCs/>
      <w:sz w:val="28"/>
      <w:szCs w:val="28"/>
    </w:rPr>
  </w:style>
  <w:style w:type="character" w:default="1" w:styleId="22">
    <w:name w:val="Default Paragraph Font"/>
    <w:unhideWhenUsed/>
    <w:qFormat/>
    <w:uiPriority w:val="1"/>
  </w:style>
  <w:style w:type="table" w:default="1" w:styleId="20">
    <w:name w:val="Normal Table"/>
    <w:unhideWhenUsed/>
    <w:qFormat/>
    <w:uiPriority w:val="99"/>
    <w:tblPr>
      <w:tblCellMar>
        <w:top w:w="0" w:type="dxa"/>
        <w:left w:w="108" w:type="dxa"/>
        <w:bottom w:w="0" w:type="dxa"/>
        <w:right w:w="108" w:type="dxa"/>
      </w:tblCellMar>
    </w:tblPr>
  </w:style>
  <w:style w:type="paragraph" w:customStyle="1" w:styleId="2">
    <w:name w:val="目录 21"/>
    <w:basedOn w:val="1"/>
    <w:next w:val="1"/>
    <w:qFormat/>
    <w:uiPriority w:val="0"/>
    <w:pPr>
      <w:spacing w:before="100" w:beforeAutospacing="1" w:after="100" w:afterAutospacing="1"/>
      <w:ind w:left="420" w:leftChars="200"/>
    </w:pPr>
  </w:style>
  <w:style w:type="paragraph" w:styleId="7">
    <w:name w:val="Normal Indent"/>
    <w:basedOn w:val="1"/>
    <w:unhideWhenUsed/>
    <w:qFormat/>
    <w:uiPriority w:val="99"/>
    <w:pPr>
      <w:ind w:firstLine="420" w:firstLineChars="200"/>
    </w:pPr>
    <w:rPr>
      <w:kern w:val="0"/>
      <w:sz w:val="20"/>
    </w:rPr>
  </w:style>
  <w:style w:type="paragraph" w:styleId="8">
    <w:name w:val="Document Map"/>
    <w:basedOn w:val="1"/>
    <w:link w:val="53"/>
    <w:unhideWhenUsed/>
    <w:qFormat/>
    <w:uiPriority w:val="99"/>
    <w:rPr>
      <w:rFonts w:ascii="宋体"/>
      <w:sz w:val="18"/>
      <w:szCs w:val="18"/>
    </w:rPr>
  </w:style>
  <w:style w:type="paragraph" w:styleId="9">
    <w:name w:val="annotation text"/>
    <w:basedOn w:val="1"/>
    <w:unhideWhenUsed/>
    <w:qFormat/>
    <w:uiPriority w:val="99"/>
    <w:pPr>
      <w:jc w:val="left"/>
    </w:pPr>
  </w:style>
  <w:style w:type="paragraph" w:styleId="10">
    <w:name w:val="toc 3"/>
    <w:basedOn w:val="1"/>
    <w:next w:val="1"/>
    <w:unhideWhenUsed/>
    <w:qFormat/>
    <w:uiPriority w:val="39"/>
    <w:pPr>
      <w:widowControl/>
      <w:spacing w:after="100" w:line="276" w:lineRule="auto"/>
      <w:ind w:left="440"/>
      <w:jc w:val="left"/>
    </w:pPr>
    <w:rPr>
      <w:rFonts w:ascii="Calibri" w:hAnsi="Calibri"/>
      <w:kern w:val="0"/>
      <w:sz w:val="22"/>
      <w:szCs w:val="22"/>
    </w:rPr>
  </w:style>
  <w:style w:type="paragraph" w:styleId="11">
    <w:name w:val="Plain Text"/>
    <w:basedOn w:val="1"/>
    <w:link w:val="26"/>
    <w:qFormat/>
    <w:uiPriority w:val="99"/>
    <w:rPr>
      <w:rFonts w:ascii="宋体" w:hAnsi="Courier New" w:eastAsiaTheme="minorEastAsia" w:cstheme="minorBidi"/>
    </w:rPr>
  </w:style>
  <w:style w:type="paragraph" w:styleId="12">
    <w:name w:val="Balloon Text"/>
    <w:basedOn w:val="1"/>
    <w:link w:val="41"/>
    <w:qFormat/>
    <w:uiPriority w:val="0"/>
    <w:rPr>
      <w:rFonts w:asciiTheme="minorHAnsi" w:hAnsiTheme="minorHAnsi" w:cstheme="minorBidi"/>
      <w:sz w:val="18"/>
      <w:szCs w:val="18"/>
    </w:rPr>
  </w:style>
  <w:style w:type="paragraph" w:styleId="13">
    <w:name w:val="footer"/>
    <w:basedOn w:val="1"/>
    <w:link w:val="27"/>
    <w:qFormat/>
    <w:uiPriority w:val="99"/>
    <w:pPr>
      <w:tabs>
        <w:tab w:val="center" w:pos="4153"/>
        <w:tab w:val="right" w:pos="8306"/>
      </w:tabs>
      <w:snapToGrid w:val="0"/>
      <w:jc w:val="left"/>
    </w:pPr>
    <w:rPr>
      <w:rFonts w:asciiTheme="minorHAnsi" w:hAnsiTheme="minorHAnsi" w:cstheme="minorBidi"/>
      <w:sz w:val="18"/>
      <w:szCs w:val="18"/>
    </w:rPr>
  </w:style>
  <w:style w:type="paragraph" w:styleId="14">
    <w:name w:val="header"/>
    <w:basedOn w:val="1"/>
    <w:link w:val="31"/>
    <w:qFormat/>
    <w:uiPriority w:val="0"/>
    <w:pPr>
      <w:pBdr>
        <w:bottom w:val="single" w:color="auto" w:sz="6" w:space="1"/>
      </w:pBdr>
      <w:tabs>
        <w:tab w:val="center" w:pos="4153"/>
        <w:tab w:val="right" w:pos="8306"/>
      </w:tabs>
      <w:snapToGrid w:val="0"/>
      <w:jc w:val="center"/>
    </w:pPr>
    <w:rPr>
      <w:rFonts w:asciiTheme="minorHAnsi" w:hAnsiTheme="minorHAnsi" w:cstheme="minorBidi"/>
      <w:sz w:val="18"/>
      <w:szCs w:val="18"/>
    </w:rPr>
  </w:style>
  <w:style w:type="paragraph" w:styleId="15">
    <w:name w:val="toc 1"/>
    <w:basedOn w:val="1"/>
    <w:next w:val="1"/>
    <w:qFormat/>
    <w:uiPriority w:val="39"/>
    <w:pPr>
      <w:spacing w:beforeLines="50" w:line="360" w:lineRule="auto"/>
    </w:pPr>
    <w:rPr>
      <w:rFonts w:eastAsia="黑体"/>
    </w:rPr>
  </w:style>
  <w:style w:type="paragraph" w:styleId="16">
    <w:name w:val="toc 2"/>
    <w:basedOn w:val="1"/>
    <w:next w:val="1"/>
    <w:unhideWhenUsed/>
    <w:qFormat/>
    <w:uiPriority w:val="39"/>
    <w:pPr>
      <w:widowControl/>
      <w:spacing w:after="100" w:line="276" w:lineRule="auto"/>
      <w:ind w:left="220"/>
      <w:jc w:val="left"/>
    </w:pPr>
    <w:rPr>
      <w:rFonts w:ascii="Calibri" w:hAnsi="Calibri"/>
      <w:kern w:val="0"/>
      <w:sz w:val="22"/>
      <w:szCs w:val="22"/>
    </w:rPr>
  </w:style>
  <w:style w:type="paragraph" w:styleId="17">
    <w:name w:val="HTML Preformatted"/>
    <w:basedOn w:val="1"/>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kern w:val="0"/>
      <w:sz w:val="20"/>
      <w:szCs w:val="20"/>
    </w:rPr>
  </w:style>
  <w:style w:type="paragraph" w:styleId="18">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19">
    <w:name w:val="Title"/>
    <w:basedOn w:val="1"/>
    <w:link w:val="28"/>
    <w:qFormat/>
    <w:uiPriority w:val="0"/>
    <w:pPr>
      <w:spacing w:before="240" w:after="60"/>
      <w:jc w:val="center"/>
      <w:outlineLvl w:val="0"/>
    </w:pPr>
    <w:rPr>
      <w:rFonts w:ascii="Arial" w:hAnsi="Arial" w:cs="Arial" w:eastAsiaTheme="minorEastAsia"/>
      <w:b/>
      <w:bCs/>
      <w:sz w:val="32"/>
      <w:szCs w:val="32"/>
    </w:rPr>
  </w:style>
  <w:style w:type="table" w:styleId="21">
    <w:name w:val="Table Grid"/>
    <w:basedOn w:val="20"/>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3">
    <w:name w:val="page number"/>
    <w:basedOn w:val="22"/>
    <w:qFormat/>
    <w:uiPriority w:val="0"/>
  </w:style>
  <w:style w:type="character" w:styleId="24">
    <w:name w:val="FollowedHyperlink"/>
    <w:qFormat/>
    <w:uiPriority w:val="0"/>
    <w:rPr>
      <w:color w:val="800080"/>
      <w:u w:val="single"/>
    </w:rPr>
  </w:style>
  <w:style w:type="character" w:styleId="25">
    <w:name w:val="Hyperlink"/>
    <w:qFormat/>
    <w:uiPriority w:val="99"/>
    <w:rPr>
      <w:rFonts w:ascii="Times New Roman" w:hAnsi="Times New Roman" w:eastAsia="宋体"/>
      <w:color w:val="auto"/>
      <w:spacing w:val="0"/>
      <w:w w:val="100"/>
      <w:position w:val="0"/>
      <w:sz w:val="21"/>
      <w:u w:val="none"/>
    </w:rPr>
  </w:style>
  <w:style w:type="character" w:customStyle="1" w:styleId="26">
    <w:name w:val="纯文本 字符"/>
    <w:link w:val="11"/>
    <w:qFormat/>
    <w:uiPriority w:val="0"/>
    <w:rPr>
      <w:rFonts w:ascii="宋体" w:hAnsi="Courier New"/>
      <w:szCs w:val="24"/>
    </w:rPr>
  </w:style>
  <w:style w:type="character" w:customStyle="1" w:styleId="27">
    <w:name w:val="页脚 字符"/>
    <w:link w:val="13"/>
    <w:qFormat/>
    <w:uiPriority w:val="99"/>
    <w:rPr>
      <w:rFonts w:eastAsia="宋体"/>
      <w:sz w:val="18"/>
      <w:szCs w:val="18"/>
    </w:rPr>
  </w:style>
  <w:style w:type="character" w:customStyle="1" w:styleId="28">
    <w:name w:val="标题 字符"/>
    <w:link w:val="19"/>
    <w:qFormat/>
    <w:uiPriority w:val="0"/>
    <w:rPr>
      <w:rFonts w:ascii="Arial" w:hAnsi="Arial" w:cs="Arial"/>
      <w:b/>
      <w:bCs/>
      <w:sz w:val="32"/>
      <w:szCs w:val="32"/>
    </w:rPr>
  </w:style>
  <w:style w:type="character" w:customStyle="1" w:styleId="29">
    <w:name w:val="首行缩进 Char"/>
    <w:link w:val="30"/>
    <w:qFormat/>
    <w:uiPriority w:val="0"/>
    <w:rPr>
      <w:rFonts w:eastAsia="方正书宋简体" w:cs="宋体"/>
    </w:rPr>
  </w:style>
  <w:style w:type="paragraph" w:customStyle="1" w:styleId="30">
    <w:name w:val="首行缩进"/>
    <w:basedOn w:val="1"/>
    <w:link w:val="29"/>
    <w:qFormat/>
    <w:uiPriority w:val="0"/>
    <w:pPr>
      <w:spacing w:line="300" w:lineRule="auto"/>
      <w:ind w:firstLine="420" w:firstLineChars="200"/>
    </w:pPr>
    <w:rPr>
      <w:rFonts w:eastAsia="方正书宋简体" w:cs="宋体" w:asciiTheme="minorHAnsi" w:hAnsiTheme="minorHAnsi"/>
      <w:szCs w:val="22"/>
    </w:rPr>
  </w:style>
  <w:style w:type="character" w:customStyle="1" w:styleId="31">
    <w:name w:val="页眉 字符"/>
    <w:link w:val="14"/>
    <w:qFormat/>
    <w:uiPriority w:val="0"/>
    <w:rPr>
      <w:rFonts w:eastAsia="宋体"/>
      <w:sz w:val="18"/>
      <w:szCs w:val="18"/>
    </w:rPr>
  </w:style>
  <w:style w:type="character" w:customStyle="1" w:styleId="32">
    <w:name w:val="页脚 Char1"/>
    <w:basedOn w:val="22"/>
    <w:semiHidden/>
    <w:qFormat/>
    <w:uiPriority w:val="99"/>
    <w:rPr>
      <w:rFonts w:ascii="Times New Roman" w:hAnsi="Times New Roman" w:eastAsia="宋体" w:cs="Times New Roman"/>
      <w:sz w:val="18"/>
      <w:szCs w:val="18"/>
    </w:rPr>
  </w:style>
  <w:style w:type="character" w:customStyle="1" w:styleId="33">
    <w:name w:val="页眉 Char1"/>
    <w:basedOn w:val="22"/>
    <w:semiHidden/>
    <w:qFormat/>
    <w:uiPriority w:val="99"/>
    <w:rPr>
      <w:rFonts w:ascii="Times New Roman" w:hAnsi="Times New Roman" w:eastAsia="宋体" w:cs="Times New Roman"/>
      <w:sz w:val="18"/>
      <w:szCs w:val="18"/>
    </w:rPr>
  </w:style>
  <w:style w:type="character" w:customStyle="1" w:styleId="34">
    <w:name w:val="标题 Char"/>
    <w:basedOn w:val="22"/>
    <w:qFormat/>
    <w:uiPriority w:val="0"/>
    <w:rPr>
      <w:rFonts w:eastAsia="宋体" w:asciiTheme="majorHAnsi" w:hAnsiTheme="majorHAnsi" w:cstheme="majorBidi"/>
      <w:b/>
      <w:bCs/>
      <w:sz w:val="32"/>
      <w:szCs w:val="32"/>
    </w:rPr>
  </w:style>
  <w:style w:type="character" w:customStyle="1" w:styleId="35">
    <w:name w:val="纯文本 Char"/>
    <w:basedOn w:val="22"/>
    <w:qFormat/>
    <w:uiPriority w:val="99"/>
    <w:rPr>
      <w:rFonts w:ascii="宋体" w:hAnsi="Courier New" w:eastAsia="宋体" w:cs="Courier New"/>
      <w:szCs w:val="21"/>
    </w:rPr>
  </w:style>
  <w:style w:type="character" w:customStyle="1" w:styleId="36">
    <w:name w:val="标题 1 字符"/>
    <w:basedOn w:val="22"/>
    <w:link w:val="3"/>
    <w:qFormat/>
    <w:uiPriority w:val="0"/>
    <w:rPr>
      <w:rFonts w:ascii="Times New Roman" w:hAnsi="Times New Roman" w:eastAsia="汉仪大宋简" w:cs="Times New Roman"/>
      <w:kern w:val="44"/>
      <w:sz w:val="22"/>
      <w:lang w:val="zh-CN" w:eastAsia="zh-CN"/>
    </w:rPr>
  </w:style>
  <w:style w:type="character" w:customStyle="1" w:styleId="37">
    <w:name w:val="标题 2 字符"/>
    <w:basedOn w:val="22"/>
    <w:link w:val="4"/>
    <w:qFormat/>
    <w:uiPriority w:val="0"/>
    <w:rPr>
      <w:rFonts w:ascii="Times New Roman" w:hAnsi="Times New Roman" w:eastAsia="黑体" w:cs="Times New Roman"/>
      <w:bCs/>
      <w:kern w:val="2"/>
      <w:sz w:val="21"/>
      <w:szCs w:val="21"/>
      <w:lang w:val="zh-CN"/>
    </w:rPr>
  </w:style>
  <w:style w:type="character" w:customStyle="1" w:styleId="38">
    <w:name w:val="标题 3 字符"/>
    <w:basedOn w:val="22"/>
    <w:link w:val="5"/>
    <w:qFormat/>
    <w:uiPriority w:val="0"/>
    <w:rPr>
      <w:rFonts w:ascii="Times New Roman" w:hAnsi="Times New Roman" w:eastAsia="宋体" w:cs="Times New Roman"/>
      <w:b/>
      <w:bCs/>
      <w:sz w:val="32"/>
      <w:szCs w:val="32"/>
      <w:lang w:val="zh-CN" w:eastAsia="zh-CN"/>
    </w:rPr>
  </w:style>
  <w:style w:type="character" w:customStyle="1" w:styleId="39">
    <w:name w:val="C标准-正文格式 Char"/>
    <w:link w:val="40"/>
    <w:qFormat/>
    <w:locked/>
    <w:uiPriority w:val="0"/>
    <w:rPr>
      <w:rFonts w:eastAsia="宋体" w:cs="宋体"/>
      <w:sz w:val="24"/>
    </w:rPr>
  </w:style>
  <w:style w:type="paragraph" w:customStyle="1" w:styleId="40">
    <w:name w:val="C标准-正文格式"/>
    <w:basedOn w:val="1"/>
    <w:link w:val="39"/>
    <w:qFormat/>
    <w:uiPriority w:val="0"/>
    <w:pPr>
      <w:spacing w:line="360" w:lineRule="auto"/>
    </w:pPr>
    <w:rPr>
      <w:rFonts w:cs="宋体" w:asciiTheme="minorHAnsi" w:hAnsiTheme="minorHAnsi"/>
      <w:sz w:val="24"/>
      <w:szCs w:val="22"/>
    </w:rPr>
  </w:style>
  <w:style w:type="character" w:customStyle="1" w:styleId="41">
    <w:name w:val="批注框文本 字符"/>
    <w:link w:val="12"/>
    <w:qFormat/>
    <w:locked/>
    <w:uiPriority w:val="0"/>
    <w:rPr>
      <w:rFonts w:eastAsia="宋体"/>
      <w:sz w:val="18"/>
      <w:szCs w:val="18"/>
    </w:rPr>
  </w:style>
  <w:style w:type="character" w:customStyle="1" w:styleId="42">
    <w:name w:val="页码1"/>
    <w:qFormat/>
    <w:uiPriority w:val="0"/>
    <w:rPr>
      <w:rFonts w:ascii="Times New Roman" w:hAnsi="Times New Roman" w:eastAsia="宋体"/>
      <w:sz w:val="18"/>
    </w:rPr>
  </w:style>
  <w:style w:type="character" w:customStyle="1" w:styleId="43">
    <w:name w:val="批注框文本 Char1"/>
    <w:basedOn w:val="22"/>
    <w:semiHidden/>
    <w:qFormat/>
    <w:uiPriority w:val="99"/>
    <w:rPr>
      <w:rFonts w:ascii="Times New Roman" w:hAnsi="Times New Roman" w:eastAsia="宋体" w:cs="Times New Roman"/>
      <w:sz w:val="18"/>
      <w:szCs w:val="18"/>
    </w:rPr>
  </w:style>
  <w:style w:type="paragraph" w:customStyle="1" w:styleId="44">
    <w:name w:val="目次、标准名称标题"/>
    <w:basedOn w:val="1"/>
    <w:next w:val="1"/>
    <w:qFormat/>
    <w:uiPriority w:val="0"/>
    <w:pPr>
      <w:widowControl/>
      <w:shd w:val="clear" w:color="FFFFFF" w:fill="FFFFFF"/>
      <w:spacing w:before="640" w:after="560" w:line="460" w:lineRule="exact"/>
      <w:jc w:val="center"/>
    </w:pPr>
    <w:rPr>
      <w:rFonts w:ascii="黑体" w:eastAsia="黑体"/>
      <w:kern w:val="0"/>
      <w:sz w:val="32"/>
      <w:szCs w:val="20"/>
    </w:rPr>
  </w:style>
  <w:style w:type="paragraph" w:customStyle="1" w:styleId="45">
    <w:name w:val="TOC 标题1"/>
    <w:basedOn w:val="3"/>
    <w:next w:val="1"/>
    <w:qFormat/>
    <w:uiPriority w:val="39"/>
    <w:pPr>
      <w:widowControl/>
      <w:numPr>
        <w:numId w:val="0"/>
      </w:numPr>
      <w:topLinePunct w:val="0"/>
      <w:spacing w:before="480" w:line="276" w:lineRule="auto"/>
      <w:jc w:val="left"/>
      <w:textAlignment w:val="auto"/>
      <w:outlineLvl w:val="9"/>
    </w:pPr>
    <w:rPr>
      <w:rFonts w:ascii="Cambria" w:hAnsi="Cambria" w:eastAsia="宋体"/>
      <w:b/>
      <w:bCs/>
      <w:color w:val="365F91"/>
      <w:kern w:val="0"/>
      <w:sz w:val="28"/>
      <w:szCs w:val="28"/>
      <w:lang w:val="en-US"/>
    </w:rPr>
  </w:style>
  <w:style w:type="paragraph" w:customStyle="1" w:styleId="46">
    <w:name w:val="列出段落1"/>
    <w:basedOn w:val="1"/>
    <w:qFormat/>
    <w:uiPriority w:val="0"/>
    <w:pPr>
      <w:ind w:firstLine="420" w:firstLineChars="200"/>
    </w:pPr>
  </w:style>
  <w:style w:type="paragraph" w:customStyle="1" w:styleId="47">
    <w:name w:val="标准规范2级"/>
    <w:basedOn w:val="1"/>
    <w:qFormat/>
    <w:uiPriority w:val="0"/>
    <w:pPr>
      <w:numPr>
        <w:ilvl w:val="1"/>
        <w:numId w:val="2"/>
      </w:numPr>
      <w:spacing w:before="120" w:line="360" w:lineRule="auto"/>
    </w:pPr>
    <w:rPr>
      <w:rFonts w:cs="宋体"/>
      <w:color w:val="000000"/>
      <w:sz w:val="24"/>
      <w:szCs w:val="20"/>
    </w:rPr>
  </w:style>
  <w:style w:type="paragraph" w:customStyle="1" w:styleId="48">
    <w:name w:val="列出段落2"/>
    <w:basedOn w:val="1"/>
    <w:qFormat/>
    <w:uiPriority w:val="0"/>
    <w:pPr>
      <w:ind w:firstLine="420" w:firstLineChars="200"/>
    </w:pPr>
  </w:style>
  <w:style w:type="paragraph" w:customStyle="1" w:styleId="49">
    <w:name w:val="p16"/>
    <w:basedOn w:val="1"/>
    <w:qFormat/>
    <w:uiPriority w:val="0"/>
    <w:pPr>
      <w:widowControl/>
      <w:snapToGrid w:val="0"/>
      <w:spacing w:after="200"/>
      <w:ind w:firstLine="420"/>
      <w:jc w:val="left"/>
    </w:pPr>
    <w:rPr>
      <w:rFonts w:ascii="Tahoma" w:hAnsi="Tahoma" w:cs="Tahoma"/>
      <w:kern w:val="0"/>
      <w:sz w:val="22"/>
      <w:szCs w:val="22"/>
    </w:rPr>
  </w:style>
  <w:style w:type="paragraph" w:customStyle="1" w:styleId="50">
    <w:name w:val="标准规范3级"/>
    <w:basedOn w:val="47"/>
    <w:qFormat/>
    <w:uiPriority w:val="0"/>
    <w:pPr>
      <w:numPr>
        <w:numId w:val="0"/>
      </w:numPr>
      <w:spacing w:before="0"/>
      <w:ind w:firstLine="200" w:firstLineChars="200"/>
    </w:pPr>
  </w:style>
  <w:style w:type="paragraph" w:customStyle="1" w:styleId="51">
    <w:name w:val="xl33"/>
    <w:basedOn w:val="1"/>
    <w:qFormat/>
    <w:uiPriority w:val="0"/>
    <w:pPr>
      <w:widowControl/>
      <w:pBdr>
        <w:left w:val="single" w:color="auto" w:sz="4" w:space="0"/>
        <w:right w:val="single" w:color="auto" w:sz="4" w:space="0"/>
      </w:pBdr>
      <w:spacing w:before="100" w:beforeAutospacing="1" w:after="100" w:afterAutospacing="1" w:line="348" w:lineRule="auto"/>
      <w:ind w:firstLine="1040" w:firstLineChars="200"/>
      <w:jc w:val="center"/>
    </w:pPr>
    <w:rPr>
      <w:rFonts w:ascii="宋体" w:hAnsi="宋体"/>
      <w:kern w:val="0"/>
      <w:sz w:val="24"/>
    </w:rPr>
  </w:style>
  <w:style w:type="paragraph" w:customStyle="1" w:styleId="52">
    <w:name w:val="标准规范1级"/>
    <w:basedOn w:val="19"/>
    <w:qFormat/>
    <w:uiPriority w:val="0"/>
    <w:pPr>
      <w:numPr>
        <w:ilvl w:val="0"/>
        <w:numId w:val="2"/>
      </w:numPr>
      <w:spacing w:line="360" w:lineRule="auto"/>
      <w:jc w:val="both"/>
    </w:pPr>
    <w:rPr>
      <w:rFonts w:ascii="Times New Roman" w:hAnsi="Times New Roman" w:eastAsia="黑体" w:cs="宋体"/>
      <w:b w:val="0"/>
      <w:bCs w:val="0"/>
      <w:kern w:val="0"/>
      <w:sz w:val="21"/>
      <w:szCs w:val="20"/>
    </w:rPr>
  </w:style>
  <w:style w:type="character" w:customStyle="1" w:styleId="53">
    <w:name w:val="文档结构图 字符"/>
    <w:basedOn w:val="22"/>
    <w:link w:val="8"/>
    <w:semiHidden/>
    <w:qFormat/>
    <w:uiPriority w:val="99"/>
    <w:rPr>
      <w:rFonts w:ascii="宋体" w:hAnsi="Times New Roman" w:eastAsia="宋体" w:cs="Times New Roman"/>
      <w:kern w:val="2"/>
      <w:sz w:val="18"/>
      <w:szCs w:val="18"/>
    </w:rPr>
  </w:style>
  <w:style w:type="paragraph" w:customStyle="1" w:styleId="54">
    <w:name w:val="朱表头"/>
    <w:basedOn w:val="1"/>
    <w:link w:val="56"/>
    <w:qFormat/>
    <w:uiPriority w:val="0"/>
    <w:pPr>
      <w:topLinePunct/>
      <w:spacing w:before="160" w:after="60" w:line="312" w:lineRule="exact"/>
      <w:jc w:val="center"/>
    </w:pPr>
    <w:rPr>
      <w:rFonts w:ascii="EU-F1" w:eastAsia="黑体"/>
      <w:snapToGrid w:val="0"/>
      <w:kern w:val="0"/>
      <w:sz w:val="20"/>
      <w:szCs w:val="20"/>
    </w:rPr>
  </w:style>
  <w:style w:type="paragraph" w:customStyle="1" w:styleId="55">
    <w:name w:val="p0"/>
    <w:basedOn w:val="1"/>
    <w:qFormat/>
    <w:uiPriority w:val="99"/>
    <w:pPr>
      <w:widowControl/>
    </w:pPr>
    <w:rPr>
      <w:rFonts w:ascii="Calibri" w:hAnsi="Calibri" w:cs="宋体"/>
      <w:kern w:val="0"/>
      <w:szCs w:val="21"/>
    </w:rPr>
  </w:style>
  <w:style w:type="character" w:customStyle="1" w:styleId="56">
    <w:name w:val="朱表头 Char"/>
    <w:link w:val="54"/>
    <w:qFormat/>
    <w:uiPriority w:val="0"/>
    <w:rPr>
      <w:rFonts w:ascii="EU-F1" w:hAnsi="Times New Roman" w:eastAsia="黑体" w:cs="Times New Roman"/>
      <w:snapToGrid w:val="0"/>
    </w:rPr>
  </w:style>
  <w:style w:type="paragraph" w:customStyle="1" w:styleId="57">
    <w:name w:val="二级无标题条"/>
    <w:basedOn w:val="1"/>
    <w:qFormat/>
    <w:uiPriority w:val="0"/>
    <w:rPr>
      <w:rFonts w:ascii="Calibri" w:hAnsi="Calibri"/>
      <w:b/>
      <w:szCs w:val="20"/>
    </w:rPr>
  </w:style>
  <w:style w:type="paragraph" w:customStyle="1" w:styleId="58">
    <w:name w:val="无间隔2"/>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59">
    <w:name w:val="_Style 2"/>
    <w:basedOn w:val="3"/>
    <w:next w:val="1"/>
    <w:unhideWhenUsed/>
    <w:qFormat/>
    <w:uiPriority w:val="39"/>
    <w:pPr>
      <w:widowControl/>
      <w:numPr>
        <w:numId w:val="0"/>
      </w:numPr>
      <w:spacing w:before="480" w:line="276" w:lineRule="auto"/>
      <w:jc w:val="left"/>
      <w:outlineLvl w:val="9"/>
    </w:pPr>
    <w:rPr>
      <w:rFonts w:ascii="Cambria" w:hAnsi="Cambria" w:eastAsia="宋体"/>
      <w:bCs/>
      <w:color w:val="365F91"/>
      <w:kern w:val="0"/>
      <w:sz w:val="28"/>
      <w:szCs w:val="28"/>
    </w:rPr>
  </w:style>
  <w:style w:type="character" w:customStyle="1" w:styleId="60">
    <w:name w:val="font21"/>
    <w:basedOn w:val="22"/>
    <w:qFormat/>
    <w:uiPriority w:val="0"/>
    <w:rPr>
      <w:rFonts w:hint="eastAsia" w:ascii="宋体" w:hAnsi="宋体" w:eastAsia="宋体" w:cs="宋体"/>
      <w:color w:val="000000"/>
      <w:sz w:val="18"/>
      <w:szCs w:val="18"/>
      <w:u w:val="none"/>
      <w:vertAlign w:val="superscript"/>
    </w:rPr>
  </w:style>
  <w:style w:type="paragraph" w:customStyle="1" w:styleId="61">
    <w:name w:val="b"/>
    <w:basedOn w:val="1"/>
    <w:qFormat/>
    <w:uiPriority w:val="0"/>
    <w:pPr>
      <w:tabs>
        <w:tab w:val="center" w:pos="4706"/>
        <w:tab w:val="right" w:pos="9044"/>
      </w:tabs>
      <w:topLinePunct/>
      <w:spacing w:line="312" w:lineRule="exact"/>
      <w:jc w:val="center"/>
    </w:pPr>
    <w:rPr>
      <w:rFonts w:ascii="Arial" w:hAnsi="Arial" w:eastAsia="黑体"/>
      <w:kern w:val="0"/>
      <w:szCs w:val="20"/>
    </w:rPr>
  </w:style>
  <w:style w:type="paragraph" w:customStyle="1" w:styleId="62">
    <w:name w:val="列表段落1"/>
    <w:basedOn w:val="1"/>
    <w:qFormat/>
    <w:uiPriority w:val="34"/>
    <w:pPr>
      <w:ind w:firstLine="420" w:firstLineChars="200"/>
    </w:pPr>
  </w:style>
  <w:style w:type="character" w:customStyle="1" w:styleId="63">
    <w:name w:val="font61"/>
    <w:basedOn w:val="22"/>
    <w:qFormat/>
    <w:uiPriority w:val="0"/>
    <w:rPr>
      <w:rFonts w:hint="eastAsia" w:ascii="宋体" w:hAnsi="宋体" w:eastAsia="宋体" w:cs="宋体"/>
      <w:b/>
      <w:color w:val="000000"/>
      <w:sz w:val="22"/>
      <w:szCs w:val="22"/>
      <w:u w:val="none"/>
    </w:rPr>
  </w:style>
  <w:style w:type="character" w:customStyle="1" w:styleId="64">
    <w:name w:val="font41"/>
    <w:basedOn w:val="22"/>
    <w:qFormat/>
    <w:uiPriority w:val="0"/>
    <w:rPr>
      <w:rFonts w:hint="default" w:ascii="Times New Roman" w:hAnsi="Times New Roman" w:cs="Times New Roman"/>
      <w:color w:val="000000"/>
      <w:sz w:val="20"/>
      <w:szCs w:val="20"/>
      <w:u w:val="none"/>
    </w:rPr>
  </w:style>
  <w:style w:type="character" w:customStyle="1" w:styleId="65">
    <w:name w:val="font81"/>
    <w:basedOn w:val="22"/>
    <w:qFormat/>
    <w:uiPriority w:val="0"/>
    <w:rPr>
      <w:rFonts w:hint="eastAsia" w:ascii="宋体" w:hAnsi="宋体" w:eastAsia="宋体" w:cs="宋体"/>
      <w:color w:val="000000"/>
      <w:sz w:val="20"/>
      <w:szCs w:val="20"/>
      <w:u w:val="none"/>
    </w:rPr>
  </w:style>
  <w:style w:type="character" w:customStyle="1" w:styleId="66">
    <w:name w:val="font71"/>
    <w:basedOn w:val="22"/>
    <w:qFormat/>
    <w:uiPriority w:val="0"/>
    <w:rPr>
      <w:rFonts w:hint="eastAsia" w:ascii="宋体" w:hAnsi="宋体" w:eastAsia="宋体" w:cs="宋体"/>
      <w:color w:val="000000"/>
      <w:sz w:val="20"/>
      <w:szCs w:val="20"/>
      <w:u w:val="none"/>
    </w:rPr>
  </w:style>
  <w:style w:type="character" w:customStyle="1" w:styleId="67">
    <w:name w:val="font01"/>
    <w:basedOn w:val="22"/>
    <w:qFormat/>
    <w:uiPriority w:val="0"/>
    <w:rPr>
      <w:rFonts w:hint="eastAsia" w:ascii="宋体" w:hAnsi="宋体" w:eastAsia="宋体" w:cs="宋体"/>
      <w:color w:val="000000"/>
      <w:sz w:val="24"/>
      <w:szCs w:val="24"/>
      <w:u w:val="none"/>
    </w:rPr>
  </w:style>
  <w:style w:type="character" w:customStyle="1" w:styleId="68">
    <w:name w:val="font51"/>
    <w:basedOn w:val="22"/>
    <w:qFormat/>
    <w:uiPriority w:val="0"/>
    <w:rPr>
      <w:rFonts w:hint="eastAsia" w:ascii="宋体" w:hAnsi="宋体" w:eastAsia="宋体" w:cs="宋体"/>
      <w:color w:val="000000"/>
      <w:sz w:val="18"/>
      <w:szCs w:val="18"/>
      <w:u w:val="none"/>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1.jpe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10</Pages>
  <Words>398</Words>
  <Characters>2270</Characters>
  <Lines>18</Lines>
  <Paragraphs>5</Paragraphs>
  <TotalTime>14</TotalTime>
  <ScaleCrop>false</ScaleCrop>
  <LinksUpToDate>false</LinksUpToDate>
  <CharactersWithSpaces>2663</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2017-05-30T15:49:00Z</dcterms:created>
  <dc:creator>高晗</dc:creator>
  <cp:lastModifiedBy>李颖</cp:lastModifiedBy>
  <cp:lastPrinted>2022-02-11T09:29:00Z</cp:lastPrinted>
  <dcterms:modified xsi:type="dcterms:W3CDTF">2024-03-06T07:19:47Z</dcterms:modified>
  <cp:revision>24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DA26947F396D4706BFDB0F1045FFF685</vt:lpwstr>
  </property>
</Properties>
</file>