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2"/>
          <w:szCs w:val="40"/>
          <w:lang w:val="en-US" w:eastAsia="zh-CN"/>
        </w:rPr>
      </w:pPr>
      <w:r>
        <w:rPr>
          <w:rFonts w:hint="eastAsia" w:ascii="黑体" w:hAnsi="黑体" w:eastAsia="黑体" w:cs="黑体"/>
          <w:sz w:val="32"/>
          <w:szCs w:val="40"/>
        </w:rPr>
        <w:t>广东电白抽水蓄能电站业主临时营地篮球场附属设施修缮项目零星采购项目</w:t>
      </w:r>
      <w:r>
        <w:rPr>
          <w:rFonts w:hint="eastAsia" w:ascii="黑体" w:hAnsi="黑体" w:eastAsia="黑体" w:cs="黑体"/>
          <w:sz w:val="32"/>
          <w:szCs w:val="40"/>
          <w:lang w:eastAsia="zh-CN"/>
        </w:rPr>
        <w:t>——</w:t>
      </w:r>
      <w:r>
        <w:rPr>
          <w:rFonts w:hint="eastAsia" w:ascii="黑体" w:hAnsi="黑体" w:eastAsia="黑体" w:cs="黑体"/>
          <w:sz w:val="32"/>
          <w:szCs w:val="40"/>
          <w:lang w:val="en-US" w:eastAsia="zh-CN"/>
        </w:rPr>
        <w:t>技术要求</w:t>
      </w:r>
    </w:p>
    <w:p>
      <w:pPr>
        <w:jc w:val="center"/>
        <w:rPr>
          <w:rFonts w:hint="eastAsia" w:ascii="黑体" w:hAnsi="黑体" w:eastAsia="黑体" w:cs="黑体"/>
          <w:sz w:val="32"/>
          <w:szCs w:val="40"/>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广东电白抽水蓄能电站业主临时营地篮球场附属设施修缮项目零星采购项目包括:(1)临时营地篮球场丙烯酸地坪；(2)临时营地道路加装排水沟盖板；(3)篮球场边座椅。</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使用</w:t>
      </w:r>
      <w:r>
        <w:rPr>
          <w:rFonts w:hint="eastAsia" w:ascii="宋体" w:hAnsi="宋体" w:eastAsia="宋体" w:cs="宋体"/>
          <w:sz w:val="32"/>
          <w:szCs w:val="40"/>
          <w:lang w:val="en-US" w:eastAsia="zh-CN"/>
        </w:rPr>
        <w:t>要求</w:t>
      </w:r>
      <w:r>
        <w:rPr>
          <w:rFonts w:hint="eastAsia" w:ascii="宋体" w:hAnsi="宋体" w:eastAsia="宋体" w:cs="宋体"/>
          <w:sz w:val="32"/>
          <w:szCs w:val="40"/>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广东电白抽水蓄能电站业主临时营地位于广东省茂名市电白区霞洞镇原浮山中学内，</w:t>
      </w:r>
      <w:bookmarkStart w:id="0" w:name="_GoBack"/>
      <w:bookmarkEnd w:id="0"/>
      <w:r>
        <w:rPr>
          <w:rFonts w:hint="eastAsia" w:ascii="宋体" w:hAnsi="宋体" w:eastAsia="宋体" w:cs="宋体"/>
          <w:sz w:val="32"/>
          <w:szCs w:val="40"/>
          <w:lang w:val="en-US" w:eastAsia="zh-CN"/>
        </w:rPr>
        <w:t>项目完成后需达到标准室外篮球场地板验收要求；排水沟盖板需按照要求安装到位，满足车辆临时借道通行的要求；场边座椅满足实际使用需求。</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规格与材质：</w:t>
      </w:r>
    </w:p>
    <w:p>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宋体" w:hAnsi="宋体" w:eastAsia="宋体" w:cs="宋体"/>
          <w:sz w:val="32"/>
          <w:szCs w:val="40"/>
          <w:lang w:val="en-US" w:eastAsia="zh-CN"/>
        </w:rPr>
      </w:pPr>
      <w:r>
        <w:rPr>
          <w:rFonts w:hint="eastAsia" w:ascii="宋体" w:hAnsi="宋体" w:eastAsia="宋体" w:cs="宋体"/>
          <w:sz w:val="32"/>
          <w:szCs w:val="40"/>
          <w:lang w:val="en-US" w:eastAsia="zh-CN"/>
        </w:rPr>
        <w:t>(1)篮球场的尺寸为30米×17米，面积约为510平方米，包括打磨清洗、上底漆补缝、面漆画线；(2)排水沟盖板初拟定按照实际尺寸预制盖板，材质拟采用镀锌格栅盖板，共设90米；(3)篮球场边座椅共4个，拟采用铸铝材质且带靠背和扶手的1.5米宽座椅，根据现场实际情况位置布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琥珀">
    <w:panose1 w:val="02010800040101010101"/>
    <w:charset w:val="86"/>
    <w:family w:val="auto"/>
    <w:pitch w:val="default"/>
    <w:sig w:usb0="00000001" w:usb1="080F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E247703"/>
    <w:rsid w:val="7C705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2024-03-25T01:57:11Z</dcterms:created>
  <dc:creator>admin</dc:creator>
  <cp:lastModifiedBy>周欢阳</cp:lastModifiedBy>
  <dcterms:modified xsi:type="dcterms:W3CDTF">2024-03-25T02:02:48Z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BCECCD4A84E44D818084B81D9682686C</vt:lpwstr>
  </property>
</Properties>
</file>