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b/>
          <w:bCs/>
          <w:sz w:val="52"/>
          <w:szCs w:val="5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52"/>
          <w:szCs w:val="52"/>
          <w:lang w:val="en-US" w:eastAsia="zh-CN"/>
        </w:rPr>
        <w:t>技术规范书</w:t>
      </w:r>
      <w:bookmarkStart w:id="0" w:name="_GoBack"/>
      <w:bookmarkEnd w:id="0"/>
    </w:p>
    <w:p>
      <w:p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1、显示器1技术要求：27寸显示器，2K分辨率，刷新率≥60Hz，微边框，自带支架。</w:t>
      </w:r>
    </w:p>
    <w:p>
      <w:pPr>
        <w:spacing w:line="360" w:lineRule="auto"/>
        <w:jc w:val="both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数量：28台。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例：（仅供参考）</w:t>
      </w:r>
    </w:p>
    <w:p>
      <w:pPr>
        <w:spacing w:line="360" w:lineRule="auto"/>
        <w:jc w:val="both"/>
      </w:pPr>
      <w:r>
        <w:drawing>
          <wp:inline distT="0" distB="0" distL="114300" distR="114300">
            <wp:extent cx="4967605" cy="4286250"/>
            <wp:effectExtent l="0" t="0" r="444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67605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both"/>
      </w:pP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2、显示器2技术要求：27寸显示器，2K分辨率，刷新率≥60Hz，微边框，支持显示器悬臂支架，显示器背面应留有安装悬臂支架的螺孔，能安装市面常见显示器悬臂支架。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数量：2台。</w:t>
      </w:r>
    </w:p>
    <w:p>
      <w:pPr>
        <w:spacing w:line="360" w:lineRule="auto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例：（仅供参考）</w:t>
      </w:r>
    </w:p>
    <w:p>
      <w:pPr>
        <w:spacing w:line="360" w:lineRule="auto"/>
        <w:jc w:val="both"/>
      </w:pPr>
      <w:r>
        <w:drawing>
          <wp:inline distT="0" distB="0" distL="114300" distR="114300">
            <wp:extent cx="4853305" cy="3457575"/>
            <wp:effectExtent l="0" t="0" r="444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53305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注：投标方所供显示器必须满足上述技术要求。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094882"/>
    <w:rsid w:val="03094882"/>
    <w:rsid w:val="0618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2024-03-25T03:31:00Z</dcterms:created>
  <dc:creator>刘立同</dc:creator>
  <cp:lastModifiedBy>刘立同</cp:lastModifiedBy>
  <dcterms:modified xsi:type="dcterms:W3CDTF">2024-03-25T03:54:20Z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E09BB8295F984B5A9A7C093D7581D3D3</vt:lpwstr>
  </property>
</Properties>
</file>