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both"/>
        <w:outlineLvl w:val="0"/>
        <w:rPr>
          <w:rFonts w:hint="eastAsia" w:ascii="黑体" w:hAnsi="黑体" w:eastAsia="黑体" w:cs="宋体"/>
          <w:b/>
          <w:bCs/>
          <w:kern w:val="0"/>
          <w:sz w:val="32"/>
          <w:szCs w:val="32"/>
        </w:rPr>
      </w:pPr>
    </w:p>
    <w:p>
      <w:pPr>
        <w:autoSpaceDE w:val="0"/>
        <w:autoSpaceDN w:val="0"/>
        <w:adjustRightInd w:val="0"/>
        <w:jc w:val="center"/>
        <w:outlineLvl w:val="0"/>
        <w:rPr>
          <w:rFonts w:hint="eastAsia"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南方电网调峰调频发电有限公司储能科研院实验室设备第三方计量检测</w:t>
      </w:r>
    </w:p>
    <w:p>
      <w:pPr>
        <w:pStyle w:val="2"/>
        <w:rPr>
          <w:rFonts w:hint="eastAsia"/>
          <w:lang w:val="en-US" w:bidi="ar-SA"/>
        </w:rPr>
      </w:pPr>
    </w:p>
    <w:p>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rPr>
        <w:t>技术</w:t>
      </w:r>
      <w:r>
        <w:rPr>
          <w:rFonts w:hint="eastAsia" w:ascii="黑体" w:hAnsi="黑体" w:eastAsia="黑体" w:cs="宋体"/>
          <w:b/>
          <w:bCs/>
          <w:kern w:val="0"/>
          <w:sz w:val="52"/>
          <w:szCs w:val="40"/>
          <w:lang w:val="en-US" w:eastAsia="zh-CN"/>
        </w:rPr>
        <w:t>要求</w:t>
      </w: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widowControl/>
        <w:spacing w:line="440" w:lineRule="exact"/>
        <w:jc w:val="center"/>
        <w:outlineLvl w:val="0"/>
        <w:rPr>
          <w:rFonts w:hint="eastAsia" w:eastAsia="黑体"/>
          <w:sz w:val="28"/>
          <w:szCs w:val="28"/>
          <w:lang w:eastAsia="zh-CN"/>
        </w:rPr>
      </w:pPr>
      <w:r>
        <w:rPr>
          <w:rFonts w:hint="eastAsia" w:eastAsia="黑体"/>
          <w:sz w:val="28"/>
          <w:szCs w:val="28"/>
        </w:rPr>
        <w:t>南方电网调峰调频发电有限公司储能科研院</w:t>
      </w:r>
      <w:r>
        <w:rPr>
          <w:rFonts w:hint="eastAsia" w:eastAsia="黑体"/>
          <w:sz w:val="28"/>
          <w:szCs w:val="28"/>
          <w:lang w:eastAsia="zh-CN"/>
        </w:rPr>
        <w:t>（</w:t>
      </w:r>
      <w:r>
        <w:rPr>
          <w:rFonts w:hint="eastAsia" w:eastAsia="黑体"/>
          <w:sz w:val="28"/>
          <w:szCs w:val="28"/>
          <w:lang w:val="en-US" w:eastAsia="zh-CN"/>
        </w:rPr>
        <w:t>甲方</w:t>
      </w:r>
      <w:r>
        <w:rPr>
          <w:rFonts w:hint="eastAsia" w:eastAsia="黑体"/>
          <w:sz w:val="28"/>
          <w:szCs w:val="28"/>
          <w:lang w:eastAsia="zh-CN"/>
        </w:rPr>
        <w:t>）</w:t>
      </w:r>
    </w:p>
    <w:p>
      <w:pPr>
        <w:pStyle w:val="2"/>
        <w:jc w:val="center"/>
        <w:rPr>
          <w:rFonts w:hint="default" w:eastAsia="黑体" w:asciiTheme="minorHAnsi" w:hAnsiTheme="minorHAnsi" w:cstheme="minorBidi"/>
          <w:kern w:val="2"/>
          <w:sz w:val="28"/>
          <w:szCs w:val="28"/>
          <w:lang w:val="en-US" w:eastAsia="zh-CN" w:bidi="ar-SA"/>
        </w:rPr>
      </w:pPr>
      <w:r>
        <w:rPr>
          <w:rFonts w:hint="eastAsia" w:eastAsia="黑体" w:asciiTheme="minorHAnsi" w:hAnsiTheme="minorHAnsi" w:cstheme="minorBidi"/>
          <w:kern w:val="2"/>
          <w:sz w:val="28"/>
          <w:szCs w:val="28"/>
          <w:lang w:val="en-US" w:eastAsia="zh-CN" w:bidi="ar-SA"/>
        </w:rPr>
        <w:t>XX公司（乙方）</w:t>
      </w:r>
    </w:p>
    <w:p>
      <w:pPr>
        <w:widowControl/>
        <w:spacing w:line="440" w:lineRule="exact"/>
        <w:jc w:val="center"/>
        <w:outlineLvl w:val="0"/>
        <w:rPr>
          <w:rFonts w:eastAsia="黑体"/>
          <w:sz w:val="28"/>
          <w:szCs w:val="28"/>
        </w:rPr>
      </w:pPr>
    </w:p>
    <w:p>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4</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3</w:t>
      </w:r>
      <w:r>
        <w:rPr>
          <w:rFonts w:hint="eastAsia" w:ascii="new times roman" w:hAnsi="new times roman" w:eastAsia="黑体"/>
          <w:sz w:val="28"/>
          <w:szCs w:val="28"/>
        </w:rPr>
        <w:t>月</w:t>
      </w:r>
    </w:p>
    <w:p>
      <w:pPr>
        <w:rPr>
          <w:rFonts w:ascii="宋体" w:eastAsia="宋体" w:cs="宋体"/>
          <w:b/>
          <w:bCs/>
          <w:kern w:val="0"/>
          <w:sz w:val="28"/>
          <w:szCs w:val="28"/>
        </w:rPr>
      </w:pPr>
      <w:r>
        <w:rPr>
          <w:rFonts w:ascii="宋体" w:eastAsia="宋体" w:cs="宋体"/>
          <w:b/>
          <w:bCs/>
          <w:kern w:val="0"/>
          <w:sz w:val="28"/>
          <w:szCs w:val="28"/>
        </w:rPr>
        <w:br w:type="page"/>
      </w:r>
    </w:p>
    <w:p>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ascii="宋体" w:eastAsia="宋体" w:cs="宋体"/>
          <w:b/>
          <w:bCs/>
          <w:kern w:val="0"/>
          <w:sz w:val="28"/>
          <w:szCs w:val="28"/>
        </w:rPr>
        <w:t>概况</w:t>
      </w:r>
    </w:p>
    <w:p>
      <w:pPr>
        <w:autoSpaceDE w:val="0"/>
        <w:autoSpaceDN w:val="0"/>
        <w:adjustRightInd w:val="0"/>
        <w:spacing w:line="360" w:lineRule="auto"/>
        <w:ind w:firstLine="560" w:firstLineChars="200"/>
        <w:jc w:val="left"/>
        <w:rPr>
          <w:rFonts w:hint="default" w:cs="宋体" w:eastAsiaTheme="minorEastAsia"/>
          <w:sz w:val="28"/>
          <w:szCs w:val="28"/>
          <w:lang w:val="en-US" w:eastAsia="zh-CN"/>
        </w:rPr>
      </w:pPr>
      <w:r>
        <w:rPr>
          <w:rFonts w:hint="eastAsia" w:cs="宋体"/>
          <w:sz w:val="28"/>
          <w:szCs w:val="28"/>
          <w:lang w:val="en-US" w:eastAsia="zh-CN"/>
        </w:rPr>
        <w:t>为推进南方电网调峰调频发电有限公司储能科研院（下文简称“储能科研院”）变流器实验室和电池实验室建设与发展，保护实验人员安全，确保实验结果准确可信，需对实验室内现有设备进行计量检测。</w:t>
      </w:r>
    </w:p>
    <w:p>
      <w:pPr>
        <w:autoSpaceDE w:val="0"/>
        <w:autoSpaceDN w:val="0"/>
        <w:adjustRightInd w:val="0"/>
        <w:spacing w:line="360" w:lineRule="auto"/>
        <w:ind w:firstLine="560" w:firstLineChars="200"/>
        <w:jc w:val="left"/>
        <w:rPr>
          <w:rFonts w:cs="宋体"/>
          <w:sz w:val="28"/>
          <w:szCs w:val="28"/>
        </w:rPr>
      </w:pPr>
    </w:p>
    <w:p>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hint="eastAsia" w:ascii="宋体" w:eastAsia="宋体" w:cs="宋体"/>
          <w:b/>
          <w:bCs/>
          <w:kern w:val="0"/>
          <w:sz w:val="28"/>
          <w:szCs w:val="28"/>
        </w:rPr>
        <w:t>服务内容</w:t>
      </w:r>
      <w:r>
        <w:rPr>
          <w:rFonts w:hint="eastAsia" w:ascii="宋体" w:eastAsia="宋体" w:cs="宋体"/>
          <w:b/>
          <w:bCs/>
          <w:kern w:val="0"/>
          <w:sz w:val="28"/>
          <w:szCs w:val="28"/>
          <w:lang w:val="en-US" w:eastAsia="zh-CN"/>
        </w:rPr>
        <w:t>及要求</w:t>
      </w:r>
    </w:p>
    <w:p>
      <w:pPr>
        <w:pStyle w:val="24"/>
        <w:autoSpaceDE w:val="0"/>
        <w:autoSpaceDN w:val="0"/>
        <w:adjustRightInd w:val="0"/>
        <w:spacing w:line="360" w:lineRule="auto"/>
        <w:ind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乙方需向甲方储能科研院提供实验室内设备计量检测服务，设备清单见附件，具体要求如下：</w:t>
      </w:r>
    </w:p>
    <w:p>
      <w:pPr>
        <w:pStyle w:val="24"/>
        <w:autoSpaceDE w:val="0"/>
        <w:autoSpaceDN w:val="0"/>
        <w:adjustRightInd w:val="0"/>
        <w:spacing w:line="360" w:lineRule="auto"/>
        <w:ind w:firstLine="560"/>
        <w:jc w:val="left"/>
        <w:rPr>
          <w:rFonts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乙方应具有《中国合格评定国家认可委员会实验室认可证书》及《检验检测机构资质认定证书》</w:t>
      </w:r>
      <w:r>
        <w:rPr>
          <w:rFonts w:hint="eastAsia" w:ascii="宋体" w:hAnsi="宋体" w:eastAsia="宋体" w:cs="宋体"/>
          <w:sz w:val="28"/>
          <w:szCs w:val="28"/>
        </w:rPr>
        <w:t>。</w:t>
      </w:r>
    </w:p>
    <w:p>
      <w:pPr>
        <w:pStyle w:val="24"/>
        <w:autoSpaceDE w:val="0"/>
        <w:autoSpaceDN w:val="0"/>
        <w:adjustRightInd w:val="0"/>
        <w:spacing w:line="360" w:lineRule="auto"/>
        <w:ind w:firstLine="560"/>
        <w:jc w:val="left"/>
        <w:rPr>
          <w:rFonts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乙方所具备的认可的校准和测量能力范围应包含附件列出的所有设备</w:t>
      </w:r>
      <w:r>
        <w:rPr>
          <w:rFonts w:hint="eastAsia" w:ascii="宋体" w:hAnsi="宋体" w:eastAsia="宋体" w:cs="宋体"/>
          <w:sz w:val="28"/>
          <w:szCs w:val="28"/>
        </w:rPr>
        <w:t>。</w:t>
      </w:r>
    </w:p>
    <w:p>
      <w:pPr>
        <w:pStyle w:val="24"/>
        <w:autoSpaceDE w:val="0"/>
        <w:autoSpaceDN w:val="0"/>
        <w:adjustRightInd w:val="0"/>
        <w:spacing w:line="360" w:lineRule="auto"/>
        <w:ind w:firstLine="560"/>
        <w:jc w:val="left"/>
        <w:rPr>
          <w:rFonts w:hint="eastAsia" w:ascii="宋体" w:hAnsi="宋体" w:eastAsia="宋体" w:cs="宋体"/>
          <w:sz w:val="28"/>
          <w:szCs w:val="28"/>
          <w:lang w:val="en-US" w:eastAsia="zh-CN"/>
        </w:rPr>
      </w:pPr>
      <w:r>
        <w:rPr>
          <w:rFonts w:hint="eastAsia" w:ascii="宋体" w:hAnsi="宋体" w:eastAsia="宋体" w:cs="宋体"/>
          <w:sz w:val="28"/>
          <w:szCs w:val="28"/>
        </w:rPr>
        <w:t>（3）</w:t>
      </w:r>
      <w:r>
        <w:rPr>
          <w:rFonts w:hint="eastAsia" w:ascii="宋体" w:hAnsi="宋体" w:eastAsia="宋体" w:cs="宋体"/>
          <w:sz w:val="28"/>
          <w:szCs w:val="28"/>
          <w:lang w:val="en-US" w:eastAsia="zh-CN"/>
        </w:rPr>
        <w:t>乙方提供的校准结果应满足以下要求：</w:t>
      </w:r>
    </w:p>
    <w:p>
      <w:pPr>
        <w:pStyle w:val="24"/>
        <w:autoSpaceDE w:val="0"/>
        <w:autoSpaceDN w:val="0"/>
        <w:adjustRightInd w:val="0"/>
        <w:spacing w:line="360" w:lineRule="auto"/>
        <w:ind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1）准确性：计量检测应具备高精度和高准确性；</w:t>
      </w:r>
    </w:p>
    <w:p>
      <w:pPr>
        <w:pStyle w:val="24"/>
        <w:autoSpaceDE w:val="0"/>
        <w:autoSpaceDN w:val="0"/>
        <w:adjustRightInd w:val="0"/>
        <w:spacing w:line="360" w:lineRule="auto"/>
        <w:ind w:firstLine="560"/>
        <w:jc w:val="lef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2）可追溯性：计量检测应能够追踪至国际或国家标准；</w:t>
      </w:r>
    </w:p>
    <w:p>
      <w:pPr>
        <w:pStyle w:val="24"/>
        <w:autoSpaceDE w:val="0"/>
        <w:autoSpaceDN w:val="0"/>
        <w:adjustRightInd w:val="0"/>
        <w:spacing w:line="360" w:lineRule="auto"/>
        <w:ind w:firstLine="560"/>
        <w:jc w:val="lef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3）一致性：计量检测应具备一致性，即在相同条件下重复测量应该得到相似的结果；</w:t>
      </w:r>
    </w:p>
    <w:p>
      <w:pPr>
        <w:pStyle w:val="24"/>
        <w:autoSpaceDE w:val="0"/>
        <w:autoSpaceDN w:val="0"/>
        <w:adjustRightInd w:val="0"/>
        <w:spacing w:line="360" w:lineRule="auto"/>
        <w:ind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4）标准化：计量检测应符合国家制定的相关计量检测标准和规范，以统一测量方法和结果的表示方式。</w:t>
      </w:r>
    </w:p>
    <w:p>
      <w:pPr>
        <w:pStyle w:val="24"/>
        <w:autoSpaceDE w:val="0"/>
        <w:autoSpaceDN w:val="0"/>
        <w:adjustRightInd w:val="0"/>
        <w:spacing w:line="360" w:lineRule="auto"/>
        <w:ind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乙方从事本次计量检测的全部技术人员均应具备相应岗位检定校准资格证书，并严格遵守相关的校准操作规程。</w:t>
      </w:r>
    </w:p>
    <w:p>
      <w:pPr>
        <w:pStyle w:val="24"/>
        <w:autoSpaceDE w:val="0"/>
        <w:autoSpaceDN w:val="0"/>
        <w:adjustRightInd w:val="0"/>
        <w:spacing w:line="360" w:lineRule="auto"/>
        <w:ind w:firstLine="560"/>
        <w:jc w:val="lef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（5）设备计量检测期间，乙方应保证设备完好，功能正常。</w:t>
      </w:r>
    </w:p>
    <w:p>
      <w:pPr>
        <w:pStyle w:val="24"/>
        <w:autoSpaceDE w:val="0"/>
        <w:autoSpaceDN w:val="0"/>
        <w:adjustRightInd w:val="0"/>
        <w:spacing w:line="360" w:lineRule="auto"/>
        <w:ind w:firstLine="560"/>
        <w:jc w:val="left"/>
        <w:rPr>
          <w:rFonts w:hint="eastAsia" w:ascii="宋体" w:hAnsi="宋体" w:cs="宋体"/>
          <w:bCs/>
          <w:sz w:val="24"/>
        </w:rPr>
      </w:pPr>
    </w:p>
    <w:p>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hint="eastAsia" w:ascii="宋体" w:eastAsia="宋体" w:cs="宋体"/>
          <w:b/>
          <w:bCs/>
          <w:kern w:val="0"/>
          <w:sz w:val="28"/>
          <w:szCs w:val="28"/>
        </w:rPr>
        <w:t>项目交付物</w:t>
      </w:r>
      <w:r>
        <w:rPr>
          <w:rFonts w:hint="eastAsia" w:ascii="宋体" w:eastAsia="宋体" w:cs="宋体"/>
          <w:b/>
          <w:bCs/>
          <w:kern w:val="0"/>
          <w:sz w:val="28"/>
          <w:szCs w:val="28"/>
          <w:lang w:val="en-US" w:eastAsia="zh-CN"/>
        </w:rPr>
        <w:t>及要求</w:t>
      </w:r>
    </w:p>
    <w:p>
      <w:pPr>
        <w:pStyle w:val="24"/>
        <w:numPr>
          <w:ilvl w:val="0"/>
          <w:numId w:val="2"/>
        </w:num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设备加量检测证书</w:t>
      </w:r>
      <w:r>
        <w:rPr>
          <w:rFonts w:hint="eastAsia" w:ascii="宋体" w:hAnsi="宋体" w:eastAsia="宋体" w:cs="宋体"/>
          <w:sz w:val="28"/>
          <w:szCs w:val="28"/>
          <w:lang w:eastAsia="zh-CN"/>
        </w:rPr>
        <w:t>。</w:t>
      </w:r>
    </w:p>
    <w:p>
      <w:pPr>
        <w:pStyle w:val="24"/>
        <w:widowControl w:val="0"/>
        <w:numPr>
          <w:ilvl w:val="0"/>
          <w:numId w:val="0"/>
        </w:numPr>
        <w:spacing w:line="360" w:lineRule="auto"/>
        <w:ind w:firstLine="560" w:firstLineChars="200"/>
        <w:jc w:val="both"/>
        <w:rPr>
          <w:rFonts w:hint="default"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设备计量检测报告。</w:t>
      </w:r>
    </w:p>
    <w:p>
      <w:pPr>
        <w:pStyle w:val="24"/>
        <w:widowControl w:val="0"/>
        <w:numPr>
          <w:ilvl w:val="0"/>
          <w:numId w:val="0"/>
        </w:numPr>
        <w:spacing w:line="360" w:lineRule="auto"/>
        <w:jc w:val="both"/>
        <w:rPr>
          <w:rFonts w:hint="eastAsia" w:ascii="宋体" w:hAnsi="宋体" w:eastAsia="宋体" w:cs="宋体"/>
          <w:sz w:val="28"/>
          <w:szCs w:val="28"/>
          <w:lang w:eastAsia="zh-CN"/>
        </w:rPr>
      </w:pPr>
    </w:p>
    <w:p>
      <w:pPr>
        <w:pStyle w:val="2"/>
      </w:pPr>
    </w:p>
    <w:p>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hint="eastAsia" w:ascii="宋体" w:eastAsia="宋体" w:cs="宋体"/>
          <w:b/>
          <w:bCs/>
          <w:kern w:val="0"/>
          <w:sz w:val="28"/>
          <w:szCs w:val="28"/>
          <w:lang w:val="en-US" w:eastAsia="zh-CN"/>
        </w:rPr>
        <w:t>进度要求</w:t>
      </w:r>
    </w:p>
    <w:p>
      <w:pPr>
        <w:pStyle w:val="2"/>
        <w:ind w:firstLine="560" w:firstLineChars="200"/>
        <w:outlineLvl w:val="9"/>
        <w:rPr>
          <w:rFonts w:hint="default" w:cs="宋体"/>
          <w:kern w:val="2"/>
          <w:sz w:val="28"/>
          <w:szCs w:val="28"/>
          <w:lang w:val="en-US" w:eastAsia="zh-CN" w:bidi="ar-SA"/>
        </w:rPr>
      </w:pPr>
      <w:r>
        <w:rPr>
          <w:rFonts w:hint="eastAsia" w:cs="宋体"/>
          <w:kern w:val="2"/>
          <w:sz w:val="28"/>
          <w:szCs w:val="28"/>
          <w:lang w:val="en-US" w:eastAsia="zh-CN" w:bidi="ar-SA"/>
        </w:rPr>
        <w:t>合同签订后（中标通知发出）后，乙方应于7个工作日内来现场计量设备，若设备需送往乙方实验室计量，乙方应联系取送车辆，并保证设备完好。</w:t>
      </w:r>
    </w:p>
    <w:p>
      <w:pPr>
        <w:pStyle w:val="2"/>
        <w:ind w:firstLine="560" w:firstLineChars="200"/>
        <w:outlineLvl w:val="9"/>
        <w:rPr>
          <w:rFonts w:hint="default" w:ascii="宋体" w:hAnsi="宋体" w:eastAsia="宋体" w:cs="宋体"/>
          <w:kern w:val="2"/>
          <w:sz w:val="28"/>
          <w:szCs w:val="28"/>
          <w:lang w:val="en-US" w:eastAsia="zh-CN" w:bidi="ar-SA"/>
        </w:rPr>
      </w:pPr>
      <w:r>
        <w:rPr>
          <w:rFonts w:hint="eastAsia" w:cs="宋体"/>
          <w:kern w:val="2"/>
          <w:sz w:val="28"/>
          <w:szCs w:val="28"/>
          <w:lang w:val="en-US" w:eastAsia="zh-CN" w:bidi="ar-SA"/>
        </w:rPr>
        <w:t>乙方应</w:t>
      </w:r>
      <w:r>
        <w:rPr>
          <w:rFonts w:hint="eastAsia" w:ascii="宋体" w:hAnsi="宋体" w:eastAsia="宋体" w:cs="宋体"/>
          <w:kern w:val="2"/>
          <w:sz w:val="28"/>
          <w:szCs w:val="28"/>
          <w:lang w:val="en-US" w:eastAsia="zh-CN" w:bidi="ar-SA"/>
        </w:rPr>
        <w:t>于</w:t>
      </w:r>
      <w:r>
        <w:rPr>
          <w:rFonts w:hint="eastAsia" w:cs="宋体"/>
          <w:kern w:val="2"/>
          <w:sz w:val="28"/>
          <w:szCs w:val="28"/>
          <w:lang w:val="en-US" w:eastAsia="zh-CN" w:bidi="ar-SA"/>
        </w:rPr>
        <w:t>设备送检后5个工作日内完成附件清单所有设备的计量检测，并出具相</w:t>
      </w:r>
      <w:r>
        <w:rPr>
          <w:rFonts w:hint="eastAsia" w:cs="宋体"/>
          <w:kern w:val="2"/>
          <w:sz w:val="28"/>
          <w:szCs w:val="28"/>
          <w:highlight w:val="none"/>
          <w:lang w:val="en-US" w:eastAsia="zh-CN" w:bidi="ar-SA"/>
        </w:rPr>
        <w:t>关检测报告</w:t>
      </w:r>
      <w:r>
        <w:rPr>
          <w:rFonts w:hint="eastAsia" w:cs="宋体"/>
          <w:kern w:val="2"/>
          <w:sz w:val="28"/>
          <w:szCs w:val="28"/>
          <w:highlight w:val="none"/>
          <w:lang w:val="en-US" w:eastAsia="zh-CN" w:bidi="ar-SA"/>
        </w:rPr>
        <w:t>及证书</w:t>
      </w:r>
      <w:r>
        <w:rPr>
          <w:rFonts w:hint="eastAsia" w:cs="宋体"/>
          <w:kern w:val="2"/>
          <w:sz w:val="28"/>
          <w:szCs w:val="28"/>
          <w:lang w:val="en-US" w:eastAsia="zh-CN" w:bidi="ar-SA"/>
        </w:rPr>
        <w:t>。</w:t>
      </w:r>
    </w:p>
    <w:p>
      <w:pPr>
        <w:pStyle w:val="3"/>
      </w:pPr>
    </w:p>
    <w:p>
      <w:pPr>
        <w:pStyle w:val="24"/>
        <w:numPr>
          <w:ilvl w:val="0"/>
          <w:numId w:val="0"/>
        </w:numPr>
        <w:spacing w:line="360" w:lineRule="auto"/>
        <w:ind w:leftChars="200"/>
        <w:rPr>
          <w:rFonts w:hint="eastAsia" w:ascii="宋体" w:hAnsi="宋体" w:eastAsia="宋体" w:cs="宋体"/>
          <w:sz w:val="28"/>
          <w:szCs w:val="28"/>
        </w:rPr>
        <w:sectPr>
          <w:pgSz w:w="11906" w:h="16838"/>
          <w:pgMar w:top="1440" w:right="1800" w:bottom="1440" w:left="1800" w:header="851" w:footer="992" w:gutter="0"/>
          <w:cols w:space="425" w:num="1"/>
          <w:docGrid w:type="lines" w:linePitch="312" w:charSpace="0"/>
        </w:sectPr>
      </w:pPr>
    </w:p>
    <w:p>
      <w:pPr>
        <w:pStyle w:val="24"/>
        <w:numPr>
          <w:ilvl w:val="0"/>
          <w:numId w:val="0"/>
        </w:numPr>
        <w:spacing w:line="360" w:lineRule="auto"/>
        <w:rPr>
          <w:rFonts w:hint="eastAsia" w:ascii="宋体" w:eastAsia="宋体" w:cs="宋体" w:hAnsiTheme="minorHAnsi"/>
          <w:b/>
          <w:bCs/>
          <w:kern w:val="0"/>
          <w:sz w:val="28"/>
          <w:szCs w:val="28"/>
          <w:lang w:val="en-US" w:eastAsia="zh-CN" w:bidi="ar-SA"/>
        </w:rPr>
      </w:pPr>
      <w:r>
        <w:rPr>
          <w:rFonts w:hint="eastAsia" w:ascii="宋体" w:eastAsia="宋体" w:cs="宋体" w:hAnsiTheme="minorHAnsi"/>
          <w:b/>
          <w:bCs/>
          <w:kern w:val="0"/>
          <w:sz w:val="28"/>
          <w:szCs w:val="28"/>
          <w:lang w:val="en-US" w:eastAsia="zh-CN" w:bidi="ar-SA"/>
        </w:rPr>
        <w:t>附件：</w:t>
      </w:r>
    </w:p>
    <w:p>
      <w:pPr>
        <w:pStyle w:val="3"/>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cs="Times New Roman"/>
          <w:b w:val="0"/>
          <w:bCs w:val="0"/>
          <w:sz w:val="28"/>
          <w:szCs w:val="28"/>
          <w:lang w:val="en-US" w:eastAsia="zh-CN"/>
        </w:rPr>
        <w:t>实验室设备</w:t>
      </w:r>
      <w:r>
        <w:rPr>
          <w:rFonts w:hint="eastAsia" w:ascii="Times New Roman" w:hAnsi="Times New Roman" w:cs="Times New Roman"/>
          <w:b w:val="0"/>
          <w:bCs w:val="0"/>
          <w:sz w:val="28"/>
          <w:szCs w:val="28"/>
          <w:lang w:val="en-US" w:eastAsia="zh-CN"/>
        </w:rPr>
        <w:t>计量检测</w:t>
      </w:r>
      <w:r>
        <w:rPr>
          <w:rFonts w:hint="default" w:ascii="Times New Roman" w:hAnsi="Times New Roman" w:cs="Times New Roman"/>
          <w:b w:val="0"/>
          <w:bCs w:val="0"/>
          <w:sz w:val="28"/>
          <w:szCs w:val="28"/>
          <w:lang w:val="en-US" w:eastAsia="zh-CN"/>
        </w:rPr>
        <w:t>清单</w:t>
      </w:r>
    </w:p>
    <w:tbl>
      <w:tblPr>
        <w:tblStyle w:val="10"/>
        <w:tblW w:w="0" w:type="auto"/>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9"/>
        <w:gridCol w:w="2610"/>
        <w:gridCol w:w="2310"/>
        <w:gridCol w:w="1643"/>
        <w:gridCol w:w="1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序号</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物资名称</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规格型号</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功率</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回收式电网模拟电源（可编程交流电源）</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Chroma61845</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双向交流电源</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ACST-3880H</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90kVA</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双向直流电源</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DCST-1080H</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交直流参数采集柜</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定制</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直流电子负载</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BDCT-1080H</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RLC负载</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ACLT-3820H</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R=68.33kW</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L=68.33kVar</w:t>
            </w:r>
            <w:r>
              <w:rPr>
                <w:rFonts w:hint="default" w:ascii="Times New Roman" w:hAnsi="Times New Roman" w:eastAsia="宋体" w:cs="Times New Roman"/>
                <w:i w:val="0"/>
                <w:iCs w:val="0"/>
                <w:color w:val="000000"/>
                <w:kern w:val="0"/>
                <w:sz w:val="21"/>
                <w:szCs w:val="21"/>
                <w:u w:val="none"/>
                <w:lang w:val="en-US" w:eastAsia="zh-CN" w:bidi="ar"/>
              </w:rPr>
              <w:br w:type="textWrapping"/>
            </w:r>
            <w:r>
              <w:rPr>
                <w:rFonts w:hint="default" w:ascii="Times New Roman" w:hAnsi="Times New Roman" w:eastAsia="宋体" w:cs="Times New Roman"/>
                <w:i w:val="0"/>
                <w:iCs w:val="0"/>
                <w:color w:val="000000"/>
                <w:kern w:val="0"/>
                <w:sz w:val="21"/>
                <w:szCs w:val="21"/>
                <w:u w:val="none"/>
                <w:lang w:val="en-US" w:eastAsia="zh-CN" w:bidi="ar"/>
              </w:rPr>
              <w:t>C=68.33kVar</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功率分析仪</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WT5000</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示波器</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MDO34 3-BW-500</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示波器</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MSO56 C019706</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万用表</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VC890D</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11</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电池单体充放电测试仪（8*300A）</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BTS20-5V/8*300A/8*1.5KW</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13.4KW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12</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电池单体充放电测试仪（4*600A）</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BTS20-5V/4*600A/4*3KW</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13.4KW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13</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电池单体过充放电测试仪</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BTS20-40V/2*200A/2*8KW</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17.8KW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14</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电池单体充放电测试仪（8*500A）</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CE-6008n-5V500A-H</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20KW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15</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电池模块充放电测试系统</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CE-6002n-100V500A-H</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100KW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16</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高低温湿热试验箱</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C4‐340Eseries</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6.5KW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17</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电池单体测试环境试验箱</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BTT-180C-3</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11KW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18</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电池模块测试环境实验温箱</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BTT-D2-390CT</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18KW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19</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大电池量热绝热仪</w:t>
            </w:r>
            <w:r>
              <w:rPr>
                <w:rFonts w:hint="eastAsia" w:cs="Times New Roman"/>
                <w:i w:val="0"/>
                <w:iCs w:val="0"/>
                <w:color w:val="000000"/>
                <w:kern w:val="0"/>
                <w:sz w:val="21"/>
                <w:szCs w:val="21"/>
                <w:u w:val="none"/>
                <w:lang w:val="en-US" w:eastAsia="zh-CN" w:bidi="ar"/>
              </w:rPr>
              <w:t>（热电偶）</w:t>
            </w:r>
          </w:p>
        </w:tc>
        <w:tc>
          <w:tcPr>
            <w:tcW w:w="2310" w:type="dxa"/>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BAC-420A</w:t>
            </w:r>
          </w:p>
        </w:tc>
        <w:tc>
          <w:tcPr>
            <w:tcW w:w="1643" w:type="dxa"/>
            <w:vMerge w:val="restar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6.5KW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20</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大电池量热绝热仪</w:t>
            </w:r>
            <w:r>
              <w:rPr>
                <w:rFonts w:hint="eastAsia" w:cs="Times New Roman"/>
                <w:i w:val="0"/>
                <w:iCs w:val="0"/>
                <w:color w:val="000000"/>
                <w:kern w:val="0"/>
                <w:sz w:val="21"/>
                <w:szCs w:val="21"/>
                <w:u w:val="none"/>
                <w:lang w:val="en-US" w:eastAsia="zh-CN" w:bidi="ar"/>
              </w:rPr>
              <w:t>（压力变送器）</w:t>
            </w:r>
          </w:p>
        </w:tc>
        <w:tc>
          <w:tcPr>
            <w:tcW w:w="2310"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1643"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4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21</w:t>
            </w:r>
          </w:p>
        </w:tc>
        <w:tc>
          <w:tcPr>
            <w:tcW w:w="26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超声无损智能诊断仪</w:t>
            </w:r>
          </w:p>
        </w:tc>
        <w:tc>
          <w:tcPr>
            <w:tcW w:w="231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TOPS-LD</w:t>
            </w:r>
          </w:p>
        </w:tc>
        <w:tc>
          <w:tcPr>
            <w:tcW w:w="164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13.5KW</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31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lang w:val="en-US" w:eastAsia="zh-CN"/>
              </w:rPr>
              <w:t>合计</w:t>
            </w:r>
          </w:p>
        </w:tc>
        <w:tc>
          <w:tcPr>
            <w:tcW w:w="1110"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lang w:val="en-US"/>
              </w:rPr>
            </w:pPr>
            <w:r>
              <w:rPr>
                <w:rFonts w:hint="eastAsia" w:ascii="Times New Roman" w:hAnsi="Times New Roman" w:eastAsia="宋体" w:cs="Times New Roman"/>
                <w:i w:val="0"/>
                <w:iCs w:val="0"/>
                <w:color w:val="000000"/>
                <w:kern w:val="0"/>
                <w:sz w:val="21"/>
                <w:szCs w:val="21"/>
                <w:u w:val="none"/>
                <w:lang w:val="en-US" w:eastAsia="zh-CN" w:bidi="ar"/>
              </w:rPr>
              <w:t>23</w:t>
            </w:r>
          </w:p>
        </w:tc>
      </w:tr>
    </w:tbl>
    <w:p>
      <w:pPr>
        <w:jc w:val="center"/>
        <w:rPr>
          <w:rFonts w:hint="eastAsia"/>
          <w:lang w:val="en-US" w:eastAsia="zh-CN"/>
        </w:rPr>
      </w:pPr>
    </w:p>
    <w:p>
      <w:pPr>
        <w:rPr>
          <w:rFonts w:hint="default" w:ascii="宋体" w:hAnsi="宋体" w:eastAsia="宋体" w:cs="宋体"/>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singleLevel"/>
    <w:tmpl w:val="6974C003"/>
    <w:lvl w:ilvl="0" w:tentative="0">
      <w:start w:val="1"/>
      <w:numFmt w:val="decimal"/>
      <w:lvlText w:val="%1."/>
      <w:lvlJc w:val="left"/>
      <w:pPr>
        <w:ind w:left="425" w:hanging="425"/>
      </w:pPr>
      <w:rPr>
        <w:rFonts w:hint="default"/>
      </w:rPr>
    </w:lvl>
  </w:abstractNum>
  <w:abstractNum w:abstractNumId="1">
    <w:nsid w:val="73A3922E"/>
    <w:multiLevelType w:val="singleLevel"/>
    <w:tmpl w:val="73A3922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81018D"/>
    <w:rsid w:val="00826EF5"/>
    <w:rsid w:val="00831C4B"/>
    <w:rsid w:val="00863430"/>
    <w:rsid w:val="0086677D"/>
    <w:rsid w:val="0088226B"/>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A25A4"/>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C74D7"/>
    <w:rsid w:val="14C010ED"/>
    <w:rsid w:val="14CD3063"/>
    <w:rsid w:val="14D50533"/>
    <w:rsid w:val="14DE28A5"/>
    <w:rsid w:val="14E0386B"/>
    <w:rsid w:val="15460840"/>
    <w:rsid w:val="15840B0E"/>
    <w:rsid w:val="15FE4A6D"/>
    <w:rsid w:val="16517944"/>
    <w:rsid w:val="16854B91"/>
    <w:rsid w:val="16FF05D2"/>
    <w:rsid w:val="170C3A2F"/>
    <w:rsid w:val="172F6004"/>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384504"/>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536DF9"/>
    <w:rsid w:val="39843CA2"/>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851AEC"/>
    <w:rsid w:val="47981D0E"/>
    <w:rsid w:val="47BA7F94"/>
    <w:rsid w:val="47D73C04"/>
    <w:rsid w:val="483C0008"/>
    <w:rsid w:val="48C400B8"/>
    <w:rsid w:val="4904437A"/>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D0D3C2E"/>
    <w:rsid w:val="4D214B08"/>
    <w:rsid w:val="4D474336"/>
    <w:rsid w:val="4D8E11B5"/>
    <w:rsid w:val="4D8E4C01"/>
    <w:rsid w:val="4DC5583E"/>
    <w:rsid w:val="4E4717E9"/>
    <w:rsid w:val="4E8843A8"/>
    <w:rsid w:val="4EA3051B"/>
    <w:rsid w:val="4F166437"/>
    <w:rsid w:val="4F193A8F"/>
    <w:rsid w:val="4F864CAC"/>
    <w:rsid w:val="4FB56BEC"/>
    <w:rsid w:val="4FEF4FDB"/>
    <w:rsid w:val="503264DF"/>
    <w:rsid w:val="505F4B88"/>
    <w:rsid w:val="508F5CB2"/>
    <w:rsid w:val="50C77DF5"/>
    <w:rsid w:val="50ED46C3"/>
    <w:rsid w:val="5117101B"/>
    <w:rsid w:val="51472966"/>
    <w:rsid w:val="51F03F7F"/>
    <w:rsid w:val="521176C7"/>
    <w:rsid w:val="526049B5"/>
    <w:rsid w:val="526835F8"/>
    <w:rsid w:val="526C1A1F"/>
    <w:rsid w:val="526F1FF0"/>
    <w:rsid w:val="52BB37CB"/>
    <w:rsid w:val="52DA7F4B"/>
    <w:rsid w:val="53630E90"/>
    <w:rsid w:val="53705072"/>
    <w:rsid w:val="537C0CFA"/>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8226A3"/>
    <w:rsid w:val="5DB07A5C"/>
    <w:rsid w:val="5E07505C"/>
    <w:rsid w:val="5E2A1CE5"/>
    <w:rsid w:val="5E316DF4"/>
    <w:rsid w:val="5E4A560C"/>
    <w:rsid w:val="5E663924"/>
    <w:rsid w:val="5E881574"/>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8D71B57"/>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C1B777B"/>
    <w:rsid w:val="6C6853B0"/>
    <w:rsid w:val="6C693F60"/>
    <w:rsid w:val="6C7D726C"/>
    <w:rsid w:val="6C832705"/>
    <w:rsid w:val="6C9F200E"/>
    <w:rsid w:val="6CE140D6"/>
    <w:rsid w:val="6D7221EC"/>
    <w:rsid w:val="6D8A1C7A"/>
    <w:rsid w:val="6DA24AA3"/>
    <w:rsid w:val="6DA503CD"/>
    <w:rsid w:val="6E2428ED"/>
    <w:rsid w:val="6E313E94"/>
    <w:rsid w:val="6EC62B4E"/>
    <w:rsid w:val="6EFE2F78"/>
    <w:rsid w:val="6F260D87"/>
    <w:rsid w:val="6F2C3AE6"/>
    <w:rsid w:val="6F552E3C"/>
    <w:rsid w:val="6FA87A7B"/>
    <w:rsid w:val="6FEE2CAD"/>
    <w:rsid w:val="705E6BF0"/>
    <w:rsid w:val="70731742"/>
    <w:rsid w:val="70F25D35"/>
    <w:rsid w:val="7123401C"/>
    <w:rsid w:val="71B3664E"/>
    <w:rsid w:val="71B75675"/>
    <w:rsid w:val="71D20F89"/>
    <w:rsid w:val="72165E82"/>
    <w:rsid w:val="725E7366"/>
    <w:rsid w:val="72787244"/>
    <w:rsid w:val="72A716D3"/>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C8661E"/>
    <w:rsid w:val="79517494"/>
    <w:rsid w:val="798A6D28"/>
    <w:rsid w:val="79C2664A"/>
    <w:rsid w:val="79DE66BC"/>
    <w:rsid w:val="79ED1096"/>
    <w:rsid w:val="79ED79C7"/>
    <w:rsid w:val="79F9156A"/>
    <w:rsid w:val="7A92417F"/>
    <w:rsid w:val="7AF14245"/>
    <w:rsid w:val="7B2A66A8"/>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EB52AF3"/>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unhideWhenUsed/>
    <w:qFormat/>
    <w:uiPriority w:val="99"/>
    <w:rPr>
      <w:rFonts w:ascii="宋体" w:hAnsi="宋体" w:eastAsia="宋体" w:cs="宋体"/>
      <w:sz w:val="24"/>
      <w:szCs w:val="24"/>
      <w:lang w:val="zh-CN" w:bidi="zh-CN"/>
    </w:rPr>
  </w:style>
  <w:style w:type="paragraph" w:styleId="3">
    <w:name w:val="Title"/>
    <w:basedOn w:val="1"/>
    <w:next w:val="1"/>
    <w:autoRedefine/>
    <w:qFormat/>
    <w:uiPriority w:val="0"/>
    <w:pPr>
      <w:spacing w:before="240" w:after="60"/>
      <w:jc w:val="center"/>
      <w:outlineLvl w:val="0"/>
    </w:pPr>
    <w:rPr>
      <w:rFonts w:ascii="Cambria" w:hAnsi="Cambria" w:eastAsia="宋体"/>
      <w:b/>
      <w:bCs/>
      <w:sz w:val="32"/>
      <w:szCs w:val="32"/>
    </w:rPr>
  </w:style>
  <w:style w:type="paragraph" w:styleId="4">
    <w:name w:val="annotation text"/>
    <w:basedOn w:val="1"/>
    <w:autoRedefine/>
    <w:unhideWhenUsed/>
    <w:qFormat/>
    <w:uiPriority w:val="99"/>
    <w:pPr>
      <w:jc w:val="left"/>
    </w:pPr>
  </w:style>
  <w:style w:type="paragraph" w:styleId="5">
    <w:name w:val="Plain Text"/>
    <w:basedOn w:val="1"/>
    <w:autoRedefine/>
    <w:unhideWhenUsed/>
    <w:qFormat/>
    <w:uiPriority w:val="99"/>
    <w:rPr>
      <w:rFonts w:ascii="宋体" w:hAnsi="Courier New"/>
      <w:kern w:val="0"/>
      <w:sz w:val="20"/>
    </w:rPr>
  </w:style>
  <w:style w:type="paragraph" w:styleId="6">
    <w:name w:val="Balloon Text"/>
    <w:basedOn w:val="1"/>
    <w:link w:val="18"/>
    <w:autoRedefine/>
    <w:unhideWhenUsed/>
    <w:qFormat/>
    <w:uiPriority w:val="99"/>
    <w:rPr>
      <w:sz w:val="18"/>
      <w:szCs w:val="18"/>
    </w:rPr>
  </w:style>
  <w:style w:type="paragraph" w:styleId="7">
    <w:name w:val="footer"/>
    <w:basedOn w:val="1"/>
    <w:link w:val="14"/>
    <w:autoRedefine/>
    <w:unhideWhenUsed/>
    <w:qFormat/>
    <w:uiPriority w:val="99"/>
    <w:pPr>
      <w:tabs>
        <w:tab w:val="center" w:pos="4153"/>
        <w:tab w:val="right" w:pos="8306"/>
      </w:tabs>
      <w:snapToGrid w:val="0"/>
      <w:jc w:val="left"/>
    </w:pPr>
    <w:rPr>
      <w:sz w:val="18"/>
      <w:szCs w:val="18"/>
    </w:rPr>
  </w:style>
  <w:style w:type="paragraph" w:styleId="8">
    <w:name w:val="header"/>
    <w:basedOn w:val="1"/>
    <w:link w:val="1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autoRedefine/>
    <w:unhideWhenUsed/>
    <w:qFormat/>
    <w:uiPriority w:val="39"/>
    <w:pPr>
      <w:ind w:left="1260" w:leftChars="600"/>
    </w:pPr>
    <w:rPr>
      <w:rFonts w:ascii="等线" w:hAnsi="等线" w:eastAsia="等线" w:cs="Times New Roman"/>
    </w:rPr>
  </w:style>
  <w:style w:type="character" w:styleId="12">
    <w:name w:val="annotation reference"/>
    <w:basedOn w:val="11"/>
    <w:autoRedefine/>
    <w:unhideWhenUsed/>
    <w:qFormat/>
    <w:uiPriority w:val="99"/>
    <w:rPr>
      <w:sz w:val="21"/>
      <w:szCs w:val="21"/>
    </w:rPr>
  </w:style>
  <w:style w:type="character" w:customStyle="1" w:styleId="13">
    <w:name w:val="页眉 字符"/>
    <w:basedOn w:val="11"/>
    <w:link w:val="8"/>
    <w:autoRedefine/>
    <w:qFormat/>
    <w:uiPriority w:val="99"/>
    <w:rPr>
      <w:sz w:val="18"/>
      <w:szCs w:val="18"/>
    </w:rPr>
  </w:style>
  <w:style w:type="character" w:customStyle="1" w:styleId="14">
    <w:name w:val="页脚 字符"/>
    <w:basedOn w:val="11"/>
    <w:link w:val="7"/>
    <w:autoRedefine/>
    <w:qFormat/>
    <w:uiPriority w:val="99"/>
    <w:rPr>
      <w:sz w:val="18"/>
      <w:szCs w:val="18"/>
    </w:rPr>
  </w:style>
  <w:style w:type="paragraph" w:customStyle="1" w:styleId="15">
    <w:name w:val="列出段落1"/>
    <w:basedOn w:val="1"/>
    <w:autoRedefine/>
    <w:qFormat/>
    <w:uiPriority w:val="34"/>
    <w:pPr>
      <w:ind w:firstLine="420" w:firstLineChars="200"/>
    </w:pPr>
  </w:style>
  <w:style w:type="character" w:customStyle="1" w:styleId="16">
    <w:name w:val="font01"/>
    <w:basedOn w:val="11"/>
    <w:autoRedefine/>
    <w:qFormat/>
    <w:uiPriority w:val="0"/>
    <w:rPr>
      <w:rFonts w:ascii="Arial" w:hAnsi="Arial" w:cs="Arial"/>
      <w:color w:val="000000"/>
      <w:sz w:val="28"/>
      <w:szCs w:val="28"/>
      <w:u w:val="none"/>
    </w:rPr>
  </w:style>
  <w:style w:type="character" w:customStyle="1" w:styleId="17">
    <w:name w:val="font41"/>
    <w:basedOn w:val="11"/>
    <w:autoRedefine/>
    <w:qFormat/>
    <w:uiPriority w:val="0"/>
    <w:rPr>
      <w:rFonts w:hint="default" w:ascii="Arial" w:hAnsi="Arial" w:cs="Arial"/>
      <w:color w:val="000000"/>
      <w:sz w:val="21"/>
      <w:szCs w:val="21"/>
      <w:u w:val="none"/>
    </w:rPr>
  </w:style>
  <w:style w:type="character" w:customStyle="1" w:styleId="18">
    <w:name w:val="批注框文本 字符"/>
    <w:basedOn w:val="11"/>
    <w:link w:val="6"/>
    <w:autoRedefine/>
    <w:semiHidden/>
    <w:qFormat/>
    <w:uiPriority w:val="99"/>
    <w:rPr>
      <w:rFonts w:asciiTheme="minorHAnsi" w:hAnsiTheme="minorHAnsi" w:eastAsiaTheme="minorEastAsia" w:cstheme="minorBidi"/>
      <w:kern w:val="2"/>
      <w:sz w:val="18"/>
      <w:szCs w:val="18"/>
    </w:rPr>
  </w:style>
  <w:style w:type="paragraph" w:customStyle="1" w:styleId="19">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纯文本2"/>
    <w:basedOn w:val="1"/>
    <w:autoRedefine/>
    <w:qFormat/>
    <w:uiPriority w:val="0"/>
    <w:pPr>
      <w:adjustRightInd w:val="0"/>
    </w:pPr>
    <w:rPr>
      <w:rFonts w:hint="eastAsia" w:ascii="宋体" w:hAnsi="Times New Roman" w:eastAsia="宋体" w:cs="Times New Roman"/>
      <w:kern w:val="0"/>
      <w:sz w:val="24"/>
      <w:szCs w:val="20"/>
    </w:rPr>
  </w:style>
  <w:style w:type="paragraph" w:customStyle="1" w:styleId="21">
    <w:name w:val="样式 4级目录 + 首行缩进:  0.85 厘米 段后: 1 行"/>
    <w:basedOn w:val="22"/>
    <w:autoRedefine/>
    <w:qFormat/>
    <w:uiPriority w:val="0"/>
    <w:pPr>
      <w:spacing w:after="100"/>
    </w:pPr>
    <w:rPr>
      <w:rFonts w:hint="eastAsia" w:cs="Times New Roman"/>
      <w:szCs w:val="20"/>
    </w:rPr>
  </w:style>
  <w:style w:type="paragraph" w:customStyle="1" w:styleId="22">
    <w:name w:val="4级目录"/>
    <w:basedOn w:val="9"/>
    <w:next w:val="9"/>
    <w:autoRedefine/>
    <w:qFormat/>
    <w:uiPriority w:val="0"/>
    <w:pPr>
      <w:spacing w:before="120" w:afterLines="100" w:line="480" w:lineRule="exact"/>
      <w:ind w:left="0"/>
      <w:outlineLvl w:val="3"/>
    </w:pPr>
    <w:rPr>
      <w:rFonts w:ascii="黑体" w:hAnsi="宋体" w:eastAsia="黑体" w:cs="宋体"/>
      <w:bCs/>
      <w:sz w:val="24"/>
      <w:szCs w:val="24"/>
    </w:rPr>
  </w:style>
  <w:style w:type="paragraph" w:customStyle="1" w:styleId="23">
    <w:name w:val="列表段落1"/>
    <w:basedOn w:val="1"/>
    <w:autoRedefine/>
    <w:qFormat/>
    <w:uiPriority w:val="99"/>
    <w:pPr>
      <w:ind w:firstLine="420" w:firstLineChars="200"/>
    </w:pPr>
  </w:style>
  <w:style w:type="paragraph" w:styleId="24">
    <w:name w:val="List Paragraph"/>
    <w:basedOn w:val="1"/>
    <w:autoRedefine/>
    <w:qFormat/>
    <w:uiPriority w:val="99"/>
    <w:pPr>
      <w:ind w:firstLine="420" w:firstLineChars="200"/>
    </w:pPr>
  </w:style>
  <w:style w:type="paragraph" w:customStyle="1" w:styleId="25">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6">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图表目录1"/>
    <w:basedOn w:val="26"/>
    <w:next w:val="26"/>
    <w:autoRedefine/>
    <w:qFormat/>
    <w:uiPriority w:val="0"/>
    <w:pPr>
      <w:ind w:left="200" w:leftChars="200" w:hanging="200" w:hanging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1942</Words>
  <Characters>2000</Characters>
  <Lines>7</Lines>
  <Paragraphs>2</Paragraphs>
  <TotalTime>3</TotalTime>
  <ScaleCrop>false</ScaleCrop>
  <LinksUpToDate>false</LinksUpToDate>
  <CharactersWithSpaces>2026</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陈江雨</cp:lastModifiedBy>
  <cp:lastPrinted>2021-08-16T03:49:00Z</cp:lastPrinted>
  <dcterms:modified xsi:type="dcterms:W3CDTF">2024-03-14T08:43:24Z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31F5BF48059447EF88B03EE98393B0AD_13</vt:lpwstr>
  </property>
</Properties>
</file>