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jc w:val="center"/>
        <w:rPr>
          <w:rFonts w:ascii="隶书" w:eastAsia="隶书"/>
          <w:sz w:val="56"/>
          <w:szCs w:val="56"/>
        </w:rPr>
      </w:pPr>
      <w:bookmarkStart w:id="0" w:name="_Toc6059"/>
      <w:bookmarkStart w:id="1" w:name="_Toc1572"/>
    </w:p>
    <w:p>
      <w:pPr>
        <w:pStyle w:val="8"/>
        <w:jc w:val="center"/>
        <w:rPr>
          <w:rFonts w:ascii="隶书" w:eastAsia="隶书"/>
          <w:sz w:val="56"/>
          <w:szCs w:val="56"/>
        </w:rPr>
      </w:pPr>
    </w:p>
    <w:p>
      <w:pPr>
        <w:pStyle w:val="8"/>
        <w:jc w:val="center"/>
        <w:rPr>
          <w:rFonts w:ascii="隶书" w:eastAsia="隶书"/>
          <w:sz w:val="48"/>
          <w:szCs w:val="48"/>
        </w:rPr>
      </w:pPr>
      <w:r>
        <w:rPr>
          <w:rFonts w:hint="eastAsia" w:ascii="黑体" w:hAnsi="黑体" w:eastAsia="黑体" w:cs="黑体"/>
          <w:sz w:val="48"/>
          <w:szCs w:val="48"/>
        </w:rPr>
        <w:t>一种具有画线功能尺子的研制</w:t>
      </w:r>
    </w:p>
    <w:p>
      <w:pPr>
        <w:pStyle w:val="8"/>
        <w:jc w:val="center"/>
        <w:rPr>
          <w:rFonts w:ascii="隶书" w:eastAsia="隶书"/>
          <w:sz w:val="48"/>
          <w:szCs w:val="48"/>
        </w:rPr>
      </w:pPr>
    </w:p>
    <w:p>
      <w:pPr>
        <w:pStyle w:val="8"/>
        <w:jc w:val="center"/>
        <w:rPr>
          <w:rFonts w:ascii="黑体" w:hAnsi="黑体" w:eastAsia="黑体" w:cs="黑体"/>
          <w:sz w:val="52"/>
          <w:szCs w:val="52"/>
        </w:rPr>
      </w:pPr>
      <w:r>
        <w:rPr>
          <w:rFonts w:hint="eastAsia" w:ascii="黑体" w:hAnsi="黑体" w:eastAsia="黑体" w:cs="黑体"/>
          <w:sz w:val="52"/>
          <w:szCs w:val="52"/>
        </w:rPr>
        <w:t>技术要求书</w:t>
      </w:r>
    </w:p>
    <w:p>
      <w:pPr>
        <w:spacing w:before="156" w:beforeLines="50"/>
        <w:rPr>
          <w:rFonts w:ascii="楷体_GB2312" w:hAnsi="宋体" w:eastAsia="楷体_GB2312"/>
          <w:sz w:val="32"/>
          <w:szCs w:val="32"/>
        </w:rPr>
      </w:pPr>
    </w:p>
    <w:p>
      <w:pPr>
        <w:spacing w:before="156" w:beforeLines="50"/>
        <w:jc w:val="center"/>
        <w:rPr>
          <w:rFonts w:ascii="楷体_GB2312" w:hAnsi="宋体" w:eastAsia="楷体_GB2312"/>
          <w:sz w:val="32"/>
          <w:szCs w:val="32"/>
        </w:rPr>
      </w:pPr>
    </w:p>
    <w:p>
      <w:pPr>
        <w:spacing w:before="156" w:beforeLines="50"/>
        <w:rPr>
          <w:rFonts w:ascii="楷体_GB2312" w:hAnsi="宋体" w:eastAsia="楷体_GB2312"/>
          <w:sz w:val="32"/>
          <w:szCs w:val="32"/>
        </w:rPr>
      </w:pPr>
    </w:p>
    <w:p>
      <w:pPr>
        <w:pStyle w:val="20"/>
        <w:rPr>
          <w:rStyle w:val="22"/>
          <w:rFonts w:ascii="黑体" w:hAnsi="黑体" w:eastAsia="黑体" w:cs="黑体"/>
        </w:rPr>
      </w:pPr>
    </w:p>
    <w:p>
      <w:pPr>
        <w:pStyle w:val="20"/>
        <w:rPr>
          <w:rStyle w:val="22"/>
          <w:rFonts w:ascii="黑体" w:hAnsi="黑体" w:eastAsia="黑体" w:cs="黑体"/>
        </w:rPr>
      </w:pPr>
    </w:p>
    <w:p>
      <w:pPr>
        <w:pStyle w:val="20"/>
        <w:rPr>
          <w:rFonts w:ascii="黑体" w:hAnsi="黑体" w:eastAsia="黑体" w:cs="黑体"/>
        </w:rPr>
        <w:sectPr>
          <w:pgSz w:w="11906" w:h="16838"/>
          <w:pgMar w:top="1440" w:right="1800" w:bottom="1440" w:left="1800" w:header="851" w:footer="992" w:gutter="0"/>
          <w:cols w:space="425" w:num="1"/>
          <w:docGrid w:type="lines" w:linePitch="312" w:charSpace="0"/>
        </w:sectPr>
      </w:pPr>
      <w:r>
        <w:rPr>
          <w:rStyle w:val="22"/>
          <w:rFonts w:hint="eastAsia" w:ascii="黑体" w:hAnsi="黑体" w:eastAsia="黑体" w:cs="黑体"/>
        </w:rPr>
        <w:t>2024年03月</w:t>
      </w:r>
    </w:p>
    <w:p>
      <w:pPr>
        <w:snapToGrid w:val="0"/>
        <w:spacing w:line="360" w:lineRule="auto"/>
        <w:jc w:val="center"/>
        <w:rPr>
          <w:rFonts w:ascii="黑体" w:hAnsi="黑体" w:eastAsia="黑体" w:cs="黑体"/>
          <w:bCs/>
          <w:sz w:val="44"/>
          <w:szCs w:val="36"/>
        </w:rPr>
      </w:pPr>
      <w:bookmarkStart w:id="2" w:name="_Toc30850"/>
      <w:r>
        <w:rPr>
          <w:rFonts w:hint="eastAsia" w:ascii="黑体" w:hAnsi="黑体" w:eastAsia="黑体" w:cs="黑体"/>
          <w:bCs/>
          <w:sz w:val="44"/>
          <w:szCs w:val="36"/>
        </w:rPr>
        <w:t>目 录</w:t>
      </w:r>
      <w:bookmarkEnd w:id="0"/>
      <w:bookmarkEnd w:id="1"/>
      <w:bookmarkEnd w:id="2"/>
    </w:p>
    <w:p>
      <w:pPr>
        <w:pStyle w:val="12"/>
        <w:tabs>
          <w:tab w:val="right" w:leader="dot" w:pos="8306"/>
        </w:tabs>
        <w:spacing w:line="560" w:lineRule="exact"/>
        <w:rPr>
          <w:rFonts w:ascii="黑体" w:hAnsi="黑体" w:eastAsia="黑体"/>
          <w:sz w:val="24"/>
        </w:rPr>
      </w:pPr>
      <w:r>
        <w:rPr>
          <w:rFonts w:hint="eastAsia" w:ascii="黑体" w:hAnsi="黑体" w:eastAsia="黑体" w:cs="黑体"/>
          <w:sz w:val="24"/>
        </w:rPr>
        <w:fldChar w:fldCharType="begin"/>
      </w:r>
      <w:r>
        <w:rPr>
          <w:rFonts w:hint="eastAsia" w:ascii="黑体" w:hAnsi="黑体" w:eastAsia="黑体" w:cs="黑体"/>
          <w:sz w:val="24"/>
        </w:rPr>
        <w:instrText xml:space="preserve">TOC \o "1-2" \h \u </w:instrText>
      </w:r>
      <w:r>
        <w:rPr>
          <w:rFonts w:hint="eastAsia" w:ascii="黑体" w:hAnsi="黑体" w:eastAsia="黑体" w:cs="黑体"/>
          <w:sz w:val="24"/>
        </w:rPr>
        <w:fldChar w:fldCharType="separate"/>
      </w:r>
      <w:r>
        <w:fldChar w:fldCharType="begin"/>
      </w:r>
      <w:r>
        <w:instrText xml:space="preserve"> HYPERLINK \l "_Toc13824" </w:instrText>
      </w:r>
      <w:r>
        <w:fldChar w:fldCharType="separate"/>
      </w:r>
      <w:r>
        <w:rPr>
          <w:rFonts w:hint="eastAsia" w:ascii="黑体" w:hAnsi="黑体" w:eastAsia="黑体"/>
          <w:b/>
          <w:sz w:val="24"/>
        </w:rPr>
        <w:t>总 则</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_Toc13824 \h </w:instrText>
      </w:r>
      <w:r>
        <w:rPr>
          <w:rFonts w:ascii="黑体" w:hAnsi="黑体" w:eastAsia="黑体"/>
          <w:sz w:val="24"/>
        </w:rPr>
        <w:fldChar w:fldCharType="separate"/>
      </w:r>
      <w:r>
        <w:rPr>
          <w:rFonts w:ascii="黑体" w:hAnsi="黑体" w:eastAsia="黑体"/>
          <w:sz w:val="24"/>
        </w:rPr>
        <w:t>2</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pacing w:line="560" w:lineRule="exact"/>
        <w:rPr>
          <w:rFonts w:ascii="黑体" w:hAnsi="黑体" w:eastAsia="黑体"/>
          <w:sz w:val="24"/>
        </w:rPr>
      </w:pPr>
      <w:r>
        <w:fldChar w:fldCharType="begin"/>
      </w:r>
      <w:r>
        <w:instrText xml:space="preserve"> HYPERLINK \l "_Toc4772" </w:instrText>
      </w:r>
      <w:r>
        <w:fldChar w:fldCharType="separate"/>
      </w:r>
      <w:r>
        <w:rPr>
          <w:rFonts w:ascii="黑体" w:hAnsi="黑体" w:eastAsia="黑体" w:cs="黑体"/>
          <w:sz w:val="24"/>
        </w:rPr>
        <w:t>1</w:t>
      </w:r>
      <w:r>
        <w:rPr>
          <w:rFonts w:hint="eastAsia" w:ascii="黑体" w:hAnsi="黑体" w:eastAsia="黑体" w:cs="黑体"/>
          <w:sz w:val="24"/>
        </w:rPr>
        <w:t xml:space="preserve">  服务内容及目的</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_Toc4772 \h </w:instrText>
      </w:r>
      <w:r>
        <w:rPr>
          <w:rFonts w:ascii="黑体" w:hAnsi="黑体" w:eastAsia="黑体"/>
          <w:sz w:val="24"/>
        </w:rPr>
        <w:fldChar w:fldCharType="separate"/>
      </w:r>
      <w:r>
        <w:rPr>
          <w:rFonts w:ascii="黑体" w:hAnsi="黑体" w:eastAsia="黑体"/>
          <w:sz w:val="24"/>
        </w:rPr>
        <w:t>3</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pacing w:line="560" w:lineRule="exact"/>
        <w:rPr>
          <w:rFonts w:ascii="黑体" w:hAnsi="黑体" w:eastAsia="黑体"/>
          <w:sz w:val="24"/>
        </w:rPr>
      </w:pPr>
      <w:r>
        <w:fldChar w:fldCharType="begin"/>
      </w:r>
      <w:r>
        <w:instrText xml:space="preserve"> HYPERLINK \l "_Toc2001" </w:instrText>
      </w:r>
      <w:r>
        <w:fldChar w:fldCharType="separate"/>
      </w:r>
      <w:r>
        <w:rPr>
          <w:rFonts w:ascii="黑体" w:hAnsi="黑体" w:eastAsia="黑体" w:cs="黑体"/>
          <w:sz w:val="24"/>
        </w:rPr>
        <w:t>2</w:t>
      </w:r>
      <w:r>
        <w:rPr>
          <w:rFonts w:hint="eastAsia" w:ascii="黑体" w:hAnsi="黑体" w:eastAsia="黑体" w:cs="黑体"/>
          <w:sz w:val="24"/>
        </w:rPr>
        <w:t xml:space="preserve">  主要技术指标要求</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_Toc2001 \h </w:instrText>
      </w:r>
      <w:r>
        <w:rPr>
          <w:rFonts w:ascii="黑体" w:hAnsi="黑体" w:eastAsia="黑体"/>
          <w:sz w:val="24"/>
        </w:rPr>
        <w:fldChar w:fldCharType="separate"/>
      </w:r>
      <w:r>
        <w:rPr>
          <w:rFonts w:ascii="黑体" w:hAnsi="黑体" w:eastAsia="黑体"/>
          <w:sz w:val="24"/>
        </w:rPr>
        <w:t>3</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pacing w:line="560" w:lineRule="exact"/>
        <w:rPr>
          <w:rFonts w:ascii="黑体" w:hAnsi="黑体" w:eastAsia="黑体"/>
          <w:sz w:val="24"/>
        </w:rPr>
      </w:pPr>
      <w:r>
        <w:fldChar w:fldCharType="begin"/>
      </w:r>
      <w:r>
        <w:instrText xml:space="preserve"> HYPERLINK \l "_Toc30385" </w:instrText>
      </w:r>
      <w:r>
        <w:fldChar w:fldCharType="separate"/>
      </w:r>
      <w:r>
        <w:rPr>
          <w:rFonts w:ascii="黑体" w:hAnsi="黑体" w:eastAsia="黑体" w:cs="黑体"/>
          <w:sz w:val="24"/>
        </w:rPr>
        <w:t>3</w:t>
      </w:r>
      <w:r>
        <w:rPr>
          <w:rFonts w:hint="eastAsia" w:ascii="黑体" w:hAnsi="黑体" w:eastAsia="黑体" w:cs="黑体"/>
          <w:sz w:val="24"/>
        </w:rPr>
        <w:t xml:space="preserve">  成果交付与验收</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_Toc30385 \h </w:instrText>
      </w:r>
      <w:r>
        <w:rPr>
          <w:rFonts w:ascii="黑体" w:hAnsi="黑体" w:eastAsia="黑体"/>
          <w:sz w:val="24"/>
        </w:rPr>
        <w:fldChar w:fldCharType="separate"/>
      </w:r>
      <w:r>
        <w:rPr>
          <w:rFonts w:ascii="黑体" w:hAnsi="黑体" w:eastAsia="黑体"/>
          <w:sz w:val="24"/>
        </w:rPr>
        <w:t>4</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pacing w:line="560" w:lineRule="exact"/>
        <w:rPr>
          <w:rFonts w:ascii="黑体" w:hAnsi="黑体" w:eastAsia="黑体"/>
          <w:sz w:val="24"/>
        </w:rPr>
      </w:pPr>
      <w:r>
        <w:fldChar w:fldCharType="begin"/>
      </w:r>
      <w:r>
        <w:instrText xml:space="preserve"> HYPERLINK \l "_Toc24706" </w:instrText>
      </w:r>
      <w:r>
        <w:fldChar w:fldCharType="separate"/>
      </w:r>
      <w:r>
        <w:rPr>
          <w:rFonts w:ascii="黑体" w:hAnsi="黑体" w:eastAsia="黑体" w:cs="黑体"/>
          <w:sz w:val="24"/>
        </w:rPr>
        <w:t>4</w:t>
      </w:r>
      <w:r>
        <w:rPr>
          <w:rFonts w:hint="eastAsia" w:ascii="黑体" w:hAnsi="黑体" w:eastAsia="黑体" w:cs="黑体"/>
          <w:sz w:val="24"/>
        </w:rPr>
        <w:t xml:space="preserve">  资格要求</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_Toc24706 \h </w:instrText>
      </w:r>
      <w:r>
        <w:rPr>
          <w:rFonts w:ascii="黑体" w:hAnsi="黑体" w:eastAsia="黑体"/>
          <w:sz w:val="24"/>
        </w:rPr>
        <w:fldChar w:fldCharType="separate"/>
      </w:r>
      <w:r>
        <w:rPr>
          <w:rFonts w:ascii="黑体" w:hAnsi="黑体" w:eastAsia="黑体"/>
          <w:sz w:val="24"/>
        </w:rPr>
        <w:t>5</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napToGrid w:val="0"/>
        <w:spacing w:line="560" w:lineRule="exact"/>
        <w:rPr>
          <w:rFonts w:ascii="黑体" w:hAnsi="黑体" w:eastAsia="黑体" w:cs="黑体"/>
          <w:b/>
          <w:sz w:val="24"/>
        </w:rPr>
      </w:pPr>
      <w:r>
        <w:rPr>
          <w:rFonts w:hint="eastAsia" w:ascii="黑体" w:hAnsi="黑体" w:eastAsia="黑体" w:cs="黑体"/>
          <w:sz w:val="24"/>
        </w:rPr>
        <w:fldChar w:fldCharType="end"/>
      </w:r>
    </w:p>
    <w:p>
      <w:pPr>
        <w:rPr>
          <w:rFonts w:ascii="宋体" w:hAnsi="宋体"/>
          <w:b/>
          <w:sz w:val="30"/>
        </w:rPr>
      </w:pPr>
      <w:r>
        <w:rPr>
          <w:rFonts w:ascii="宋体" w:hAnsi="宋体"/>
          <w:b/>
          <w:sz w:val="30"/>
        </w:rPr>
        <w:br w:type="page"/>
      </w:r>
    </w:p>
    <w:p>
      <w:pPr>
        <w:spacing w:line="480" w:lineRule="auto"/>
        <w:jc w:val="center"/>
        <w:outlineLvl w:val="0"/>
        <w:rPr>
          <w:rFonts w:ascii="宋体" w:hAnsi="宋体"/>
          <w:b/>
          <w:sz w:val="32"/>
        </w:rPr>
      </w:pPr>
      <w:bookmarkStart w:id="3" w:name="_Toc32374"/>
      <w:bookmarkStart w:id="4" w:name="_Toc19589"/>
      <w:bookmarkStart w:id="5" w:name="_Toc17586"/>
      <w:bookmarkStart w:id="6" w:name="_Toc13824"/>
      <w:bookmarkStart w:id="7" w:name="_Toc266713645"/>
      <w:bookmarkStart w:id="8" w:name="_Toc161832193"/>
      <w:r>
        <w:rPr>
          <w:rFonts w:hint="eastAsia" w:ascii="宋体" w:hAnsi="宋体"/>
          <w:b/>
          <w:sz w:val="32"/>
        </w:rPr>
        <w:t>总 则</w:t>
      </w:r>
      <w:bookmarkEnd w:id="3"/>
      <w:bookmarkEnd w:id="4"/>
      <w:bookmarkEnd w:id="5"/>
      <w:bookmarkEnd w:id="6"/>
      <w:bookmarkEnd w:id="7"/>
      <w:bookmarkEnd w:id="8"/>
    </w:p>
    <w:p>
      <w:pPr>
        <w:numPr>
          <w:ilvl w:val="0"/>
          <w:numId w:val="2"/>
        </w:numPr>
        <w:spacing w:line="360" w:lineRule="auto"/>
        <w:rPr>
          <w:rFonts w:ascii="宋体" w:hAnsi="宋体"/>
          <w:bCs/>
          <w:sz w:val="24"/>
        </w:rPr>
      </w:pPr>
      <w:r>
        <w:rPr>
          <w:rFonts w:hint="eastAsia" w:ascii="宋体" w:hAnsi="宋体"/>
          <w:bCs/>
          <w:sz w:val="24"/>
        </w:rPr>
        <w:t>本文件为该零星采购项目的技术要求书。</w:t>
      </w:r>
    </w:p>
    <w:p>
      <w:pPr>
        <w:numPr>
          <w:ilvl w:val="0"/>
          <w:numId w:val="2"/>
        </w:numPr>
        <w:spacing w:line="360" w:lineRule="auto"/>
        <w:rPr>
          <w:rFonts w:ascii="宋体" w:hAnsi="宋体"/>
          <w:bCs/>
          <w:sz w:val="24"/>
          <w:szCs w:val="22"/>
        </w:rPr>
      </w:pPr>
      <w:r>
        <w:rPr>
          <w:rFonts w:hint="eastAsia" w:ascii="宋体" w:hAnsi="宋体"/>
          <w:bCs/>
          <w:sz w:val="24"/>
          <w:szCs w:val="22"/>
        </w:rPr>
        <w:t>采购服务提供方</w:t>
      </w:r>
      <w:r>
        <w:rPr>
          <w:rFonts w:hint="eastAsia"/>
          <w:sz w:val="24"/>
        </w:rPr>
        <w:t>需要提供满足</w:t>
      </w:r>
      <w:r>
        <w:rPr>
          <w:rFonts w:hint="eastAsia" w:ascii="宋体" w:hAnsi="宋体"/>
          <w:bCs/>
          <w:sz w:val="24"/>
          <w:szCs w:val="22"/>
        </w:rPr>
        <w:t>本技术要求书制定目标</w:t>
      </w:r>
      <w:r>
        <w:rPr>
          <w:rFonts w:hint="eastAsia"/>
          <w:sz w:val="24"/>
        </w:rPr>
        <w:t>（</w:t>
      </w:r>
      <w:r>
        <w:rPr>
          <w:rFonts w:hint="eastAsia" w:ascii="宋体" w:hAnsi="宋体"/>
          <w:bCs/>
          <w:sz w:val="24"/>
          <w:szCs w:val="22"/>
        </w:rPr>
        <w:t>技术参数和图纸</w:t>
      </w:r>
      <w:r>
        <w:rPr>
          <w:rFonts w:hint="eastAsia"/>
          <w:sz w:val="24"/>
        </w:rPr>
        <w:t>）</w:t>
      </w:r>
      <w:r>
        <w:rPr>
          <w:rFonts w:hint="eastAsia" w:ascii="宋体" w:hAnsi="宋体"/>
          <w:bCs/>
          <w:sz w:val="24"/>
          <w:szCs w:val="22"/>
        </w:rPr>
        <w:t>的</w:t>
      </w:r>
      <w:r>
        <w:rPr>
          <w:rFonts w:hint="eastAsia"/>
          <w:sz w:val="24"/>
        </w:rPr>
        <w:t>加工测试服务，以及在项目进行中为达成既定目标提出的其他加工测试需求。</w:t>
      </w:r>
    </w:p>
    <w:p>
      <w:pPr>
        <w:numPr>
          <w:ilvl w:val="0"/>
          <w:numId w:val="2"/>
        </w:numPr>
        <w:spacing w:line="360" w:lineRule="auto"/>
        <w:rPr>
          <w:rFonts w:ascii="宋体" w:hAnsi="宋体"/>
          <w:bCs/>
          <w:sz w:val="24"/>
          <w:szCs w:val="22"/>
        </w:rPr>
      </w:pPr>
      <w:r>
        <w:rPr>
          <w:rFonts w:hint="eastAsia" w:ascii="宋体" w:hAnsi="宋体"/>
          <w:bCs/>
          <w:sz w:val="24"/>
          <w:szCs w:val="22"/>
        </w:rPr>
        <w:t>本技术要求书未尽事宜，由双方协商确定。</w:t>
      </w:r>
    </w:p>
    <w:p>
      <w:pPr>
        <w:pStyle w:val="23"/>
        <w:spacing w:before="312"/>
        <w:rPr>
          <w:szCs w:val="22"/>
        </w:rPr>
      </w:pPr>
      <w:r>
        <w:rPr>
          <w:rFonts w:hint="eastAsia"/>
          <w:szCs w:val="22"/>
        </w:rPr>
        <w:br w:type="page"/>
      </w:r>
    </w:p>
    <w:p>
      <w:pPr>
        <w:pStyle w:val="23"/>
        <w:spacing w:before="312"/>
        <w:outlineLvl w:val="0"/>
        <w:rPr>
          <w:rFonts w:asciiTheme="minorEastAsia" w:hAnsiTheme="minorEastAsia" w:eastAsiaTheme="minorEastAsia" w:cstheme="minorEastAsia"/>
          <w:bCs/>
          <w:color w:val="C00000"/>
        </w:rPr>
      </w:pPr>
      <w:bookmarkStart w:id="9" w:name="_Toc4772"/>
      <w:bookmarkStart w:id="10" w:name="_Toc161832194"/>
      <w:r>
        <w:rPr>
          <w:rFonts w:ascii="黑体" w:hAnsi="黑体" w:eastAsia="黑体" w:cs="黑体"/>
          <w:sz w:val="28"/>
          <w:szCs w:val="28"/>
        </w:rPr>
        <w:t>1</w:t>
      </w:r>
      <w:r>
        <w:rPr>
          <w:rFonts w:hint="eastAsia" w:ascii="黑体" w:hAnsi="黑体" w:eastAsia="黑体" w:cs="黑体"/>
          <w:sz w:val="28"/>
          <w:szCs w:val="28"/>
        </w:rPr>
        <w:t xml:space="preserve">  服务内容及目的</w:t>
      </w:r>
      <w:bookmarkEnd w:id="9"/>
      <w:bookmarkEnd w:id="10"/>
    </w:p>
    <w:p>
      <w:pPr>
        <w:spacing w:line="360" w:lineRule="auto"/>
        <w:ind w:firstLine="480" w:firstLineChars="200"/>
        <w:rPr>
          <w:rFonts w:ascii="黑体" w:hAnsi="黑体" w:eastAsia="黑体" w:cs="黑体"/>
          <w:bCs/>
          <w:sz w:val="24"/>
        </w:rPr>
      </w:pPr>
      <w:r>
        <w:rPr>
          <w:rFonts w:hint="eastAsia"/>
          <w:sz w:val="24"/>
        </w:rPr>
        <w:t>本项目拟研制一种尺笔结合的新工具，主要用于输电线路导线压接过程中，或者电力电缆制作接头过程中，在线缆上测量尺寸然后用笔或贴纸做标记</w:t>
      </w:r>
      <w:r>
        <w:rPr>
          <w:rFonts w:hint="eastAsia"/>
          <w:sz w:val="24"/>
          <w:lang w:val="en-US" w:eastAsia="zh-CN"/>
        </w:rPr>
        <w:t>使用</w:t>
      </w:r>
      <w:r>
        <w:rPr>
          <w:rFonts w:hint="eastAsia"/>
          <w:sz w:val="24"/>
        </w:rPr>
        <w:t>，</w:t>
      </w:r>
      <w:r>
        <w:rPr>
          <w:rFonts w:hint="eastAsia"/>
          <w:sz w:val="24"/>
          <w:lang w:val="en-US" w:eastAsia="zh-CN"/>
        </w:rPr>
        <w:t>改善通过</w:t>
      </w:r>
      <w:r>
        <w:rPr>
          <w:rFonts w:hint="eastAsia"/>
          <w:sz w:val="24"/>
        </w:rPr>
        <w:t>两种工具配合</w:t>
      </w:r>
      <w:r>
        <w:rPr>
          <w:rFonts w:hint="eastAsia"/>
          <w:sz w:val="24"/>
          <w:lang w:val="en-US" w:eastAsia="zh-CN"/>
        </w:rPr>
        <w:t>导致</w:t>
      </w:r>
      <w:r>
        <w:rPr>
          <w:rFonts w:hint="eastAsia"/>
          <w:sz w:val="24"/>
        </w:rPr>
        <w:t>尺子偏移</w:t>
      </w:r>
      <w:r>
        <w:rPr>
          <w:rFonts w:hint="eastAsia"/>
          <w:sz w:val="24"/>
          <w:lang w:val="en-US" w:eastAsia="zh-CN"/>
        </w:rPr>
        <w:t>或由于笔较粗导致的</w:t>
      </w:r>
      <w:r>
        <w:rPr>
          <w:rFonts w:hint="eastAsia"/>
          <w:sz w:val="24"/>
        </w:rPr>
        <w:t>测量误差较大</w:t>
      </w:r>
      <w:r>
        <w:rPr>
          <w:rFonts w:hint="eastAsia"/>
          <w:sz w:val="24"/>
          <w:lang w:val="en-US" w:eastAsia="zh-CN"/>
        </w:rPr>
        <w:t>等问题，</w:t>
      </w:r>
      <w:r>
        <w:rPr>
          <w:rFonts w:hint="eastAsia"/>
          <w:sz w:val="24"/>
        </w:rPr>
        <w:t>便于接下来的裁剪工作。服务方需要提供满足主要技术指标要求的加工测试服务，以及在项目进行中为达成既定目标提出的其他需求。</w:t>
      </w:r>
    </w:p>
    <w:p>
      <w:pPr>
        <w:pStyle w:val="23"/>
        <w:spacing w:before="312"/>
        <w:outlineLvl w:val="0"/>
        <w:rPr>
          <w:rFonts w:asciiTheme="minorEastAsia" w:hAnsiTheme="minorEastAsia" w:eastAsiaTheme="minorEastAsia" w:cstheme="minorEastAsia"/>
          <w:bCs/>
          <w:color w:val="C00000"/>
        </w:rPr>
      </w:pPr>
      <w:bookmarkStart w:id="11" w:name="_Toc2001"/>
      <w:bookmarkStart w:id="12" w:name="_Toc161832195"/>
      <w:r>
        <w:rPr>
          <w:rFonts w:ascii="黑体" w:hAnsi="黑体" w:eastAsia="黑体" w:cs="黑体"/>
          <w:sz w:val="28"/>
          <w:szCs w:val="28"/>
        </w:rPr>
        <w:t>2</w:t>
      </w:r>
      <w:r>
        <w:rPr>
          <w:rFonts w:hint="eastAsia" w:ascii="黑体" w:hAnsi="黑体" w:eastAsia="黑体" w:cs="黑体"/>
          <w:sz w:val="28"/>
          <w:szCs w:val="28"/>
        </w:rPr>
        <w:t xml:space="preserve">  主要技术指标要求</w:t>
      </w:r>
      <w:bookmarkEnd w:id="11"/>
      <w:bookmarkEnd w:id="12"/>
    </w:p>
    <w:p>
      <w:pPr>
        <w:spacing w:line="460" w:lineRule="exact"/>
        <w:ind w:firstLine="480" w:firstLineChars="200"/>
        <w:rPr>
          <w:rFonts w:hint="eastAsia"/>
          <w:sz w:val="24"/>
        </w:rPr>
      </w:pPr>
      <w:bookmarkStart w:id="13" w:name="_Toc266713650"/>
      <w:bookmarkStart w:id="14" w:name="_Toc30385"/>
      <w:bookmarkStart w:id="15" w:name="_Toc161832196"/>
      <w:r>
        <w:rPr>
          <w:rFonts w:hint="eastAsia"/>
          <w:sz w:val="24"/>
        </w:rPr>
        <w:t>本项目</w:t>
      </w:r>
      <w:r>
        <w:rPr>
          <w:rFonts w:hint="eastAsia"/>
          <w:sz w:val="24"/>
          <w:lang w:val="en-US" w:eastAsia="zh-CN"/>
        </w:rPr>
        <w:t>所研制的工具具体要求如下</w:t>
      </w:r>
      <w:r>
        <w:rPr>
          <w:rFonts w:hint="eastAsia"/>
          <w:sz w:val="24"/>
        </w:rPr>
        <w:t>：</w:t>
      </w:r>
    </w:p>
    <w:p>
      <w:pPr>
        <w:numPr>
          <w:ilvl w:val="0"/>
          <w:numId w:val="3"/>
        </w:numPr>
        <w:spacing w:line="460" w:lineRule="exact"/>
        <w:ind w:firstLine="480" w:firstLineChars="200"/>
        <w:rPr>
          <w:rFonts w:hint="eastAsia"/>
          <w:sz w:val="24"/>
          <w:highlight w:val="none"/>
        </w:rPr>
      </w:pPr>
      <w:r>
        <w:rPr>
          <w:rFonts w:hint="eastAsia"/>
          <w:sz w:val="24"/>
          <w:highlight w:val="none"/>
        </w:rPr>
        <w:t>该</w:t>
      </w:r>
      <w:r>
        <w:rPr>
          <w:rFonts w:hint="eastAsia"/>
          <w:sz w:val="24"/>
          <w:highlight w:val="none"/>
          <w:lang w:val="en-US" w:eastAsia="zh-CN"/>
        </w:rPr>
        <w:t>尺笔结合工具拟通过激光测距代替传统尺子，通过平行和垂直两束激光分别定位始末两端，提高测量精确度，具体激光定位形式参考如下：</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sz w:val="24"/>
          <w:highlight w:val="none"/>
        </w:rPr>
      </w:pPr>
      <w:r>
        <w:drawing>
          <wp:inline distT="0" distB="0" distL="114300" distR="114300">
            <wp:extent cx="5268595" cy="2073275"/>
            <wp:effectExtent l="0" t="0" r="8255" b="317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8595" cy="2073275"/>
                    </a:xfrm>
                    <a:prstGeom prst="rect">
                      <a:avLst/>
                    </a:prstGeom>
                    <a:noFill/>
                    <a:ln>
                      <a:noFill/>
                    </a:ln>
                  </pic:spPr>
                </pic:pic>
              </a:graphicData>
            </a:graphic>
          </wp:inline>
        </w:drawing>
      </w:r>
    </w:p>
    <w:p>
      <w:pPr>
        <w:numPr>
          <w:ilvl w:val="0"/>
          <w:numId w:val="3"/>
        </w:numPr>
        <w:spacing w:line="460" w:lineRule="exact"/>
        <w:ind w:firstLine="480" w:firstLineChars="200"/>
        <w:rPr>
          <w:rFonts w:hint="eastAsia"/>
        </w:rPr>
      </w:pPr>
      <w:r>
        <w:rPr>
          <w:rFonts w:hint="eastAsia"/>
          <w:sz w:val="24"/>
          <w:highlight w:val="none"/>
          <w:lang w:val="en-US" w:eastAsia="zh-CN"/>
        </w:rPr>
        <w:t>工具拟由两个不同的环形装置组成，一部分由激光测距模块（精度0.1mm以上）和起点定位模块组成；一部分由终点定位定位模块和划线器组成。装置需至少可适用于220kV及以下（截面2500mm2及以下）线缆划线操作。</w:t>
      </w:r>
    </w:p>
    <w:p>
      <w:pPr>
        <w:numPr>
          <w:ilvl w:val="0"/>
          <w:numId w:val="0"/>
        </w:numPr>
        <w:spacing w:line="460" w:lineRule="exact"/>
        <w:ind w:firstLine="480" w:firstLineChars="200"/>
        <w:rPr>
          <w:rFonts w:hint="eastAsia"/>
          <w:sz w:val="24"/>
          <w:highlight w:val="none"/>
          <w:lang w:val="en-US" w:eastAsia="zh-CN"/>
        </w:rPr>
      </w:pPr>
      <w:r>
        <w:rPr>
          <w:rFonts w:hint="eastAsia"/>
          <w:sz w:val="24"/>
          <w:highlight w:val="none"/>
          <w:lang w:val="en-US" w:eastAsia="zh-CN"/>
        </w:rPr>
        <w:t>尺子需满足上述画线功能，画线平直，测量精度不小于0.5mm，并尽可能轻便且使用简单。</w:t>
      </w:r>
    </w:p>
    <w:p>
      <w:pPr>
        <w:numPr>
          <w:ilvl w:val="0"/>
          <w:numId w:val="3"/>
        </w:numPr>
        <w:spacing w:line="460" w:lineRule="exact"/>
        <w:ind w:firstLine="480" w:firstLineChars="200"/>
        <w:rPr>
          <w:rFonts w:hint="eastAsia"/>
          <w:sz w:val="24"/>
          <w:highlight w:val="none"/>
          <w:lang w:val="en-US" w:eastAsia="zh-CN"/>
        </w:rPr>
      </w:pPr>
      <w:r>
        <w:rPr>
          <w:rFonts w:hint="eastAsia"/>
          <w:sz w:val="24"/>
          <w:highlight w:val="none"/>
          <w:lang w:val="en-US" w:eastAsia="zh-CN"/>
        </w:rPr>
        <w:t>装置需至少可适用于220kV及以下（截面2500mm2及以下）线缆划线操作。</w:t>
      </w:r>
    </w:p>
    <w:p>
      <w:pPr>
        <w:numPr>
          <w:ilvl w:val="0"/>
          <w:numId w:val="3"/>
        </w:numPr>
        <w:spacing w:line="460" w:lineRule="exact"/>
        <w:ind w:firstLine="480" w:firstLineChars="200"/>
        <w:rPr>
          <w:rFonts w:hint="eastAsia"/>
          <w:sz w:val="24"/>
          <w:highlight w:val="none"/>
          <w:lang w:val="en-US" w:eastAsia="zh-CN"/>
        </w:rPr>
      </w:pPr>
      <w:r>
        <w:rPr>
          <w:rFonts w:hint="eastAsia"/>
          <w:sz w:val="24"/>
          <w:highlight w:val="none"/>
          <w:lang w:val="en-US" w:eastAsia="zh-CN"/>
        </w:rPr>
        <w:t>尺子需满足上述画线功能，画线平直，划线精度不小于0.5mm，并尽可能轻便且使用简单。</w:t>
      </w:r>
    </w:p>
    <w:p>
      <w:pPr>
        <w:pStyle w:val="2"/>
        <w:rPr>
          <w:rFonts w:hint="eastAsia"/>
          <w:lang w:val="en-US" w:eastAsia="zh-CN"/>
        </w:rPr>
      </w:pPr>
    </w:p>
    <w:p>
      <w:pPr>
        <w:pStyle w:val="23"/>
        <w:spacing w:before="312"/>
        <w:outlineLvl w:val="0"/>
        <w:rPr>
          <w:rFonts w:ascii="黑体" w:hAnsi="黑体" w:eastAsia="黑体" w:cs="黑体"/>
          <w:sz w:val="28"/>
          <w:szCs w:val="28"/>
        </w:rPr>
      </w:pPr>
      <w:r>
        <w:rPr>
          <w:rFonts w:ascii="黑体" w:hAnsi="黑体" w:eastAsia="黑体" w:cs="黑体"/>
          <w:sz w:val="28"/>
          <w:szCs w:val="28"/>
        </w:rPr>
        <w:t>3</w:t>
      </w:r>
      <w:r>
        <w:rPr>
          <w:rFonts w:hint="eastAsia" w:ascii="黑体" w:hAnsi="黑体" w:eastAsia="黑体" w:cs="黑体"/>
          <w:sz w:val="28"/>
          <w:szCs w:val="28"/>
        </w:rPr>
        <w:t xml:space="preserve">  </w:t>
      </w:r>
      <w:bookmarkEnd w:id="13"/>
      <w:r>
        <w:rPr>
          <w:rFonts w:hint="eastAsia" w:ascii="黑体" w:hAnsi="黑体" w:eastAsia="黑体" w:cs="黑体"/>
          <w:sz w:val="28"/>
          <w:szCs w:val="28"/>
        </w:rPr>
        <w:t>成果交付与验收</w:t>
      </w:r>
      <w:bookmarkEnd w:id="14"/>
      <w:bookmarkEnd w:id="15"/>
    </w:p>
    <w:p>
      <w:pPr>
        <w:spacing w:line="360" w:lineRule="auto"/>
        <w:ind w:firstLine="480" w:firstLineChars="200"/>
        <w:rPr>
          <w:rFonts w:hint="eastAsia" w:ascii="黑体" w:hAnsi="黑体" w:eastAsia="黑体" w:cs="黑体"/>
          <w:bCs/>
          <w:sz w:val="24"/>
        </w:rPr>
      </w:pPr>
      <w:bookmarkStart w:id="16" w:name="_Toc161832197"/>
      <w:r>
        <w:rPr>
          <w:rFonts w:hint="eastAsia" w:asciiTheme="minorEastAsia" w:hAnsiTheme="minorEastAsia" w:eastAsiaTheme="minorEastAsia" w:cstheme="minorEastAsia"/>
          <w:color w:val="000000"/>
          <w:sz w:val="24"/>
        </w:rPr>
        <w:t>本服务甲方享有所制作装置及测试加工过程数据的所有权。未经甲方许可，乙方不得使用或向第三方透露测试加工过程的全部数据及所制作装置的本体和相关信息。乙方需于2024年9月30日前交付符合技术指标要求的</w:t>
      </w:r>
      <w:r>
        <w:rPr>
          <w:rFonts w:hint="eastAsia" w:ascii="Times New Roman" w:hAnsi="Times New Roman"/>
          <w:sz w:val="24"/>
        </w:rPr>
        <w:t>带画线功能的尺子</w:t>
      </w:r>
      <w:r>
        <w:rPr>
          <w:rFonts w:hint="eastAsia" w:asciiTheme="minorEastAsia" w:hAnsiTheme="minorEastAsia" w:eastAsiaTheme="minorEastAsia" w:cstheme="minorEastAsia"/>
          <w:color w:val="000000"/>
          <w:sz w:val="24"/>
          <w:lang w:val="en-US" w:eastAsia="zh-CN"/>
        </w:rPr>
        <w:t>三</w:t>
      </w:r>
      <w:r>
        <w:rPr>
          <w:rFonts w:hint="eastAsia" w:asciiTheme="minorEastAsia" w:hAnsiTheme="minorEastAsia" w:eastAsiaTheme="minorEastAsia" w:cstheme="minorEastAsia"/>
          <w:color w:val="000000"/>
          <w:sz w:val="24"/>
        </w:rPr>
        <w:t>套，并通过甲方验收。</w:t>
      </w:r>
    </w:p>
    <w:bookmarkEnd w:id="16"/>
    <w:p>
      <w:pPr>
        <w:pStyle w:val="23"/>
        <w:spacing w:before="312"/>
        <w:outlineLvl w:val="0"/>
        <w:rPr>
          <w:rFonts w:ascii="黑体" w:hAnsi="黑体" w:eastAsia="黑体" w:cs="黑体"/>
          <w:sz w:val="28"/>
          <w:szCs w:val="28"/>
        </w:rPr>
      </w:pPr>
      <w:bookmarkStart w:id="17" w:name="_Toc161832200"/>
      <w:bookmarkStart w:id="18" w:name="_Toc24706"/>
      <w:r>
        <w:rPr>
          <w:rFonts w:ascii="黑体" w:hAnsi="黑体" w:eastAsia="黑体" w:cs="黑体"/>
          <w:sz w:val="28"/>
          <w:szCs w:val="28"/>
        </w:rPr>
        <w:t>4</w:t>
      </w:r>
      <w:r>
        <w:rPr>
          <w:rFonts w:hint="eastAsia" w:ascii="黑体" w:hAnsi="黑体" w:eastAsia="黑体" w:cs="黑体"/>
          <w:sz w:val="28"/>
          <w:szCs w:val="28"/>
        </w:rPr>
        <w:t xml:space="preserve">  资格要求</w:t>
      </w:r>
      <w:bookmarkEnd w:id="17"/>
      <w:bookmarkEnd w:id="18"/>
    </w:p>
    <w:tbl>
      <w:tblPr>
        <w:tblStyle w:val="14"/>
        <w:tblW w:w="9465" w:type="dxa"/>
        <w:tblInd w:w="93" w:type="dxa"/>
        <w:tblLayout w:type="autofit"/>
        <w:tblCellMar>
          <w:top w:w="0" w:type="dxa"/>
          <w:left w:w="108" w:type="dxa"/>
          <w:bottom w:w="0" w:type="dxa"/>
          <w:right w:w="108" w:type="dxa"/>
        </w:tblCellMar>
      </w:tblPr>
      <w:tblGrid>
        <w:gridCol w:w="648"/>
        <w:gridCol w:w="8817"/>
      </w:tblGrid>
      <w:tr>
        <w:tblPrEx>
          <w:tblCellMar>
            <w:top w:w="0" w:type="dxa"/>
            <w:left w:w="108" w:type="dxa"/>
            <w:bottom w:w="0" w:type="dxa"/>
            <w:right w:w="108" w:type="dxa"/>
          </w:tblCellMar>
        </w:tblPrEx>
        <w:trPr>
          <w:trHeight w:val="66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bookmarkStart w:id="19" w:name="_GoBack" w:colFirst="1" w:colLast="1"/>
            <w:r>
              <w:rPr>
                <w:rFonts w:hint="eastAsia" w:ascii="微软雅黑" w:hAnsi="微软雅黑" w:eastAsia="微软雅黑" w:cs="微软雅黑"/>
                <w:color w:val="000000"/>
                <w:kern w:val="0"/>
                <w:sz w:val="20"/>
                <w:szCs w:val="20"/>
                <w:lang w:bidi="ar"/>
              </w:rPr>
              <w:t>1</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中华人民共和国境内注册合法运作的企业法人或具有企业法人授权的其他组织，具有独立承担民事责任的能力、独立承担招标项目的能力和独立履行合同的能力。</w:t>
            </w:r>
          </w:p>
        </w:tc>
      </w:tr>
      <w:tr>
        <w:tblPrEx>
          <w:tblCellMar>
            <w:top w:w="0" w:type="dxa"/>
            <w:left w:w="108" w:type="dxa"/>
            <w:bottom w:w="0" w:type="dxa"/>
            <w:right w:w="108" w:type="dxa"/>
          </w:tblCellMar>
        </w:tblPrEx>
        <w:trPr>
          <w:trHeight w:val="99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2</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能提供营业执照或企业法人营业执照。</w:t>
            </w:r>
          </w:p>
        </w:tc>
      </w:tr>
      <w:tr>
        <w:tblPrEx>
          <w:tblCellMar>
            <w:top w:w="0" w:type="dxa"/>
            <w:left w:w="108" w:type="dxa"/>
            <w:bottom w:w="0" w:type="dxa"/>
            <w:right w:w="108" w:type="dxa"/>
          </w:tblCellMar>
        </w:tblPrEx>
        <w:trPr>
          <w:trHeight w:val="66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3</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t>没有被“信用中国”网站(www.creditchina.gov.cn)或“中国执行信息公开网”(http://zxgk.court.gov.cn?/shixin)列入失信被执行人名单</w:t>
            </w:r>
          </w:p>
        </w:tc>
      </w:tr>
      <w:tr>
        <w:tblPrEx>
          <w:tblCellMar>
            <w:top w:w="0" w:type="dxa"/>
            <w:left w:w="108" w:type="dxa"/>
            <w:bottom w:w="0" w:type="dxa"/>
            <w:right w:w="108" w:type="dxa"/>
          </w:tblCellMar>
        </w:tblPrEx>
        <w:trPr>
          <w:trHeight w:val="66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4</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不属于南方电网公司及其下属分省、子公司通报处罚且处罚期未满的，或由南方电网公司及其下属分省、子公司取消报价资格的且未解冻的。</w:t>
            </w:r>
          </w:p>
        </w:tc>
      </w:tr>
      <w:tr>
        <w:tblPrEx>
          <w:tblCellMar>
            <w:top w:w="0" w:type="dxa"/>
            <w:left w:w="108" w:type="dxa"/>
            <w:bottom w:w="0" w:type="dxa"/>
            <w:right w:w="108" w:type="dxa"/>
          </w:tblCellMar>
        </w:tblPrEx>
        <w:trPr>
          <w:trHeight w:val="33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5</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不属于南方电网公司及其下属分省、子公司物资部门取消其报价资格的且在取消资格期限内的。</w:t>
            </w:r>
          </w:p>
        </w:tc>
      </w:tr>
      <w:tr>
        <w:tblPrEx>
          <w:tblCellMar>
            <w:top w:w="0" w:type="dxa"/>
            <w:left w:w="108" w:type="dxa"/>
            <w:bottom w:w="0" w:type="dxa"/>
            <w:right w:w="108" w:type="dxa"/>
          </w:tblCellMar>
        </w:tblPrEx>
        <w:trPr>
          <w:trHeight w:val="33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6</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报价供应商必须按照南方电网公司要求，在供应链统一服务平台(www,bidding.csg.cn)上完整办理完成供应商登记。</w:t>
            </w:r>
          </w:p>
        </w:tc>
      </w:tr>
      <w:tr>
        <w:tblPrEx>
          <w:tblCellMar>
            <w:top w:w="0" w:type="dxa"/>
            <w:left w:w="108" w:type="dxa"/>
            <w:bottom w:w="0" w:type="dxa"/>
            <w:right w:w="108" w:type="dxa"/>
          </w:tblCellMar>
        </w:tblPrEx>
        <w:trPr>
          <w:trHeight w:val="561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7</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Style w:val="26"/>
                <w:rFonts w:hint="default"/>
                <w:lang w:bidi="ar"/>
              </w:rPr>
              <w:t>投标人不得存在以下情形：</w:t>
            </w:r>
            <w:r>
              <w:rPr>
                <w:rStyle w:val="26"/>
                <w:rFonts w:hint="default"/>
                <w:lang w:bidi="ar"/>
              </w:rPr>
              <w:br w:type="textWrapping"/>
            </w:r>
            <w:r>
              <w:rPr>
                <w:rStyle w:val="26"/>
                <w:rFonts w:hint="default"/>
                <w:lang w:bidi="ar"/>
              </w:rPr>
              <w:t>为招标人不具有独立法人资格的附属机构（单位）；</w:t>
            </w:r>
            <w:r>
              <w:rPr>
                <w:rStyle w:val="26"/>
                <w:rFonts w:hint="default"/>
                <w:lang w:bidi="ar"/>
              </w:rPr>
              <w:br w:type="textWrapping"/>
            </w:r>
            <w:r>
              <w:rPr>
                <w:rStyle w:val="26"/>
                <w:rFonts w:hint="default"/>
                <w:lang w:bidi="ar"/>
              </w:rPr>
              <w:t>为本标段提供招标代理服务的；</w:t>
            </w:r>
            <w:r>
              <w:rPr>
                <w:rStyle w:val="26"/>
                <w:rFonts w:hint="default"/>
                <w:lang w:bidi="ar"/>
              </w:rPr>
              <w:br w:type="textWrapping"/>
            </w:r>
            <w:r>
              <w:rPr>
                <w:rStyle w:val="26"/>
                <w:rFonts w:hint="default"/>
                <w:lang w:bidi="ar"/>
              </w:rPr>
              <w:t>与本标段招标代理机构同为一个法定代表人的；</w:t>
            </w:r>
            <w:r>
              <w:rPr>
                <w:rStyle w:val="26"/>
                <w:rFonts w:hint="default"/>
                <w:lang w:bidi="ar"/>
              </w:rPr>
              <w:br w:type="textWrapping"/>
            </w:r>
            <w:r>
              <w:rPr>
                <w:rStyle w:val="26"/>
                <w:rFonts w:hint="default"/>
                <w:lang w:bidi="ar"/>
              </w:rPr>
              <w:t>与本标段的招标代理机构相互控股或参股的；</w:t>
            </w:r>
            <w:r>
              <w:rPr>
                <w:rStyle w:val="26"/>
                <w:rFonts w:hint="default"/>
                <w:lang w:bidi="ar"/>
              </w:rPr>
              <w:br w:type="textWrapping"/>
            </w:r>
            <w:r>
              <w:rPr>
                <w:rStyle w:val="26"/>
                <w:rFonts w:hint="default"/>
                <w:lang w:bidi="ar"/>
              </w:rPr>
              <w:t>与本标段的招标代理机构有员工相互任职或工作的；</w:t>
            </w:r>
            <w:r>
              <w:rPr>
                <w:rStyle w:val="26"/>
                <w:rFonts w:hint="default"/>
                <w:lang w:bidi="ar"/>
              </w:rPr>
              <w:br w:type="textWrapping"/>
            </w:r>
            <w:r>
              <w:rPr>
                <w:rStyle w:val="26"/>
                <w:rFonts w:hint="default"/>
                <w:lang w:bidi="ar"/>
              </w:rPr>
              <w:t>被依法暂停或者取消投标资格；</w:t>
            </w:r>
            <w:r>
              <w:rPr>
                <w:rStyle w:val="26"/>
                <w:rFonts w:hint="default"/>
                <w:lang w:bidi="ar"/>
              </w:rPr>
              <w:br w:type="textWrapping"/>
            </w:r>
            <w:r>
              <w:rPr>
                <w:rStyle w:val="26"/>
                <w:rFonts w:hint="default"/>
                <w:lang w:bidi="ar"/>
              </w:rPr>
              <w:t>财产被接管或冻结的；</w:t>
            </w:r>
            <w:r>
              <w:rPr>
                <w:rStyle w:val="26"/>
                <w:rFonts w:hint="default"/>
                <w:lang w:bidi="ar"/>
              </w:rPr>
              <w:br w:type="textWrapping"/>
            </w:r>
            <w:r>
              <w:rPr>
                <w:rStyle w:val="26"/>
                <w:rFonts w:hint="default"/>
                <w:lang w:bidi="ar"/>
              </w:rPr>
              <w:t>在</w:t>
            </w:r>
            <w:r>
              <w:rPr>
                <w:rStyle w:val="27"/>
                <w:rFonts w:hint="default"/>
                <w:lang w:bidi="ar"/>
              </w:rPr>
              <w:t>报价截止日算起</w:t>
            </w:r>
            <w:r>
              <w:rPr>
                <w:rStyle w:val="28"/>
                <w:rFonts w:hint="default"/>
                <w:lang w:bidi="ar"/>
              </w:rPr>
              <w:t>，</w:t>
            </w:r>
            <w:r>
              <w:rPr>
                <w:rStyle w:val="26"/>
                <w:rFonts w:hint="default"/>
                <w:lang w:bidi="ar"/>
              </w:rPr>
              <w:t>三年内有骗取中标或严重违约等问题的；</w:t>
            </w:r>
            <w:r>
              <w:rPr>
                <w:rStyle w:val="26"/>
                <w:rFonts w:hint="default"/>
                <w:lang w:bidi="ar"/>
              </w:rPr>
              <w:br w:type="textWrapping"/>
            </w:r>
            <w:r>
              <w:rPr>
                <w:rStyle w:val="26"/>
                <w:rFonts w:hint="default"/>
                <w:lang w:bidi="ar"/>
              </w:rPr>
              <w:t>在服务所在地政府或中国南方电网有限责任公司处于限制报价期内的；</w:t>
            </w:r>
            <w:r>
              <w:rPr>
                <w:rStyle w:val="26"/>
                <w:rFonts w:hint="default"/>
                <w:lang w:bidi="ar"/>
              </w:rPr>
              <w:br w:type="textWrapping"/>
            </w:r>
            <w:r>
              <w:rPr>
                <w:rStyle w:val="26"/>
                <w:rFonts w:hint="default"/>
                <w:lang w:bidi="ar"/>
              </w:rPr>
              <w:t>被责令停产停业、暂扣或者吊销许可证、暂扣或者吊销执照；</w:t>
            </w:r>
            <w:r>
              <w:rPr>
                <w:rStyle w:val="26"/>
                <w:rFonts w:hint="default"/>
                <w:lang w:bidi="ar"/>
              </w:rPr>
              <w:br w:type="textWrapping"/>
            </w:r>
            <w:r>
              <w:rPr>
                <w:rStyle w:val="26"/>
                <w:rFonts w:hint="default"/>
                <w:lang w:bidi="ar"/>
              </w:rPr>
              <w:t>进入清算程序，或被宣告破产，或其他丧失履约能力的情形；</w:t>
            </w:r>
            <w:r>
              <w:rPr>
                <w:rStyle w:val="26"/>
                <w:rFonts w:hint="default"/>
                <w:lang w:bidi="ar"/>
              </w:rPr>
              <w:br w:type="textWrapping"/>
            </w:r>
            <w:r>
              <w:rPr>
                <w:rStyle w:val="26"/>
                <w:rFonts w:hint="default"/>
                <w:lang w:bidi="ar"/>
              </w:rPr>
              <w:t>被工商行政管理机关在全国企业信用信息公示系统中列入严重违法失信企业名单；</w:t>
            </w:r>
            <w:r>
              <w:rPr>
                <w:rStyle w:val="26"/>
                <w:rFonts w:hint="default"/>
                <w:lang w:bidi="ar"/>
              </w:rPr>
              <w:br w:type="textWrapping"/>
            </w:r>
            <w:r>
              <w:rPr>
                <w:rStyle w:val="26"/>
                <w:rFonts w:hint="default"/>
                <w:lang w:bidi="ar"/>
              </w:rPr>
              <w:t>被最高人民法院在“信用中国”网站（www.creditchina.gov.cn）或各级信用信息共享平台中列入失信被执行人名单；</w:t>
            </w:r>
            <w:r>
              <w:rPr>
                <w:rStyle w:val="26"/>
                <w:rFonts w:hint="default"/>
                <w:lang w:bidi="ar"/>
              </w:rPr>
              <w:br w:type="textWrapping"/>
            </w:r>
            <w:r>
              <w:rPr>
                <w:rStyle w:val="26"/>
                <w:rFonts w:hint="default"/>
                <w:lang w:bidi="ar"/>
              </w:rPr>
              <w:t>在</w:t>
            </w:r>
            <w:r>
              <w:rPr>
                <w:rStyle w:val="27"/>
                <w:rFonts w:hint="default"/>
                <w:lang w:bidi="ar"/>
              </w:rPr>
              <w:t>报价截止日算起</w:t>
            </w:r>
            <w:r>
              <w:rPr>
                <w:rStyle w:val="26"/>
                <w:rFonts w:hint="default"/>
                <w:lang w:bidi="ar"/>
              </w:rPr>
              <w:t>，三年内报价人或其法定代表人、拟委任的项目负责人有行贿犯罪行为的；</w:t>
            </w:r>
            <w:r>
              <w:rPr>
                <w:rStyle w:val="26"/>
                <w:rFonts w:hint="default"/>
                <w:lang w:bidi="ar"/>
              </w:rPr>
              <w:br w:type="textWrapping"/>
            </w:r>
            <w:r>
              <w:rPr>
                <w:rStyle w:val="26"/>
                <w:rFonts w:hint="default"/>
                <w:lang w:bidi="ar"/>
              </w:rPr>
              <w:t>法律、行政法规规定的其他条件。</w:t>
            </w:r>
          </w:p>
        </w:tc>
      </w:tr>
      <w:tr>
        <w:tblPrEx>
          <w:tblCellMar>
            <w:top w:w="0" w:type="dxa"/>
            <w:left w:w="108" w:type="dxa"/>
            <w:bottom w:w="0" w:type="dxa"/>
            <w:right w:w="108" w:type="dxa"/>
          </w:tblCellMar>
        </w:tblPrEx>
        <w:trPr>
          <w:trHeight w:val="33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8</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t>不接受联合体报价。</w:t>
            </w:r>
          </w:p>
        </w:tc>
      </w:tr>
      <w:bookmarkEnd w:id="19"/>
    </w:tbl>
    <w:p>
      <w:pPr>
        <w:spacing w:line="360" w:lineRule="auto"/>
        <w:ind w:firstLine="480" w:firstLineChars="200"/>
        <w:rPr>
          <w:rFonts w:asciiTheme="minorEastAsia" w:hAnsiTheme="minorEastAsia" w:eastAsiaTheme="minorEastAsia" w:cstheme="minorEastAsia"/>
          <w:color w:val="000000"/>
          <w:sz w:val="24"/>
        </w:rPr>
      </w:pPr>
    </w:p>
    <w:sectPr>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隶书">
    <w:altName w:val="微软雅黑"/>
    <w:panose1 w:val="0201050906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2C290B"/>
    <w:multiLevelType w:val="singleLevel"/>
    <w:tmpl w:val="D12C290B"/>
    <w:lvl w:ilvl="0" w:tentative="0">
      <w:start w:val="1"/>
      <w:numFmt w:val="decimal"/>
      <w:pStyle w:val="18"/>
      <w:lvlText w:val="%1."/>
      <w:lvlJc w:val="left"/>
      <w:pPr>
        <w:ind w:left="425" w:hanging="425"/>
      </w:pPr>
      <w:rPr>
        <w:rFonts w:hint="default"/>
      </w:rPr>
    </w:lvl>
  </w:abstractNum>
  <w:abstractNum w:abstractNumId="1">
    <w:nsid w:val="5E537055"/>
    <w:multiLevelType w:val="singleLevel"/>
    <w:tmpl w:val="5E537055"/>
    <w:lvl w:ilvl="0" w:tentative="0">
      <w:start w:val="1"/>
      <w:numFmt w:val="decimal"/>
      <w:lvlText w:val="%1."/>
      <w:lvlJc w:val="left"/>
      <w:pPr>
        <w:ind w:left="425" w:hanging="425"/>
      </w:pPr>
      <w:rPr>
        <w:rFonts w:hint="default"/>
      </w:rPr>
    </w:lvl>
  </w:abstractNum>
  <w:abstractNum w:abstractNumId="2">
    <w:nsid w:val="77FC2DAF"/>
    <w:multiLevelType w:val="singleLevel"/>
    <w:tmpl w:val="77FC2DAF"/>
    <w:lvl w:ilvl="0" w:tentative="0">
      <w:start w:val="1"/>
      <w:numFmt w:val="decimal"/>
      <w:lvlText w:val="%1."/>
      <w:lvlJc w:val="left"/>
      <w:pPr>
        <w:tabs>
          <w:tab w:val="left" w:pos="312"/>
        </w:tabs>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UwZDZjMGQ5NTkyNWI3N2MzODFmZmU0Y2U5Yzg5NWUifQ=="/>
  </w:docVars>
  <w:rsids>
    <w:rsidRoot w:val="56112EA9"/>
    <w:rsid w:val="0000270B"/>
    <w:rsid w:val="00063188"/>
    <w:rsid w:val="00113C97"/>
    <w:rsid w:val="00156123"/>
    <w:rsid w:val="0018128B"/>
    <w:rsid w:val="00265B88"/>
    <w:rsid w:val="002B69BC"/>
    <w:rsid w:val="003E0E7E"/>
    <w:rsid w:val="003E2B1B"/>
    <w:rsid w:val="0045760C"/>
    <w:rsid w:val="006444FE"/>
    <w:rsid w:val="00695983"/>
    <w:rsid w:val="006D47D2"/>
    <w:rsid w:val="00796FA4"/>
    <w:rsid w:val="007B0D5A"/>
    <w:rsid w:val="007B6A1A"/>
    <w:rsid w:val="008F319A"/>
    <w:rsid w:val="00920102"/>
    <w:rsid w:val="00A20B78"/>
    <w:rsid w:val="00B66E81"/>
    <w:rsid w:val="00E82FB1"/>
    <w:rsid w:val="00EF3934"/>
    <w:rsid w:val="00F54233"/>
    <w:rsid w:val="00F70D2D"/>
    <w:rsid w:val="00F86AF1"/>
    <w:rsid w:val="027C11FC"/>
    <w:rsid w:val="0295401A"/>
    <w:rsid w:val="0303051E"/>
    <w:rsid w:val="034E11A4"/>
    <w:rsid w:val="047B7BC4"/>
    <w:rsid w:val="04BF0B83"/>
    <w:rsid w:val="04FE4EAD"/>
    <w:rsid w:val="05312146"/>
    <w:rsid w:val="05330E8B"/>
    <w:rsid w:val="056D4E14"/>
    <w:rsid w:val="05D957EC"/>
    <w:rsid w:val="05FD7391"/>
    <w:rsid w:val="07B83A18"/>
    <w:rsid w:val="07DC3C63"/>
    <w:rsid w:val="08115868"/>
    <w:rsid w:val="0900633E"/>
    <w:rsid w:val="0970751E"/>
    <w:rsid w:val="09F078C2"/>
    <w:rsid w:val="0A9773AF"/>
    <w:rsid w:val="0B715FA9"/>
    <w:rsid w:val="0BD1033B"/>
    <w:rsid w:val="0BFD7548"/>
    <w:rsid w:val="0C8C1EEF"/>
    <w:rsid w:val="0D0C14ED"/>
    <w:rsid w:val="0D6039E5"/>
    <w:rsid w:val="0DDE0C6E"/>
    <w:rsid w:val="0DE44AB1"/>
    <w:rsid w:val="0F573D98"/>
    <w:rsid w:val="0FBF064C"/>
    <w:rsid w:val="10011F66"/>
    <w:rsid w:val="10972384"/>
    <w:rsid w:val="110F2EEB"/>
    <w:rsid w:val="11402C86"/>
    <w:rsid w:val="11950633"/>
    <w:rsid w:val="11AD6919"/>
    <w:rsid w:val="133733ED"/>
    <w:rsid w:val="13566E57"/>
    <w:rsid w:val="14421D4B"/>
    <w:rsid w:val="147F0C66"/>
    <w:rsid w:val="14A83346"/>
    <w:rsid w:val="1558413F"/>
    <w:rsid w:val="155E4129"/>
    <w:rsid w:val="15B259A5"/>
    <w:rsid w:val="160351CB"/>
    <w:rsid w:val="16F77748"/>
    <w:rsid w:val="17610576"/>
    <w:rsid w:val="19614B79"/>
    <w:rsid w:val="1A316175"/>
    <w:rsid w:val="1A6070F7"/>
    <w:rsid w:val="1A830B36"/>
    <w:rsid w:val="1ADD4B0E"/>
    <w:rsid w:val="1BF021DF"/>
    <w:rsid w:val="1BFA3C82"/>
    <w:rsid w:val="1C420957"/>
    <w:rsid w:val="1C672B50"/>
    <w:rsid w:val="1CCE54EB"/>
    <w:rsid w:val="1D7B5A38"/>
    <w:rsid w:val="1DA01B05"/>
    <w:rsid w:val="1DFC3E5E"/>
    <w:rsid w:val="1E502385"/>
    <w:rsid w:val="1EA43205"/>
    <w:rsid w:val="1FBD1E67"/>
    <w:rsid w:val="1FD46916"/>
    <w:rsid w:val="20D855DF"/>
    <w:rsid w:val="21783778"/>
    <w:rsid w:val="22015C0D"/>
    <w:rsid w:val="234277A0"/>
    <w:rsid w:val="234B187D"/>
    <w:rsid w:val="23774E19"/>
    <w:rsid w:val="23817433"/>
    <w:rsid w:val="23FC7BFC"/>
    <w:rsid w:val="24C94BCA"/>
    <w:rsid w:val="24EA7C79"/>
    <w:rsid w:val="250F564D"/>
    <w:rsid w:val="252B1EB7"/>
    <w:rsid w:val="256870E0"/>
    <w:rsid w:val="25E42BF8"/>
    <w:rsid w:val="265249D6"/>
    <w:rsid w:val="275D5D26"/>
    <w:rsid w:val="275F7D29"/>
    <w:rsid w:val="28403FE5"/>
    <w:rsid w:val="28BE48E2"/>
    <w:rsid w:val="29695A4F"/>
    <w:rsid w:val="2A0B622C"/>
    <w:rsid w:val="2A441357"/>
    <w:rsid w:val="2AFA0631"/>
    <w:rsid w:val="2B6721B0"/>
    <w:rsid w:val="2C191EA0"/>
    <w:rsid w:val="2C6E0BE4"/>
    <w:rsid w:val="2CA3124A"/>
    <w:rsid w:val="2CD035C7"/>
    <w:rsid w:val="2CE51BB8"/>
    <w:rsid w:val="2D8B5047"/>
    <w:rsid w:val="2D8F39A1"/>
    <w:rsid w:val="2DAC4578"/>
    <w:rsid w:val="2DB36870"/>
    <w:rsid w:val="2DEA6350"/>
    <w:rsid w:val="2E260032"/>
    <w:rsid w:val="2E380045"/>
    <w:rsid w:val="2E743CC0"/>
    <w:rsid w:val="2EFA1D2E"/>
    <w:rsid w:val="2F2E6BFF"/>
    <w:rsid w:val="2FC241F2"/>
    <w:rsid w:val="2FEF2882"/>
    <w:rsid w:val="30045C2F"/>
    <w:rsid w:val="308129DD"/>
    <w:rsid w:val="30DF2B6C"/>
    <w:rsid w:val="313E1E7A"/>
    <w:rsid w:val="330E4E8B"/>
    <w:rsid w:val="33161353"/>
    <w:rsid w:val="334E3954"/>
    <w:rsid w:val="335E270E"/>
    <w:rsid w:val="34255CC8"/>
    <w:rsid w:val="35023A98"/>
    <w:rsid w:val="358A1AD4"/>
    <w:rsid w:val="358B06A1"/>
    <w:rsid w:val="35E41FA9"/>
    <w:rsid w:val="360B40D3"/>
    <w:rsid w:val="3661221B"/>
    <w:rsid w:val="379963C7"/>
    <w:rsid w:val="37A433E0"/>
    <w:rsid w:val="37AE0477"/>
    <w:rsid w:val="38004B22"/>
    <w:rsid w:val="38BE6922"/>
    <w:rsid w:val="39140E3A"/>
    <w:rsid w:val="398C2739"/>
    <w:rsid w:val="39E974DB"/>
    <w:rsid w:val="3C3045D4"/>
    <w:rsid w:val="3C4C5078"/>
    <w:rsid w:val="3DC862F7"/>
    <w:rsid w:val="3DDE3626"/>
    <w:rsid w:val="3E28408B"/>
    <w:rsid w:val="401C5798"/>
    <w:rsid w:val="40794199"/>
    <w:rsid w:val="408A19B3"/>
    <w:rsid w:val="40CF0453"/>
    <w:rsid w:val="40E16D7E"/>
    <w:rsid w:val="40F0643B"/>
    <w:rsid w:val="41414714"/>
    <w:rsid w:val="419C13AE"/>
    <w:rsid w:val="41A73FEA"/>
    <w:rsid w:val="41B40E40"/>
    <w:rsid w:val="424D6740"/>
    <w:rsid w:val="425C406C"/>
    <w:rsid w:val="42DF02D2"/>
    <w:rsid w:val="43D1165A"/>
    <w:rsid w:val="44C917FC"/>
    <w:rsid w:val="45AD67D6"/>
    <w:rsid w:val="45CF1EF0"/>
    <w:rsid w:val="45E20A8C"/>
    <w:rsid w:val="469E66E7"/>
    <w:rsid w:val="47097B32"/>
    <w:rsid w:val="47382C50"/>
    <w:rsid w:val="473A0E5B"/>
    <w:rsid w:val="476617B8"/>
    <w:rsid w:val="47A74B50"/>
    <w:rsid w:val="48205CF0"/>
    <w:rsid w:val="48AE5D4E"/>
    <w:rsid w:val="49162EBF"/>
    <w:rsid w:val="4A4B4604"/>
    <w:rsid w:val="4A566A25"/>
    <w:rsid w:val="4A7A1254"/>
    <w:rsid w:val="4AA16AD0"/>
    <w:rsid w:val="4B18258B"/>
    <w:rsid w:val="4B2A3103"/>
    <w:rsid w:val="4B3522B4"/>
    <w:rsid w:val="4B5E6BA8"/>
    <w:rsid w:val="4C3F54C3"/>
    <w:rsid w:val="4CE147A6"/>
    <w:rsid w:val="4CEE40EF"/>
    <w:rsid w:val="4DBF3FC8"/>
    <w:rsid w:val="4E287A4C"/>
    <w:rsid w:val="4F382032"/>
    <w:rsid w:val="50E83C80"/>
    <w:rsid w:val="50E84976"/>
    <w:rsid w:val="514B0964"/>
    <w:rsid w:val="52400ADE"/>
    <w:rsid w:val="52AB3BAD"/>
    <w:rsid w:val="52D27864"/>
    <w:rsid w:val="536B3F5C"/>
    <w:rsid w:val="53CD308F"/>
    <w:rsid w:val="54C17E31"/>
    <w:rsid w:val="54E75E4E"/>
    <w:rsid w:val="54EC5F00"/>
    <w:rsid w:val="55BB08CE"/>
    <w:rsid w:val="56112EA9"/>
    <w:rsid w:val="56634F6B"/>
    <w:rsid w:val="56794219"/>
    <w:rsid w:val="56FE5647"/>
    <w:rsid w:val="57193130"/>
    <w:rsid w:val="572004CE"/>
    <w:rsid w:val="576E3E36"/>
    <w:rsid w:val="57BC5768"/>
    <w:rsid w:val="57D62605"/>
    <w:rsid w:val="59796259"/>
    <w:rsid w:val="59BD7DED"/>
    <w:rsid w:val="5A2F47C4"/>
    <w:rsid w:val="5AA75543"/>
    <w:rsid w:val="5ABE0936"/>
    <w:rsid w:val="5AE252E1"/>
    <w:rsid w:val="5CBC1717"/>
    <w:rsid w:val="5D196F37"/>
    <w:rsid w:val="5D560B25"/>
    <w:rsid w:val="5E0B23A4"/>
    <w:rsid w:val="5E311346"/>
    <w:rsid w:val="5E7F2B1D"/>
    <w:rsid w:val="5E9479C8"/>
    <w:rsid w:val="5EE0081C"/>
    <w:rsid w:val="5EFF55AD"/>
    <w:rsid w:val="5FDF7500"/>
    <w:rsid w:val="5FFA163D"/>
    <w:rsid w:val="60446F8A"/>
    <w:rsid w:val="60A8111F"/>
    <w:rsid w:val="60B802FB"/>
    <w:rsid w:val="61633BDA"/>
    <w:rsid w:val="61B23647"/>
    <w:rsid w:val="61E33B45"/>
    <w:rsid w:val="63FE5340"/>
    <w:rsid w:val="64132F2C"/>
    <w:rsid w:val="64F92069"/>
    <w:rsid w:val="650664D0"/>
    <w:rsid w:val="652A6814"/>
    <w:rsid w:val="65355760"/>
    <w:rsid w:val="65B750B7"/>
    <w:rsid w:val="665F7107"/>
    <w:rsid w:val="673113AB"/>
    <w:rsid w:val="67593ED7"/>
    <w:rsid w:val="678C7059"/>
    <w:rsid w:val="6807069B"/>
    <w:rsid w:val="68AC152E"/>
    <w:rsid w:val="68C83A2C"/>
    <w:rsid w:val="695323C7"/>
    <w:rsid w:val="69DF4A2B"/>
    <w:rsid w:val="69EA7D86"/>
    <w:rsid w:val="6B023115"/>
    <w:rsid w:val="6D401C96"/>
    <w:rsid w:val="6E06100F"/>
    <w:rsid w:val="6E5B1FD7"/>
    <w:rsid w:val="708F1B04"/>
    <w:rsid w:val="70E237AF"/>
    <w:rsid w:val="710C1A65"/>
    <w:rsid w:val="71FF19B7"/>
    <w:rsid w:val="7242438A"/>
    <w:rsid w:val="72993C87"/>
    <w:rsid w:val="731458B8"/>
    <w:rsid w:val="73FA6E86"/>
    <w:rsid w:val="74210936"/>
    <w:rsid w:val="74572EAA"/>
    <w:rsid w:val="74E106B7"/>
    <w:rsid w:val="75700D85"/>
    <w:rsid w:val="75715F41"/>
    <w:rsid w:val="76497732"/>
    <w:rsid w:val="76890F73"/>
    <w:rsid w:val="770F4753"/>
    <w:rsid w:val="773D7A07"/>
    <w:rsid w:val="77FD169B"/>
    <w:rsid w:val="795E2CE3"/>
    <w:rsid w:val="79EB43CD"/>
    <w:rsid w:val="7A126AE1"/>
    <w:rsid w:val="7ABE2378"/>
    <w:rsid w:val="7AFB3926"/>
    <w:rsid w:val="7BA41111"/>
    <w:rsid w:val="7BFC3589"/>
    <w:rsid w:val="7C185614"/>
    <w:rsid w:val="7C9E4F3D"/>
    <w:rsid w:val="7CD02D3B"/>
    <w:rsid w:val="7D2B397D"/>
    <w:rsid w:val="7D6E6D76"/>
    <w:rsid w:val="7D996018"/>
    <w:rsid w:val="7DB409D9"/>
    <w:rsid w:val="7DB56E68"/>
    <w:rsid w:val="7E352FE9"/>
    <w:rsid w:val="7E576650"/>
    <w:rsid w:val="7EB61EE5"/>
    <w:rsid w:val="7FCE0606"/>
    <w:rsid w:val="7FF12EA3"/>
    <w:rsid w:val="7FF132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spacing w:before="340" w:after="330" w:line="576" w:lineRule="auto"/>
      <w:outlineLvl w:val="0"/>
    </w:pPr>
    <w:rPr>
      <w:b/>
      <w:kern w:val="44"/>
      <w:sz w:val="44"/>
    </w:rPr>
  </w:style>
  <w:style w:type="paragraph" w:styleId="5">
    <w:name w:val="heading 2"/>
    <w:basedOn w:val="1"/>
    <w:next w:val="1"/>
    <w:unhideWhenUsed/>
    <w:qFormat/>
    <w:uiPriority w:val="0"/>
    <w:pPr>
      <w:keepNext/>
      <w:keepLines/>
      <w:tabs>
        <w:tab w:val="left" w:pos="720"/>
      </w:tabs>
      <w:adjustRightInd w:val="0"/>
      <w:spacing w:line="320" w:lineRule="atLeast"/>
      <w:ind w:left="720" w:hanging="720"/>
      <w:outlineLvl w:val="1"/>
    </w:pPr>
    <w:rPr>
      <w:rFonts w:ascii="黑体" w:hAnsi="Arial" w:eastAsia="黑体" w:cs="宋体"/>
      <w:kern w:val="0"/>
      <w:sz w:val="28"/>
    </w:rPr>
  </w:style>
  <w:style w:type="paragraph" w:styleId="6">
    <w:name w:val="heading 3"/>
    <w:basedOn w:val="1"/>
    <w:next w:val="1"/>
    <w:unhideWhenUsed/>
    <w:qFormat/>
    <w:uiPriority w:val="0"/>
    <w:pPr>
      <w:keepNext/>
      <w:keepLines/>
      <w:spacing w:before="260" w:after="260" w:line="413" w:lineRule="auto"/>
      <w:outlineLvl w:val="2"/>
    </w:pPr>
    <w:rPr>
      <w:b/>
      <w:sz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Body Text"/>
    <w:basedOn w:val="3"/>
    <w:next w:val="3"/>
    <w:unhideWhenUsed/>
    <w:qFormat/>
    <w:uiPriority w:val="99"/>
    <w:pPr>
      <w:spacing w:after="120"/>
    </w:pPr>
  </w:style>
  <w:style w:type="paragraph" w:styleId="3">
    <w:name w:val="Title"/>
    <w:basedOn w:val="1"/>
    <w:next w:val="1"/>
    <w:qFormat/>
    <w:uiPriority w:val="0"/>
    <w:pPr>
      <w:spacing w:before="240" w:after="60"/>
      <w:jc w:val="center"/>
      <w:outlineLvl w:val="0"/>
    </w:pPr>
    <w:rPr>
      <w:rFonts w:ascii="Cambria" w:hAnsi="Cambria"/>
      <w:b/>
      <w:bCs/>
      <w:sz w:val="32"/>
      <w:szCs w:val="32"/>
    </w:rPr>
  </w:style>
  <w:style w:type="paragraph" w:styleId="7">
    <w:name w:val="annotation text"/>
    <w:basedOn w:val="1"/>
    <w:qFormat/>
    <w:uiPriority w:val="0"/>
    <w:pPr>
      <w:jc w:val="left"/>
    </w:pPr>
  </w:style>
  <w:style w:type="paragraph" w:styleId="8">
    <w:name w:val="Plain Text"/>
    <w:basedOn w:val="1"/>
    <w:qFormat/>
    <w:uiPriority w:val="0"/>
    <w:rPr>
      <w:rFonts w:ascii="宋体" w:hAnsi="Courier New" w:cs="Courier New"/>
      <w:szCs w:val="21"/>
    </w:rPr>
  </w:style>
  <w:style w:type="paragraph" w:styleId="9">
    <w:name w:val="Balloon Text"/>
    <w:basedOn w:val="1"/>
    <w:link w:val="29"/>
    <w:qFormat/>
    <w:uiPriority w:val="0"/>
    <w:rPr>
      <w:sz w:val="18"/>
      <w:szCs w:val="18"/>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2">
    <w:name w:val="toc 1"/>
    <w:basedOn w:val="1"/>
    <w:next w:val="1"/>
    <w:qFormat/>
    <w:uiPriority w:val="39"/>
  </w:style>
  <w:style w:type="paragraph" w:styleId="13">
    <w:name w:val="toc 2"/>
    <w:basedOn w:val="1"/>
    <w:next w:val="1"/>
    <w:qFormat/>
    <w:uiPriority w:val="39"/>
    <w:pPr>
      <w:tabs>
        <w:tab w:val="right" w:leader="dot" w:pos="8302"/>
      </w:tabs>
      <w:snapToGrid w:val="0"/>
      <w:spacing w:line="360" w:lineRule="auto"/>
      <w:ind w:left="525" w:hanging="4"/>
    </w:pPr>
    <w:rPr>
      <w:sz w:val="24"/>
      <w:szCs w:val="20"/>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basedOn w:val="16"/>
    <w:qFormat/>
    <w:uiPriority w:val="99"/>
  </w:style>
  <w:style w:type="paragraph" w:customStyle="1" w:styleId="18">
    <w:name w:val="标题1"/>
    <w:basedOn w:val="5"/>
    <w:next w:val="1"/>
    <w:qFormat/>
    <w:uiPriority w:val="0"/>
    <w:pPr>
      <w:numPr>
        <w:ilvl w:val="0"/>
        <w:numId w:val="1"/>
      </w:numPr>
    </w:pPr>
    <w:rPr>
      <w:rFonts w:hAnsi="黑体"/>
    </w:rPr>
  </w:style>
  <w:style w:type="paragraph" w:customStyle="1" w:styleId="19">
    <w:name w:val="首页项目名称"/>
    <w:link w:val="21"/>
    <w:qFormat/>
    <w:uiPriority w:val="0"/>
    <w:pPr>
      <w:jc w:val="center"/>
    </w:pPr>
    <w:rPr>
      <w:rFonts w:ascii="Times New Roman" w:hAnsi="Times New Roman" w:eastAsia="隶书" w:cs="Times New Roman"/>
      <w:sz w:val="52"/>
      <w:lang w:val="en-US" w:eastAsia="zh-CN" w:bidi="ar-SA"/>
    </w:rPr>
  </w:style>
  <w:style w:type="paragraph" w:customStyle="1" w:styleId="20">
    <w:name w:val="首页日期"/>
    <w:basedOn w:val="1"/>
    <w:link w:val="22"/>
    <w:qFormat/>
    <w:uiPriority w:val="0"/>
    <w:pPr>
      <w:jc w:val="center"/>
    </w:pPr>
    <w:rPr>
      <w:rFonts w:eastAsia="楷体"/>
      <w:sz w:val="32"/>
    </w:rPr>
  </w:style>
  <w:style w:type="character" w:customStyle="1" w:styleId="21">
    <w:name w:val="首页项目名称 Char"/>
    <w:link w:val="19"/>
    <w:qFormat/>
    <w:uiPriority w:val="0"/>
    <w:rPr>
      <w:rFonts w:ascii="Times New Roman" w:hAnsi="Times New Roman" w:eastAsia="隶书"/>
      <w:sz w:val="52"/>
    </w:rPr>
  </w:style>
  <w:style w:type="character" w:customStyle="1" w:styleId="22">
    <w:name w:val="首页日期 Char"/>
    <w:link w:val="20"/>
    <w:qFormat/>
    <w:uiPriority w:val="0"/>
    <w:rPr>
      <w:rFonts w:ascii="Times New Roman" w:hAnsi="Times New Roman" w:eastAsia="楷体"/>
      <w:sz w:val="32"/>
    </w:rPr>
  </w:style>
  <w:style w:type="paragraph" w:customStyle="1" w:styleId="23">
    <w:name w:val="一标题"/>
    <w:link w:val="24"/>
    <w:qFormat/>
    <w:uiPriority w:val="0"/>
    <w:pPr>
      <w:spacing w:before="100" w:beforeLines="100" w:line="360" w:lineRule="auto"/>
    </w:pPr>
    <w:rPr>
      <w:rFonts w:ascii="宋体" w:hAnsi="宋体" w:eastAsia="宋体" w:cs="Times New Roman"/>
      <w:b/>
      <w:sz w:val="24"/>
      <w:lang w:val="en-US" w:eastAsia="zh-CN" w:bidi="ar-SA"/>
    </w:rPr>
  </w:style>
  <w:style w:type="character" w:customStyle="1" w:styleId="24">
    <w:name w:val="一标题 Char"/>
    <w:link w:val="23"/>
    <w:qFormat/>
    <w:uiPriority w:val="0"/>
    <w:rPr>
      <w:rFonts w:ascii="宋体" w:hAnsi="宋体" w:eastAsia="宋体" w:cs="Times New Roman"/>
      <w:b/>
      <w:sz w:val="24"/>
    </w:rPr>
  </w:style>
  <w:style w:type="paragraph" w:customStyle="1" w:styleId="25">
    <w:name w:val="_Style 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26">
    <w:name w:val="font21"/>
    <w:basedOn w:val="16"/>
    <w:qFormat/>
    <w:uiPriority w:val="0"/>
    <w:rPr>
      <w:rFonts w:hint="eastAsia" w:ascii="微软雅黑" w:hAnsi="微软雅黑" w:eastAsia="微软雅黑" w:cs="微软雅黑"/>
      <w:color w:val="000000"/>
      <w:sz w:val="20"/>
      <w:szCs w:val="20"/>
      <w:u w:val="none"/>
    </w:rPr>
  </w:style>
  <w:style w:type="character" w:customStyle="1" w:styleId="27">
    <w:name w:val="font31"/>
    <w:basedOn w:val="16"/>
    <w:qFormat/>
    <w:uiPriority w:val="0"/>
    <w:rPr>
      <w:rFonts w:hint="eastAsia" w:ascii="微软雅黑" w:hAnsi="微软雅黑" w:eastAsia="微软雅黑" w:cs="微软雅黑"/>
      <w:b/>
      <w:bCs/>
      <w:color w:val="FF0000"/>
      <w:sz w:val="20"/>
      <w:szCs w:val="20"/>
      <w:u w:val="none"/>
    </w:rPr>
  </w:style>
  <w:style w:type="character" w:customStyle="1" w:styleId="28">
    <w:name w:val="font41"/>
    <w:basedOn w:val="16"/>
    <w:qFormat/>
    <w:uiPriority w:val="0"/>
    <w:rPr>
      <w:rFonts w:hint="eastAsia" w:ascii="微软雅黑" w:hAnsi="微软雅黑" w:eastAsia="微软雅黑" w:cs="微软雅黑"/>
      <w:b/>
      <w:bCs/>
      <w:color w:val="000000"/>
      <w:sz w:val="20"/>
      <w:szCs w:val="20"/>
      <w:u w:val="none"/>
    </w:rPr>
  </w:style>
  <w:style w:type="character" w:customStyle="1" w:styleId="29">
    <w:name w:val="批注框文本 字符"/>
    <w:basedOn w:val="16"/>
    <w:link w:val="9"/>
    <w:qFormat/>
    <w:uiPriority w:val="0"/>
    <w:rPr>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4BA071-8291-4FBF-B739-8E68DEDFDA79}">
  <ds:schemaRefs/>
</ds:datastoreItem>
</file>

<file path=docProps/app.xml><?xml version="1.0" encoding="utf-8"?>
<Properties xmlns="http://schemas.openxmlformats.org/officeDocument/2006/extended-properties" xmlns:vt="http://schemas.openxmlformats.org/officeDocument/2006/docPropsVTypes">
  <Template>Normal.dotm</Template>
  <Pages>5</Pages>
  <Words>301</Words>
  <Characters>1722</Characters>
  <Lines>14</Lines>
  <Paragraphs>4</Paragraphs>
  <TotalTime>0</TotalTime>
  <ScaleCrop>false</ScaleCrop>
  <LinksUpToDate>false</LinksUpToDate>
  <CharactersWithSpaces>2019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2024-03-20T05:13:00Z</dcterms:created>
  <dc:creator>shenpeiyi</dc:creator>
  <cp:lastModifiedBy>张浩</cp:lastModifiedBy>
  <dcterms:modified xsi:type="dcterms:W3CDTF">2024-03-29T07:50:27Z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748218D62F934AD8ABA77F036423AE5E</vt:lpwstr>
  </property>
</Properties>
</file>