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__1.vsdx" ContentType="application/vnd.ms-visio.drawing"/>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 xml:space="preserve">架空线路飘挂物智能警示宣传装置 </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19"/>
        <w:rPr>
          <w:rStyle w:val="21"/>
          <w:rFonts w:ascii="黑体" w:hAnsi="黑体" w:eastAsia="黑体" w:cs="黑体"/>
        </w:rPr>
      </w:pPr>
    </w:p>
    <w:p>
      <w:pPr>
        <w:pStyle w:val="19"/>
        <w:rPr>
          <w:rStyle w:val="21"/>
          <w:rFonts w:ascii="黑体" w:hAnsi="黑体" w:eastAsia="黑体" w:cs="黑体"/>
        </w:rPr>
      </w:pPr>
    </w:p>
    <w:p>
      <w:pPr>
        <w:pStyle w:val="19"/>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1"/>
          <w:rFonts w:hint="eastAsia" w:ascii="黑体" w:hAnsi="黑体" w:eastAsia="黑体" w:cs="黑体"/>
        </w:rPr>
        <w:t>2024年03月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1"/>
        <w:tabs>
          <w:tab w:val="right" w:leader="dot" w:pos="8296"/>
        </w:tabs>
        <w:spacing w:line="560" w:lineRule="exact"/>
        <w:rPr>
          <w:rFonts w:ascii="黑体" w:hAnsi="黑体" w:eastAsia="黑体" w:cstheme="minorBidi"/>
          <w:sz w:val="26"/>
          <w:szCs w:val="26"/>
        </w:rPr>
      </w:pPr>
      <w:r>
        <w:rPr>
          <w:rFonts w:hint="eastAsia" w:ascii="黑体" w:hAnsi="黑体" w:eastAsia="黑体" w:cs="黑体"/>
          <w:sz w:val="26"/>
          <w:szCs w:val="26"/>
        </w:rPr>
        <w:fldChar w:fldCharType="begin"/>
      </w:r>
      <w:r>
        <w:rPr>
          <w:rFonts w:hint="eastAsia" w:ascii="黑体" w:hAnsi="黑体" w:eastAsia="黑体" w:cs="黑体"/>
          <w:sz w:val="26"/>
          <w:szCs w:val="26"/>
        </w:rPr>
        <w:instrText xml:space="preserve">TOC \o "1-2" \h \u </w:instrText>
      </w:r>
      <w:r>
        <w:rPr>
          <w:rFonts w:hint="eastAsia" w:ascii="黑体" w:hAnsi="黑体" w:eastAsia="黑体" w:cs="黑体"/>
          <w:sz w:val="26"/>
          <w:szCs w:val="26"/>
        </w:rPr>
        <w:fldChar w:fldCharType="separate"/>
      </w:r>
      <w:r>
        <w:fldChar w:fldCharType="begin"/>
      </w:r>
      <w:r>
        <w:instrText xml:space="preserve"> HYPERLINK \l "_Toc161773243" </w:instrText>
      </w:r>
      <w:r>
        <w:fldChar w:fldCharType="separate"/>
      </w:r>
      <w:r>
        <w:rPr>
          <w:rStyle w:val="16"/>
          <w:rFonts w:ascii="黑体" w:hAnsi="黑体" w:eastAsia="黑体"/>
          <w:b/>
          <w:sz w:val="26"/>
          <w:szCs w:val="26"/>
        </w:rPr>
        <w:t>总 则</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_Toc161773243 \h </w:instrText>
      </w:r>
      <w:r>
        <w:rPr>
          <w:rFonts w:ascii="黑体" w:hAnsi="黑体" w:eastAsia="黑体"/>
          <w:sz w:val="26"/>
          <w:szCs w:val="26"/>
        </w:rPr>
        <w:fldChar w:fldCharType="separate"/>
      </w:r>
      <w:r>
        <w:rPr>
          <w:rFonts w:ascii="黑体" w:hAnsi="黑体" w:eastAsia="黑体"/>
          <w:sz w:val="26"/>
          <w:szCs w:val="26"/>
        </w:rPr>
        <w:t>2</w:t>
      </w:r>
      <w:r>
        <w:rPr>
          <w:rFonts w:ascii="黑体" w:hAnsi="黑体" w:eastAsia="黑体"/>
          <w:sz w:val="26"/>
          <w:szCs w:val="26"/>
        </w:rPr>
        <w:fldChar w:fldCharType="end"/>
      </w:r>
      <w:r>
        <w:rPr>
          <w:rFonts w:ascii="黑体" w:hAnsi="黑体" w:eastAsia="黑体"/>
          <w:sz w:val="26"/>
          <w:szCs w:val="26"/>
        </w:rPr>
        <w:fldChar w:fldCharType="end"/>
      </w:r>
    </w:p>
    <w:p>
      <w:pPr>
        <w:pStyle w:val="11"/>
        <w:tabs>
          <w:tab w:val="right" w:leader="dot" w:pos="8296"/>
        </w:tabs>
        <w:spacing w:line="560" w:lineRule="exact"/>
        <w:rPr>
          <w:rFonts w:ascii="黑体" w:hAnsi="黑体" w:eastAsia="黑体" w:cstheme="minorBidi"/>
          <w:sz w:val="26"/>
          <w:szCs w:val="26"/>
        </w:rPr>
      </w:pPr>
      <w:r>
        <w:fldChar w:fldCharType="begin"/>
      </w:r>
      <w:r>
        <w:instrText xml:space="preserve"> HYPERLINK \l "_Toc161773244" </w:instrText>
      </w:r>
      <w:r>
        <w:fldChar w:fldCharType="separate"/>
      </w:r>
      <w:r>
        <w:rPr>
          <w:rStyle w:val="16"/>
          <w:rFonts w:ascii="黑体" w:hAnsi="黑体" w:eastAsia="黑体" w:cs="黑体"/>
          <w:sz w:val="26"/>
          <w:szCs w:val="26"/>
        </w:rPr>
        <w:t>1  服务内容及目的</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_Toc161773244 \h </w:instrText>
      </w:r>
      <w:r>
        <w:rPr>
          <w:rFonts w:ascii="黑体" w:hAnsi="黑体" w:eastAsia="黑体"/>
          <w:sz w:val="26"/>
          <w:szCs w:val="26"/>
        </w:rPr>
        <w:fldChar w:fldCharType="separate"/>
      </w:r>
      <w:r>
        <w:rPr>
          <w:rFonts w:ascii="黑体" w:hAnsi="黑体" w:eastAsia="黑体"/>
          <w:sz w:val="26"/>
          <w:szCs w:val="26"/>
        </w:rPr>
        <w:t>3</w:t>
      </w:r>
      <w:r>
        <w:rPr>
          <w:rFonts w:ascii="黑体" w:hAnsi="黑体" w:eastAsia="黑体"/>
          <w:sz w:val="26"/>
          <w:szCs w:val="26"/>
        </w:rPr>
        <w:fldChar w:fldCharType="end"/>
      </w:r>
      <w:r>
        <w:rPr>
          <w:rFonts w:ascii="黑体" w:hAnsi="黑体" w:eastAsia="黑体"/>
          <w:sz w:val="26"/>
          <w:szCs w:val="26"/>
        </w:rPr>
        <w:fldChar w:fldCharType="end"/>
      </w:r>
    </w:p>
    <w:p>
      <w:pPr>
        <w:pStyle w:val="11"/>
        <w:tabs>
          <w:tab w:val="right" w:leader="dot" w:pos="8296"/>
        </w:tabs>
        <w:spacing w:line="560" w:lineRule="exact"/>
        <w:rPr>
          <w:rFonts w:ascii="黑体" w:hAnsi="黑体" w:eastAsia="黑体" w:cstheme="minorBidi"/>
          <w:sz w:val="26"/>
          <w:szCs w:val="26"/>
        </w:rPr>
      </w:pPr>
      <w:r>
        <w:fldChar w:fldCharType="begin"/>
      </w:r>
      <w:r>
        <w:instrText xml:space="preserve"> HYPERLINK \l "_Toc161773245" </w:instrText>
      </w:r>
      <w:r>
        <w:fldChar w:fldCharType="separate"/>
      </w:r>
      <w:r>
        <w:rPr>
          <w:rStyle w:val="16"/>
          <w:rFonts w:ascii="黑体" w:hAnsi="黑体" w:eastAsia="黑体" w:cs="黑体"/>
          <w:sz w:val="26"/>
          <w:szCs w:val="26"/>
        </w:rPr>
        <w:t>2  主要技术指标要求</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_Toc161773245 \h </w:instrText>
      </w:r>
      <w:r>
        <w:rPr>
          <w:rFonts w:ascii="黑体" w:hAnsi="黑体" w:eastAsia="黑体"/>
          <w:sz w:val="26"/>
          <w:szCs w:val="26"/>
        </w:rPr>
        <w:fldChar w:fldCharType="separate"/>
      </w:r>
      <w:r>
        <w:rPr>
          <w:rFonts w:ascii="黑体" w:hAnsi="黑体" w:eastAsia="黑体"/>
          <w:sz w:val="26"/>
          <w:szCs w:val="26"/>
        </w:rPr>
        <w:t>3</w:t>
      </w:r>
      <w:r>
        <w:rPr>
          <w:rFonts w:ascii="黑体" w:hAnsi="黑体" w:eastAsia="黑体"/>
          <w:sz w:val="26"/>
          <w:szCs w:val="26"/>
        </w:rPr>
        <w:fldChar w:fldCharType="end"/>
      </w:r>
      <w:r>
        <w:rPr>
          <w:rFonts w:ascii="黑体" w:hAnsi="黑体" w:eastAsia="黑体"/>
          <w:sz w:val="26"/>
          <w:szCs w:val="26"/>
        </w:rPr>
        <w:fldChar w:fldCharType="end"/>
      </w:r>
    </w:p>
    <w:p>
      <w:pPr>
        <w:pStyle w:val="11"/>
        <w:tabs>
          <w:tab w:val="right" w:leader="dot" w:pos="8296"/>
        </w:tabs>
        <w:spacing w:line="560" w:lineRule="exact"/>
        <w:rPr>
          <w:rFonts w:ascii="黑体" w:hAnsi="黑体" w:eastAsia="黑体" w:cstheme="minorBidi"/>
          <w:sz w:val="26"/>
          <w:szCs w:val="26"/>
        </w:rPr>
      </w:pPr>
      <w:r>
        <w:fldChar w:fldCharType="begin"/>
      </w:r>
      <w:r>
        <w:instrText xml:space="preserve"> HYPERLINK \l "_Toc161773246" </w:instrText>
      </w:r>
      <w:r>
        <w:fldChar w:fldCharType="separate"/>
      </w:r>
      <w:r>
        <w:rPr>
          <w:rStyle w:val="16"/>
          <w:rFonts w:ascii="黑体" w:hAnsi="黑体" w:eastAsia="黑体" w:cs="黑体"/>
          <w:sz w:val="26"/>
          <w:szCs w:val="26"/>
        </w:rPr>
        <w:t>3  装置图纸</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_Toc161773246 \h </w:instrText>
      </w:r>
      <w:r>
        <w:rPr>
          <w:rFonts w:ascii="黑体" w:hAnsi="黑体" w:eastAsia="黑体"/>
          <w:sz w:val="26"/>
          <w:szCs w:val="26"/>
        </w:rPr>
        <w:fldChar w:fldCharType="separate"/>
      </w:r>
      <w:r>
        <w:rPr>
          <w:rFonts w:ascii="黑体" w:hAnsi="黑体" w:eastAsia="黑体"/>
          <w:sz w:val="26"/>
          <w:szCs w:val="26"/>
        </w:rPr>
        <w:t>4</w:t>
      </w:r>
      <w:r>
        <w:rPr>
          <w:rFonts w:ascii="黑体" w:hAnsi="黑体" w:eastAsia="黑体"/>
          <w:sz w:val="26"/>
          <w:szCs w:val="26"/>
        </w:rPr>
        <w:fldChar w:fldCharType="end"/>
      </w:r>
      <w:r>
        <w:rPr>
          <w:rFonts w:ascii="黑体" w:hAnsi="黑体" w:eastAsia="黑体"/>
          <w:sz w:val="26"/>
          <w:szCs w:val="26"/>
        </w:rPr>
        <w:fldChar w:fldCharType="end"/>
      </w:r>
    </w:p>
    <w:p>
      <w:pPr>
        <w:pStyle w:val="11"/>
        <w:tabs>
          <w:tab w:val="right" w:leader="dot" w:pos="8296"/>
        </w:tabs>
        <w:spacing w:line="560" w:lineRule="exact"/>
        <w:rPr>
          <w:rFonts w:ascii="黑体" w:hAnsi="黑体" w:eastAsia="黑体" w:cstheme="minorBidi"/>
          <w:sz w:val="26"/>
          <w:szCs w:val="26"/>
        </w:rPr>
      </w:pPr>
      <w:r>
        <w:fldChar w:fldCharType="begin"/>
      </w:r>
      <w:r>
        <w:instrText xml:space="preserve"> HYPERLINK \l "_Toc161773247" </w:instrText>
      </w:r>
      <w:r>
        <w:fldChar w:fldCharType="separate"/>
      </w:r>
      <w:r>
        <w:rPr>
          <w:rStyle w:val="16"/>
          <w:rFonts w:ascii="黑体" w:hAnsi="黑体" w:eastAsia="黑体" w:cs="黑体"/>
          <w:sz w:val="26"/>
          <w:szCs w:val="26"/>
        </w:rPr>
        <w:t>4  成果交付与验收</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_Toc161773247 \h </w:instrText>
      </w:r>
      <w:r>
        <w:rPr>
          <w:rFonts w:ascii="黑体" w:hAnsi="黑体" w:eastAsia="黑体"/>
          <w:sz w:val="26"/>
          <w:szCs w:val="26"/>
        </w:rPr>
        <w:fldChar w:fldCharType="separate"/>
      </w:r>
      <w:r>
        <w:rPr>
          <w:rFonts w:ascii="黑体" w:hAnsi="黑体" w:eastAsia="黑体"/>
          <w:sz w:val="26"/>
          <w:szCs w:val="26"/>
        </w:rPr>
        <w:t>4</w:t>
      </w:r>
      <w:r>
        <w:rPr>
          <w:rFonts w:ascii="黑体" w:hAnsi="黑体" w:eastAsia="黑体"/>
          <w:sz w:val="26"/>
          <w:szCs w:val="26"/>
        </w:rPr>
        <w:fldChar w:fldCharType="end"/>
      </w:r>
      <w:r>
        <w:rPr>
          <w:rFonts w:ascii="黑体" w:hAnsi="黑体" w:eastAsia="黑体"/>
          <w:sz w:val="26"/>
          <w:szCs w:val="26"/>
        </w:rPr>
        <w:fldChar w:fldCharType="end"/>
      </w:r>
    </w:p>
    <w:p>
      <w:pPr>
        <w:pStyle w:val="12"/>
        <w:spacing w:line="560" w:lineRule="exact"/>
        <w:rPr>
          <w:rFonts w:ascii="黑体" w:hAnsi="黑体" w:eastAsia="黑体" w:cstheme="minorBidi"/>
          <w:sz w:val="26"/>
          <w:szCs w:val="26"/>
        </w:rPr>
      </w:pPr>
      <w:r>
        <w:fldChar w:fldCharType="begin"/>
      </w:r>
      <w:r>
        <w:instrText xml:space="preserve"> HYPERLINK \l "_Toc161773248" </w:instrText>
      </w:r>
      <w:r>
        <w:fldChar w:fldCharType="separate"/>
      </w:r>
      <w:r>
        <w:rPr>
          <w:rStyle w:val="16"/>
          <w:rFonts w:ascii="黑体" w:hAnsi="黑体" w:eastAsia="黑体" w:cs="黑体"/>
          <w:bCs/>
          <w:sz w:val="26"/>
          <w:szCs w:val="26"/>
        </w:rPr>
        <w:t>4.1 成果形式及数量要求</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_Toc161773248 \h </w:instrText>
      </w:r>
      <w:r>
        <w:rPr>
          <w:rFonts w:ascii="黑体" w:hAnsi="黑体" w:eastAsia="黑体"/>
          <w:sz w:val="26"/>
          <w:szCs w:val="26"/>
        </w:rPr>
        <w:fldChar w:fldCharType="separate"/>
      </w:r>
      <w:r>
        <w:rPr>
          <w:rFonts w:ascii="黑体" w:hAnsi="黑体" w:eastAsia="黑体"/>
          <w:sz w:val="26"/>
          <w:szCs w:val="26"/>
        </w:rPr>
        <w:t>4</w:t>
      </w:r>
      <w:r>
        <w:rPr>
          <w:rFonts w:ascii="黑体" w:hAnsi="黑体" w:eastAsia="黑体"/>
          <w:sz w:val="26"/>
          <w:szCs w:val="26"/>
        </w:rPr>
        <w:fldChar w:fldCharType="end"/>
      </w:r>
      <w:r>
        <w:rPr>
          <w:rFonts w:ascii="黑体" w:hAnsi="黑体" w:eastAsia="黑体"/>
          <w:sz w:val="26"/>
          <w:szCs w:val="26"/>
        </w:rPr>
        <w:fldChar w:fldCharType="end"/>
      </w:r>
    </w:p>
    <w:p>
      <w:pPr>
        <w:pStyle w:val="12"/>
        <w:spacing w:line="560" w:lineRule="exact"/>
        <w:rPr>
          <w:rFonts w:ascii="黑体" w:hAnsi="黑体" w:eastAsia="黑体" w:cstheme="minorBidi"/>
          <w:sz w:val="26"/>
          <w:szCs w:val="26"/>
        </w:rPr>
      </w:pPr>
      <w:r>
        <w:fldChar w:fldCharType="begin"/>
      </w:r>
      <w:r>
        <w:instrText xml:space="preserve"> HYPERLINK \l "_Toc161773249" </w:instrText>
      </w:r>
      <w:r>
        <w:fldChar w:fldCharType="separate"/>
      </w:r>
      <w:r>
        <w:rPr>
          <w:rStyle w:val="16"/>
          <w:rFonts w:ascii="黑体" w:hAnsi="黑体" w:eastAsia="黑体" w:cs="黑体"/>
          <w:bCs/>
          <w:sz w:val="26"/>
          <w:szCs w:val="26"/>
        </w:rPr>
        <w:t>4.2 成果的权属要求</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_Toc161773249 \h </w:instrText>
      </w:r>
      <w:r>
        <w:rPr>
          <w:rFonts w:ascii="黑体" w:hAnsi="黑体" w:eastAsia="黑体"/>
          <w:sz w:val="26"/>
          <w:szCs w:val="26"/>
        </w:rPr>
        <w:fldChar w:fldCharType="separate"/>
      </w:r>
      <w:r>
        <w:rPr>
          <w:rFonts w:ascii="黑体" w:hAnsi="黑体" w:eastAsia="黑体"/>
          <w:sz w:val="26"/>
          <w:szCs w:val="26"/>
        </w:rPr>
        <w:t>4</w:t>
      </w:r>
      <w:r>
        <w:rPr>
          <w:rFonts w:ascii="黑体" w:hAnsi="黑体" w:eastAsia="黑体"/>
          <w:sz w:val="26"/>
          <w:szCs w:val="26"/>
        </w:rPr>
        <w:fldChar w:fldCharType="end"/>
      </w:r>
      <w:r>
        <w:rPr>
          <w:rFonts w:ascii="黑体" w:hAnsi="黑体" w:eastAsia="黑体"/>
          <w:sz w:val="26"/>
          <w:szCs w:val="26"/>
        </w:rPr>
        <w:fldChar w:fldCharType="end"/>
      </w:r>
    </w:p>
    <w:p>
      <w:pPr>
        <w:pStyle w:val="12"/>
        <w:spacing w:line="560" w:lineRule="exact"/>
        <w:rPr>
          <w:rFonts w:ascii="黑体" w:hAnsi="黑体" w:eastAsia="黑体" w:cstheme="minorBidi"/>
          <w:sz w:val="26"/>
          <w:szCs w:val="26"/>
        </w:rPr>
      </w:pPr>
      <w:r>
        <w:fldChar w:fldCharType="begin"/>
      </w:r>
      <w:r>
        <w:instrText xml:space="preserve"> HYPERLINK \l "_Toc161773250" </w:instrText>
      </w:r>
      <w:r>
        <w:fldChar w:fldCharType="separate"/>
      </w:r>
      <w:r>
        <w:rPr>
          <w:rStyle w:val="16"/>
          <w:rFonts w:ascii="黑体" w:hAnsi="黑体" w:eastAsia="黑体" w:cs="黑体"/>
          <w:bCs/>
          <w:sz w:val="26"/>
          <w:szCs w:val="26"/>
        </w:rPr>
        <w:t>4.3成果验收</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_Toc161773250 \h </w:instrText>
      </w:r>
      <w:r>
        <w:rPr>
          <w:rFonts w:ascii="黑体" w:hAnsi="黑体" w:eastAsia="黑体"/>
          <w:sz w:val="26"/>
          <w:szCs w:val="26"/>
        </w:rPr>
        <w:fldChar w:fldCharType="separate"/>
      </w:r>
      <w:r>
        <w:rPr>
          <w:rFonts w:ascii="黑体" w:hAnsi="黑体" w:eastAsia="黑体"/>
          <w:sz w:val="26"/>
          <w:szCs w:val="26"/>
        </w:rPr>
        <w:t>5</w:t>
      </w:r>
      <w:r>
        <w:rPr>
          <w:rFonts w:ascii="黑体" w:hAnsi="黑体" w:eastAsia="黑体"/>
          <w:sz w:val="26"/>
          <w:szCs w:val="26"/>
        </w:rPr>
        <w:fldChar w:fldCharType="end"/>
      </w:r>
      <w:r>
        <w:rPr>
          <w:rFonts w:ascii="黑体" w:hAnsi="黑体" w:eastAsia="黑体"/>
          <w:sz w:val="26"/>
          <w:szCs w:val="26"/>
        </w:rPr>
        <w:fldChar w:fldCharType="end"/>
      </w:r>
    </w:p>
    <w:p>
      <w:pPr>
        <w:pStyle w:val="11"/>
        <w:tabs>
          <w:tab w:val="right" w:leader="dot" w:pos="8296"/>
        </w:tabs>
        <w:spacing w:line="560" w:lineRule="exact"/>
        <w:rPr>
          <w:rFonts w:ascii="黑体" w:hAnsi="黑体" w:eastAsia="黑体" w:cstheme="minorBidi"/>
          <w:sz w:val="26"/>
          <w:szCs w:val="26"/>
        </w:rPr>
      </w:pPr>
      <w:r>
        <w:fldChar w:fldCharType="begin"/>
      </w:r>
      <w:r>
        <w:instrText xml:space="preserve"> HYPERLINK \l "_Toc161773251" </w:instrText>
      </w:r>
      <w:r>
        <w:fldChar w:fldCharType="separate"/>
      </w:r>
      <w:r>
        <w:rPr>
          <w:rStyle w:val="16"/>
          <w:rFonts w:ascii="黑体" w:hAnsi="黑体" w:eastAsia="黑体" w:cs="黑体"/>
          <w:sz w:val="26"/>
          <w:szCs w:val="26"/>
        </w:rPr>
        <w:t>5  资格要求</w:t>
      </w:r>
      <w:r>
        <w:rPr>
          <w:rFonts w:ascii="黑体" w:hAnsi="黑体" w:eastAsia="黑体"/>
          <w:sz w:val="26"/>
          <w:szCs w:val="26"/>
        </w:rPr>
        <w:tab/>
      </w:r>
      <w:r>
        <w:rPr>
          <w:rFonts w:ascii="黑体" w:hAnsi="黑体" w:eastAsia="黑体"/>
          <w:sz w:val="26"/>
          <w:szCs w:val="26"/>
        </w:rPr>
        <w:fldChar w:fldCharType="begin"/>
      </w:r>
      <w:r>
        <w:rPr>
          <w:rFonts w:ascii="黑体" w:hAnsi="黑体" w:eastAsia="黑体"/>
          <w:sz w:val="26"/>
          <w:szCs w:val="26"/>
        </w:rPr>
        <w:instrText xml:space="preserve"> PAGEREF _Toc161773251 \h </w:instrText>
      </w:r>
      <w:r>
        <w:rPr>
          <w:rFonts w:ascii="黑体" w:hAnsi="黑体" w:eastAsia="黑体"/>
          <w:sz w:val="26"/>
          <w:szCs w:val="26"/>
        </w:rPr>
        <w:fldChar w:fldCharType="separate"/>
      </w:r>
      <w:r>
        <w:rPr>
          <w:rFonts w:ascii="黑体" w:hAnsi="黑体" w:eastAsia="黑体"/>
          <w:sz w:val="26"/>
          <w:szCs w:val="26"/>
        </w:rPr>
        <w:t>5</w:t>
      </w:r>
      <w:r>
        <w:rPr>
          <w:rFonts w:ascii="黑体" w:hAnsi="黑体" w:eastAsia="黑体"/>
          <w:sz w:val="26"/>
          <w:szCs w:val="26"/>
        </w:rPr>
        <w:fldChar w:fldCharType="end"/>
      </w:r>
      <w:r>
        <w:rPr>
          <w:rFonts w:ascii="黑体" w:hAnsi="黑体" w:eastAsia="黑体"/>
          <w:sz w:val="26"/>
          <w:szCs w:val="26"/>
        </w:rPr>
        <w:fldChar w:fldCharType="end"/>
      </w:r>
    </w:p>
    <w:p>
      <w:pPr>
        <w:pStyle w:val="11"/>
        <w:tabs>
          <w:tab w:val="right" w:leader="dot" w:pos="8306"/>
        </w:tabs>
        <w:snapToGrid w:val="0"/>
        <w:spacing w:line="560" w:lineRule="exact"/>
        <w:rPr>
          <w:rFonts w:ascii="黑体" w:hAnsi="黑体" w:eastAsia="黑体" w:cs="黑体"/>
          <w:b/>
          <w:sz w:val="26"/>
          <w:szCs w:val="26"/>
        </w:rPr>
      </w:pPr>
      <w:r>
        <w:rPr>
          <w:rFonts w:hint="eastAsia" w:ascii="黑体" w:hAnsi="黑体" w:eastAsia="黑体" w:cs="黑体"/>
          <w:sz w:val="26"/>
          <w:szCs w:val="26"/>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19589"/>
      <w:bookmarkStart w:id="4" w:name="_Toc161773243"/>
      <w:bookmarkStart w:id="5" w:name="_Toc32374"/>
      <w:bookmarkStart w:id="6" w:name="_Toc266713645"/>
      <w:bookmarkStart w:id="7" w:name="_Toc17586"/>
      <w:r>
        <w:rPr>
          <w:rFonts w:hint="eastAsia" w:ascii="宋体" w:hAnsi="宋体"/>
          <w:b/>
          <w:sz w:val="32"/>
        </w:rPr>
        <w:t>总 则</w:t>
      </w:r>
      <w:bookmarkEnd w:id="3"/>
      <w:bookmarkEnd w:id="4"/>
      <w:bookmarkEnd w:id="5"/>
      <w:bookmarkEnd w:id="6"/>
      <w:bookmarkEnd w:id="7"/>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r>
        <w:rPr>
          <w:rFonts w:hint="eastAsia"/>
          <w:szCs w:val="22"/>
        </w:rPr>
        <w:br w:type="page"/>
      </w:r>
    </w:p>
    <w:p>
      <w:pPr>
        <w:pStyle w:val="22"/>
        <w:spacing w:before="312"/>
        <w:outlineLvl w:val="0"/>
        <w:rPr>
          <w:rFonts w:asciiTheme="minorEastAsia" w:hAnsiTheme="minorEastAsia" w:eastAsiaTheme="minorEastAsia" w:cstheme="minorEastAsia"/>
          <w:bCs/>
          <w:color w:val="C00000"/>
        </w:rPr>
      </w:pPr>
      <w:bookmarkStart w:id="8" w:name="_Toc16177324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8"/>
    </w:p>
    <w:p>
      <w:pPr>
        <w:spacing w:line="360" w:lineRule="auto"/>
        <w:ind w:firstLine="480" w:firstLineChars="200"/>
        <w:rPr>
          <w:rFonts w:hint="eastAsia"/>
          <w:sz w:val="24"/>
        </w:rPr>
      </w:pPr>
      <w:r>
        <w:rPr>
          <w:rFonts w:hint="eastAsia" w:ascii="宋体" w:hAnsi="宋体"/>
          <w:sz w:val="24"/>
        </w:rPr>
        <w:t>广州市城乡结合部众多，线行周边存在铁皮、棚架及大量蔬菜种植农用薄膜，飘挂物风险突出，近年来，因飘挂物隐患导致的线路跳闸时有发生。目前没有防治飘挂物于未然的有效手段，而班组管辖线路常有经过农田郊区等农用薄膜飘挂物高发区段，因此找到有效的事前防御宣传手段，可以降低飘挂物跳闸风险。服务需要测试和加工的目标包括</w:t>
      </w:r>
      <w:r>
        <w:rPr>
          <w:rFonts w:hint="eastAsia"/>
          <w:sz w:val="24"/>
        </w:rPr>
        <w:t>以下三点：</w:t>
      </w:r>
    </w:p>
    <w:p>
      <w:pPr>
        <w:spacing w:line="360" w:lineRule="auto"/>
        <w:ind w:firstLine="480" w:firstLineChars="200"/>
        <w:rPr>
          <w:rFonts w:ascii="宋体" w:hAnsi="宋体"/>
          <w:sz w:val="24"/>
        </w:rPr>
      </w:pPr>
      <w:r>
        <w:rPr>
          <w:rFonts w:hint="eastAsia" w:ascii="宋体" w:hAnsi="宋体"/>
          <w:sz w:val="24"/>
        </w:rPr>
        <w:t>1.通过风速监测模块获取信息，在超过阈值时发出警报。</w:t>
      </w:r>
    </w:p>
    <w:p>
      <w:pPr>
        <w:spacing w:line="360" w:lineRule="auto"/>
        <w:ind w:firstLine="480" w:firstLineChars="200"/>
        <w:rPr>
          <w:rFonts w:ascii="宋体" w:hAnsi="宋体"/>
          <w:sz w:val="24"/>
        </w:rPr>
      </w:pPr>
      <w:r>
        <w:rPr>
          <w:rFonts w:hint="eastAsia" w:ascii="宋体" w:hAnsi="宋体"/>
          <w:sz w:val="24"/>
        </w:rPr>
        <w:t>2.配置行人识别模块，在无人时节能省电。</w:t>
      </w:r>
    </w:p>
    <w:p>
      <w:pPr>
        <w:spacing w:line="360" w:lineRule="auto"/>
        <w:ind w:firstLine="480" w:firstLineChars="200"/>
        <w:rPr>
          <w:rFonts w:ascii="宋体" w:hAnsi="宋体"/>
          <w:sz w:val="24"/>
        </w:rPr>
      </w:pPr>
      <w:r>
        <w:rPr>
          <w:rFonts w:hint="eastAsia" w:ascii="宋体" w:hAnsi="宋体"/>
          <w:sz w:val="24"/>
        </w:rPr>
        <w:t>3.太阳能模块供电，在供能的同时实现夜间不扰民的功能。</w:t>
      </w:r>
    </w:p>
    <w:p>
      <w:pPr>
        <w:spacing w:line="360" w:lineRule="auto"/>
        <w:ind w:firstLine="480" w:firstLineChars="200"/>
        <w:rPr>
          <w:rFonts w:hint="eastAsia" w:ascii="宋体" w:hAnsi="宋体"/>
          <w:sz w:val="24"/>
        </w:rPr>
      </w:pPr>
      <w:r>
        <w:rPr>
          <w:rFonts w:hint="eastAsia"/>
          <w:sz w:val="24"/>
        </w:rPr>
        <w:t>服务方需要提供满足主要技术指标要求及图纸所示的加工测试服务，以及在项目进行中为达成既定目标提出的其他需求。</w:t>
      </w:r>
    </w:p>
    <w:p>
      <w:pPr>
        <w:pStyle w:val="22"/>
        <w:spacing w:before="312"/>
        <w:outlineLvl w:val="0"/>
        <w:rPr>
          <w:rFonts w:asciiTheme="minorEastAsia" w:hAnsiTheme="minorEastAsia" w:eastAsiaTheme="minorEastAsia" w:cstheme="minorEastAsia"/>
          <w:bCs/>
          <w:color w:val="C00000"/>
        </w:rPr>
      </w:pPr>
      <w:bookmarkStart w:id="9" w:name="_Toc16177324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9"/>
    </w:p>
    <w:p>
      <w:pPr>
        <w:pStyle w:val="6"/>
        <w:rPr>
          <w:rFonts w:asciiTheme="minorEastAsia" w:hAnsiTheme="minorEastAsia" w:eastAsiaTheme="minorEastAsia" w:cstheme="minorEastAsia"/>
          <w:sz w:val="24"/>
        </w:rPr>
      </w:pPr>
      <w:r>
        <w:rPr>
          <w:rFonts w:hint="eastAsia" w:ascii="宋体" w:hAnsi="宋体"/>
          <w:sz w:val="24"/>
        </w:rPr>
        <w:t>加工测试架空线路飘挂物智能警示宣传装置</w:t>
      </w:r>
      <w:r>
        <w:rPr>
          <w:rFonts w:hint="eastAsia" w:asciiTheme="minorEastAsia" w:hAnsiTheme="minorEastAsia" w:eastAsiaTheme="minorEastAsia" w:cstheme="minorEastAsia"/>
          <w:sz w:val="24"/>
        </w:rPr>
        <w:t>：</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加工测试太阳能供电板，测试结果满足：100W(单晶硅)单晶硅太阳能板，充电转换率18%以上，寿命20年以上。</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太阳能专用锂电池，测试结果满足12V/100AH(免维护电池)锂电池，板各部分的均匀反应。紧密装配技术带来的高速放电性能，散热强，工作温度范围广，避免酸雾分离，环保，高效排气系统自动释放过量气体。</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智能卡口立杆，高度：3.5米、圆杆直径89mm,国标热镀锌钢管，厚度2.0mm，底座尺寸300x300x10mm，，颜色:户外专用橘红，立杆抗风10级。</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加工测试防水设备控制机箱，尺寸:650*255*200mm 国标镀锌板厚度1.2mm，防护等级IP65，红蓝爆闪警灯,红外感应(3-1</w:t>
      </w:r>
      <w:r>
        <w:rPr>
          <w:rFonts w:ascii="宋体" w:hAnsi="宋体"/>
          <w:sz w:val="24"/>
        </w:rPr>
        <w:t>2</w:t>
      </w:r>
      <w:r>
        <w:rPr>
          <w:rFonts w:hint="eastAsia" w:ascii="宋体" w:hAnsi="宋体"/>
          <w:sz w:val="24"/>
        </w:rPr>
        <w:t>米)感应到人车自动语音播报，系主板设计有屏蔽电路。可设置3组定时播放模式，白天正常工作，晚上停止工作，防止扰民可防止雷击损坏，环境温度：-30~+70摄氏度。</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加工测试语音输出模块，分贝范围70dB-90dB，配有PS4芯音乐USB转接口，可以通过PC更换语音。</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加工测试4G智能监控模块，海康威视400万像素枪机，4G无线传输，双向语音对讲，全彩夜视。24小时监控，人车经过自动录像，智能侦测，64G内存卡，120G/年电信流量。</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加工测试风速监控风速监测模块，0.8m/s触发，并发出语音报警。准确率95%以上。</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加工测试流量卡：4G流量一年120G，2年。</w:t>
      </w:r>
    </w:p>
    <w:p>
      <w:pPr>
        <w:pStyle w:val="28"/>
        <w:numPr>
          <w:ilvl w:val="0"/>
          <w:numId w:val="3"/>
        </w:numPr>
        <w:spacing w:line="360" w:lineRule="auto"/>
        <w:ind w:left="482" w:firstLine="0" w:firstLineChars="0"/>
        <w:rPr>
          <w:rFonts w:ascii="宋体" w:hAnsi="宋体"/>
          <w:sz w:val="24"/>
        </w:rPr>
      </w:pPr>
      <w:r>
        <w:rPr>
          <w:rFonts w:hint="eastAsia" w:ascii="宋体" w:hAnsi="宋体"/>
          <w:sz w:val="24"/>
        </w:rPr>
        <w:t>加工测试立杆预埋件，尺寸：M16*4*500 折叠式基础笼。</w:t>
      </w:r>
    </w:p>
    <w:p>
      <w:pPr>
        <w:pStyle w:val="22"/>
        <w:spacing w:before="312"/>
        <w:outlineLvl w:val="0"/>
        <w:rPr>
          <w:rFonts w:hint="default" w:ascii="黑体" w:hAnsi="黑体" w:eastAsia="黑体" w:cs="黑体"/>
          <w:sz w:val="28"/>
          <w:szCs w:val="28"/>
          <w:lang w:val="en-US" w:eastAsia="zh-CN"/>
        </w:rPr>
      </w:pPr>
      <w:bookmarkStart w:id="10" w:name="_Toc266713650"/>
      <w:bookmarkStart w:id="11" w:name="_Toc161773246"/>
      <w:r>
        <w:rPr>
          <w:rFonts w:ascii="黑体" w:hAnsi="黑体" w:eastAsia="黑体" w:cs="黑体"/>
          <w:sz w:val="28"/>
          <w:szCs w:val="28"/>
        </w:rPr>
        <w:t>3</w:t>
      </w:r>
      <w:r>
        <w:rPr>
          <w:rFonts w:hint="eastAsia" w:ascii="黑体" w:hAnsi="黑体" w:eastAsia="黑体" w:cs="黑体"/>
          <w:sz w:val="28"/>
          <w:szCs w:val="28"/>
        </w:rPr>
        <w:t xml:space="preserve">  </w:t>
      </w:r>
      <w:bookmarkEnd w:id="10"/>
      <w:r>
        <w:rPr>
          <w:rFonts w:hint="eastAsia" w:ascii="黑体" w:hAnsi="黑体" w:eastAsia="黑体" w:cs="黑体"/>
          <w:sz w:val="28"/>
          <w:szCs w:val="28"/>
        </w:rPr>
        <w:t>装置</w:t>
      </w:r>
      <w:bookmarkEnd w:id="11"/>
      <w:r>
        <w:rPr>
          <w:rFonts w:hint="eastAsia" w:ascii="黑体" w:hAnsi="黑体" w:eastAsia="黑体" w:cs="黑体"/>
          <w:sz w:val="28"/>
          <w:szCs w:val="28"/>
          <w:lang w:val="en-US" w:eastAsia="zh-CN"/>
        </w:rPr>
        <w:t>示意图</w:t>
      </w:r>
    </w:p>
    <w:p>
      <w:pPr>
        <w:pStyle w:val="22"/>
        <w:snapToGrid w:val="0"/>
        <w:spacing w:before="0" w:beforeLines="0" w:line="240" w:lineRule="auto"/>
        <w:jc w:val="center"/>
      </w:pPr>
      <w:r>
        <w:object>
          <v:shape id="_x0000_i1025" o:spt="75" type="#_x0000_t75" style="height:263.7pt;width:118.05pt;" o:ole="t" filled="f" o:preferrelative="t" stroked="f" coordsize="21600,21600">
            <v:path/>
            <v:fill on="f" focussize="0,0"/>
            <v:stroke on="f" joinstyle="miter"/>
            <v:imagedata r:id="rId7" o:title=""/>
            <o:lock v:ext="edit" aspectratio="t"/>
            <w10:wrap type="none"/>
            <w10:anchorlock/>
          </v:shape>
          <o:OLEObject Type="Embed" ProgID="Visio.Drawing.15" ShapeID="_x0000_i1025" DrawAspect="Content" ObjectID="_1468075725" r:id="rId6">
            <o:LockedField>false</o:LockedField>
          </o:OLEObject>
        </w:object>
      </w:r>
    </w:p>
    <w:p>
      <w:pPr>
        <w:pStyle w:val="22"/>
        <w:snapToGrid w:val="0"/>
        <w:spacing w:before="0" w:beforeLines="0" w:line="240" w:lineRule="auto"/>
        <w:jc w:val="center"/>
        <w:rPr>
          <w:rFonts w:asciiTheme="minorEastAsia" w:hAnsiTheme="minorEastAsia" w:eastAsiaTheme="minorEastAsia" w:cstheme="minorEastAsia"/>
          <w:b w:val="0"/>
          <w:bCs/>
          <w:color w:val="C00000"/>
        </w:rPr>
      </w:pPr>
      <w:r>
        <w:rPr>
          <w:rFonts w:hint="eastAsia"/>
          <w:b w:val="0"/>
        </w:rPr>
        <w:t>架空线路飘挂物智能警示宣传装置</w:t>
      </w:r>
      <w:r>
        <w:rPr>
          <w:rFonts w:hint="eastAsia"/>
          <w:b w:val="0"/>
          <w:lang w:val="en-US" w:eastAsia="zh-CN"/>
        </w:rPr>
        <w:t>示意</w:t>
      </w:r>
      <w:r>
        <w:rPr>
          <w:rFonts w:hint="eastAsia"/>
          <w:b w:val="0"/>
        </w:rPr>
        <w:t>图</w:t>
      </w:r>
    </w:p>
    <w:p>
      <w:pPr>
        <w:pStyle w:val="22"/>
        <w:spacing w:before="312"/>
        <w:outlineLvl w:val="0"/>
        <w:rPr>
          <w:rFonts w:ascii="黑体" w:hAnsi="黑体" w:eastAsia="黑体" w:cs="黑体"/>
          <w:sz w:val="28"/>
          <w:szCs w:val="28"/>
        </w:rPr>
      </w:pPr>
      <w:bookmarkStart w:id="12" w:name="_Toc161773247"/>
      <w:r>
        <w:rPr>
          <w:rFonts w:ascii="黑体" w:hAnsi="黑体" w:eastAsia="黑体" w:cs="黑体"/>
          <w:sz w:val="28"/>
          <w:szCs w:val="28"/>
        </w:rPr>
        <w:t>4</w:t>
      </w:r>
      <w:r>
        <w:rPr>
          <w:rFonts w:hint="eastAsia" w:ascii="黑体" w:hAnsi="黑体" w:eastAsia="黑体" w:cs="黑体"/>
          <w:sz w:val="28"/>
          <w:szCs w:val="28"/>
        </w:rPr>
        <w:t xml:space="preserve">  成果交付与验收</w:t>
      </w:r>
      <w:bookmarkEnd w:id="12"/>
    </w:p>
    <w:p>
      <w:pPr>
        <w:spacing w:line="360" w:lineRule="auto"/>
        <w:outlineLvl w:val="1"/>
        <w:rPr>
          <w:rFonts w:ascii="黑体" w:hAnsi="黑体" w:eastAsia="黑体" w:cs="黑体"/>
          <w:bCs/>
          <w:sz w:val="24"/>
        </w:rPr>
      </w:pPr>
      <w:bookmarkStart w:id="13" w:name="_Toc161773248"/>
      <w:r>
        <w:rPr>
          <w:rFonts w:ascii="黑体" w:hAnsi="黑体" w:eastAsia="黑体" w:cs="黑体"/>
          <w:bCs/>
          <w:sz w:val="24"/>
        </w:rPr>
        <w:t>4</w:t>
      </w:r>
      <w:r>
        <w:rPr>
          <w:rFonts w:hint="eastAsia" w:ascii="黑体" w:hAnsi="黑体" w:eastAsia="黑体" w:cs="黑体"/>
          <w:bCs/>
          <w:sz w:val="24"/>
        </w:rPr>
        <w:t>.1 成果形式及数量要求</w:t>
      </w:r>
      <w:bookmarkEnd w:id="13"/>
    </w:p>
    <w:p>
      <w:pPr>
        <w:rPr>
          <w:rFonts w:asciiTheme="minorEastAsia" w:hAnsiTheme="minorEastAsia" w:eastAsiaTheme="minorEastAsia" w:cstheme="minorEastAsia"/>
          <w:bCs/>
          <w:color w:val="C00000"/>
          <w:sz w:val="24"/>
        </w:rPr>
      </w:pPr>
      <w:bookmarkStart w:id="14" w:name="_Hlk25764254"/>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3641"/>
        <w:gridCol w:w="1077"/>
        <w:gridCol w:w="654"/>
        <w:gridCol w:w="2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Align w:val="center"/>
          </w:tcPr>
          <w:p>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3641" w:type="dxa"/>
            <w:vAlign w:val="center"/>
          </w:tcPr>
          <w:p>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成果名称</w:t>
            </w:r>
          </w:p>
        </w:tc>
        <w:tc>
          <w:tcPr>
            <w:tcW w:w="1077" w:type="dxa"/>
            <w:vAlign w:val="center"/>
          </w:tcPr>
          <w:p>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654" w:type="dxa"/>
            <w:vAlign w:val="center"/>
          </w:tcPr>
          <w:p>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2318" w:type="dxa"/>
            <w:vAlign w:val="center"/>
          </w:tcPr>
          <w:p>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w:t>
            </w:r>
          </w:p>
        </w:tc>
        <w:tc>
          <w:tcPr>
            <w:tcW w:w="3641"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架空线路飘挂物智能警示宣传装置</w:t>
            </w:r>
          </w:p>
        </w:tc>
        <w:tc>
          <w:tcPr>
            <w:tcW w:w="1077"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套</w:t>
            </w:r>
          </w:p>
        </w:tc>
        <w:tc>
          <w:tcPr>
            <w:tcW w:w="654"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w:t>
            </w:r>
          </w:p>
        </w:tc>
        <w:tc>
          <w:tcPr>
            <w:tcW w:w="2318"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硬件设备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2"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w:t>
            </w:r>
          </w:p>
        </w:tc>
        <w:tc>
          <w:tcPr>
            <w:tcW w:w="3641"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架空线路飘挂物智能警示宣传装置使用说明书</w:t>
            </w:r>
          </w:p>
        </w:tc>
        <w:tc>
          <w:tcPr>
            <w:tcW w:w="1077"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份</w:t>
            </w:r>
          </w:p>
        </w:tc>
        <w:tc>
          <w:tcPr>
            <w:tcW w:w="654"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w:t>
            </w:r>
          </w:p>
        </w:tc>
        <w:tc>
          <w:tcPr>
            <w:tcW w:w="2318" w:type="dxa"/>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使用说明</w:t>
            </w:r>
          </w:p>
        </w:tc>
      </w:tr>
    </w:tbl>
    <w:p>
      <w:pPr>
        <w:rPr>
          <w:rFonts w:asciiTheme="minorEastAsia" w:hAnsiTheme="minorEastAsia" w:eastAsiaTheme="minorEastAsia" w:cstheme="minorEastAsia"/>
          <w:bCs/>
          <w:color w:val="C00000"/>
          <w:sz w:val="24"/>
        </w:rPr>
      </w:pPr>
    </w:p>
    <w:p>
      <w:pPr>
        <w:spacing w:line="360" w:lineRule="auto"/>
        <w:rPr>
          <w:rFonts w:ascii="黑体" w:hAnsi="黑体" w:eastAsia="黑体" w:cs="黑体"/>
          <w:bCs/>
          <w:sz w:val="24"/>
        </w:rPr>
      </w:pPr>
    </w:p>
    <w:bookmarkEnd w:id="14"/>
    <w:p>
      <w:pPr>
        <w:spacing w:line="360" w:lineRule="auto"/>
        <w:rPr>
          <w:rFonts w:ascii="黑体" w:hAnsi="黑体" w:eastAsia="黑体" w:cs="黑体"/>
          <w:bCs/>
          <w:sz w:val="24"/>
        </w:rPr>
      </w:pPr>
    </w:p>
    <w:p>
      <w:pPr>
        <w:spacing w:line="360" w:lineRule="auto"/>
        <w:outlineLvl w:val="1"/>
        <w:rPr>
          <w:rFonts w:ascii="黑体" w:hAnsi="黑体" w:eastAsia="黑体" w:cs="黑体"/>
          <w:bCs/>
          <w:sz w:val="24"/>
        </w:rPr>
      </w:pPr>
      <w:bookmarkStart w:id="15" w:name="_Toc161773250"/>
      <w:r>
        <w:rPr>
          <w:rFonts w:ascii="黑体" w:hAnsi="黑体" w:eastAsia="黑体" w:cs="黑体"/>
          <w:bCs/>
          <w:sz w:val="24"/>
        </w:rPr>
        <w:t>4</w:t>
      </w:r>
      <w:r>
        <w:rPr>
          <w:rFonts w:hint="eastAsia" w:ascii="黑体" w:hAnsi="黑体" w:eastAsia="黑体" w:cs="黑体"/>
          <w:bCs/>
          <w:sz w:val="24"/>
        </w:rPr>
        <w:t>.</w:t>
      </w:r>
      <w:r>
        <w:rPr>
          <w:rFonts w:hint="eastAsia" w:ascii="黑体" w:hAnsi="黑体" w:eastAsia="黑体" w:cs="黑体"/>
          <w:bCs/>
          <w:sz w:val="24"/>
          <w:lang w:val="en-US" w:eastAsia="zh-CN"/>
        </w:rPr>
        <w:t>2</w:t>
      </w:r>
      <w:r>
        <w:rPr>
          <w:rFonts w:hint="eastAsia" w:ascii="黑体" w:hAnsi="黑体" w:eastAsia="黑体" w:cs="黑体"/>
          <w:bCs/>
          <w:sz w:val="24"/>
        </w:rPr>
        <w:t>成果验收</w:t>
      </w:r>
      <w:bookmarkEnd w:id="15"/>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服务甲方享有所制作装置及测试加工过程数据的所有权。未经甲方许可，乙方不得使用或向第三方透露测试加工过程的全部数据及所制作装置的本体和相关信息。乙方需于2024年9月30日前交付符合技术指标要求的测试数据及架空线路飘挂物智能警示宣传装置装置一套，并通过甲方验收。</w:t>
      </w:r>
    </w:p>
    <w:p>
      <w:pPr>
        <w:spacing w:line="360" w:lineRule="auto"/>
        <w:ind w:firstLine="480" w:firstLineChars="200"/>
        <w:rPr>
          <w:rFonts w:ascii="黑体" w:hAnsi="黑体" w:eastAsia="黑体" w:cs="黑体"/>
          <w:bCs/>
          <w:sz w:val="24"/>
        </w:rPr>
      </w:pPr>
    </w:p>
    <w:p>
      <w:pPr>
        <w:pStyle w:val="22"/>
        <w:spacing w:before="312"/>
        <w:outlineLvl w:val="0"/>
        <w:rPr>
          <w:rFonts w:ascii="黑体" w:hAnsi="黑体" w:eastAsia="黑体" w:cs="黑体"/>
          <w:sz w:val="28"/>
          <w:szCs w:val="28"/>
        </w:rPr>
      </w:pPr>
      <w:bookmarkStart w:id="16" w:name="_Toc161773251"/>
      <w:r>
        <w:rPr>
          <w:rFonts w:ascii="黑体" w:hAnsi="黑体" w:eastAsia="黑体" w:cs="黑体"/>
          <w:sz w:val="28"/>
          <w:szCs w:val="28"/>
        </w:rPr>
        <w:t>5</w:t>
      </w:r>
      <w:r>
        <w:rPr>
          <w:rFonts w:hint="eastAsia" w:ascii="黑体" w:hAnsi="黑体" w:eastAsia="黑体" w:cs="黑体"/>
          <w:sz w:val="28"/>
          <w:szCs w:val="28"/>
        </w:rPr>
        <w:t xml:space="preserve">  资格要求</w:t>
      </w:r>
      <w:bookmarkEnd w:id="16"/>
    </w:p>
    <w:tbl>
      <w:tblPr>
        <w:tblStyle w:val="13"/>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5"/>
                <w:rFonts w:hint="default"/>
                <w:lang w:bidi="ar"/>
              </w:rPr>
              <w:t>具有良好的商业信誉（银行资信证明或重合同守信用证书）和健全的财务会计制度，提供</w:t>
            </w:r>
            <w:r>
              <w:rPr>
                <w:rStyle w:val="26"/>
                <w:rFonts w:hint="default"/>
                <w:lang w:bidi="ar"/>
              </w:rPr>
              <w:t>（2022年-2023年）</w:t>
            </w:r>
            <w:r>
              <w:rPr>
                <w:rStyle w:val="25"/>
                <w:rFonts w:hint="default"/>
                <w:lang w:bidi="ar"/>
              </w:rPr>
              <w:t>工商和税务部门过审的公示报告（新成立公司按公司成立时间提供）。</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5"/>
                <w:rFonts w:hint="default"/>
                <w:lang w:bidi="ar"/>
              </w:rPr>
              <w:t>投标人不得存在以下情形：</w:t>
            </w:r>
            <w:r>
              <w:rPr>
                <w:rStyle w:val="25"/>
                <w:rFonts w:hint="default"/>
                <w:lang w:bidi="ar"/>
              </w:rPr>
              <w:br w:type="textWrapping"/>
            </w:r>
            <w:r>
              <w:rPr>
                <w:rStyle w:val="25"/>
                <w:rFonts w:hint="default"/>
                <w:lang w:bidi="ar"/>
              </w:rPr>
              <w:t>为招标人不具有独立法人资格的附属机构（单位）；</w:t>
            </w:r>
            <w:r>
              <w:rPr>
                <w:rStyle w:val="25"/>
                <w:rFonts w:hint="default"/>
                <w:lang w:bidi="ar"/>
              </w:rPr>
              <w:br w:type="textWrapping"/>
            </w:r>
            <w:r>
              <w:rPr>
                <w:rStyle w:val="25"/>
                <w:rFonts w:hint="default"/>
                <w:lang w:bidi="ar"/>
              </w:rPr>
              <w:t>为本标段提供招标代理服务的；</w:t>
            </w:r>
            <w:r>
              <w:rPr>
                <w:rStyle w:val="25"/>
                <w:rFonts w:hint="default"/>
                <w:lang w:bidi="ar"/>
              </w:rPr>
              <w:br w:type="textWrapping"/>
            </w:r>
            <w:r>
              <w:rPr>
                <w:rStyle w:val="25"/>
                <w:rFonts w:hint="default"/>
                <w:lang w:bidi="ar"/>
              </w:rPr>
              <w:t>与本标段招标代理机构同为一个法定代表人的；</w:t>
            </w:r>
            <w:r>
              <w:rPr>
                <w:rStyle w:val="25"/>
                <w:rFonts w:hint="default"/>
                <w:lang w:bidi="ar"/>
              </w:rPr>
              <w:br w:type="textWrapping"/>
            </w:r>
            <w:r>
              <w:rPr>
                <w:rStyle w:val="25"/>
                <w:rFonts w:hint="default"/>
                <w:lang w:bidi="ar"/>
              </w:rPr>
              <w:t>与本标段的招标代理机构相互控股或参股的；</w:t>
            </w:r>
            <w:r>
              <w:rPr>
                <w:rStyle w:val="25"/>
                <w:rFonts w:hint="default"/>
                <w:lang w:bidi="ar"/>
              </w:rPr>
              <w:br w:type="textWrapping"/>
            </w:r>
            <w:r>
              <w:rPr>
                <w:rStyle w:val="25"/>
                <w:rFonts w:hint="default"/>
                <w:lang w:bidi="ar"/>
              </w:rPr>
              <w:t>与本标段的招标代理机构有员工相互任职或工作的；</w:t>
            </w:r>
            <w:r>
              <w:rPr>
                <w:rStyle w:val="25"/>
                <w:rFonts w:hint="default"/>
                <w:lang w:bidi="ar"/>
              </w:rPr>
              <w:br w:type="textWrapping"/>
            </w:r>
            <w:r>
              <w:rPr>
                <w:rStyle w:val="25"/>
                <w:rFonts w:hint="default"/>
                <w:lang w:bidi="ar"/>
              </w:rPr>
              <w:t>被依法暂停或者取消投标资格；</w:t>
            </w:r>
            <w:r>
              <w:rPr>
                <w:rStyle w:val="25"/>
                <w:rFonts w:hint="default"/>
                <w:lang w:bidi="ar"/>
              </w:rPr>
              <w:br w:type="textWrapping"/>
            </w:r>
            <w:r>
              <w:rPr>
                <w:rStyle w:val="25"/>
                <w:rFonts w:hint="default"/>
                <w:lang w:bidi="ar"/>
              </w:rPr>
              <w:t>财产被接管或冻结的；</w:t>
            </w:r>
            <w:r>
              <w:rPr>
                <w:rStyle w:val="25"/>
                <w:rFonts w:hint="default"/>
                <w:lang w:bidi="ar"/>
              </w:rPr>
              <w:br w:type="textWrapping"/>
            </w:r>
            <w:r>
              <w:rPr>
                <w:rStyle w:val="25"/>
                <w:rFonts w:hint="default"/>
                <w:lang w:bidi="ar"/>
              </w:rPr>
              <w:t>在</w:t>
            </w:r>
            <w:r>
              <w:rPr>
                <w:rStyle w:val="26"/>
                <w:rFonts w:hint="default"/>
                <w:lang w:bidi="ar"/>
              </w:rPr>
              <w:t>报价截止日算起</w:t>
            </w:r>
            <w:r>
              <w:rPr>
                <w:rStyle w:val="27"/>
                <w:rFonts w:hint="default"/>
                <w:lang w:bidi="ar"/>
              </w:rPr>
              <w:t>，</w:t>
            </w:r>
            <w:r>
              <w:rPr>
                <w:rStyle w:val="25"/>
                <w:rFonts w:hint="default"/>
                <w:lang w:bidi="ar"/>
              </w:rPr>
              <w:t>三年内有骗取中标或严重违约等问题的；</w:t>
            </w:r>
            <w:r>
              <w:rPr>
                <w:rStyle w:val="25"/>
                <w:rFonts w:hint="default"/>
                <w:lang w:bidi="ar"/>
              </w:rPr>
              <w:br w:type="textWrapping"/>
            </w:r>
            <w:r>
              <w:rPr>
                <w:rStyle w:val="25"/>
                <w:rFonts w:hint="default"/>
                <w:lang w:bidi="ar"/>
              </w:rPr>
              <w:t>在服务所在地政府或中国南方电网有限责任公司处于限制报价期内的；</w:t>
            </w:r>
            <w:r>
              <w:rPr>
                <w:rStyle w:val="25"/>
                <w:rFonts w:hint="default"/>
                <w:lang w:bidi="ar"/>
              </w:rPr>
              <w:br w:type="textWrapping"/>
            </w:r>
            <w:r>
              <w:rPr>
                <w:rStyle w:val="25"/>
                <w:rFonts w:hint="default"/>
                <w:lang w:bidi="ar"/>
              </w:rPr>
              <w:t>被责令停产停业、暂扣或者吊销许可证、暂扣或者吊销执照；</w:t>
            </w:r>
            <w:r>
              <w:rPr>
                <w:rStyle w:val="25"/>
                <w:rFonts w:hint="default"/>
                <w:lang w:bidi="ar"/>
              </w:rPr>
              <w:br w:type="textWrapping"/>
            </w:r>
            <w:r>
              <w:rPr>
                <w:rStyle w:val="25"/>
                <w:rFonts w:hint="default"/>
                <w:lang w:bidi="ar"/>
              </w:rPr>
              <w:t>进入清算程序，或被宣告破产，或其他丧失履约能力的情形；</w:t>
            </w:r>
            <w:r>
              <w:rPr>
                <w:rStyle w:val="25"/>
                <w:rFonts w:hint="default"/>
                <w:lang w:bidi="ar"/>
              </w:rPr>
              <w:br w:type="textWrapping"/>
            </w:r>
            <w:r>
              <w:rPr>
                <w:rStyle w:val="25"/>
                <w:rFonts w:hint="default"/>
                <w:lang w:bidi="ar"/>
              </w:rPr>
              <w:t>被工商行政管理机关在全国企业信用信息公示系统中列入严重违法失信企业名单；</w:t>
            </w:r>
            <w:r>
              <w:rPr>
                <w:rStyle w:val="25"/>
                <w:rFonts w:hint="default"/>
                <w:lang w:bidi="ar"/>
              </w:rPr>
              <w:br w:type="textWrapping"/>
            </w:r>
            <w:r>
              <w:rPr>
                <w:rStyle w:val="25"/>
                <w:rFonts w:hint="default"/>
                <w:lang w:bidi="ar"/>
              </w:rPr>
              <w:t>被最高人民法院在“信用中国”网站（www.creditchina.gov.cn）或各级信用信息共享平台中列入失信被执行人名单；</w:t>
            </w:r>
            <w:r>
              <w:rPr>
                <w:rStyle w:val="25"/>
                <w:rFonts w:hint="default"/>
                <w:lang w:bidi="ar"/>
              </w:rPr>
              <w:br w:type="textWrapping"/>
            </w:r>
            <w:r>
              <w:rPr>
                <w:rStyle w:val="25"/>
                <w:rFonts w:hint="default"/>
                <w:lang w:bidi="ar"/>
              </w:rPr>
              <w:t>在</w:t>
            </w:r>
            <w:r>
              <w:rPr>
                <w:rStyle w:val="26"/>
                <w:rFonts w:hint="default"/>
                <w:lang w:bidi="ar"/>
              </w:rPr>
              <w:t>报价截止日算起</w:t>
            </w:r>
            <w:r>
              <w:rPr>
                <w:rStyle w:val="25"/>
                <w:rFonts w:hint="default"/>
                <w:lang w:bidi="ar"/>
              </w:rPr>
              <w:t>，三年内报价人或其法定代表人、拟委任的项目负责人有行贿犯罪行为的；</w:t>
            </w:r>
            <w:r>
              <w:rPr>
                <w:rStyle w:val="25"/>
                <w:rFonts w:hint="default"/>
                <w:lang w:bidi="ar"/>
              </w:rPr>
              <w:br w:type="textWrapping"/>
            </w:r>
            <w:r>
              <w:rPr>
                <w:rStyle w:val="25"/>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企业注册资金100</w:t>
            </w:r>
            <w:r>
              <w:rPr>
                <w:rFonts w:hint="eastAsia" w:ascii="微软雅黑" w:hAnsi="微软雅黑" w:eastAsia="微软雅黑" w:cs="微软雅黑"/>
                <w:color w:val="000000"/>
                <w:kern w:val="0"/>
                <w:sz w:val="20"/>
                <w:szCs w:val="20"/>
                <w:lang w:val="en-US" w:eastAsia="zh-CN" w:bidi="ar"/>
              </w:rPr>
              <w:t>0</w:t>
            </w:r>
            <w:bookmarkStart w:id="17" w:name="_GoBack"/>
            <w:bookmarkEnd w:id="17"/>
            <w:r>
              <w:rPr>
                <w:rFonts w:hint="eastAsia" w:ascii="微软雅黑" w:hAnsi="微软雅黑" w:eastAsia="微软雅黑" w:cs="微软雅黑"/>
                <w:color w:val="000000"/>
                <w:kern w:val="0"/>
                <w:sz w:val="20"/>
                <w:szCs w:val="20"/>
                <w:lang w:bidi="ar"/>
              </w:rPr>
              <w:t>万以上。</w:t>
            </w:r>
          </w:p>
        </w:tc>
      </w:tr>
    </w:tbl>
    <w:p>
      <w:pPr>
        <w:spacing w:line="360" w:lineRule="auto"/>
        <w:ind w:firstLine="480" w:firstLineChars="200"/>
        <w:rPr>
          <w:rFonts w:asciiTheme="minorEastAsia" w:hAnsiTheme="minorEastAsia" w:eastAsiaTheme="minorEastAsia" w:cstheme="minorEastAsia"/>
          <w:color w:val="000000"/>
          <w:sz w:val="24"/>
        </w:rPr>
      </w:pPr>
    </w:p>
    <w:p>
      <w:pPr>
        <w:spacing w:line="360" w:lineRule="auto"/>
        <w:ind w:firstLine="480" w:firstLineChars="200"/>
        <w:rPr>
          <w:rFonts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7"/>
      <w:lvlText w:val="%1."/>
      <w:lvlJc w:val="left"/>
      <w:pPr>
        <w:ind w:left="425" w:hanging="425"/>
      </w:pPr>
      <w:rPr>
        <w:rFonts w:hint="default"/>
      </w:rPr>
    </w:lvl>
  </w:abstractNum>
  <w:abstractNum w:abstractNumId="1">
    <w:nsid w:val="529022E0"/>
    <w:multiLevelType w:val="multilevel"/>
    <w:tmpl w:val="529022E0"/>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ZlOWNjYTAxNGVhZTExMzIwMGUwOGExODBhNDY5OGMifQ=="/>
  </w:docVars>
  <w:rsids>
    <w:rsidRoot w:val="56112EA9"/>
    <w:rsid w:val="0000270B"/>
    <w:rsid w:val="000030DC"/>
    <w:rsid w:val="000E59B4"/>
    <w:rsid w:val="00113C97"/>
    <w:rsid w:val="003B194A"/>
    <w:rsid w:val="003E4917"/>
    <w:rsid w:val="003F4FD5"/>
    <w:rsid w:val="004E55B6"/>
    <w:rsid w:val="0056000D"/>
    <w:rsid w:val="006710E6"/>
    <w:rsid w:val="00695983"/>
    <w:rsid w:val="00767C01"/>
    <w:rsid w:val="00785D60"/>
    <w:rsid w:val="007B7B4C"/>
    <w:rsid w:val="008463F3"/>
    <w:rsid w:val="00920102"/>
    <w:rsid w:val="00957E60"/>
    <w:rsid w:val="009667A6"/>
    <w:rsid w:val="00970625"/>
    <w:rsid w:val="009C4C60"/>
    <w:rsid w:val="009E4968"/>
    <w:rsid w:val="00A027C5"/>
    <w:rsid w:val="00A20B78"/>
    <w:rsid w:val="00A40845"/>
    <w:rsid w:val="00B82098"/>
    <w:rsid w:val="00B95641"/>
    <w:rsid w:val="00C43632"/>
    <w:rsid w:val="00CD59E9"/>
    <w:rsid w:val="00D11CB2"/>
    <w:rsid w:val="00D54978"/>
    <w:rsid w:val="00E60D88"/>
    <w:rsid w:val="00ED1BD8"/>
    <w:rsid w:val="00FD549D"/>
    <w:rsid w:val="027C11FC"/>
    <w:rsid w:val="0295401A"/>
    <w:rsid w:val="0303051E"/>
    <w:rsid w:val="034E11A4"/>
    <w:rsid w:val="040F7D57"/>
    <w:rsid w:val="047B7BC4"/>
    <w:rsid w:val="04BF0B83"/>
    <w:rsid w:val="04FE4EAD"/>
    <w:rsid w:val="05312146"/>
    <w:rsid w:val="05330E8B"/>
    <w:rsid w:val="056D4E14"/>
    <w:rsid w:val="05FD7391"/>
    <w:rsid w:val="07B83A18"/>
    <w:rsid w:val="07DC3C63"/>
    <w:rsid w:val="08115868"/>
    <w:rsid w:val="083D7F9F"/>
    <w:rsid w:val="0900633E"/>
    <w:rsid w:val="09F078C2"/>
    <w:rsid w:val="0A9773AF"/>
    <w:rsid w:val="0B321321"/>
    <w:rsid w:val="0B715FA9"/>
    <w:rsid w:val="0BD1033B"/>
    <w:rsid w:val="0BFD7548"/>
    <w:rsid w:val="0C8C1EEF"/>
    <w:rsid w:val="0D0C14ED"/>
    <w:rsid w:val="0D6039E5"/>
    <w:rsid w:val="0DDE0C6E"/>
    <w:rsid w:val="0E133669"/>
    <w:rsid w:val="0E7E5822"/>
    <w:rsid w:val="0F573D98"/>
    <w:rsid w:val="0FBF064C"/>
    <w:rsid w:val="10011F66"/>
    <w:rsid w:val="102C645B"/>
    <w:rsid w:val="10972384"/>
    <w:rsid w:val="110F2EEB"/>
    <w:rsid w:val="11402C86"/>
    <w:rsid w:val="11A26FBC"/>
    <w:rsid w:val="11AD6919"/>
    <w:rsid w:val="11AE55C4"/>
    <w:rsid w:val="133733ED"/>
    <w:rsid w:val="13566E57"/>
    <w:rsid w:val="14421D4B"/>
    <w:rsid w:val="147F0C66"/>
    <w:rsid w:val="14A83346"/>
    <w:rsid w:val="1558413F"/>
    <w:rsid w:val="155E4129"/>
    <w:rsid w:val="15B259A5"/>
    <w:rsid w:val="160351CB"/>
    <w:rsid w:val="16F77748"/>
    <w:rsid w:val="175C6F6A"/>
    <w:rsid w:val="17610576"/>
    <w:rsid w:val="19614B79"/>
    <w:rsid w:val="1A316175"/>
    <w:rsid w:val="1A6070F7"/>
    <w:rsid w:val="1A6C182B"/>
    <w:rsid w:val="1A830B36"/>
    <w:rsid w:val="1ADD4B0E"/>
    <w:rsid w:val="1B9238A2"/>
    <w:rsid w:val="1BF021DF"/>
    <w:rsid w:val="1BFA3C82"/>
    <w:rsid w:val="1C672B50"/>
    <w:rsid w:val="1CCE54EB"/>
    <w:rsid w:val="1D7B5A38"/>
    <w:rsid w:val="1DA01B05"/>
    <w:rsid w:val="1DFC3E5E"/>
    <w:rsid w:val="1E502385"/>
    <w:rsid w:val="1EA43205"/>
    <w:rsid w:val="1FBD1E67"/>
    <w:rsid w:val="1FD46916"/>
    <w:rsid w:val="20D855DF"/>
    <w:rsid w:val="22015C0D"/>
    <w:rsid w:val="234277A0"/>
    <w:rsid w:val="234B187D"/>
    <w:rsid w:val="23817433"/>
    <w:rsid w:val="23FC7BFC"/>
    <w:rsid w:val="24C94BCA"/>
    <w:rsid w:val="24EA7C79"/>
    <w:rsid w:val="250F564D"/>
    <w:rsid w:val="252B1EB7"/>
    <w:rsid w:val="256870E0"/>
    <w:rsid w:val="25E42BF8"/>
    <w:rsid w:val="265249D6"/>
    <w:rsid w:val="275D5D26"/>
    <w:rsid w:val="275F7D29"/>
    <w:rsid w:val="283104DE"/>
    <w:rsid w:val="28403FE5"/>
    <w:rsid w:val="285D2B42"/>
    <w:rsid w:val="28BE48E2"/>
    <w:rsid w:val="29695A4F"/>
    <w:rsid w:val="2A441357"/>
    <w:rsid w:val="2AFA0631"/>
    <w:rsid w:val="2B6721B0"/>
    <w:rsid w:val="2C191EA0"/>
    <w:rsid w:val="2C6E0BE4"/>
    <w:rsid w:val="2CA3124A"/>
    <w:rsid w:val="2CD035C7"/>
    <w:rsid w:val="2CE51BB8"/>
    <w:rsid w:val="2D8B5047"/>
    <w:rsid w:val="2D8F39A1"/>
    <w:rsid w:val="2DAC4578"/>
    <w:rsid w:val="2DB36870"/>
    <w:rsid w:val="2DEA6350"/>
    <w:rsid w:val="2E260032"/>
    <w:rsid w:val="2E380045"/>
    <w:rsid w:val="2EFA1D2E"/>
    <w:rsid w:val="2F2E6BFF"/>
    <w:rsid w:val="2F6C0115"/>
    <w:rsid w:val="2FC241F2"/>
    <w:rsid w:val="2FEF2882"/>
    <w:rsid w:val="30045C2F"/>
    <w:rsid w:val="30DF2B6C"/>
    <w:rsid w:val="313E1E7A"/>
    <w:rsid w:val="327515D8"/>
    <w:rsid w:val="330E4E8B"/>
    <w:rsid w:val="33161353"/>
    <w:rsid w:val="334E3954"/>
    <w:rsid w:val="335E270E"/>
    <w:rsid w:val="33725843"/>
    <w:rsid w:val="3379305D"/>
    <w:rsid w:val="34255CC8"/>
    <w:rsid w:val="352360E7"/>
    <w:rsid w:val="358A1AD4"/>
    <w:rsid w:val="358B06A1"/>
    <w:rsid w:val="35E41FA9"/>
    <w:rsid w:val="360B40D3"/>
    <w:rsid w:val="362B422D"/>
    <w:rsid w:val="3661221B"/>
    <w:rsid w:val="379963C7"/>
    <w:rsid w:val="37A433E0"/>
    <w:rsid w:val="37AE0477"/>
    <w:rsid w:val="38004B22"/>
    <w:rsid w:val="39140E3A"/>
    <w:rsid w:val="3969753C"/>
    <w:rsid w:val="398C2739"/>
    <w:rsid w:val="39E974DB"/>
    <w:rsid w:val="3C3045D4"/>
    <w:rsid w:val="3C4C5078"/>
    <w:rsid w:val="3DC862F7"/>
    <w:rsid w:val="3DDE3626"/>
    <w:rsid w:val="401C5798"/>
    <w:rsid w:val="40794199"/>
    <w:rsid w:val="408A19B3"/>
    <w:rsid w:val="40CF0453"/>
    <w:rsid w:val="40F0643B"/>
    <w:rsid w:val="41414714"/>
    <w:rsid w:val="419C13AE"/>
    <w:rsid w:val="41A73FEA"/>
    <w:rsid w:val="41B40E40"/>
    <w:rsid w:val="42DF02D2"/>
    <w:rsid w:val="44A264DC"/>
    <w:rsid w:val="44C917FC"/>
    <w:rsid w:val="45AD67D6"/>
    <w:rsid w:val="45CF1EF0"/>
    <w:rsid w:val="45E20A8C"/>
    <w:rsid w:val="47097B32"/>
    <w:rsid w:val="47382C50"/>
    <w:rsid w:val="473A0E5B"/>
    <w:rsid w:val="476617B8"/>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50E83C80"/>
    <w:rsid w:val="50E84976"/>
    <w:rsid w:val="514B0964"/>
    <w:rsid w:val="52400ADE"/>
    <w:rsid w:val="52AB3BAD"/>
    <w:rsid w:val="52D27864"/>
    <w:rsid w:val="536B3F5C"/>
    <w:rsid w:val="53CD308F"/>
    <w:rsid w:val="54C17E31"/>
    <w:rsid w:val="54E75E4E"/>
    <w:rsid w:val="54EC5F00"/>
    <w:rsid w:val="55504A63"/>
    <w:rsid w:val="55B93930"/>
    <w:rsid w:val="55BB08CE"/>
    <w:rsid w:val="56112EA9"/>
    <w:rsid w:val="56634F6B"/>
    <w:rsid w:val="56794219"/>
    <w:rsid w:val="56FE5647"/>
    <w:rsid w:val="572004CE"/>
    <w:rsid w:val="576E3E36"/>
    <w:rsid w:val="57BC5768"/>
    <w:rsid w:val="57D62605"/>
    <w:rsid w:val="59796259"/>
    <w:rsid w:val="59BD7DED"/>
    <w:rsid w:val="5A876BB5"/>
    <w:rsid w:val="5AA75543"/>
    <w:rsid w:val="5ABE0936"/>
    <w:rsid w:val="5AE252E1"/>
    <w:rsid w:val="5CBC1717"/>
    <w:rsid w:val="5D196F37"/>
    <w:rsid w:val="5D560B25"/>
    <w:rsid w:val="5E0B23A4"/>
    <w:rsid w:val="5E311346"/>
    <w:rsid w:val="5E7F2B1D"/>
    <w:rsid w:val="5E9479C8"/>
    <w:rsid w:val="5EFF55AD"/>
    <w:rsid w:val="5F883494"/>
    <w:rsid w:val="5FFA163D"/>
    <w:rsid w:val="60446F8A"/>
    <w:rsid w:val="60A8111F"/>
    <w:rsid w:val="60B802FB"/>
    <w:rsid w:val="61633BDA"/>
    <w:rsid w:val="61B23647"/>
    <w:rsid w:val="61E33B45"/>
    <w:rsid w:val="63FE5340"/>
    <w:rsid w:val="64132F2C"/>
    <w:rsid w:val="64F92069"/>
    <w:rsid w:val="650664D0"/>
    <w:rsid w:val="652A6814"/>
    <w:rsid w:val="652B6C46"/>
    <w:rsid w:val="65355760"/>
    <w:rsid w:val="65B750B7"/>
    <w:rsid w:val="665F7107"/>
    <w:rsid w:val="673113AB"/>
    <w:rsid w:val="67593ED7"/>
    <w:rsid w:val="678C7059"/>
    <w:rsid w:val="68AC152E"/>
    <w:rsid w:val="695323C7"/>
    <w:rsid w:val="69EA7D86"/>
    <w:rsid w:val="6A617C95"/>
    <w:rsid w:val="6B023115"/>
    <w:rsid w:val="6BD81C98"/>
    <w:rsid w:val="6D401C96"/>
    <w:rsid w:val="6E06100F"/>
    <w:rsid w:val="6E5B1FD7"/>
    <w:rsid w:val="6FA846E1"/>
    <w:rsid w:val="708F1B04"/>
    <w:rsid w:val="70E237AF"/>
    <w:rsid w:val="710C1A65"/>
    <w:rsid w:val="71D71580"/>
    <w:rsid w:val="71FF19B7"/>
    <w:rsid w:val="7242438A"/>
    <w:rsid w:val="72993C87"/>
    <w:rsid w:val="731458B8"/>
    <w:rsid w:val="73FA6E86"/>
    <w:rsid w:val="74572EAA"/>
    <w:rsid w:val="74E106B7"/>
    <w:rsid w:val="75700D85"/>
    <w:rsid w:val="75715F41"/>
    <w:rsid w:val="76497732"/>
    <w:rsid w:val="76890F73"/>
    <w:rsid w:val="770F4753"/>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2A628E"/>
    <w:rsid w:val="7E352FE9"/>
    <w:rsid w:val="7E576650"/>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5">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39"/>
  </w:style>
  <w:style w:type="paragraph" w:styleId="12">
    <w:name w:val="toc 2"/>
    <w:basedOn w:val="1"/>
    <w:next w:val="1"/>
    <w:qFormat/>
    <w:uiPriority w:val="39"/>
    <w:pPr>
      <w:tabs>
        <w:tab w:val="right" w:leader="dot" w:pos="8302"/>
      </w:tabs>
      <w:snapToGrid w:val="0"/>
      <w:spacing w:line="360" w:lineRule="auto"/>
      <w:ind w:left="525" w:hanging="4"/>
    </w:pPr>
    <w:rPr>
      <w:sz w:val="24"/>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99"/>
  </w:style>
  <w:style w:type="paragraph" w:customStyle="1" w:styleId="17">
    <w:name w:val="标题1"/>
    <w:basedOn w:val="3"/>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 w:type="paragraph" w:customStyle="1" w:styleId="24">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
    <w:name w:val="font21"/>
    <w:basedOn w:val="15"/>
    <w:qFormat/>
    <w:uiPriority w:val="0"/>
    <w:rPr>
      <w:rFonts w:hint="eastAsia" w:ascii="微软雅黑" w:hAnsi="微软雅黑" w:eastAsia="微软雅黑" w:cs="微软雅黑"/>
      <w:color w:val="000000"/>
      <w:sz w:val="20"/>
      <w:szCs w:val="20"/>
      <w:u w:val="none"/>
    </w:rPr>
  </w:style>
  <w:style w:type="character" w:customStyle="1" w:styleId="26">
    <w:name w:val="font31"/>
    <w:basedOn w:val="15"/>
    <w:qFormat/>
    <w:uiPriority w:val="0"/>
    <w:rPr>
      <w:rFonts w:hint="eastAsia" w:ascii="微软雅黑" w:hAnsi="微软雅黑" w:eastAsia="微软雅黑" w:cs="微软雅黑"/>
      <w:b/>
      <w:bCs/>
      <w:color w:val="FF0000"/>
      <w:sz w:val="20"/>
      <w:szCs w:val="20"/>
      <w:u w:val="none"/>
    </w:rPr>
  </w:style>
  <w:style w:type="character" w:customStyle="1" w:styleId="27">
    <w:name w:val="font41"/>
    <w:basedOn w:val="15"/>
    <w:uiPriority w:val="0"/>
    <w:rPr>
      <w:rFonts w:hint="eastAsia" w:ascii="微软雅黑" w:hAnsi="微软雅黑" w:eastAsia="微软雅黑" w:cs="微软雅黑"/>
      <w:b/>
      <w:bCs/>
      <w:color w:val="000000"/>
      <w:sz w:val="20"/>
      <w:szCs w:val="20"/>
      <w:u w:val="none"/>
    </w:rPr>
  </w:style>
  <w:style w:type="paragraph" w:styleId="2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package" Target="embeddings/Microsoft_Visio___1.vsdx"/><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528</Words>
  <Characters>3014</Characters>
  <Lines>25</Lines>
  <Paragraphs>7</Paragraphs>
  <TotalTime>1</TotalTime>
  <ScaleCrop>false</ScaleCrop>
  <LinksUpToDate>false</LinksUpToDate>
  <CharactersWithSpaces>3535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2024-03-20T05:04:00Z</dcterms:created>
  <dc:creator>shenpeiyi</dc:creator>
  <cp:lastModifiedBy>刘子瑜</cp:lastModifiedBy>
  <dcterms:modified xsi:type="dcterms:W3CDTF">2024-03-27T13:10:00Z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6C81341FED594EE6B4B672D40BAAFE52</vt:lpwstr>
  </property>
</Properties>
</file>