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sz w:val="28"/>
        </w:rPr>
        <mc:AlternateContent>
          <mc:Choice Requires="wps">
            <w:drawing>
              <wp:anchor distT="0" distB="0" distL="114300" distR="114300" simplePos="0" relativeHeight="251663360" behindDoc="0" locked="0" layoutInCell="1" allowOverlap="1">
                <wp:simplePos x="0" y="0"/>
                <wp:positionH relativeFrom="column">
                  <wp:posOffset>737870</wp:posOffset>
                </wp:positionH>
                <wp:positionV relativeFrom="paragraph">
                  <wp:posOffset>6788785</wp:posOffset>
                </wp:positionV>
                <wp:extent cx="3735705" cy="1037590"/>
                <wp:effectExtent l="0" t="0" r="17145" b="10160"/>
                <wp:wrapNone/>
                <wp:docPr id="5" name="文本框 5"/>
                <wp:cNvGraphicFramePr/>
                <a:graphic xmlns:a="http://schemas.openxmlformats.org/drawingml/2006/main">
                  <a:graphicData uri="http://schemas.microsoft.com/office/word/2010/wordprocessingShape">
                    <wps:wsp>
                      <wps:cNvSpPr txBox="1"/>
                      <wps:spPr>
                        <a:xfrm>
                          <a:off x="0" y="0"/>
                          <a:ext cx="3735705" cy="1037590"/>
                        </a:xfrm>
                        <a:prstGeom prst="rect">
                          <a:avLst/>
                        </a:prstGeom>
                        <a:solidFill>
                          <a:srgbClr val="FFFFFF"/>
                        </a:solidFill>
                        <a:ln>
                          <a:noFill/>
                        </a:ln>
                      </wps:spPr>
                      <wps:txbx>
                        <w:txbxContent>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贵州电网有限责任公司</w:t>
                            </w:r>
                          </w:p>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2024年3月</w:t>
                            </w:r>
                          </w:p>
                        </w:txbxContent>
                      </wps:txbx>
                      <wps:bodyPr upright="1"/>
                    </wps:wsp>
                  </a:graphicData>
                </a:graphic>
              </wp:anchor>
            </w:drawing>
          </mc:Choice>
          <mc:Fallback>
            <w:pict>
              <v:shape id="_x0000_s1026" o:spid="_x0000_s1026" o:spt="202" type="#_x0000_t202" style="position:absolute;left:0pt;margin-left:58.1pt;margin-top:534.55pt;height:81.7pt;width:294.15pt;z-index:251663360;mso-width-relative:page;mso-height-relative:page;" fillcolor="#FFFFFF" filled="t" stroked="f" coordsize="21600,21600" o:gfxdata="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vpvzX2QAAAA0BAAAPAAAAAAAAAAEAIAAAACIAAABkcnMvZG93bnJl&#10;di54bWxQSwECFAAUAAAACACHTuJAycaOYcMBAAB4AwAADgAAAAAAAAABACAAAAAoAQAAZHJzL2Uy&#10;b0RvYy54bWxQSwUGAAAAAAYABgBZAQAAXQUAAAAA&#10;">
                <v:fill on="t" focussize="0,0"/>
                <v:stroke on="f"/>
                <v:imagedata o:title=""/>
                <o:lock v:ext="edit" aspectratio="f"/>
                <v:textbox>
                  <w:txbxContent>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贵州电网有限责任公司</w:t>
                      </w:r>
                    </w:p>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2024年3月</w:t>
                      </w:r>
                    </w:p>
                  </w:txbxContent>
                </v:textbox>
              </v:shape>
            </w:pict>
          </mc:Fallback>
        </mc:AlternateContent>
      </w:r>
      <w:r>
        <w:rPr>
          <w:sz w:val="28"/>
        </w:rPr>
        <mc:AlternateContent>
          <mc:Choice Requires="wps">
            <w:drawing>
              <wp:anchor distT="0" distB="0" distL="114300" distR="114300" simplePos="0" relativeHeight="251662336" behindDoc="0" locked="0" layoutInCell="1" allowOverlap="1">
                <wp:simplePos x="0" y="0"/>
                <wp:positionH relativeFrom="column">
                  <wp:posOffset>795020</wp:posOffset>
                </wp:positionH>
                <wp:positionV relativeFrom="paragraph">
                  <wp:posOffset>5269865</wp:posOffset>
                </wp:positionV>
                <wp:extent cx="3735705" cy="501650"/>
                <wp:effectExtent l="0" t="0" r="17145" b="12700"/>
                <wp:wrapNone/>
                <wp:docPr id="6" name="文本框 6"/>
                <wp:cNvGraphicFramePr/>
                <a:graphic xmlns:a="http://schemas.openxmlformats.org/drawingml/2006/main">
                  <a:graphicData uri="http://schemas.microsoft.com/office/word/2010/wordprocessingShape">
                    <wps:wsp>
                      <wps:cNvSpPr txBox="1"/>
                      <wps:spPr>
                        <a:xfrm>
                          <a:off x="0" y="0"/>
                          <a:ext cx="3735705" cy="501650"/>
                        </a:xfrm>
                        <a:prstGeom prst="rect">
                          <a:avLst/>
                        </a:prstGeom>
                        <a:solidFill>
                          <a:srgbClr val="FFFFFF"/>
                        </a:solidFill>
                        <a:ln>
                          <a:noFill/>
                        </a:ln>
                      </wps:spPr>
                      <wps:txbx>
                        <w:txbxContent>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（技术文件）</w:t>
                            </w:r>
                          </w:p>
                        </w:txbxContent>
                      </wps:txbx>
                      <wps:bodyPr upright="1"/>
                    </wps:wsp>
                  </a:graphicData>
                </a:graphic>
              </wp:anchor>
            </w:drawing>
          </mc:Choice>
          <mc:Fallback>
            <w:pict>
              <v:shape id="_x0000_s1026" o:spid="_x0000_s1026" o:spt="202" type="#_x0000_t202" style="position:absolute;left:0pt;margin-left:62.6pt;margin-top:414.95pt;height:39.5pt;width:294.15pt;z-index:251662336;mso-width-relative:page;mso-height-relative:page;" fillcolor="#FFFFFF" filled="t" stroked="f" coordsize="21600,21600" o:gfxdata="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L4T/12QAAAAsBAAAPAAAAAAAAAAEAIAAAACIAAABkcnMvZG93bnJl&#10;di54bWxQSwECFAAUAAAACACHTuJAVSuW68MBAAB3AwAADgAAAAAAAAABACAAAAAoAQAAZHJzL2Uy&#10;b0RvYy54bWxQSwUGAAAAAAYABgBZAQAAXQUAAAAA&#10;">
                <v:fill on="t" focussize="0,0"/>
                <v:stroke on="f"/>
                <v:imagedata o:title=""/>
                <o:lock v:ext="edit" aspectratio="f"/>
                <v:textbox>
                  <w:txbxContent>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（技术文件）</w:t>
                      </w:r>
                    </w:p>
                  </w:txbxContent>
                </v:textbox>
              </v:shape>
            </w:pict>
          </mc:Fallback>
        </mc:AlternateContent>
      </w:r>
      <w:r>
        <w:rPr>
          <w:sz w:val="28"/>
          <w:szCs w:val="28"/>
        </w:rPr>
        <w:drawing>
          <wp:anchor distT="0" distB="0" distL="114300" distR="114300" simplePos="0" relativeHeight="251659264" behindDoc="0" locked="0" layoutInCell="1" allowOverlap="1">
            <wp:simplePos x="0" y="0"/>
            <wp:positionH relativeFrom="page">
              <wp:posOffset>-175895</wp:posOffset>
            </wp:positionH>
            <wp:positionV relativeFrom="page">
              <wp:posOffset>-81280</wp:posOffset>
            </wp:positionV>
            <wp:extent cx="8016875" cy="6061075"/>
            <wp:effectExtent l="0" t="0" r="3175" b="15875"/>
            <wp:wrapNone/>
            <wp:docPr id="2" name="图片 3" descr="说明: 说明: 说明: 说明: 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说明: 说明: 说明: 说明: D02-L [Converted]"/>
                    <pic:cNvPicPr>
                      <a:picLocks noChangeAspect="1"/>
                    </pic:cNvPicPr>
                  </pic:nvPicPr>
                  <pic:blipFill>
                    <a:blip r:embed="rId5"/>
                    <a:stretch>
                      <a:fillRect/>
                    </a:stretch>
                  </pic:blipFill>
                  <pic:spPr>
                    <a:xfrm>
                      <a:off x="0" y="0"/>
                      <a:ext cx="8016875" cy="6061075"/>
                    </a:xfrm>
                    <a:prstGeom prst="rect">
                      <a:avLst/>
                    </a:prstGeom>
                    <a:noFill/>
                    <a:ln>
                      <a:noFill/>
                    </a:ln>
                  </pic:spPr>
                </pic:pic>
              </a:graphicData>
            </a:graphic>
          </wp:anchor>
        </w:drawing>
      </w:r>
    </w:p>
    <w:p/>
    <w:p/>
    <w:p/>
    <w:p/>
    <w:p/>
    <w:p/>
    <w:p/>
    <w:p/>
    <w:p/>
    <w:p/>
    <w:p/>
    <w:p/>
    <w:p/>
    <w:p/>
    <w:p/>
    <w:p/>
    <w:p/>
    <w:p/>
    <w:p/>
    <w:p/>
    <w:p/>
    <w:p/>
    <w:p/>
    <w:p/>
    <w:p/>
    <w:p/>
    <w:p/>
    <w:p/>
    <w:p/>
    <w:p/>
    <w:p/>
    <w:p/>
    <w:p>
      <w:r>
        <w:rPr>
          <w:sz w:val="28"/>
          <w:szCs w:val="28"/>
        </w:rPr>
        <mc:AlternateContent>
          <mc:Choice Requires="wps">
            <w:drawing>
              <wp:anchor distT="0" distB="0" distL="114300" distR="114300" simplePos="0" relativeHeight="251661312" behindDoc="0" locked="0" layoutInCell="1" allowOverlap="1">
                <wp:simplePos x="0" y="0"/>
                <wp:positionH relativeFrom="column">
                  <wp:posOffset>490220</wp:posOffset>
                </wp:positionH>
                <wp:positionV relativeFrom="paragraph">
                  <wp:posOffset>-3140075</wp:posOffset>
                </wp:positionV>
                <wp:extent cx="5068570" cy="494665"/>
                <wp:effectExtent l="0" t="0" r="17780" b="635"/>
                <wp:wrapNone/>
                <wp:docPr id="4" name="文本框 4"/>
                <wp:cNvGraphicFramePr/>
                <a:graphic xmlns:a="http://schemas.openxmlformats.org/drawingml/2006/main">
                  <a:graphicData uri="http://schemas.microsoft.com/office/word/2010/wordprocessingShape">
                    <wps:wsp>
                      <wps:cNvSpPr txBox="1"/>
                      <wps:spPr>
                        <a:xfrm>
                          <a:off x="0" y="0"/>
                          <a:ext cx="5068570" cy="494665"/>
                        </a:xfrm>
                        <a:prstGeom prst="rect">
                          <a:avLst/>
                        </a:prstGeom>
                        <a:solidFill>
                          <a:srgbClr val="FFFFFF"/>
                        </a:solidFill>
                        <a:ln>
                          <a:noFill/>
                        </a:ln>
                      </wps:spPr>
                      <wps:txbx>
                        <w:txbxContent>
                          <w:p>
                            <w:pPr>
                              <w:pStyle w:val="4"/>
                              <w:spacing w:before="85" w:line="235" w:lineRule="auto"/>
                              <w:ind w:left="2045" w:right="306" w:hanging="1870"/>
                              <w:jc w:val="right"/>
                              <w:outlineLvl w:val="0"/>
                              <w:rPr>
                                <w:rFonts w:hint="eastAsia" w:ascii="黑体" w:eastAsia="宋体"/>
                                <w:b w:val="0"/>
                                <w:bCs w:val="0"/>
                                <w:sz w:val="44"/>
                                <w:szCs w:val="44"/>
                                <w:lang w:eastAsia="zh-CN"/>
                              </w:rPr>
                            </w:pPr>
                            <w:r>
                              <w:rPr>
                                <w:rFonts w:hint="eastAsia" w:ascii="宋体" w:hAnsi="宋体" w:eastAsia="宋体" w:cs="宋体"/>
                                <w:b/>
                                <w:bCs/>
                                <w:snapToGrid w:val="0"/>
                                <w:color w:val="000000"/>
                                <w:spacing w:val="9"/>
                                <w:kern w:val="0"/>
                                <w:sz w:val="44"/>
                                <w:szCs w:val="44"/>
                                <w:lang w:val="en-US" w:eastAsia="en-US" w:bidi="ar-SA"/>
                              </w:rPr>
                              <w:t>策划及落地执行</w:t>
                            </w:r>
                            <w:r>
                              <w:rPr>
                                <w:rFonts w:hint="eastAsia" w:ascii="宋体" w:hAnsi="宋体" w:eastAsia="宋体" w:cs="宋体"/>
                                <w:b/>
                                <w:bCs/>
                                <w:spacing w:val="9"/>
                                <w:sz w:val="44"/>
                                <w:szCs w:val="44"/>
                              </w:rPr>
                              <w:t>项目</w:t>
                            </w:r>
                          </w:p>
                        </w:txbxContent>
                      </wps:txbx>
                      <wps:bodyPr upright="1"/>
                    </wps:wsp>
                  </a:graphicData>
                </a:graphic>
              </wp:anchor>
            </w:drawing>
          </mc:Choice>
          <mc:Fallback>
            <w:pict>
              <v:shape id="_x0000_s1026" o:spid="_x0000_s1026" o:spt="202" type="#_x0000_t202" style="position:absolute;left:0pt;margin-left:38.6pt;margin-top:-247.25pt;height:38.95pt;width:399.1pt;z-index:251661312;mso-width-relative:page;mso-height-relative:page;" fillcolor="#FFFFFF" filled="t" stroked="f" coordsize="21600,21600" o:gfxdata="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vP94O2QAAAAwBAAAPAAAAAAAAAAEAIAAAACIAAABkcnMvZG93bnJldi54&#10;bWxQSwECFAAUAAAACACHTuJASG1AxsABAAB3AwAADgAAAAAAAAABACAAAAAoAQAAZHJzL2Uyb0Rv&#10;Yy54bWxQSwUGAAAAAAYABgBZAQAAWgUAAAAA&#10;">
                <v:fill on="t" focussize="0,0"/>
                <v:stroke on="f"/>
                <v:imagedata o:title=""/>
                <o:lock v:ext="edit" aspectratio="f"/>
                <v:textbox>
                  <w:txbxContent>
                    <w:p>
                      <w:pPr>
                        <w:pStyle w:val="4"/>
                        <w:spacing w:before="85" w:line="235" w:lineRule="auto"/>
                        <w:ind w:left="2045" w:right="306" w:hanging="1870"/>
                        <w:jc w:val="right"/>
                        <w:outlineLvl w:val="0"/>
                        <w:rPr>
                          <w:rFonts w:hint="eastAsia" w:ascii="黑体" w:eastAsia="宋体"/>
                          <w:b w:val="0"/>
                          <w:bCs w:val="0"/>
                          <w:sz w:val="44"/>
                          <w:szCs w:val="44"/>
                          <w:lang w:eastAsia="zh-CN"/>
                        </w:rPr>
                      </w:pPr>
                      <w:r>
                        <w:rPr>
                          <w:rFonts w:hint="eastAsia" w:ascii="宋体" w:hAnsi="宋体" w:eastAsia="宋体" w:cs="宋体"/>
                          <w:b/>
                          <w:bCs/>
                          <w:snapToGrid w:val="0"/>
                          <w:color w:val="000000"/>
                          <w:spacing w:val="9"/>
                          <w:kern w:val="0"/>
                          <w:sz w:val="44"/>
                          <w:szCs w:val="44"/>
                          <w:lang w:val="en-US" w:eastAsia="en-US" w:bidi="ar-SA"/>
                        </w:rPr>
                        <w:t>策划及落地执行</w:t>
                      </w:r>
                      <w:r>
                        <w:rPr>
                          <w:rFonts w:hint="eastAsia" w:ascii="宋体" w:hAnsi="宋体" w:eastAsia="宋体" w:cs="宋体"/>
                          <w:b/>
                          <w:bCs/>
                          <w:spacing w:val="9"/>
                          <w:sz w:val="44"/>
                          <w:szCs w:val="44"/>
                        </w:rPr>
                        <w:t>项目</w:t>
                      </w:r>
                    </w:p>
                  </w:txbxContent>
                </v:textbox>
              </v:shape>
            </w:pict>
          </mc:Fallback>
        </mc:AlternateContent>
      </w:r>
      <w:r>
        <w:rPr>
          <w:sz w:val="28"/>
          <w:szCs w:val="28"/>
        </w:rPr>
        <mc:AlternateContent>
          <mc:Choice Requires="wps">
            <w:drawing>
              <wp:anchor distT="0" distB="0" distL="114300" distR="114300" simplePos="0" relativeHeight="251660288" behindDoc="0" locked="0" layoutInCell="1" allowOverlap="1">
                <wp:simplePos x="0" y="0"/>
                <wp:positionH relativeFrom="column">
                  <wp:posOffset>-1072515</wp:posOffset>
                </wp:positionH>
                <wp:positionV relativeFrom="paragraph">
                  <wp:posOffset>-4025900</wp:posOffset>
                </wp:positionV>
                <wp:extent cx="7329170" cy="494665"/>
                <wp:effectExtent l="0" t="0" r="5080" b="635"/>
                <wp:wrapNone/>
                <wp:docPr id="3" name="文本框 3"/>
                <wp:cNvGraphicFramePr/>
                <a:graphic xmlns:a="http://schemas.openxmlformats.org/drawingml/2006/main">
                  <a:graphicData uri="http://schemas.microsoft.com/office/word/2010/wordprocessingShape">
                    <wps:wsp>
                      <wps:cNvSpPr txBox="1"/>
                      <wps:spPr>
                        <a:xfrm>
                          <a:off x="0" y="0"/>
                          <a:ext cx="7329170" cy="494665"/>
                        </a:xfrm>
                        <a:prstGeom prst="rect">
                          <a:avLst/>
                        </a:prstGeom>
                        <a:solidFill>
                          <a:srgbClr val="FFFFFF"/>
                        </a:solidFill>
                        <a:ln>
                          <a:noFill/>
                        </a:ln>
                      </wps:spPr>
                      <wps:txbx>
                        <w:txbxContent>
                          <w:p>
                            <w:pPr>
                              <w:pStyle w:val="4"/>
                              <w:spacing w:before="85" w:line="235" w:lineRule="auto"/>
                              <w:ind w:left="2045" w:right="306" w:hanging="1870"/>
                              <w:jc w:val="center"/>
                              <w:outlineLvl w:val="0"/>
                              <w:rPr>
                                <w:rFonts w:hint="eastAsia" w:ascii="黑体" w:eastAsia="宋体"/>
                                <w:b w:val="0"/>
                                <w:bCs w:val="0"/>
                                <w:sz w:val="44"/>
                                <w:szCs w:val="44"/>
                                <w:lang w:eastAsia="zh-CN"/>
                              </w:rPr>
                            </w:pPr>
                            <w:r>
                              <w:rPr>
                                <w:rFonts w:hint="eastAsia" w:ascii="宋体" w:hAnsi="宋体" w:eastAsia="宋体" w:cs="宋体"/>
                                <w:b/>
                                <w:bCs/>
                                <w:snapToGrid w:val="0"/>
                                <w:color w:val="000000"/>
                                <w:spacing w:val="9"/>
                                <w:kern w:val="0"/>
                                <w:sz w:val="44"/>
                                <w:szCs w:val="44"/>
                                <w:lang w:val="en-US" w:eastAsia="en-US" w:bidi="ar-SA"/>
                              </w:rPr>
                              <w:t>2024年4·15全民国家安全教育日核安宣传教育活</w:t>
                            </w:r>
                            <w:r>
                              <w:rPr>
                                <w:rFonts w:hint="eastAsia" w:ascii="宋体" w:hAnsi="宋体" w:eastAsia="宋体" w:cs="宋体"/>
                                <w:b/>
                                <w:bCs/>
                                <w:snapToGrid w:val="0"/>
                                <w:color w:val="000000"/>
                                <w:spacing w:val="9"/>
                                <w:kern w:val="0"/>
                                <w:sz w:val="44"/>
                                <w:szCs w:val="44"/>
                                <w:lang w:val="en-US" w:eastAsia="zh-CN" w:bidi="ar-SA"/>
                              </w:rPr>
                              <w:t>动动</w:t>
                            </w:r>
                          </w:p>
                        </w:txbxContent>
                      </wps:txbx>
                      <wps:bodyPr upright="1"/>
                    </wps:wsp>
                  </a:graphicData>
                </a:graphic>
              </wp:anchor>
            </w:drawing>
          </mc:Choice>
          <mc:Fallback>
            <w:pict>
              <v:shape id="_x0000_s1026" o:spid="_x0000_s1026" o:spt="202" type="#_x0000_t202" style="position:absolute;left:0pt;margin-left:-84.45pt;margin-top:-317pt;height:38.95pt;width:577.1pt;z-index:251660288;mso-width-relative:page;mso-height-relative:page;" fillcolor="#FFFFFF" filled="t" stroked="f" coordsize="21600,21600" o:gfxdata="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Erttx2wAAAA4BAAAPAAAAAAAAAAEAIAAAACIAAABkcnMvZG93bnJl&#10;di54bWxQSwECFAAUAAAACACHTuJAdqmiIsEBAAB3AwAADgAAAAAAAAABACAAAAAqAQAAZHJzL2Uy&#10;b0RvYy54bWxQSwUGAAAAAAYABgBZAQAAXQUAAAAA&#10;">
                <v:fill on="t" focussize="0,0"/>
                <v:stroke on="f"/>
                <v:imagedata o:title=""/>
                <o:lock v:ext="edit" aspectratio="f"/>
                <v:textbox>
                  <w:txbxContent>
                    <w:p>
                      <w:pPr>
                        <w:pStyle w:val="4"/>
                        <w:spacing w:before="85" w:line="235" w:lineRule="auto"/>
                        <w:ind w:left="2045" w:right="306" w:hanging="1870"/>
                        <w:jc w:val="center"/>
                        <w:outlineLvl w:val="0"/>
                        <w:rPr>
                          <w:rFonts w:hint="eastAsia" w:ascii="黑体" w:eastAsia="宋体"/>
                          <w:b w:val="0"/>
                          <w:bCs w:val="0"/>
                          <w:sz w:val="44"/>
                          <w:szCs w:val="44"/>
                          <w:lang w:eastAsia="zh-CN"/>
                        </w:rPr>
                      </w:pPr>
                      <w:r>
                        <w:rPr>
                          <w:rFonts w:hint="eastAsia" w:ascii="宋体" w:hAnsi="宋体" w:eastAsia="宋体" w:cs="宋体"/>
                          <w:b/>
                          <w:bCs/>
                          <w:snapToGrid w:val="0"/>
                          <w:color w:val="000000"/>
                          <w:spacing w:val="9"/>
                          <w:kern w:val="0"/>
                          <w:sz w:val="44"/>
                          <w:szCs w:val="44"/>
                          <w:lang w:val="en-US" w:eastAsia="en-US" w:bidi="ar-SA"/>
                        </w:rPr>
                        <w:t>2024年4·15全民国家安全教育日核安宣传教育活</w:t>
                      </w:r>
                      <w:r>
                        <w:rPr>
                          <w:rFonts w:hint="eastAsia" w:ascii="宋体" w:hAnsi="宋体" w:eastAsia="宋体" w:cs="宋体"/>
                          <w:b/>
                          <w:bCs/>
                          <w:snapToGrid w:val="0"/>
                          <w:color w:val="000000"/>
                          <w:spacing w:val="9"/>
                          <w:kern w:val="0"/>
                          <w:sz w:val="44"/>
                          <w:szCs w:val="44"/>
                          <w:lang w:val="en-US" w:eastAsia="zh-CN" w:bidi="ar-SA"/>
                        </w:rPr>
                        <w:t>动动</w:t>
                      </w:r>
                    </w:p>
                  </w:txbxContent>
                </v:textbox>
              </v:shape>
            </w:pict>
          </mc:Fallback>
        </mc:AlternateContent>
      </w:r>
    </w:p>
    <w:p/>
    <w:p/>
    <w:p/>
    <w:p/>
    <w:p/>
    <w:p/>
    <w:p/>
    <w:p/>
    <w:p/>
    <w:p/>
    <w:p>
      <w:pPr>
        <w:pStyle w:val="2"/>
        <w:keepNext/>
        <w:keepLines/>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黑体" w:hAnsi="黑体" w:eastAsia="黑体" w:cs="黑体"/>
          <w:b w:val="0"/>
          <w:bCs/>
          <w:i w:val="0"/>
          <w:iCs w:val="0"/>
          <w:sz w:val="32"/>
          <w:szCs w:val="32"/>
        </w:rPr>
      </w:pPr>
      <w:r>
        <w:rPr>
          <w:rFonts w:hint="eastAsia" w:ascii="黑体" w:hAnsi="黑体" w:eastAsia="黑体" w:cs="黑体"/>
          <w:b w:val="0"/>
          <w:bCs/>
          <w:i w:val="0"/>
          <w:iCs w:val="0"/>
          <w:sz w:val="32"/>
          <w:szCs w:val="32"/>
        </w:rPr>
        <w:t>一、项目概况</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为贯彻落实党的二十大精神与习近平总书记生态文明思想和中国核安全观，深入践行总体国家安全管理和理性、协调、并进的核安全观，统筹发展与安全，构建大安全格局，按照《</w:t>
      </w:r>
      <w:bookmarkStart w:id="3" w:name="_GoBack"/>
      <w:r>
        <w:rPr>
          <w:rFonts w:hint="eastAsia" w:ascii="宋体" w:hAnsi="宋体" w:eastAsia="宋体" w:cs="宋体"/>
          <w:sz w:val="32"/>
          <w:szCs w:val="32"/>
          <w:lang w:val="en-US" w:eastAsia="zh-CN"/>
        </w:rPr>
        <w:t>贵州省生态环境厅关于开展2024年4·15全民国家安全教育日核安全宣传教育活动的通知</w:t>
      </w:r>
      <w:bookmarkEnd w:id="3"/>
      <w:r>
        <w:rPr>
          <w:rFonts w:hint="eastAsia" w:ascii="宋体" w:hAnsi="宋体" w:eastAsia="宋体" w:cs="宋体"/>
          <w:sz w:val="32"/>
          <w:szCs w:val="32"/>
          <w:lang w:val="en-US" w:eastAsia="zh-CN"/>
        </w:rPr>
        <w:t>》要求，贵州电网有限责任公司作为活动协办单位开展并自行负责本单位本次宣传活动策划服务及落地执行相关费用。</w:t>
      </w:r>
    </w:p>
    <w:p>
      <w:pPr>
        <w:pStyle w:val="2"/>
        <w:keepNext/>
        <w:keepLines/>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黑体" w:hAnsi="黑体" w:eastAsia="黑体" w:cs="黑体"/>
          <w:b w:val="0"/>
          <w:bCs/>
          <w:i w:val="0"/>
          <w:iCs w:val="0"/>
          <w:sz w:val="32"/>
          <w:szCs w:val="32"/>
        </w:rPr>
      </w:pPr>
      <w:r>
        <w:rPr>
          <w:rFonts w:hint="eastAsia" w:ascii="黑体" w:hAnsi="黑体" w:eastAsia="黑体" w:cs="黑体"/>
          <w:b w:val="0"/>
          <w:bCs/>
          <w:i w:val="0"/>
          <w:iCs w:val="0"/>
          <w:sz w:val="32"/>
          <w:szCs w:val="32"/>
        </w:rPr>
        <w:t>二、 总体要求</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2024年4·15全民国家安全教育日核安全宣传教育活通过的“线上+线下”的活动宣传，倡导正确看待身边核与辐射利弊，了解认识身边核与辐射环境，改变大众认知，宣传正确的核与辐射安全观念，营造良好的社会生活环境。贵州电网有限责任公司协办本次活动所需的服务包括以下内容：</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（一）活动策划，包括策划方案的制定及策划工作的具体实施；</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（二）动现场布置及现场执行；</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（三）宣传物料的设计、制作、安装与各种证书、奖杯、奖牌的设计制作等；</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（四）媒体宣传推广；</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（五）其他相关服务。</w:t>
      </w:r>
    </w:p>
    <w:p>
      <w:pPr>
        <w:pStyle w:val="2"/>
        <w:keepNext/>
        <w:keepLines/>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黑体" w:hAnsi="黑体" w:eastAsia="黑体" w:cs="黑体"/>
          <w:b w:val="0"/>
          <w:bCs/>
          <w:i w:val="0"/>
          <w:iCs w:val="0"/>
          <w:sz w:val="32"/>
          <w:szCs w:val="32"/>
        </w:rPr>
      </w:pPr>
      <w:r>
        <w:rPr>
          <w:rFonts w:hint="eastAsia" w:ascii="黑体" w:hAnsi="黑体" w:eastAsia="黑体" w:cs="黑体"/>
          <w:b w:val="0"/>
          <w:bCs/>
          <w:i w:val="0"/>
          <w:iCs w:val="0"/>
          <w:sz w:val="32"/>
          <w:szCs w:val="32"/>
        </w:rPr>
        <w:t>三、 技术要求</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（一）项目需求策划制作周期及能力要求如下：</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2269"/>
        <w:gridCol w:w="5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38" w:type="dxa"/>
            <w:vAlign w:val="center"/>
          </w:tcPr>
          <w:p>
            <w:pPr>
              <w:adjustRightInd w:val="0"/>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项目制作</w:t>
            </w:r>
          </w:p>
        </w:tc>
        <w:tc>
          <w:tcPr>
            <w:tcW w:w="2269" w:type="dxa"/>
            <w:vAlign w:val="center"/>
          </w:tcPr>
          <w:p>
            <w:pPr>
              <w:adjustRightInd w:val="0"/>
              <w:snapToGrid w:val="0"/>
              <w:spacing w:line="360" w:lineRule="auto"/>
              <w:ind w:firstLine="174" w:firstLineChars="83"/>
              <w:jc w:val="center"/>
              <w:rPr>
                <w:rFonts w:hint="eastAsia" w:ascii="宋体" w:hAnsi="宋体" w:eastAsia="宋体" w:cs="宋体"/>
                <w:sz w:val="21"/>
                <w:szCs w:val="21"/>
              </w:rPr>
            </w:pPr>
            <w:r>
              <w:rPr>
                <w:rFonts w:hint="eastAsia" w:ascii="宋体" w:hAnsi="宋体" w:eastAsia="宋体" w:cs="宋体"/>
                <w:sz w:val="21"/>
                <w:szCs w:val="21"/>
              </w:rPr>
              <w:t>交付时间</w:t>
            </w:r>
          </w:p>
        </w:tc>
        <w:tc>
          <w:tcPr>
            <w:tcW w:w="5415" w:type="dxa"/>
            <w:vAlign w:val="center"/>
          </w:tcPr>
          <w:p>
            <w:pPr>
              <w:adjustRightInd w:val="0"/>
              <w:snapToGrid w:val="0"/>
              <w:spacing w:line="360" w:lineRule="auto"/>
              <w:ind w:firstLine="480"/>
              <w:jc w:val="center"/>
              <w:rPr>
                <w:rFonts w:hint="eastAsia" w:ascii="宋体" w:hAnsi="宋体" w:eastAsia="宋体" w:cs="宋体"/>
                <w:sz w:val="21"/>
                <w:szCs w:val="21"/>
              </w:rPr>
            </w:pPr>
            <w:r>
              <w:rPr>
                <w:rFonts w:hint="eastAsia" w:ascii="宋体" w:hAnsi="宋体" w:eastAsia="宋体" w:cs="宋体"/>
                <w:sz w:val="21"/>
                <w:szCs w:val="21"/>
              </w:rPr>
              <w:t>制作及交付要求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vAlign w:val="center"/>
          </w:tcPr>
          <w:p>
            <w:pPr>
              <w:adjustRightInd w:val="0"/>
              <w:snapToGrid w:val="0"/>
              <w:spacing w:line="360" w:lineRule="auto"/>
              <w:jc w:val="center"/>
              <w:rPr>
                <w:rFonts w:hint="eastAsia" w:ascii="宋体" w:hAnsi="宋体" w:eastAsia="宋体" w:cs="宋体"/>
                <w:sz w:val="21"/>
                <w:szCs w:val="21"/>
                <w:lang w:eastAsia="zh-CN"/>
              </w:rPr>
            </w:pPr>
            <w:r>
              <w:rPr>
                <w:rFonts w:hint="eastAsia" w:ascii="宋体" w:hAnsi="宋体" w:eastAsia="宋体" w:cs="宋体"/>
                <w:bCs/>
                <w:sz w:val="21"/>
                <w:szCs w:val="21"/>
                <w:lang w:eastAsia="zh-CN"/>
              </w:rPr>
              <w:t>需求策划</w:t>
            </w:r>
          </w:p>
        </w:tc>
        <w:tc>
          <w:tcPr>
            <w:tcW w:w="2269" w:type="dxa"/>
            <w:vAlign w:val="center"/>
          </w:tcPr>
          <w:p>
            <w:pPr>
              <w:adjustRightInd w:val="0"/>
              <w:snapToGrid w:val="0"/>
              <w:spacing w:line="360" w:lineRule="auto"/>
              <w:jc w:val="both"/>
              <w:rPr>
                <w:rFonts w:hint="eastAsia" w:ascii="宋体" w:hAnsi="宋体" w:eastAsia="宋体" w:cs="宋体"/>
                <w:sz w:val="21"/>
                <w:szCs w:val="21"/>
              </w:rPr>
            </w:pPr>
            <w:r>
              <w:rPr>
                <w:rFonts w:hint="eastAsia" w:ascii="宋体" w:hAnsi="宋体" w:eastAsia="宋体" w:cs="宋体"/>
                <w:sz w:val="21"/>
                <w:szCs w:val="21"/>
              </w:rPr>
              <w:t>采购方工作人员需求单发出的1日内提供</w:t>
            </w:r>
            <w:r>
              <w:rPr>
                <w:rFonts w:hint="eastAsia" w:ascii="宋体" w:hAnsi="宋体" w:eastAsia="宋体" w:cs="宋体"/>
                <w:sz w:val="21"/>
                <w:szCs w:val="21"/>
                <w:lang w:eastAsia="zh-CN"/>
              </w:rPr>
              <w:t>需求策划</w:t>
            </w:r>
            <w:r>
              <w:rPr>
                <w:rFonts w:hint="eastAsia" w:ascii="宋体" w:hAnsi="宋体" w:eastAsia="宋体" w:cs="宋体"/>
                <w:sz w:val="21"/>
                <w:szCs w:val="21"/>
              </w:rPr>
              <w:t>制作、执行进度计划，并在3日内完成活动各项活动执行及</w:t>
            </w:r>
            <w:r>
              <w:rPr>
                <w:rFonts w:hint="eastAsia" w:ascii="宋体" w:hAnsi="宋体" w:eastAsia="宋体" w:cs="宋体"/>
                <w:sz w:val="21"/>
                <w:szCs w:val="21"/>
                <w:lang w:eastAsia="zh-CN"/>
              </w:rPr>
              <w:t>策划</w:t>
            </w:r>
            <w:r>
              <w:rPr>
                <w:rFonts w:hint="eastAsia" w:ascii="宋体" w:hAnsi="宋体" w:eastAsia="宋体" w:cs="宋体"/>
                <w:sz w:val="21"/>
                <w:szCs w:val="21"/>
              </w:rPr>
              <w:t>制作等。</w:t>
            </w:r>
          </w:p>
        </w:tc>
        <w:tc>
          <w:tcPr>
            <w:tcW w:w="5415" w:type="dxa"/>
            <w:vAlign w:val="center"/>
          </w:tcPr>
          <w:p>
            <w:pPr>
              <w:pStyle w:val="9"/>
              <w:adjustRightInd w:val="0"/>
              <w:snapToGrid w:val="0"/>
              <w:spacing w:line="360" w:lineRule="auto"/>
              <w:ind w:firstLine="0" w:firstLineChars="0"/>
              <w:jc w:val="both"/>
              <w:rPr>
                <w:rFonts w:hint="eastAsia" w:ascii="宋体" w:hAnsi="宋体" w:eastAsia="宋体" w:cs="宋体"/>
                <w:bCs/>
                <w:sz w:val="21"/>
                <w:szCs w:val="21"/>
              </w:rPr>
            </w:pPr>
            <w:r>
              <w:rPr>
                <w:rFonts w:hint="eastAsia" w:ascii="宋体" w:hAnsi="宋体" w:eastAsia="宋体" w:cs="宋体"/>
                <w:bCs/>
                <w:sz w:val="21"/>
                <w:szCs w:val="21"/>
              </w:rPr>
              <w:t>1、提交宣传、会务制作、执行、投放计划应通过采购方相关人员审核，并符合采购方要求。</w:t>
            </w:r>
          </w:p>
          <w:p>
            <w:pPr>
              <w:pStyle w:val="9"/>
              <w:adjustRightInd w:val="0"/>
              <w:snapToGrid w:val="0"/>
              <w:spacing w:line="360" w:lineRule="auto"/>
              <w:ind w:firstLine="0" w:firstLineChars="0"/>
              <w:jc w:val="both"/>
              <w:rPr>
                <w:rFonts w:hint="eastAsia" w:ascii="宋体" w:hAnsi="宋体" w:eastAsia="宋体" w:cs="宋体"/>
                <w:bCs/>
                <w:sz w:val="21"/>
                <w:szCs w:val="21"/>
              </w:rPr>
            </w:pPr>
            <w:r>
              <w:rPr>
                <w:rFonts w:hint="eastAsia" w:ascii="宋体" w:hAnsi="宋体" w:eastAsia="宋体" w:cs="宋体"/>
                <w:bCs/>
                <w:sz w:val="21"/>
                <w:szCs w:val="21"/>
              </w:rPr>
              <w:t>2、提交物的提交时限（以通过采购方审核的时间为准）符合项目需求。</w:t>
            </w:r>
          </w:p>
          <w:p>
            <w:pPr>
              <w:adjustRightInd w:val="0"/>
              <w:snapToGrid w:val="0"/>
              <w:spacing w:line="360" w:lineRule="auto"/>
              <w:jc w:val="both"/>
              <w:rPr>
                <w:rFonts w:hint="eastAsia" w:ascii="宋体" w:hAnsi="宋体" w:eastAsia="宋体" w:cs="宋体"/>
                <w:bCs/>
                <w:sz w:val="21"/>
                <w:szCs w:val="21"/>
              </w:rPr>
            </w:pPr>
            <w:r>
              <w:rPr>
                <w:rFonts w:hint="eastAsia" w:ascii="宋体" w:hAnsi="宋体" w:eastAsia="宋体" w:cs="宋体"/>
                <w:bCs/>
                <w:sz w:val="21"/>
                <w:szCs w:val="21"/>
              </w:rPr>
              <w:t>3、提交宣传、会务用品的二次内通过率（即经采购方人员退回修改至通过的次数不超过2次）不低于80%。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vAlign w:val="center"/>
          </w:tcPr>
          <w:p>
            <w:pPr>
              <w:adjustRightInd w:val="0"/>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服务要求</w:t>
            </w:r>
          </w:p>
        </w:tc>
        <w:tc>
          <w:tcPr>
            <w:tcW w:w="2269" w:type="dxa"/>
            <w:vAlign w:val="center"/>
          </w:tcPr>
          <w:p>
            <w:pPr>
              <w:adjustRightInd w:val="0"/>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5415" w:type="dxa"/>
            <w:vAlign w:val="center"/>
          </w:tcPr>
          <w:p>
            <w:pPr>
              <w:adjustRightInd w:val="0"/>
              <w:snapToGrid w:val="0"/>
              <w:spacing w:line="360" w:lineRule="auto"/>
              <w:jc w:val="both"/>
              <w:rPr>
                <w:rFonts w:hint="eastAsia" w:ascii="宋体" w:hAnsi="宋体" w:eastAsia="宋体" w:cs="宋体"/>
                <w:sz w:val="21"/>
                <w:szCs w:val="21"/>
              </w:rPr>
            </w:pPr>
            <w:r>
              <w:rPr>
                <w:rFonts w:hint="eastAsia" w:ascii="宋体" w:hAnsi="宋体" w:eastAsia="宋体" w:cs="宋体"/>
                <w:sz w:val="21"/>
                <w:szCs w:val="21"/>
              </w:rPr>
              <w:t>设计与设备要求：</w:t>
            </w:r>
          </w:p>
          <w:p>
            <w:pPr>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（1）中选人应具备广告设计、广告设计文件传送、现场活动执行、宣传物料制作所需要的设备，可按采购方要求在1-3日内完成向采购方及其相关合作伙伴完成高精度业务宣传制作文件的传送。</w:t>
            </w:r>
          </w:p>
          <w:p>
            <w:pPr>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（2）中选人应具备设计制作所需专业设备，以便高时效、高质量的完成采购方要求制作的设计，便于及时的将物料制作完或及时进行现场活动执行。</w:t>
            </w:r>
          </w:p>
          <w:p>
            <w:pPr>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（3）中选人应具有各项会议现场所需专业设备，以便高时效完成采购方的现场活动。</w:t>
            </w:r>
          </w:p>
          <w:p>
            <w:pPr>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（4）中选人应具备现场活动执行经验，为保障现场活动的顺利完成，中选人应保证使用现场活动经验丰富的人员作为现场活动的执行实施人。</w:t>
            </w:r>
          </w:p>
        </w:tc>
      </w:tr>
    </w:tbl>
    <w:p/>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bookmarkStart w:id="0" w:name="_Toc316850137"/>
      <w:bookmarkStart w:id="1" w:name="_Toc456084048"/>
      <w:bookmarkStart w:id="2" w:name="_Toc288038889"/>
      <w:r>
        <w:rPr>
          <w:rFonts w:hint="eastAsia" w:ascii="宋体" w:hAnsi="宋体" w:eastAsia="宋体" w:cs="宋体"/>
          <w:sz w:val="32"/>
          <w:szCs w:val="32"/>
          <w:lang w:val="en-US" w:eastAsia="zh-CN"/>
        </w:rPr>
        <w:t>（二）项目范围</w:t>
      </w:r>
      <w:bookmarkEnd w:id="0"/>
      <w:bookmarkEnd w:id="1"/>
      <w:bookmarkEnd w:id="2"/>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宣传活动执行及其他宣传物料制作,具体清单（包括但不限于）如下所列：</w:t>
      </w:r>
    </w:p>
    <w:p>
      <w:pPr>
        <w:rPr>
          <w:rFonts w:hint="eastAsia" w:ascii="宋体" w:hAnsi="宋体" w:eastAsia="宋体" w:cs="宋体"/>
          <w:sz w:val="24"/>
          <w:szCs w:val="24"/>
        </w:rPr>
      </w:pPr>
    </w:p>
    <w:tbl>
      <w:tblPr>
        <w:tblStyle w:val="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7"/>
        <w:gridCol w:w="1027"/>
        <w:gridCol w:w="1791"/>
        <w:gridCol w:w="397"/>
        <w:gridCol w:w="486"/>
        <w:gridCol w:w="1026"/>
        <w:gridCol w:w="397"/>
        <w:gridCol w:w="936"/>
        <w:gridCol w:w="1033"/>
        <w:gridCol w:w="1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2024年4·15全民国家安全教育日</w:t>
            </w:r>
            <w:r>
              <w:rPr>
                <w:rFonts w:hint="eastAsia" w:ascii="宋体" w:hAnsi="宋体" w:eastAsia="宋体" w:cs="宋体"/>
                <w:b/>
                <w:bCs/>
                <w:i w:val="0"/>
                <w:iCs w:val="0"/>
                <w:snapToGrid w:val="0"/>
                <w:color w:val="000000"/>
                <w:kern w:val="0"/>
                <w:sz w:val="18"/>
                <w:szCs w:val="18"/>
                <w:u w:val="none"/>
                <w:lang w:val="en-US" w:eastAsia="zh-CN" w:bidi="ar"/>
              </w:rPr>
              <w:br w:type="textWrapping"/>
            </w:r>
            <w:r>
              <w:rPr>
                <w:rFonts w:hint="eastAsia" w:ascii="宋体" w:hAnsi="宋体" w:eastAsia="宋体" w:cs="宋体"/>
                <w:b/>
                <w:bCs/>
                <w:i w:val="0"/>
                <w:iCs w:val="0"/>
                <w:snapToGrid w:val="0"/>
                <w:color w:val="000000"/>
                <w:kern w:val="0"/>
                <w:sz w:val="18"/>
                <w:szCs w:val="18"/>
                <w:u w:val="none"/>
                <w:lang w:val="en-US" w:eastAsia="zh-CN" w:bidi="ar"/>
              </w:rPr>
              <w:t>核安全宣传教育活动策划及落地执行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序号</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产品/服务名称</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规格/内容</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单位</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数量</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 xml:space="preserve"> 单价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税率</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 xml:space="preserve"> 含税单价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 xml:space="preserve"> 不含税总价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 xml:space="preserve"> 含税总价（元）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方案设计</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含主画面及相应展区、延展物料设计</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6,000.00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6,360.00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6,000.00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6,360.00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签到处桁架隔断</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2,500.00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2,650.00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2,500.00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2,650.00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签到画面</w:t>
            </w:r>
          </w:p>
        </w:tc>
        <w:tc>
          <w:tcPr>
            <w:tcW w:w="8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高清户外写真+KT板</w:t>
            </w:r>
          </w:p>
        </w:tc>
        <w:tc>
          <w:tcPr>
            <w:tcW w:w="2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2,000.00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2,120.00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2,000.00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2,120.00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展区桁架</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展区展版制作</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（木工板+高清户外写真+PVC丝印雕刻制作）</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3,150.00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3,339.00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3,150.00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3,339.00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展区水晶字制作</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（亚克力8mm+3mm）</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2,000.00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2,120.00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2,000.00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2,120.00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展区展示桌</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（木工板+高清户外写真+KT板）</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636.00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636.00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展区LED发光迷你字</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（led发光灯进口5mm亚克力制作+变压电源）</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安装辅料</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批</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159.00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租用电视机</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台</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848.00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848.00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租用P2高清LED屏</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4,500.00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4,770.00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4,500.00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4,770.00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舞台搭建</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848.00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848.00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线阵音响租用(14支)</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848.00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848.00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讲台</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讲台花</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个</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主持人</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（含彩排）</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个</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2,500.00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2,650.00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2,500.00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2,650.00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桌花</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个</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单位名牌</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（不锈钢水牌）</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159.00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3"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（夜间施工）现场展区搭建、舞台拆卸、物料垃圾运输等</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使用（3天）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人</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350.00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371.00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2,450.00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2,597.00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议程</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份</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2.12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70.00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74.20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海报</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58*86cm高精度写真背胶</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份</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15.90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手册</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140*210大32开封面157铜，内页128铜四色彩印骑马订</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660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4.50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4.77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2,970.00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3,148.20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手提袋</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260*340*100无纺布袋四色彩印</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个</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500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3.70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3.92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1,850.00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1,961.00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企业名牌</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亚克力外壳+内页</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工作证</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外壳+内页+挂绳</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10.60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110.00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116.60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礼仪</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人</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1,000.00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1,060.00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1,000.00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1,060.00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租用会议桌</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租用宴椅</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使用（2天）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42.40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水晶桌牌</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抽纸</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盒</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8.48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16.00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16.96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矿泉水</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瓶</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360.00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381.60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灭火器</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159.00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750.00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795.00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雨衣</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件</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1.59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165.00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174.90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安保人员</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个</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900.00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954.00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保洁人员</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活动结束卫生工作（2天）</w:t>
            </w: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个</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互动礼品+道具+工作人员</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份</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35.00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37.10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1,680.00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1,780.80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37</w:t>
            </w:r>
          </w:p>
        </w:tc>
        <w:tc>
          <w:tcPr>
            <w:tcW w:w="655" w:type="pc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铁马</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63.60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180.00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190.80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2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38</w:t>
            </w:r>
          </w:p>
        </w:tc>
        <w:tc>
          <w:tcPr>
            <w:tcW w:w="655" w:type="pc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帐篷+桌椅</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4" w:type="pc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套</w:t>
            </w:r>
          </w:p>
        </w:tc>
        <w:tc>
          <w:tcPr>
            <w:tcW w:w="2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200.00 </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212.00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600.00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636.00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228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小计</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 xml:space="preserve"> / </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 xml:space="preserve"> 46,801.00 </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 xml:space="preserve"> 49,609.06 </w:t>
            </w:r>
          </w:p>
        </w:tc>
      </w:tr>
    </w:tbl>
    <w:p>
      <w:pPr>
        <w:rPr>
          <w:rFonts w:hint="eastAsia" w:ascii="宋体" w:hAnsi="宋体" w:eastAsia="宋体" w:cs="宋体"/>
          <w:sz w:val="24"/>
          <w:szCs w:val="24"/>
        </w:rPr>
      </w:pPr>
    </w:p>
    <w:p>
      <w:pPr>
        <w:rPr>
          <w:rFonts w:hint="eastAsia" w:ascii="宋体" w:hAnsi="宋体" w:eastAsia="宋体" w:cs="宋体"/>
          <w:sz w:val="24"/>
          <w:szCs w:val="24"/>
        </w:rPr>
      </w:pPr>
    </w:p>
    <w:p>
      <w:pPr>
        <w:pStyle w:val="2"/>
        <w:keepNext/>
        <w:keepLines/>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黑体" w:hAnsi="黑体" w:eastAsia="黑体" w:cs="黑体"/>
          <w:b w:val="0"/>
          <w:bCs/>
          <w:i w:val="0"/>
          <w:iCs w:val="0"/>
          <w:sz w:val="32"/>
          <w:szCs w:val="32"/>
        </w:rPr>
      </w:pPr>
      <w:r>
        <w:rPr>
          <w:rFonts w:hint="eastAsia" w:ascii="黑体" w:hAnsi="黑体" w:eastAsia="黑体" w:cs="黑体"/>
          <w:b w:val="0"/>
          <w:bCs/>
          <w:i w:val="0"/>
          <w:iCs w:val="0"/>
          <w:sz w:val="32"/>
          <w:szCs w:val="32"/>
        </w:rPr>
        <w:t>四、活动地点</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活动举办地点根据实际情况而定，供应商应全面响应甲方需求。</w:t>
      </w:r>
    </w:p>
    <w:p>
      <w:pPr>
        <w:pStyle w:val="2"/>
        <w:keepNext/>
        <w:keepLines/>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黑体" w:hAnsi="黑体" w:eastAsia="黑体" w:cs="黑体"/>
          <w:b w:val="0"/>
          <w:bCs/>
          <w:i w:val="0"/>
          <w:iCs w:val="0"/>
          <w:sz w:val="32"/>
          <w:szCs w:val="32"/>
        </w:rPr>
      </w:pPr>
      <w:r>
        <w:rPr>
          <w:rFonts w:hint="eastAsia" w:ascii="黑体" w:hAnsi="黑体" w:eastAsia="黑体" w:cs="黑体"/>
          <w:b w:val="0"/>
          <w:bCs/>
          <w:i w:val="0"/>
          <w:iCs w:val="0"/>
          <w:sz w:val="32"/>
          <w:szCs w:val="32"/>
          <w:lang w:eastAsia="zh-CN"/>
        </w:rPr>
        <w:t>五</w:t>
      </w:r>
      <w:r>
        <w:rPr>
          <w:rFonts w:hint="eastAsia" w:ascii="黑体" w:hAnsi="黑体" w:eastAsia="黑体" w:cs="黑体"/>
          <w:b w:val="0"/>
          <w:bCs/>
          <w:i w:val="0"/>
          <w:iCs w:val="0"/>
          <w:sz w:val="32"/>
          <w:szCs w:val="32"/>
        </w:rPr>
        <w:t>、服务期限</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确定成交之日起至2024年6月30日。</w:t>
      </w:r>
    </w:p>
    <w:p>
      <w:pPr>
        <w:spacing w:before="111" w:line="360" w:lineRule="auto"/>
        <w:jc w:val="right"/>
        <w:rPr>
          <w:rFonts w:ascii="宋体" w:hAnsi="宋体" w:eastAsia="宋体" w:cs="宋体"/>
          <w:b w:val="0"/>
          <w:bCs w:val="0"/>
          <w:spacing w:val="12"/>
          <w:sz w:val="28"/>
          <w:szCs w:val="28"/>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3840" w:firstLineChars="1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贵州电网有限责任公司</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4160" w:firstLineChars="1300"/>
        <w:textAlignment w:val="auto"/>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2024年3月26日</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F220C2"/>
    <w:rsid w:val="00BB56F6"/>
    <w:rsid w:val="0138509D"/>
    <w:rsid w:val="0153276B"/>
    <w:rsid w:val="024372E8"/>
    <w:rsid w:val="042902EF"/>
    <w:rsid w:val="056160B7"/>
    <w:rsid w:val="057B192E"/>
    <w:rsid w:val="06E72BC9"/>
    <w:rsid w:val="07942106"/>
    <w:rsid w:val="07D749FA"/>
    <w:rsid w:val="07F97C82"/>
    <w:rsid w:val="0CD31FF8"/>
    <w:rsid w:val="0D10253A"/>
    <w:rsid w:val="0E724233"/>
    <w:rsid w:val="0EB45380"/>
    <w:rsid w:val="0F8E7A8F"/>
    <w:rsid w:val="100D570D"/>
    <w:rsid w:val="1032513A"/>
    <w:rsid w:val="110E10CE"/>
    <w:rsid w:val="113E37D7"/>
    <w:rsid w:val="13005E67"/>
    <w:rsid w:val="138B59FE"/>
    <w:rsid w:val="1411186D"/>
    <w:rsid w:val="14616588"/>
    <w:rsid w:val="1577427E"/>
    <w:rsid w:val="1585024D"/>
    <w:rsid w:val="16ED3EEE"/>
    <w:rsid w:val="188B2BA0"/>
    <w:rsid w:val="19F11194"/>
    <w:rsid w:val="1C9E0437"/>
    <w:rsid w:val="211E1E70"/>
    <w:rsid w:val="22D47216"/>
    <w:rsid w:val="24D328E0"/>
    <w:rsid w:val="24FE60B1"/>
    <w:rsid w:val="261C189E"/>
    <w:rsid w:val="26266C51"/>
    <w:rsid w:val="27F71765"/>
    <w:rsid w:val="28C33E5F"/>
    <w:rsid w:val="2984158C"/>
    <w:rsid w:val="2B260E7D"/>
    <w:rsid w:val="2BAB25C0"/>
    <w:rsid w:val="2BAF4E11"/>
    <w:rsid w:val="2C8402F5"/>
    <w:rsid w:val="2F290E24"/>
    <w:rsid w:val="2F962A59"/>
    <w:rsid w:val="2FE172B7"/>
    <w:rsid w:val="305437E2"/>
    <w:rsid w:val="30CE6FA2"/>
    <w:rsid w:val="327621C6"/>
    <w:rsid w:val="34873E42"/>
    <w:rsid w:val="349F7281"/>
    <w:rsid w:val="36312D0B"/>
    <w:rsid w:val="36E8439E"/>
    <w:rsid w:val="37593E6B"/>
    <w:rsid w:val="39E357D8"/>
    <w:rsid w:val="3A546B39"/>
    <w:rsid w:val="3E151B79"/>
    <w:rsid w:val="3E4C6099"/>
    <w:rsid w:val="40362DA3"/>
    <w:rsid w:val="40AD119A"/>
    <w:rsid w:val="41317D73"/>
    <w:rsid w:val="417511B1"/>
    <w:rsid w:val="41F66DAF"/>
    <w:rsid w:val="4305799B"/>
    <w:rsid w:val="447666B1"/>
    <w:rsid w:val="44D403D8"/>
    <w:rsid w:val="44F220C2"/>
    <w:rsid w:val="44F300EE"/>
    <w:rsid w:val="4576270D"/>
    <w:rsid w:val="48311471"/>
    <w:rsid w:val="48DD72B7"/>
    <w:rsid w:val="4A361B9A"/>
    <w:rsid w:val="4A444804"/>
    <w:rsid w:val="4A4F3BC3"/>
    <w:rsid w:val="4A61037C"/>
    <w:rsid w:val="4AD754B7"/>
    <w:rsid w:val="4BFE06DD"/>
    <w:rsid w:val="4D0B2E54"/>
    <w:rsid w:val="5066469A"/>
    <w:rsid w:val="50C06D85"/>
    <w:rsid w:val="51B80163"/>
    <w:rsid w:val="525B453F"/>
    <w:rsid w:val="52703567"/>
    <w:rsid w:val="52874485"/>
    <w:rsid w:val="52FA1648"/>
    <w:rsid w:val="53882F16"/>
    <w:rsid w:val="54C91E1D"/>
    <w:rsid w:val="558E2334"/>
    <w:rsid w:val="56803243"/>
    <w:rsid w:val="574612FD"/>
    <w:rsid w:val="57AD7A7A"/>
    <w:rsid w:val="58F63C53"/>
    <w:rsid w:val="591B23B6"/>
    <w:rsid w:val="5B0B6DE9"/>
    <w:rsid w:val="5C1D39F2"/>
    <w:rsid w:val="5CE564A9"/>
    <w:rsid w:val="5F2259F5"/>
    <w:rsid w:val="5F6C7708"/>
    <w:rsid w:val="62B60C47"/>
    <w:rsid w:val="65EF6461"/>
    <w:rsid w:val="6771126D"/>
    <w:rsid w:val="683F2EE4"/>
    <w:rsid w:val="69005F39"/>
    <w:rsid w:val="6A3C4E53"/>
    <w:rsid w:val="6B474100"/>
    <w:rsid w:val="6BE07234"/>
    <w:rsid w:val="6C68064B"/>
    <w:rsid w:val="6D5221A1"/>
    <w:rsid w:val="6DED7938"/>
    <w:rsid w:val="70883363"/>
    <w:rsid w:val="7258049C"/>
    <w:rsid w:val="728604C4"/>
    <w:rsid w:val="7289000F"/>
    <w:rsid w:val="72B6296B"/>
    <w:rsid w:val="73852248"/>
    <w:rsid w:val="754E5FD6"/>
    <w:rsid w:val="76124CDA"/>
    <w:rsid w:val="777B6D14"/>
    <w:rsid w:val="79035CAA"/>
    <w:rsid w:val="7A7A366E"/>
    <w:rsid w:val="7BA149B3"/>
    <w:rsid w:val="7BC615D1"/>
    <w:rsid w:val="7BC95854"/>
    <w:rsid w:val="7BF65A6C"/>
    <w:rsid w:val="7CD52E38"/>
    <w:rsid w:val="7D691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line="360" w:lineRule="auto"/>
      <w:outlineLvl w:val="1"/>
    </w:pPr>
    <w:rPr>
      <w:rFonts w:ascii="Arial" w:hAnsi="Arial" w:eastAsia="宋体" w:cs="Times New Roman"/>
      <w:b/>
      <w:bCs/>
      <w:sz w:val="30"/>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9">
    <w:name w:val="列出段落1"/>
    <w:basedOn w:val="1"/>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2024-03-26T01:57:00Z</dcterms:created>
  <dc:creator>周欣</dc:creator>
  <cp:lastModifiedBy>双倚亭</cp:lastModifiedBy>
  <dcterms:modified xsi:type="dcterms:W3CDTF">2024-03-26T03:10:13Z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95DBF39605474388B31F2954E2C617F9</vt:lpwstr>
  </property>
</Properties>
</file>