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color w:val="auto"/>
        </w:rPr>
      </w:pPr>
      <w:r>
        <w:rPr>
          <w:rFonts w:hint="eastAsia" w:ascii="宋体" w:hAnsi="宋体" w:eastAsia="宋体" w:cs="宋体"/>
          <w:color w:val="auto"/>
        </w:rPr>
        <w:drawing>
          <wp:anchor distT="0" distB="0" distL="114300" distR="114300" simplePos="0" relativeHeight="251659264" behindDoc="1" locked="0" layoutInCell="1" allowOverlap="1">
            <wp:simplePos x="0" y="0"/>
            <wp:positionH relativeFrom="page">
              <wp:posOffset>-52070</wp:posOffset>
            </wp:positionH>
            <wp:positionV relativeFrom="paragraph">
              <wp:posOffset>-910590</wp:posOffset>
            </wp:positionV>
            <wp:extent cx="7597775" cy="7820660"/>
            <wp:effectExtent l="0" t="0" r="3175" b="8890"/>
            <wp:wrapNone/>
            <wp:docPr id="1" name="图片 5"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说明: 未命名"/>
                    <pic:cNvPicPr>
                      <a:picLocks noChangeAspect="1"/>
                    </pic:cNvPicPr>
                  </pic:nvPicPr>
                  <pic:blipFill>
                    <a:blip r:embed="rId4"/>
                    <a:stretch>
                      <a:fillRect/>
                    </a:stretch>
                  </pic:blipFill>
                  <pic:spPr>
                    <a:xfrm>
                      <a:off x="0" y="0"/>
                      <a:ext cx="7597775" cy="7820660"/>
                    </a:xfrm>
                    <a:prstGeom prst="rect">
                      <a:avLst/>
                    </a:prstGeom>
                    <a:noFill/>
                    <a:ln>
                      <a:noFill/>
                    </a:ln>
                  </pic:spPr>
                </pic:pic>
              </a:graphicData>
            </a:graphic>
          </wp:anchor>
        </w:drawing>
      </w: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r>
        <w:rPr>
          <w:rFonts w:hint="eastAsia" w:ascii="宋体" w:hAnsi="宋体" w:eastAsia="宋体" w:cs="宋体"/>
          <w:color w:val="auto"/>
        </w:rPr>
        <w:drawing>
          <wp:anchor distT="0" distB="0" distL="114300" distR="114300" simplePos="0" relativeHeight="251660288" behindDoc="0" locked="0" layoutInCell="1" allowOverlap="1">
            <wp:simplePos x="0" y="0"/>
            <wp:positionH relativeFrom="page">
              <wp:posOffset>263525</wp:posOffset>
            </wp:positionH>
            <wp:positionV relativeFrom="paragraph">
              <wp:posOffset>102235</wp:posOffset>
            </wp:positionV>
            <wp:extent cx="3459480" cy="813435"/>
            <wp:effectExtent l="0" t="0" r="7620" b="5715"/>
            <wp:wrapNone/>
            <wp:docPr id="2" name="图片 1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 descr="说明: 中国南方电网公司---横向标准组合"/>
                    <pic:cNvPicPr>
                      <a:picLocks noChangeAspect="1"/>
                    </pic:cNvPicPr>
                  </pic:nvPicPr>
                  <pic:blipFill>
                    <a:blip r:embed="rId5"/>
                    <a:stretch>
                      <a:fillRect/>
                    </a:stretch>
                  </pic:blipFill>
                  <pic:spPr>
                    <a:xfrm>
                      <a:off x="0" y="0"/>
                      <a:ext cx="3459480" cy="813435"/>
                    </a:xfrm>
                    <a:prstGeom prst="rect">
                      <a:avLst/>
                    </a:prstGeom>
                    <a:noFill/>
                    <a:ln>
                      <a:noFill/>
                    </a:ln>
                  </pic:spPr>
                </pic:pic>
              </a:graphicData>
            </a:graphic>
          </wp:anchor>
        </w:drawing>
      </w: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r>
        <w:rPr>
          <w:rFonts w:hint="eastAsia" w:ascii="宋体" w:hAnsi="宋体" w:eastAsia="宋体" w:cs="宋体"/>
          <w:color w:val="auto"/>
        </w:rPr>
        <mc:AlternateContent>
          <mc:Choice Requires="wps">
            <w:drawing>
              <wp:anchor distT="0" distB="0" distL="114300" distR="114300" simplePos="0" relativeHeight="251663360" behindDoc="0" locked="0" layoutInCell="1" allowOverlap="1">
                <wp:simplePos x="0" y="0"/>
                <wp:positionH relativeFrom="margin">
                  <wp:posOffset>-532130</wp:posOffset>
                </wp:positionH>
                <wp:positionV relativeFrom="paragraph">
                  <wp:posOffset>114300</wp:posOffset>
                </wp:positionV>
                <wp:extent cx="5985510" cy="1223010"/>
                <wp:effectExtent l="0" t="0" r="0" b="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5985510" cy="1223010"/>
                        </a:xfrm>
                        <a:prstGeom prst="rect">
                          <a:avLst/>
                        </a:prstGeom>
                        <a:noFill/>
                        <a:ln>
                          <a:noFill/>
                        </a:ln>
                        <a:effectLst/>
                      </wps:spPr>
                      <wps:txbx>
                        <w:txbxContent>
                          <w:p>
                            <w:pPr>
                              <w:jc w:val="center"/>
                              <w:rPr>
                                <w:rFonts w:hint="eastAsia" w:ascii="文鼎CS大黑" w:eastAsia="文鼎CS大黑"/>
                                <w:b/>
                                <w:color w:val="003B77"/>
                                <w:sz w:val="72"/>
                                <w:szCs w:val="72"/>
                                <w:lang w:val="en-US" w:eastAsia="zh-CN"/>
                              </w:rPr>
                            </w:pPr>
                            <w:r>
                              <w:rPr>
                                <w:rFonts w:hint="eastAsia" w:ascii="文鼎CS大黑" w:eastAsia="文鼎CS大黑"/>
                                <w:b/>
                                <w:color w:val="003B77"/>
                                <w:sz w:val="72"/>
                                <w:szCs w:val="72"/>
                                <w:lang w:val="en-US" w:eastAsia="zh-CN"/>
                              </w:rPr>
                              <w:t>新电力集团三江供电公司2024年办公场所消防维保项目</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1.9pt;margin-top:9pt;height:96.3pt;width:471.3pt;mso-position-horizontal-relative:margin;z-index:251663360;mso-width-relative:page;mso-height-relative:page;" filled="f" stroked="f" coordsize="21600,21600" o:gfxdata="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D700nvWAAAACgEA&#10;AA8AAAAAAAAAAQAgAAAAIgAAAGRycy9kb3ducmV2LnhtbFBLAQIUABQAAAAIAIdO4kD9DZMPHAIA&#10;ACQEAAAOAAAAAAAAAAEAIAAAACUBAABkcnMvZTJvRG9jLnhtbFBLBQYAAAAABgAGAFkBAACzBQAA&#10;AAA=&#10;">
                <v:fill on="f" focussize="0,0"/>
                <v:stroke on="f"/>
                <v:imagedata o:title=""/>
                <o:lock v:ext="edit" aspectratio="f"/>
                <v:textbox>
                  <w:txbxContent>
                    <w:p>
                      <w:pPr>
                        <w:jc w:val="center"/>
                        <w:rPr>
                          <w:rFonts w:hint="eastAsia" w:ascii="文鼎CS大黑" w:eastAsia="文鼎CS大黑"/>
                          <w:b/>
                          <w:color w:val="003B77"/>
                          <w:sz w:val="72"/>
                          <w:szCs w:val="72"/>
                          <w:lang w:val="en-US" w:eastAsia="zh-CN"/>
                        </w:rPr>
                      </w:pPr>
                      <w:r>
                        <w:rPr>
                          <w:rFonts w:hint="eastAsia" w:ascii="文鼎CS大黑" w:eastAsia="文鼎CS大黑"/>
                          <w:b/>
                          <w:color w:val="003B77"/>
                          <w:sz w:val="72"/>
                          <w:szCs w:val="72"/>
                          <w:lang w:val="en-US" w:eastAsia="zh-CN"/>
                        </w:rPr>
                        <w:t>新电力集团三江供电公司2024年办公场所消防维保项目</w:t>
                      </w:r>
                    </w:p>
                  </w:txbxContent>
                </v:textbox>
              </v:shape>
            </w:pict>
          </mc:Fallback>
        </mc:AlternateContent>
      </w: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r>
        <w:rPr>
          <w:rFonts w:hint="eastAsia" w:ascii="宋体" w:hAnsi="宋体" w:eastAsia="宋体" w:cs="宋体"/>
          <w:color w:val="auto"/>
        </w:rPr>
        <mc:AlternateContent>
          <mc:Choice Requires="wps">
            <w:drawing>
              <wp:anchor distT="0" distB="0" distL="114300" distR="114300" simplePos="0" relativeHeight="251661312" behindDoc="0" locked="0" layoutInCell="1" allowOverlap="1">
                <wp:simplePos x="0" y="0"/>
                <wp:positionH relativeFrom="margin">
                  <wp:posOffset>194310</wp:posOffset>
                </wp:positionH>
                <wp:positionV relativeFrom="paragraph">
                  <wp:posOffset>635</wp:posOffset>
                </wp:positionV>
                <wp:extent cx="5096510" cy="812800"/>
                <wp:effectExtent l="0" t="0" r="0" b="0"/>
                <wp:wrapNone/>
                <wp:docPr id="13"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5096510" cy="812800"/>
                        </a:xfrm>
                        <a:prstGeom prst="rect">
                          <a:avLst/>
                        </a:prstGeom>
                        <a:noFill/>
                        <a:ln>
                          <a:noFill/>
                        </a:ln>
                        <a:effectLst/>
                      </wps:spPr>
                      <wps:txbx>
                        <w:txbxContent>
                          <w:p>
                            <w:pPr>
                              <w:jc w:val="both"/>
                              <w:rPr>
                                <w:sz w:val="20"/>
                                <w:szCs w:val="22"/>
                              </w:rPr>
                            </w:pPr>
                            <w:r>
                              <w:rPr>
                                <w:rFonts w:hint="eastAsia" w:ascii="文鼎CS大黑" w:eastAsia="文鼎CS大黑"/>
                                <w:b/>
                                <w:color w:val="003B77"/>
                                <w:sz w:val="72"/>
                                <w:szCs w:val="72"/>
                                <w:lang w:val="en-US" w:eastAsia="zh-CN"/>
                              </w:rPr>
                              <w:t>保项目服务标准及要求</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5.3pt;margin-top:0.05pt;height:64pt;width:401.3pt;mso-position-horizontal-relative:margin;z-index:251661312;mso-width-relative:page;mso-height-relative:page;" filled="f" stroked="f" coordsize="21600,21600" o:gfxdata="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y3ZGh0wAAAAcBAAAP&#10;AAAAAAAAAAEAIAAAACIAAABkcnMvZG93bnJldi54bWxQSwECFAAUAAAACACHTuJAermYSh0CAAAl&#10;BAAADgAAAAAAAAABACAAAAAiAQAAZHJzL2Uyb0RvYy54bWxQSwUGAAAAAAYABgBZAQAAsQUAAAAA&#10;">
                <v:fill on="f" focussize="0,0"/>
                <v:stroke on="f"/>
                <v:imagedata o:title=""/>
                <o:lock v:ext="edit" aspectratio="f"/>
                <v:textbox>
                  <w:txbxContent>
                    <w:p>
                      <w:pPr>
                        <w:jc w:val="both"/>
                        <w:rPr>
                          <w:sz w:val="20"/>
                          <w:szCs w:val="22"/>
                        </w:rPr>
                      </w:pPr>
                      <w:r>
                        <w:rPr>
                          <w:rFonts w:hint="eastAsia" w:ascii="文鼎CS大黑" w:eastAsia="文鼎CS大黑"/>
                          <w:b/>
                          <w:color w:val="003B77"/>
                          <w:sz w:val="72"/>
                          <w:szCs w:val="72"/>
                          <w:lang w:val="en-US" w:eastAsia="zh-CN"/>
                        </w:rPr>
                        <w:t>保项目服务标准及要求</w:t>
                      </w:r>
                    </w:p>
                  </w:txbxContent>
                </v:textbox>
              </v:shape>
            </w:pict>
          </mc:Fallback>
        </mc:AlternateContent>
      </w: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r>
        <w:rPr>
          <w:rFonts w:hint="eastAsia" w:ascii="宋体" w:hAnsi="宋体" w:eastAsia="宋体" w:cs="宋体"/>
          <w:color w:val="auto"/>
        </w:rPr>
        <mc:AlternateContent>
          <mc:Choice Requires="wps">
            <w:drawing>
              <wp:anchor distT="0" distB="0" distL="114300" distR="114300" simplePos="0" relativeHeight="251662336" behindDoc="0" locked="0" layoutInCell="1" allowOverlap="1">
                <wp:simplePos x="0" y="0"/>
                <wp:positionH relativeFrom="margin">
                  <wp:posOffset>-677545</wp:posOffset>
                </wp:positionH>
                <wp:positionV relativeFrom="paragraph">
                  <wp:posOffset>167640</wp:posOffset>
                </wp:positionV>
                <wp:extent cx="6286500" cy="514985"/>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6286500" cy="514985"/>
                        </a:xfrm>
                        <a:prstGeom prst="rect">
                          <a:avLst/>
                        </a:prstGeom>
                        <a:noFill/>
                        <a:ln>
                          <a:noFill/>
                        </a:ln>
                        <a:effectLst/>
                      </wps:spPr>
                      <wps:txbx>
                        <w:txbxContent>
                          <w:p>
                            <w:pPr>
                              <w:autoSpaceDE w:val="0"/>
                              <w:autoSpaceDN w:val="0"/>
                              <w:adjustRightInd w:val="0"/>
                              <w:spacing w:before="156"/>
                              <w:jc w:val="center"/>
                              <w:rPr>
                                <w:rFonts w:eastAsia="仿宋"/>
                                <w:b/>
                                <w:sz w:val="32"/>
                                <w:szCs w:val="32"/>
                              </w:rPr>
                            </w:pPr>
                            <w:bookmarkStart w:id="2" w:name="XmInfoEntity_DATE_0_1"/>
                            <w:r>
                              <w:rPr>
                                <w:rFonts w:hint="eastAsia" w:ascii="宋体" w:cs="宋体"/>
                                <w:b/>
                                <w:color w:val="000000"/>
                                <w:sz w:val="32"/>
                                <w:szCs w:val="32"/>
                                <w:u w:val="none"/>
                              </w:rPr>
                              <w:t>202</w:t>
                            </w:r>
                            <w:r>
                              <w:rPr>
                                <w:rFonts w:hint="eastAsia" w:ascii="宋体" w:cs="宋体"/>
                                <w:b/>
                                <w:color w:val="000000"/>
                                <w:sz w:val="32"/>
                                <w:szCs w:val="32"/>
                                <w:u w:val="none"/>
                                <w:lang w:val="en-US" w:eastAsia="zh-CN"/>
                              </w:rPr>
                              <w:t>4</w:t>
                            </w:r>
                            <w:r>
                              <w:rPr>
                                <w:rFonts w:hint="eastAsia" w:ascii="宋体" w:cs="宋体"/>
                                <w:b/>
                                <w:color w:val="000000"/>
                                <w:sz w:val="32"/>
                                <w:szCs w:val="32"/>
                                <w:u w:val="none"/>
                              </w:rPr>
                              <w:t>年</w:t>
                            </w:r>
                            <w:r>
                              <w:rPr>
                                <w:rFonts w:hint="eastAsia" w:ascii="宋体" w:cs="宋体"/>
                                <w:b/>
                                <w:color w:val="000000"/>
                                <w:sz w:val="32"/>
                                <w:szCs w:val="32"/>
                                <w:u w:val="none"/>
                                <w:lang w:val="en-US" w:eastAsia="zh-CN"/>
                              </w:rPr>
                              <w:t>1</w:t>
                            </w:r>
                            <w:r>
                              <w:rPr>
                                <w:rFonts w:hint="eastAsia" w:ascii="宋体" w:cs="宋体"/>
                                <w:b/>
                                <w:color w:val="000000"/>
                                <w:sz w:val="32"/>
                                <w:szCs w:val="32"/>
                                <w:u w:val="none"/>
                                <w:lang w:val="zh-CN"/>
                              </w:rPr>
                              <w:t>月</w:t>
                            </w:r>
                            <w:bookmarkEnd w:id="2"/>
                            <w:r>
                              <w:rPr>
                                <w:kern w:val="0"/>
                                <w:sz w:val="20"/>
                                <w:szCs w:val="20"/>
                              </w:rPr>
                              <w:drawing>
                                <wp:inline distT="0" distB="0" distL="114300" distR="114300">
                                  <wp:extent cx="7781925" cy="6972300"/>
                                  <wp:effectExtent l="0" t="0" r="9525" b="0"/>
                                  <wp:docPr id="3"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说明: 未命名"/>
                                          <pic:cNvPicPr>
                                            <a:picLocks noChangeAspect="1"/>
                                          </pic:cNvPicPr>
                                        </pic:nvPicPr>
                                        <pic:blipFill>
                                          <a:blip r:embed="rId4"/>
                                          <a:stretch>
                                            <a:fillRect/>
                                          </a:stretch>
                                        </pic:blipFill>
                                        <pic:spPr>
                                          <a:xfrm>
                                            <a:off x="0" y="0"/>
                                            <a:ext cx="7781925" cy="69723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3.35pt;margin-top:13.2pt;height:40.55pt;width:495pt;mso-position-horizontal-relative:margin;z-index:251662336;mso-width-relative:page;mso-height-relative:page;" filled="f" stroked="f" coordsize="21600,21600" o:gfxdata="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MBwe3ZAAAA&#10;CwEAAA8AAAAAAAAAAQAgAAAAIgAAAGRycy9kb3ducmV2LnhtbFBLAQIUABQAAAAIAIdO4kBLp+RA&#10;HAIAACUEAAAOAAAAAAAAAAEAIAAAACgBAABkcnMvZTJvRG9jLnhtbFBLBQYAAAAABgAGAFkBAAC2&#10;BQAAAAA=&#10;">
                <v:fill on="f" focussize="0,0"/>
                <v:stroke on="f"/>
                <v:imagedata o:title=""/>
                <o:lock v:ext="edit" aspectratio="f"/>
                <v:textbox>
                  <w:txbxContent>
                    <w:p>
                      <w:pPr>
                        <w:autoSpaceDE w:val="0"/>
                        <w:autoSpaceDN w:val="0"/>
                        <w:adjustRightInd w:val="0"/>
                        <w:spacing w:before="156"/>
                        <w:jc w:val="center"/>
                        <w:rPr>
                          <w:rFonts w:eastAsia="仿宋"/>
                          <w:b/>
                          <w:sz w:val="32"/>
                          <w:szCs w:val="32"/>
                        </w:rPr>
                      </w:pPr>
                      <w:bookmarkStart w:id="2" w:name="XmInfoEntity_DATE_0_1"/>
                      <w:r>
                        <w:rPr>
                          <w:rFonts w:hint="eastAsia" w:ascii="宋体" w:cs="宋体"/>
                          <w:b/>
                          <w:color w:val="000000"/>
                          <w:sz w:val="32"/>
                          <w:szCs w:val="32"/>
                          <w:u w:val="none"/>
                        </w:rPr>
                        <w:t>202</w:t>
                      </w:r>
                      <w:r>
                        <w:rPr>
                          <w:rFonts w:hint="eastAsia" w:ascii="宋体" w:cs="宋体"/>
                          <w:b/>
                          <w:color w:val="000000"/>
                          <w:sz w:val="32"/>
                          <w:szCs w:val="32"/>
                          <w:u w:val="none"/>
                          <w:lang w:val="en-US" w:eastAsia="zh-CN"/>
                        </w:rPr>
                        <w:t>4</w:t>
                      </w:r>
                      <w:r>
                        <w:rPr>
                          <w:rFonts w:hint="eastAsia" w:ascii="宋体" w:cs="宋体"/>
                          <w:b/>
                          <w:color w:val="000000"/>
                          <w:sz w:val="32"/>
                          <w:szCs w:val="32"/>
                          <w:u w:val="none"/>
                        </w:rPr>
                        <w:t>年</w:t>
                      </w:r>
                      <w:r>
                        <w:rPr>
                          <w:rFonts w:hint="eastAsia" w:ascii="宋体" w:cs="宋体"/>
                          <w:b/>
                          <w:color w:val="000000"/>
                          <w:sz w:val="32"/>
                          <w:szCs w:val="32"/>
                          <w:u w:val="none"/>
                          <w:lang w:val="en-US" w:eastAsia="zh-CN"/>
                        </w:rPr>
                        <w:t>1</w:t>
                      </w:r>
                      <w:r>
                        <w:rPr>
                          <w:rFonts w:hint="eastAsia" w:ascii="宋体" w:cs="宋体"/>
                          <w:b/>
                          <w:color w:val="000000"/>
                          <w:sz w:val="32"/>
                          <w:szCs w:val="32"/>
                          <w:u w:val="none"/>
                          <w:lang w:val="zh-CN"/>
                        </w:rPr>
                        <w:t>月</w:t>
                      </w:r>
                      <w:bookmarkEnd w:id="2"/>
                      <w:r>
                        <w:rPr>
                          <w:kern w:val="0"/>
                          <w:sz w:val="20"/>
                          <w:szCs w:val="20"/>
                        </w:rPr>
                        <w:drawing>
                          <wp:inline distT="0" distB="0" distL="114300" distR="114300">
                            <wp:extent cx="7781925" cy="6972300"/>
                            <wp:effectExtent l="0" t="0" r="9525" b="0"/>
                            <wp:docPr id="3"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说明: 未命名"/>
                                    <pic:cNvPicPr>
                                      <a:picLocks noChangeAspect="1"/>
                                    </pic:cNvPicPr>
                                  </pic:nvPicPr>
                                  <pic:blipFill>
                                    <a:blip r:embed="rId4"/>
                                    <a:stretch>
                                      <a:fillRect/>
                                    </a:stretch>
                                  </pic:blipFill>
                                  <pic:spPr>
                                    <a:xfrm>
                                      <a:off x="0" y="0"/>
                                      <a:ext cx="7781925" cy="6972300"/>
                                    </a:xfrm>
                                    <a:prstGeom prst="rect">
                                      <a:avLst/>
                                    </a:prstGeom>
                                    <a:noFill/>
                                    <a:ln>
                                      <a:noFill/>
                                    </a:ln>
                                  </pic:spPr>
                                </pic:pic>
                              </a:graphicData>
                            </a:graphic>
                          </wp:inline>
                        </w:drawing>
                      </w:r>
                    </w:p>
                  </w:txbxContent>
                </v:textbox>
              </v:shape>
            </w:pict>
          </mc:Fallback>
        </mc:AlternateContent>
      </w: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rPr>
          <w:rFonts w:hint="eastAsia" w:ascii="宋体" w:hAnsi="宋体" w:eastAsia="宋体" w:cs="宋体"/>
          <w:color w:val="auto"/>
        </w:rPr>
      </w:pPr>
    </w:p>
    <w:p>
      <w:pPr>
        <w:ind w:firstLine="210" w:firstLineChars="100"/>
        <w:jc w:val="both"/>
        <w:rPr>
          <w:rFonts w:hint="eastAsia"/>
          <w:lang w:val="en-US" w:eastAsia="zh-CN"/>
        </w:rPr>
      </w:pPr>
    </w:p>
    <w:p>
      <w:pPr>
        <w:ind w:left="2879" w:leftChars="152" w:hanging="2560" w:hangingChars="800"/>
        <w:jc w:val="both"/>
        <w:rPr>
          <w:rFonts w:hint="default" w:ascii="宋体" w:hAnsi="宋体" w:eastAsia="宋体" w:cs="宋体"/>
          <w:sz w:val="24"/>
          <w:szCs w:val="24"/>
          <w:lang w:val="en-US" w:eastAsia="zh-CN"/>
        </w:rPr>
      </w:pPr>
      <w:r>
        <w:rPr>
          <w:rFonts w:hint="eastAsia" w:ascii="黑体" w:hAnsi="黑体" w:eastAsia="黑体" w:cs="黑体"/>
          <w:sz w:val="32"/>
          <w:szCs w:val="32"/>
          <w:lang w:val="en-US" w:eastAsia="zh-CN"/>
        </w:rPr>
        <w:t>新电力集团三江供电公司2024年办公场所消防维保项目服务标准及要求</w:t>
      </w:r>
    </w:p>
    <w:p>
      <w:pPr>
        <w:ind w:firstLine="240" w:firstLineChars="100"/>
        <w:jc w:val="both"/>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0"/>
        <w:rPr>
          <w:rFonts w:asciiTheme="minorEastAsia" w:hAnsiTheme="minorEastAsia"/>
          <w:b/>
          <w:sz w:val="28"/>
          <w:szCs w:val="28"/>
        </w:rPr>
      </w:pPr>
      <w:r>
        <w:rPr>
          <w:rFonts w:hint="eastAsia" w:asciiTheme="minorEastAsia" w:hAnsiTheme="minorEastAsia"/>
          <w:b/>
          <w:sz w:val="28"/>
          <w:szCs w:val="28"/>
        </w:rPr>
        <w:t>一、项目概况</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该服务项目为对三江供电公司所辖办公场所</w:t>
      </w:r>
      <w:r>
        <w:rPr>
          <w:rFonts w:hint="eastAsia" w:ascii="宋体" w:hAnsi="宋体" w:eastAsia="宋体" w:cs="宋体"/>
          <w:sz w:val="28"/>
          <w:szCs w:val="28"/>
          <w:lang w:eastAsia="zh-CN"/>
        </w:rPr>
        <w:t>各消防系统及电气防火维护保养维修。维护周期自合同约定生效之日起至2024年12月31日止</w:t>
      </w:r>
      <w:bookmarkStart w:id="3" w:name="_GoBack"/>
      <w:bookmarkEnd w:id="3"/>
      <w:r>
        <w:rPr>
          <w:rFonts w:hint="eastAsia" w:ascii="宋体" w:hAnsi="宋体" w:eastAsia="宋体" w:cs="宋体"/>
          <w:sz w:val="28"/>
          <w:szCs w:val="28"/>
          <w:lang w:val="en-US" w:eastAsia="zh-CN"/>
        </w:rPr>
        <w:t>。消防系统维保包括消防设施（含灭火器、呼吸器等）、消防应急照明、室内外消火栓系统及其专用地上管网的定期检测、缺陷处理及日常维护保养。</w:t>
      </w:r>
    </w:p>
    <w:p>
      <w:pPr>
        <w:spacing w:line="360" w:lineRule="auto"/>
        <w:ind w:firstLine="562" w:firstLineChars="200"/>
        <w:rPr>
          <w:rFonts w:hint="eastAsia" w:asciiTheme="minorEastAsia" w:hAnsiTheme="minorEastAsia"/>
          <w:b/>
          <w:sz w:val="28"/>
          <w:szCs w:val="28"/>
          <w:lang w:val="en-US" w:eastAsia="zh-CN"/>
        </w:rPr>
      </w:pPr>
      <w:r>
        <w:rPr>
          <w:rFonts w:hint="eastAsia" w:asciiTheme="minorEastAsia" w:hAnsiTheme="minorEastAsia"/>
          <w:b/>
          <w:sz w:val="28"/>
          <w:szCs w:val="28"/>
          <w:lang w:val="en-US" w:eastAsia="zh-CN"/>
        </w:rPr>
        <w:t>二、维保内容</w:t>
      </w:r>
    </w:p>
    <w:p>
      <w:pPr>
        <w:spacing w:line="360" w:lineRule="auto"/>
        <w:ind w:firstLine="560" w:firstLineChars="200"/>
        <w:outlineLvl w:val="1"/>
        <w:rPr>
          <w:rFonts w:hint="eastAsia" w:asciiTheme="minorEastAsia" w:hAnsiTheme="minorEastAsia"/>
          <w:b w:val="0"/>
          <w:bCs/>
          <w:sz w:val="28"/>
          <w:szCs w:val="28"/>
          <w:lang w:val="en-US" w:eastAsia="zh-CN"/>
        </w:rPr>
      </w:pPr>
      <w:r>
        <w:rPr>
          <w:rFonts w:hint="eastAsia" w:asciiTheme="minorEastAsia" w:hAnsiTheme="minorEastAsia"/>
          <w:b w:val="0"/>
          <w:bCs/>
          <w:sz w:val="28"/>
          <w:szCs w:val="28"/>
          <w:lang w:val="en-US" w:eastAsia="zh-CN"/>
        </w:rPr>
        <w:t>三江供电公司总部办公楼维保内容</w:t>
      </w:r>
    </w:p>
    <w:tbl>
      <w:tblPr>
        <w:tblStyle w:val="5"/>
        <w:tblW w:w="86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999"/>
        <w:gridCol w:w="2375"/>
        <w:gridCol w:w="3388"/>
        <w:gridCol w:w="18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35"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序号</w:t>
            </w:r>
          </w:p>
        </w:tc>
        <w:tc>
          <w:tcPr>
            <w:tcW w:w="23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系统名称</w:t>
            </w:r>
          </w:p>
        </w:tc>
        <w:tc>
          <w:tcPr>
            <w:tcW w:w="3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设备名称</w:t>
            </w:r>
          </w:p>
        </w:tc>
        <w:tc>
          <w:tcPr>
            <w:tcW w:w="18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2375"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火灾自动报警系统</w:t>
            </w: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火灾报警控制器（台）</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237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24V电源盘（台）</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237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点型感烟探测器（个）</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237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手动报警按钮（个）</w:t>
            </w:r>
          </w:p>
        </w:tc>
        <w:tc>
          <w:tcPr>
            <w:tcW w:w="1862"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5</w:t>
            </w:r>
          </w:p>
        </w:tc>
        <w:tc>
          <w:tcPr>
            <w:tcW w:w="237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声光报警器（个）</w:t>
            </w:r>
          </w:p>
        </w:tc>
        <w:tc>
          <w:tcPr>
            <w:tcW w:w="1862"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6</w:t>
            </w:r>
          </w:p>
        </w:tc>
        <w:tc>
          <w:tcPr>
            <w:tcW w:w="237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广播扬声器（个）</w:t>
            </w:r>
          </w:p>
        </w:tc>
        <w:tc>
          <w:tcPr>
            <w:tcW w:w="1862"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7</w:t>
            </w:r>
          </w:p>
        </w:tc>
        <w:tc>
          <w:tcPr>
            <w:tcW w:w="237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消防电话分机（个）</w:t>
            </w:r>
          </w:p>
        </w:tc>
        <w:tc>
          <w:tcPr>
            <w:tcW w:w="1862"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8</w:t>
            </w:r>
          </w:p>
        </w:tc>
        <w:tc>
          <w:tcPr>
            <w:tcW w:w="237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消防电话插孔（个）</w:t>
            </w:r>
          </w:p>
        </w:tc>
        <w:tc>
          <w:tcPr>
            <w:tcW w:w="1862"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9</w:t>
            </w:r>
          </w:p>
        </w:tc>
        <w:tc>
          <w:tcPr>
            <w:tcW w:w="237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控制模块（个）</w:t>
            </w:r>
          </w:p>
        </w:tc>
        <w:tc>
          <w:tcPr>
            <w:tcW w:w="1862"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10</w:t>
            </w:r>
          </w:p>
        </w:tc>
        <w:tc>
          <w:tcPr>
            <w:tcW w:w="237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消火栓灭火系统</w:t>
            </w: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室内消火栓箱（套）</w:t>
            </w:r>
          </w:p>
        </w:tc>
        <w:tc>
          <w:tcPr>
            <w:tcW w:w="1862"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11</w:t>
            </w:r>
          </w:p>
        </w:tc>
        <w:tc>
          <w:tcPr>
            <w:tcW w:w="2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消火栓减压、节流装置</w:t>
            </w:r>
          </w:p>
        </w:tc>
        <w:tc>
          <w:tcPr>
            <w:tcW w:w="1862"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12</w:t>
            </w:r>
          </w:p>
        </w:tc>
        <w:tc>
          <w:tcPr>
            <w:tcW w:w="23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1"/>
                <w:szCs w:val="21"/>
                <w:highlight w:val="yellow"/>
                <w:u w:val="none"/>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消火栓水泵接合器（套）</w:t>
            </w:r>
          </w:p>
        </w:tc>
        <w:tc>
          <w:tcPr>
            <w:tcW w:w="1862"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13</w:t>
            </w:r>
          </w:p>
        </w:tc>
        <w:tc>
          <w:tcPr>
            <w:tcW w:w="237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防火分隔系统</w:t>
            </w:r>
          </w:p>
        </w:tc>
        <w:tc>
          <w:tcPr>
            <w:tcW w:w="3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防火门（樘）</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yellow"/>
                <w:u w:val="none"/>
              </w:rPr>
            </w:pPr>
            <w:r>
              <w:rPr>
                <w:rFonts w:hint="eastAsia" w:ascii="宋体" w:hAnsi="宋体" w:eastAsia="宋体" w:cs="宋体"/>
                <w:i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14</w:t>
            </w:r>
          </w:p>
        </w:tc>
        <w:tc>
          <w:tcPr>
            <w:tcW w:w="2375"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七氟丙烷灭火系统</w:t>
            </w: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点型感烟、感温探测器（个）</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rPr>
            </w:pPr>
            <w:r>
              <w:rPr>
                <w:rFonts w:hint="eastAsia" w:ascii="宋体" w:hAnsi="宋体" w:eastAsia="宋体" w:cs="宋体"/>
                <w:i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15</w:t>
            </w:r>
          </w:p>
        </w:tc>
        <w:tc>
          <w:tcPr>
            <w:tcW w:w="2375"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报警及联动控制器（台）</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16</w:t>
            </w:r>
          </w:p>
        </w:tc>
        <w:tc>
          <w:tcPr>
            <w:tcW w:w="2375"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紧急启停按钮（个）</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17</w:t>
            </w:r>
          </w:p>
        </w:tc>
        <w:tc>
          <w:tcPr>
            <w:tcW w:w="2375"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放气勿入指示灯（盏）</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18</w:t>
            </w:r>
          </w:p>
        </w:tc>
        <w:tc>
          <w:tcPr>
            <w:tcW w:w="2375"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灭火剂钢瓶组（个）</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19</w:t>
            </w:r>
          </w:p>
        </w:tc>
        <w:tc>
          <w:tcPr>
            <w:tcW w:w="2375"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声光报警器（个）</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20</w:t>
            </w:r>
          </w:p>
        </w:tc>
        <w:tc>
          <w:tcPr>
            <w:tcW w:w="2375"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启动电磁阀（个）</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21</w:t>
            </w:r>
          </w:p>
        </w:tc>
        <w:tc>
          <w:tcPr>
            <w:tcW w:w="23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应急照明和疏散指示标志</w:t>
            </w: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应急照明灯、疏散指示灯</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2" w:hRule="atLeast"/>
        </w:trPr>
        <w:tc>
          <w:tcPr>
            <w:tcW w:w="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22</w:t>
            </w:r>
          </w:p>
        </w:tc>
        <w:tc>
          <w:tcPr>
            <w:tcW w:w="23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灭火器</w:t>
            </w:r>
          </w:p>
        </w:tc>
        <w:tc>
          <w:tcPr>
            <w:tcW w:w="338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手提式干粉灭火器（ABC/4㎏）</w:t>
            </w:r>
          </w:p>
        </w:tc>
        <w:tc>
          <w:tcPr>
            <w:tcW w:w="18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51</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0"/>
        <w:rPr>
          <w:rFonts w:hint="eastAsia" w:asciiTheme="minorEastAsia" w:hAnsiTheme="minorEastAsia"/>
          <w:b/>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0"/>
        <w:rPr>
          <w:rFonts w:hint="eastAsia" w:asciiTheme="minorEastAsia" w:hAnsiTheme="minorEastAsia"/>
          <w:b/>
          <w:sz w:val="28"/>
          <w:szCs w:val="28"/>
          <w:lang w:eastAsia="zh-CN"/>
        </w:rPr>
      </w:pPr>
      <w:r>
        <w:rPr>
          <w:rFonts w:hint="eastAsia" w:asciiTheme="minorEastAsia" w:hAnsiTheme="minorEastAsia"/>
          <w:b/>
          <w:sz w:val="28"/>
          <w:szCs w:val="28"/>
          <w:lang w:eastAsia="zh-CN"/>
        </w:rPr>
        <w:t>三</w:t>
      </w:r>
      <w:r>
        <w:rPr>
          <w:rFonts w:hint="eastAsia" w:asciiTheme="minorEastAsia" w:hAnsiTheme="minorEastAsia"/>
          <w:b/>
          <w:sz w:val="28"/>
          <w:szCs w:val="28"/>
        </w:rPr>
        <w:t>、</w:t>
      </w:r>
      <w:r>
        <w:rPr>
          <w:rFonts w:hint="eastAsia" w:asciiTheme="minorEastAsia" w:hAnsiTheme="minorEastAsia"/>
          <w:b/>
          <w:sz w:val="28"/>
          <w:szCs w:val="28"/>
          <w:lang w:val="en-US" w:eastAsia="zh-CN"/>
        </w:rPr>
        <w:t>维保</w:t>
      </w:r>
      <w:r>
        <w:rPr>
          <w:rFonts w:hint="eastAsia" w:asciiTheme="minorEastAsia" w:hAnsiTheme="minorEastAsia"/>
          <w:b/>
          <w:sz w:val="28"/>
          <w:szCs w:val="28"/>
          <w:lang w:eastAsia="zh-CN"/>
        </w:rPr>
        <w:t>要求</w:t>
      </w:r>
    </w:p>
    <w:p>
      <w:pPr>
        <w:spacing w:line="360" w:lineRule="auto"/>
        <w:ind w:firstLine="560" w:firstLineChars="200"/>
        <w:rPr>
          <w:rFonts w:hint="eastAsia" w:asciiTheme="minorEastAsia" w:hAnsiTheme="minorEastAsia"/>
          <w:b w:val="0"/>
          <w:bCs/>
          <w:sz w:val="28"/>
          <w:szCs w:val="28"/>
          <w:lang w:val="en-US" w:eastAsia="zh-CN"/>
        </w:rPr>
      </w:pPr>
      <w:r>
        <w:rPr>
          <w:rFonts w:hint="eastAsia" w:asciiTheme="minorEastAsia" w:hAnsiTheme="minorEastAsia"/>
          <w:b w:val="0"/>
          <w:bCs/>
          <w:sz w:val="28"/>
          <w:szCs w:val="28"/>
          <w:lang w:val="en-US" w:eastAsia="zh-CN"/>
        </w:rPr>
        <w:t>（一）消防系统维护保养要求</w:t>
      </w:r>
    </w:p>
    <w:tbl>
      <w:tblPr>
        <w:tblStyle w:val="5"/>
        <w:tblpPr w:leftFromText="180" w:rightFromText="180" w:vertAnchor="text" w:horzAnchor="page" w:tblpX="1890" w:tblpY="456"/>
        <w:tblOverlap w:val="never"/>
        <w:tblW w:w="8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7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16" w:type="dxa"/>
            <w:vAlign w:val="center"/>
          </w:tcPr>
          <w:p>
            <w:pPr>
              <w:spacing w:line="240" w:lineRule="exact"/>
              <w:ind w:left="-106" w:leftChars="-51" w:right="-107" w:rightChars="-51" w:hanging="1"/>
              <w:jc w:val="center"/>
              <w:rPr>
                <w:rFonts w:hint="eastAsia" w:ascii="宋体" w:hAnsi="宋体" w:cs="Arial"/>
                <w:b/>
                <w:sz w:val="24"/>
              </w:rPr>
            </w:pPr>
            <w:r>
              <w:rPr>
                <w:rFonts w:ascii="宋体" w:hAnsi="宋体" w:cs="Arial"/>
                <w:b/>
                <w:sz w:val="24"/>
              </w:rPr>
              <w:t>系统</w:t>
            </w:r>
          </w:p>
          <w:p>
            <w:pPr>
              <w:spacing w:line="240" w:lineRule="exact"/>
              <w:ind w:left="-106" w:leftChars="-51" w:right="-107" w:rightChars="-51" w:hanging="1"/>
              <w:jc w:val="center"/>
              <w:rPr>
                <w:rFonts w:ascii="宋体" w:hAnsi="宋体" w:cs="Arial"/>
                <w:b/>
                <w:sz w:val="24"/>
              </w:rPr>
            </w:pPr>
            <w:r>
              <w:rPr>
                <w:rFonts w:ascii="宋体" w:hAnsi="宋体" w:cs="Arial"/>
                <w:b/>
                <w:sz w:val="24"/>
              </w:rPr>
              <w:t>名称</w:t>
            </w:r>
          </w:p>
        </w:tc>
        <w:tc>
          <w:tcPr>
            <w:tcW w:w="7612" w:type="dxa"/>
            <w:vAlign w:val="center"/>
          </w:tcPr>
          <w:p>
            <w:pPr>
              <w:spacing w:line="240" w:lineRule="exact"/>
              <w:jc w:val="center"/>
              <w:rPr>
                <w:rFonts w:ascii="宋体" w:hAnsi="宋体" w:cs="Arial"/>
                <w:b/>
                <w:sz w:val="24"/>
              </w:rPr>
            </w:pPr>
            <w:r>
              <w:rPr>
                <w:rFonts w:ascii="宋体" w:hAnsi="宋体" w:cs="Arial"/>
                <w:b/>
                <w:sz w:val="24"/>
              </w:rPr>
              <w:t xml:space="preserve">检 查 维 </w:t>
            </w:r>
            <w:r>
              <w:rPr>
                <w:rFonts w:hint="eastAsia" w:ascii="宋体" w:hAnsi="宋体" w:cs="Arial"/>
                <w:b/>
                <w:sz w:val="24"/>
              </w:rPr>
              <w:t>护</w:t>
            </w:r>
            <w:r>
              <w:rPr>
                <w:rFonts w:ascii="宋体" w:hAnsi="宋体" w:cs="Arial"/>
                <w:b/>
                <w:sz w:val="24"/>
              </w:rPr>
              <w:t xml:space="preserve"> 保 养 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9" w:hRule="atLeast"/>
        </w:trPr>
        <w:tc>
          <w:tcPr>
            <w:tcW w:w="1016" w:type="dxa"/>
            <w:vAlign w:val="center"/>
          </w:tcPr>
          <w:p>
            <w:pPr>
              <w:jc w:val="center"/>
              <w:rPr>
                <w:rFonts w:hint="eastAsia" w:ascii="宋体" w:hAnsi="宋体" w:eastAsia="宋体" w:cs="宋体"/>
                <w:sz w:val="21"/>
                <w:szCs w:val="21"/>
              </w:rPr>
            </w:pPr>
            <w:r>
              <w:rPr>
                <w:rFonts w:hint="eastAsia" w:ascii="宋体" w:hAnsi="宋体" w:eastAsia="宋体" w:cs="宋体"/>
                <w:sz w:val="21"/>
                <w:szCs w:val="21"/>
              </w:rPr>
              <w:t>火</w:t>
            </w:r>
          </w:p>
          <w:p>
            <w:pPr>
              <w:jc w:val="center"/>
              <w:rPr>
                <w:rFonts w:hint="eastAsia" w:ascii="宋体" w:hAnsi="宋体" w:eastAsia="宋体" w:cs="宋体"/>
                <w:sz w:val="21"/>
                <w:szCs w:val="21"/>
              </w:rPr>
            </w:pPr>
            <w:r>
              <w:rPr>
                <w:rFonts w:hint="eastAsia" w:ascii="宋体" w:hAnsi="宋体" w:eastAsia="宋体" w:cs="宋体"/>
                <w:sz w:val="21"/>
                <w:szCs w:val="21"/>
              </w:rPr>
              <w:t>灾</w:t>
            </w:r>
          </w:p>
          <w:p>
            <w:pPr>
              <w:jc w:val="center"/>
              <w:rPr>
                <w:rFonts w:hint="eastAsia" w:ascii="宋体" w:hAnsi="宋体" w:eastAsia="宋体" w:cs="宋体"/>
                <w:sz w:val="21"/>
                <w:szCs w:val="21"/>
              </w:rPr>
            </w:pPr>
            <w:r>
              <w:rPr>
                <w:rFonts w:hint="eastAsia" w:ascii="宋体" w:hAnsi="宋体" w:eastAsia="宋体" w:cs="宋体"/>
                <w:sz w:val="21"/>
                <w:szCs w:val="21"/>
              </w:rPr>
              <w:t>自</w:t>
            </w:r>
          </w:p>
          <w:p>
            <w:pPr>
              <w:jc w:val="center"/>
              <w:rPr>
                <w:rFonts w:hint="eastAsia" w:ascii="宋体" w:hAnsi="宋体" w:eastAsia="宋体" w:cs="宋体"/>
                <w:sz w:val="21"/>
                <w:szCs w:val="21"/>
              </w:rPr>
            </w:pPr>
            <w:r>
              <w:rPr>
                <w:rFonts w:hint="eastAsia" w:ascii="宋体" w:hAnsi="宋体" w:eastAsia="宋体" w:cs="宋体"/>
                <w:sz w:val="21"/>
                <w:szCs w:val="21"/>
              </w:rPr>
              <w:t>动</w:t>
            </w:r>
          </w:p>
          <w:p>
            <w:pPr>
              <w:jc w:val="center"/>
              <w:rPr>
                <w:rFonts w:hint="eastAsia" w:ascii="宋体" w:hAnsi="宋体" w:eastAsia="宋体" w:cs="宋体"/>
                <w:sz w:val="21"/>
                <w:szCs w:val="21"/>
              </w:rPr>
            </w:pPr>
            <w:r>
              <w:rPr>
                <w:rFonts w:hint="eastAsia" w:ascii="宋体" w:hAnsi="宋体" w:eastAsia="宋体" w:cs="宋体"/>
                <w:sz w:val="21"/>
                <w:szCs w:val="21"/>
              </w:rPr>
              <w:t>报</w:t>
            </w:r>
          </w:p>
          <w:p>
            <w:pPr>
              <w:jc w:val="center"/>
              <w:rPr>
                <w:rFonts w:hint="eastAsia" w:ascii="宋体" w:hAnsi="宋体" w:eastAsia="宋体" w:cs="宋体"/>
                <w:sz w:val="21"/>
                <w:szCs w:val="21"/>
              </w:rPr>
            </w:pPr>
            <w:r>
              <w:rPr>
                <w:rFonts w:hint="eastAsia" w:ascii="宋体" w:hAnsi="宋体" w:eastAsia="宋体" w:cs="宋体"/>
                <w:sz w:val="21"/>
                <w:szCs w:val="21"/>
              </w:rPr>
              <w:t>警</w:t>
            </w:r>
          </w:p>
          <w:p>
            <w:pPr>
              <w:jc w:val="center"/>
              <w:rPr>
                <w:rFonts w:hint="eastAsia" w:ascii="宋体" w:hAnsi="宋体" w:eastAsia="宋体" w:cs="宋体"/>
                <w:sz w:val="21"/>
                <w:szCs w:val="21"/>
              </w:rPr>
            </w:pPr>
            <w:r>
              <w:rPr>
                <w:rFonts w:hint="eastAsia" w:ascii="宋体" w:hAnsi="宋体" w:eastAsia="宋体" w:cs="宋体"/>
                <w:sz w:val="21"/>
                <w:szCs w:val="21"/>
              </w:rPr>
              <w:t>系</w:t>
            </w:r>
          </w:p>
          <w:p>
            <w:pPr>
              <w:jc w:val="center"/>
              <w:rPr>
                <w:rFonts w:hint="eastAsia" w:ascii="宋体" w:hAnsi="宋体" w:eastAsia="宋体" w:cs="宋体"/>
                <w:sz w:val="21"/>
                <w:szCs w:val="21"/>
              </w:rPr>
            </w:pPr>
            <w:r>
              <w:rPr>
                <w:rFonts w:hint="eastAsia" w:ascii="宋体" w:hAnsi="宋体" w:eastAsia="宋体" w:cs="宋体"/>
                <w:sz w:val="21"/>
                <w:szCs w:val="21"/>
              </w:rPr>
              <w:t>统</w:t>
            </w:r>
          </w:p>
        </w:tc>
        <w:tc>
          <w:tcPr>
            <w:tcW w:w="7612" w:type="dxa"/>
            <w:vAlign w:val="center"/>
          </w:tcPr>
          <w:p>
            <w:pPr>
              <w:spacing w:line="340" w:lineRule="exact"/>
              <w:rPr>
                <w:rFonts w:hint="eastAsia" w:ascii="宋体" w:hAnsi="宋体" w:eastAsia="宋体" w:cs="宋体"/>
                <w:sz w:val="21"/>
                <w:szCs w:val="21"/>
              </w:rPr>
            </w:pPr>
            <w:r>
              <w:rPr>
                <w:rFonts w:hint="eastAsia" w:ascii="宋体" w:hAnsi="宋体" w:eastAsia="宋体" w:cs="宋体"/>
                <w:sz w:val="21"/>
                <w:szCs w:val="21"/>
              </w:rPr>
              <w:t>1、检查火灾报警控制器自检功能、消音复位功能、故障报警功能、火灾优先功能、报警记忆功能和主、备电源自动转换功能（该项工作由消防控制室值班人员完成）。</w:t>
            </w:r>
          </w:p>
          <w:p>
            <w:pPr>
              <w:spacing w:line="340" w:lineRule="exact"/>
              <w:rPr>
                <w:rFonts w:hint="eastAsia" w:ascii="宋体" w:hAnsi="宋体" w:eastAsia="宋体" w:cs="宋体"/>
                <w:sz w:val="21"/>
                <w:szCs w:val="21"/>
              </w:rPr>
            </w:pPr>
            <w:r>
              <w:rPr>
                <w:rFonts w:hint="eastAsia" w:ascii="宋体" w:hAnsi="宋体" w:eastAsia="宋体" w:cs="宋体"/>
                <w:sz w:val="21"/>
                <w:szCs w:val="21"/>
              </w:rPr>
              <w:t>2、检查消防控制室或消防值班工作环境以及火灾报警控制、联动控制器、层显（或区域控制器）、手动报警按钮等是否处于正常完好状态。</w:t>
            </w:r>
          </w:p>
          <w:p>
            <w:pPr>
              <w:spacing w:line="340" w:lineRule="exact"/>
              <w:rPr>
                <w:rFonts w:hint="eastAsia" w:ascii="宋体" w:hAnsi="宋体" w:eastAsia="宋体" w:cs="宋体"/>
                <w:sz w:val="21"/>
                <w:szCs w:val="21"/>
              </w:rPr>
            </w:pPr>
            <w:r>
              <w:rPr>
                <w:rFonts w:hint="eastAsia" w:ascii="宋体" w:hAnsi="宋体" w:eastAsia="宋体" w:cs="宋体"/>
                <w:sz w:val="21"/>
                <w:szCs w:val="21"/>
              </w:rPr>
              <w:t>3、检查下列功能：</w:t>
            </w:r>
          </w:p>
          <w:p>
            <w:pPr>
              <w:spacing w:line="340" w:lineRule="exact"/>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1 \* GB2 </w:instrText>
            </w:r>
            <w:r>
              <w:rPr>
                <w:rFonts w:hint="eastAsia" w:ascii="宋体" w:hAnsi="宋体" w:eastAsia="宋体" w:cs="宋体"/>
                <w:sz w:val="21"/>
                <w:szCs w:val="21"/>
              </w:rPr>
              <w:fldChar w:fldCharType="separate"/>
            </w:r>
            <w:r>
              <w:rPr>
                <w:rFonts w:hint="eastAsia" w:ascii="宋体" w:hAnsi="宋体" w:eastAsia="宋体" w:cs="宋体"/>
                <w:sz w:val="21"/>
                <w:szCs w:val="21"/>
              </w:rPr>
              <w:t>⑴</w:t>
            </w:r>
            <w:r>
              <w:rPr>
                <w:rFonts w:hint="eastAsia" w:ascii="宋体" w:hAnsi="宋体" w:eastAsia="宋体" w:cs="宋体"/>
                <w:sz w:val="21"/>
                <w:szCs w:val="21"/>
              </w:rPr>
              <w:fldChar w:fldCharType="end"/>
            </w:r>
            <w:r>
              <w:rPr>
                <w:rFonts w:hint="eastAsia" w:ascii="宋体" w:hAnsi="宋体" w:eastAsia="宋体" w:cs="宋体"/>
                <w:sz w:val="21"/>
                <w:szCs w:val="21"/>
              </w:rPr>
              <w:t>、采用检测设备分期分批试验探测器的工作情况。</w:t>
            </w:r>
          </w:p>
          <w:p>
            <w:pPr>
              <w:spacing w:line="340" w:lineRule="exact"/>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2 \* GB2 </w:instrText>
            </w:r>
            <w:r>
              <w:rPr>
                <w:rFonts w:hint="eastAsia" w:ascii="宋体" w:hAnsi="宋体" w:eastAsia="宋体" w:cs="宋体"/>
                <w:sz w:val="21"/>
                <w:szCs w:val="21"/>
              </w:rPr>
              <w:fldChar w:fldCharType="separate"/>
            </w:r>
            <w:r>
              <w:rPr>
                <w:rFonts w:hint="eastAsia" w:ascii="宋体" w:hAnsi="宋体" w:eastAsia="宋体" w:cs="宋体"/>
                <w:sz w:val="21"/>
                <w:szCs w:val="21"/>
              </w:rPr>
              <w:t>⑵</w:t>
            </w:r>
            <w:r>
              <w:rPr>
                <w:rFonts w:hint="eastAsia" w:ascii="宋体" w:hAnsi="宋体" w:eastAsia="宋体" w:cs="宋体"/>
                <w:sz w:val="21"/>
                <w:szCs w:val="21"/>
              </w:rPr>
              <w:fldChar w:fldCharType="end"/>
            </w:r>
            <w:r>
              <w:rPr>
                <w:rFonts w:hint="eastAsia" w:ascii="宋体" w:hAnsi="宋体" w:eastAsia="宋体" w:cs="宋体"/>
                <w:sz w:val="21"/>
                <w:szCs w:val="21"/>
              </w:rPr>
              <w:t>、试验手动报警按钮报警功能。</w:t>
            </w:r>
          </w:p>
          <w:p>
            <w:pPr>
              <w:spacing w:line="340" w:lineRule="exact"/>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3 \* GB2 </w:instrText>
            </w:r>
            <w:r>
              <w:rPr>
                <w:rFonts w:hint="eastAsia" w:ascii="宋体" w:hAnsi="宋体" w:eastAsia="宋体" w:cs="宋体"/>
                <w:sz w:val="21"/>
                <w:szCs w:val="21"/>
              </w:rPr>
              <w:fldChar w:fldCharType="separate"/>
            </w:r>
            <w:r>
              <w:rPr>
                <w:rFonts w:hint="eastAsia" w:ascii="宋体" w:hAnsi="宋体" w:eastAsia="宋体" w:cs="宋体"/>
                <w:sz w:val="21"/>
                <w:szCs w:val="21"/>
              </w:rPr>
              <w:t>⑶</w:t>
            </w:r>
            <w:r>
              <w:rPr>
                <w:rFonts w:hint="eastAsia" w:ascii="宋体" w:hAnsi="宋体" w:eastAsia="宋体" w:cs="宋体"/>
                <w:sz w:val="21"/>
                <w:szCs w:val="21"/>
              </w:rPr>
              <w:fldChar w:fldCharType="end"/>
            </w:r>
            <w:r>
              <w:rPr>
                <w:rFonts w:hint="eastAsia" w:ascii="宋体" w:hAnsi="宋体" w:eastAsia="宋体" w:cs="宋体"/>
                <w:sz w:val="21"/>
                <w:szCs w:val="21"/>
              </w:rPr>
              <w:t>、对主机备用电源进行充放电试验。</w:t>
            </w:r>
          </w:p>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⑷、自动或手动试验相关消防联动控制设备的控制和显示功能。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atLeast"/>
        </w:trPr>
        <w:tc>
          <w:tcPr>
            <w:tcW w:w="1016" w:type="dxa"/>
            <w:vAlign w:val="center"/>
          </w:tcPr>
          <w:p>
            <w:pPr>
              <w:jc w:val="center"/>
              <w:rPr>
                <w:rFonts w:hint="eastAsia" w:ascii="宋体" w:hAnsi="宋体" w:eastAsia="宋体" w:cs="宋体"/>
                <w:sz w:val="21"/>
                <w:szCs w:val="21"/>
              </w:rPr>
            </w:pPr>
            <w:r>
              <w:rPr>
                <w:rFonts w:hint="eastAsia" w:ascii="宋体" w:hAnsi="宋体" w:eastAsia="宋体" w:cs="宋体"/>
                <w:sz w:val="21"/>
                <w:szCs w:val="21"/>
              </w:rPr>
              <w:t>消</w:t>
            </w:r>
          </w:p>
          <w:p>
            <w:pPr>
              <w:jc w:val="center"/>
              <w:rPr>
                <w:rFonts w:hint="eastAsia" w:ascii="宋体" w:hAnsi="宋体" w:eastAsia="宋体" w:cs="宋体"/>
                <w:sz w:val="21"/>
                <w:szCs w:val="21"/>
              </w:rPr>
            </w:pPr>
            <w:r>
              <w:rPr>
                <w:rFonts w:hint="eastAsia" w:ascii="宋体" w:hAnsi="宋体" w:eastAsia="宋体" w:cs="宋体"/>
                <w:sz w:val="21"/>
                <w:szCs w:val="21"/>
              </w:rPr>
              <w:t>火</w:t>
            </w:r>
          </w:p>
          <w:p>
            <w:pPr>
              <w:jc w:val="center"/>
              <w:rPr>
                <w:rFonts w:hint="eastAsia" w:ascii="宋体" w:hAnsi="宋体" w:eastAsia="宋体" w:cs="宋体"/>
                <w:sz w:val="21"/>
                <w:szCs w:val="21"/>
              </w:rPr>
            </w:pPr>
            <w:r>
              <w:rPr>
                <w:rFonts w:hint="eastAsia" w:ascii="宋体" w:hAnsi="宋体" w:eastAsia="宋体" w:cs="宋体"/>
                <w:sz w:val="21"/>
                <w:szCs w:val="21"/>
              </w:rPr>
              <w:t>栓</w:t>
            </w:r>
          </w:p>
          <w:p>
            <w:pPr>
              <w:jc w:val="center"/>
              <w:rPr>
                <w:rFonts w:hint="eastAsia" w:ascii="宋体" w:hAnsi="宋体" w:eastAsia="宋体" w:cs="宋体"/>
                <w:sz w:val="21"/>
                <w:szCs w:val="21"/>
              </w:rPr>
            </w:pPr>
            <w:r>
              <w:rPr>
                <w:rFonts w:hint="eastAsia" w:ascii="宋体" w:hAnsi="宋体" w:eastAsia="宋体" w:cs="宋体"/>
                <w:sz w:val="21"/>
                <w:szCs w:val="21"/>
              </w:rPr>
              <w:t>灭</w:t>
            </w:r>
          </w:p>
          <w:p>
            <w:pPr>
              <w:jc w:val="center"/>
              <w:rPr>
                <w:rFonts w:hint="eastAsia" w:ascii="宋体" w:hAnsi="宋体" w:eastAsia="宋体" w:cs="宋体"/>
                <w:sz w:val="21"/>
                <w:szCs w:val="21"/>
              </w:rPr>
            </w:pPr>
            <w:r>
              <w:rPr>
                <w:rFonts w:hint="eastAsia" w:ascii="宋体" w:hAnsi="宋体" w:eastAsia="宋体" w:cs="宋体"/>
                <w:sz w:val="21"/>
                <w:szCs w:val="21"/>
              </w:rPr>
              <w:t>火</w:t>
            </w:r>
          </w:p>
          <w:p>
            <w:pPr>
              <w:jc w:val="center"/>
              <w:rPr>
                <w:rFonts w:hint="eastAsia" w:ascii="宋体" w:hAnsi="宋体" w:eastAsia="宋体" w:cs="宋体"/>
                <w:sz w:val="21"/>
                <w:szCs w:val="21"/>
              </w:rPr>
            </w:pPr>
            <w:r>
              <w:rPr>
                <w:rFonts w:hint="eastAsia" w:ascii="宋体" w:hAnsi="宋体" w:eastAsia="宋体" w:cs="宋体"/>
                <w:sz w:val="21"/>
                <w:szCs w:val="21"/>
              </w:rPr>
              <w:t>系</w:t>
            </w:r>
          </w:p>
          <w:p>
            <w:pPr>
              <w:jc w:val="center"/>
              <w:rPr>
                <w:rFonts w:hint="eastAsia" w:ascii="宋体" w:hAnsi="宋体" w:eastAsia="宋体" w:cs="宋体"/>
                <w:sz w:val="21"/>
                <w:szCs w:val="21"/>
              </w:rPr>
            </w:pPr>
            <w:r>
              <w:rPr>
                <w:rFonts w:hint="eastAsia" w:ascii="宋体" w:hAnsi="宋体" w:eastAsia="宋体" w:cs="宋体"/>
                <w:sz w:val="21"/>
                <w:szCs w:val="21"/>
              </w:rPr>
              <w:t>统</w:t>
            </w:r>
          </w:p>
        </w:tc>
        <w:tc>
          <w:tcPr>
            <w:tcW w:w="7612" w:type="dxa"/>
            <w:vAlign w:val="center"/>
          </w:tcPr>
          <w:p>
            <w:pPr>
              <w:spacing w:line="340" w:lineRule="exact"/>
              <w:rPr>
                <w:rFonts w:hint="eastAsia" w:ascii="宋体" w:hAnsi="宋体" w:eastAsia="宋体" w:cs="宋体"/>
                <w:sz w:val="21"/>
                <w:szCs w:val="21"/>
                <w:lang w:eastAsia="zh-CN"/>
              </w:rPr>
            </w:pPr>
            <w:r>
              <w:rPr>
                <w:rFonts w:hint="eastAsia" w:ascii="宋体" w:hAnsi="宋体" w:eastAsia="宋体" w:cs="宋体"/>
                <w:sz w:val="21"/>
                <w:szCs w:val="21"/>
              </w:rPr>
              <w:t>1、每月检查消防泵工作环境及消防泵、稳压设备、电源控制柜、管网、阀门、水泵接合器、室内外消火栓、储水设施等是否处于正常完好的状态。试验内燃机驱动的消防泵能否正常工作。</w:t>
            </w:r>
            <w:r>
              <w:rPr>
                <w:rFonts w:hint="eastAsia" w:ascii="宋体" w:hAnsi="宋体" w:eastAsia="宋体" w:cs="宋体"/>
                <w:sz w:val="21"/>
                <w:szCs w:val="21"/>
                <w:lang w:val="en-US" w:eastAsia="zh-CN"/>
              </w:rPr>
              <w:t>每月</w:t>
            </w:r>
            <w:r>
              <w:rPr>
                <w:rFonts w:hint="eastAsia" w:ascii="宋体" w:hAnsi="宋体" w:eastAsia="宋体" w:cs="宋体"/>
                <w:sz w:val="21"/>
                <w:szCs w:val="21"/>
              </w:rPr>
              <w:t>对消防泵及管道系统的阀门轴心上润滑油</w:t>
            </w:r>
            <w:r>
              <w:rPr>
                <w:rFonts w:hint="eastAsia" w:ascii="宋体" w:hAnsi="宋体" w:eastAsia="宋体" w:cs="宋体"/>
                <w:sz w:val="21"/>
                <w:szCs w:val="21"/>
                <w:lang w:eastAsia="zh-CN"/>
              </w:rPr>
              <w:t>，处理锈蚀、掉漆问题。</w:t>
            </w:r>
          </w:p>
          <w:p>
            <w:pPr>
              <w:numPr>
                <w:ilvl w:val="0"/>
                <w:numId w:val="1"/>
              </w:numPr>
              <w:spacing w:line="340" w:lineRule="exact"/>
              <w:rPr>
                <w:rFonts w:hint="eastAsia" w:ascii="宋体" w:hAnsi="宋体" w:eastAsia="宋体" w:cs="宋体"/>
                <w:sz w:val="21"/>
                <w:szCs w:val="21"/>
              </w:rPr>
            </w:pPr>
            <w:r>
              <w:rPr>
                <w:rFonts w:hint="eastAsia" w:ascii="宋体" w:hAnsi="宋体" w:eastAsia="宋体" w:cs="宋体"/>
                <w:sz w:val="21"/>
                <w:szCs w:val="21"/>
              </w:rPr>
              <w:t>每月检查下列功能：</w:t>
            </w:r>
          </w:p>
          <w:p>
            <w:pPr>
              <w:spacing w:line="340" w:lineRule="exact"/>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1 \* GB2 </w:instrText>
            </w:r>
            <w:r>
              <w:rPr>
                <w:rFonts w:hint="eastAsia" w:ascii="宋体" w:hAnsi="宋体" w:eastAsia="宋体" w:cs="宋体"/>
                <w:sz w:val="21"/>
                <w:szCs w:val="21"/>
              </w:rPr>
              <w:fldChar w:fldCharType="separate"/>
            </w:r>
            <w:r>
              <w:rPr>
                <w:rFonts w:hint="eastAsia" w:ascii="宋体" w:hAnsi="宋体" w:eastAsia="宋体" w:cs="宋体"/>
                <w:sz w:val="21"/>
                <w:szCs w:val="21"/>
              </w:rPr>
              <w:t>⑴</w:t>
            </w:r>
            <w:r>
              <w:rPr>
                <w:rFonts w:hint="eastAsia" w:ascii="宋体" w:hAnsi="宋体" w:eastAsia="宋体" w:cs="宋体"/>
                <w:sz w:val="21"/>
                <w:szCs w:val="21"/>
              </w:rPr>
              <w:fldChar w:fldCharType="end"/>
            </w:r>
            <w:r>
              <w:rPr>
                <w:rFonts w:hint="eastAsia" w:ascii="宋体" w:hAnsi="宋体" w:eastAsia="宋体" w:cs="宋体"/>
                <w:sz w:val="21"/>
                <w:szCs w:val="21"/>
              </w:rPr>
              <w:t>、启动消防泵，当消防水泵为自动控制启动时，应模拟自动控制条件进行启动。设备用泵时，应同时试验主、备泵的切换功能。</w:t>
            </w:r>
          </w:p>
          <w:p>
            <w:pPr>
              <w:spacing w:line="340" w:lineRule="exact"/>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2 \* GB2 </w:instrText>
            </w:r>
            <w:r>
              <w:rPr>
                <w:rFonts w:hint="eastAsia" w:ascii="宋体" w:hAnsi="宋体" w:eastAsia="宋体" w:cs="宋体"/>
                <w:sz w:val="21"/>
                <w:szCs w:val="21"/>
              </w:rPr>
              <w:fldChar w:fldCharType="separate"/>
            </w:r>
            <w:r>
              <w:rPr>
                <w:rFonts w:hint="eastAsia" w:ascii="宋体" w:hAnsi="宋体" w:eastAsia="宋体" w:cs="宋体"/>
                <w:sz w:val="21"/>
                <w:szCs w:val="21"/>
              </w:rPr>
              <w:t>⑵</w:t>
            </w:r>
            <w:r>
              <w:rPr>
                <w:rFonts w:hint="eastAsia" w:ascii="宋体" w:hAnsi="宋体" w:eastAsia="宋体" w:cs="宋体"/>
                <w:sz w:val="21"/>
                <w:szCs w:val="21"/>
              </w:rPr>
              <w:fldChar w:fldCharType="end"/>
            </w:r>
            <w:r>
              <w:rPr>
                <w:rFonts w:hint="eastAsia" w:ascii="宋体" w:hAnsi="宋体" w:eastAsia="宋体" w:cs="宋体"/>
                <w:sz w:val="21"/>
                <w:szCs w:val="21"/>
              </w:rPr>
              <w:t>、试验远距离启泵按钮启动消防泵。</w:t>
            </w:r>
          </w:p>
          <w:p>
            <w:pPr>
              <w:spacing w:line="340" w:lineRule="exact"/>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3 \* GB2 </w:instrText>
            </w:r>
            <w:r>
              <w:rPr>
                <w:rFonts w:hint="eastAsia" w:ascii="宋体" w:hAnsi="宋体" w:eastAsia="宋体" w:cs="宋体"/>
                <w:sz w:val="21"/>
                <w:szCs w:val="21"/>
              </w:rPr>
              <w:fldChar w:fldCharType="separate"/>
            </w:r>
            <w:r>
              <w:rPr>
                <w:rFonts w:hint="eastAsia" w:ascii="宋体" w:hAnsi="宋体" w:eastAsia="宋体" w:cs="宋体"/>
                <w:sz w:val="21"/>
                <w:szCs w:val="21"/>
              </w:rPr>
              <w:t>⑶</w:t>
            </w:r>
            <w:r>
              <w:rPr>
                <w:rFonts w:hint="eastAsia" w:ascii="宋体" w:hAnsi="宋体" w:eastAsia="宋体" w:cs="宋体"/>
                <w:sz w:val="21"/>
                <w:szCs w:val="21"/>
              </w:rPr>
              <w:fldChar w:fldCharType="end"/>
            </w:r>
            <w:r>
              <w:rPr>
                <w:rFonts w:hint="eastAsia" w:ascii="宋体" w:hAnsi="宋体" w:eastAsia="宋体" w:cs="宋体"/>
                <w:sz w:val="21"/>
                <w:szCs w:val="21"/>
              </w:rPr>
              <w:t>、屋顶消火栓出水，检查管网压力和水质。</w:t>
            </w:r>
          </w:p>
        </w:tc>
      </w:tr>
    </w:tbl>
    <w:tbl>
      <w:tblPr>
        <w:tblStyle w:val="5"/>
        <w:tblW w:w="86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7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984" w:type="dxa"/>
            <w:vAlign w:val="center"/>
          </w:tcPr>
          <w:p>
            <w:pPr>
              <w:jc w:val="center"/>
              <w:rPr>
                <w:rFonts w:hint="eastAsia" w:ascii="宋体" w:hAnsi="宋体" w:eastAsia="宋体" w:cs="宋体"/>
                <w:sz w:val="21"/>
                <w:szCs w:val="21"/>
              </w:rPr>
            </w:pPr>
            <w:r>
              <w:rPr>
                <w:rFonts w:hint="eastAsia" w:ascii="宋体" w:hAnsi="宋体" w:eastAsia="宋体" w:cs="宋体"/>
                <w:sz w:val="21"/>
                <w:szCs w:val="21"/>
              </w:rPr>
              <w:t>气</w:t>
            </w:r>
          </w:p>
          <w:p>
            <w:pPr>
              <w:jc w:val="center"/>
              <w:rPr>
                <w:rFonts w:hint="eastAsia" w:ascii="宋体" w:hAnsi="宋体" w:eastAsia="宋体" w:cs="宋体"/>
                <w:sz w:val="21"/>
                <w:szCs w:val="21"/>
              </w:rPr>
            </w:pPr>
            <w:r>
              <w:rPr>
                <w:rFonts w:hint="eastAsia" w:ascii="宋体" w:hAnsi="宋体" w:eastAsia="宋体" w:cs="宋体"/>
                <w:sz w:val="21"/>
                <w:szCs w:val="21"/>
              </w:rPr>
              <w:t>体</w:t>
            </w:r>
          </w:p>
          <w:p>
            <w:pPr>
              <w:jc w:val="center"/>
              <w:rPr>
                <w:rFonts w:hint="eastAsia" w:ascii="宋体" w:hAnsi="宋体" w:eastAsia="宋体" w:cs="宋体"/>
                <w:sz w:val="21"/>
                <w:szCs w:val="21"/>
              </w:rPr>
            </w:pPr>
            <w:r>
              <w:rPr>
                <w:rFonts w:hint="eastAsia" w:ascii="宋体" w:hAnsi="宋体" w:eastAsia="宋体" w:cs="宋体"/>
                <w:sz w:val="21"/>
                <w:szCs w:val="21"/>
              </w:rPr>
              <w:t>灭</w:t>
            </w:r>
          </w:p>
          <w:p>
            <w:pPr>
              <w:jc w:val="center"/>
              <w:rPr>
                <w:rFonts w:hint="eastAsia" w:ascii="宋体" w:hAnsi="宋体" w:eastAsia="宋体" w:cs="宋体"/>
                <w:sz w:val="21"/>
                <w:szCs w:val="21"/>
              </w:rPr>
            </w:pPr>
            <w:r>
              <w:rPr>
                <w:rFonts w:hint="eastAsia" w:ascii="宋体" w:hAnsi="宋体" w:eastAsia="宋体" w:cs="宋体"/>
                <w:sz w:val="21"/>
                <w:szCs w:val="21"/>
              </w:rPr>
              <w:t>火</w:t>
            </w:r>
          </w:p>
          <w:p>
            <w:pPr>
              <w:jc w:val="center"/>
              <w:rPr>
                <w:rFonts w:hint="eastAsia" w:ascii="宋体" w:hAnsi="宋体" w:eastAsia="宋体" w:cs="宋体"/>
                <w:sz w:val="21"/>
                <w:szCs w:val="21"/>
              </w:rPr>
            </w:pPr>
            <w:r>
              <w:rPr>
                <w:rFonts w:hint="eastAsia" w:ascii="宋体" w:hAnsi="宋体" w:eastAsia="宋体" w:cs="宋体"/>
                <w:sz w:val="21"/>
                <w:szCs w:val="21"/>
              </w:rPr>
              <w:t>系    统</w:t>
            </w:r>
          </w:p>
        </w:tc>
        <w:tc>
          <w:tcPr>
            <w:tcW w:w="7625" w:type="dxa"/>
            <w:vAlign w:val="center"/>
          </w:tcPr>
          <w:p>
            <w:pPr>
              <w:rPr>
                <w:rFonts w:hint="eastAsia" w:ascii="宋体" w:hAnsi="宋体" w:eastAsia="宋体" w:cs="宋体"/>
                <w:sz w:val="21"/>
                <w:szCs w:val="21"/>
              </w:rPr>
            </w:pPr>
            <w:r>
              <w:rPr>
                <w:rFonts w:hint="eastAsia" w:ascii="宋体" w:hAnsi="宋体" w:eastAsia="宋体" w:cs="宋体"/>
                <w:sz w:val="21"/>
                <w:szCs w:val="21"/>
              </w:rPr>
              <w:t>1、每月检查贮瓶间及防护区的工作环境以及贮气瓶、选择阀、液体单向阀、高压软管、集流管、阀驱动装置、管网、喷嘴、紧急启动按钮、声光报警装置等是否处于正常完好状态。将止回阀从系统上卸下，检查其密封情况和开启动作灵活程度。用气动和手动方式，检查所有选择阀的开启动作是否灵活可靠。</w:t>
            </w:r>
          </w:p>
          <w:p>
            <w:pPr>
              <w:rPr>
                <w:rFonts w:hint="eastAsia" w:ascii="宋体" w:hAnsi="宋体" w:eastAsia="宋体" w:cs="宋体"/>
                <w:sz w:val="21"/>
                <w:szCs w:val="21"/>
              </w:rPr>
            </w:pPr>
            <w:r>
              <w:rPr>
                <w:rFonts w:hint="eastAsia" w:ascii="宋体" w:hAnsi="宋体" w:eastAsia="宋体" w:cs="宋体"/>
                <w:sz w:val="21"/>
                <w:szCs w:val="21"/>
              </w:rPr>
              <w:t>对系统中所有软管进行外观检查，若发现有任何缺陷，更换或对软管进行耐压试验。</w:t>
            </w:r>
          </w:p>
          <w:p>
            <w:pPr>
              <w:rPr>
                <w:rFonts w:hint="eastAsia" w:ascii="宋体" w:hAnsi="宋体" w:eastAsia="宋体" w:cs="宋体"/>
                <w:sz w:val="21"/>
                <w:szCs w:val="21"/>
              </w:rPr>
            </w:pPr>
            <w:r>
              <w:rPr>
                <w:rFonts w:hint="eastAsia" w:ascii="宋体" w:hAnsi="宋体" w:eastAsia="宋体" w:cs="宋体"/>
                <w:sz w:val="21"/>
                <w:szCs w:val="21"/>
              </w:rPr>
              <w:t>2、每半年检查下列功能：</w:t>
            </w:r>
          </w:p>
          <w:p>
            <w:pP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1 \* GB2 </w:instrText>
            </w:r>
            <w:r>
              <w:rPr>
                <w:rFonts w:hint="eastAsia" w:ascii="宋体" w:hAnsi="宋体" w:eastAsia="宋体" w:cs="宋体"/>
                <w:sz w:val="21"/>
                <w:szCs w:val="21"/>
              </w:rPr>
              <w:fldChar w:fldCharType="separate"/>
            </w:r>
            <w:r>
              <w:rPr>
                <w:rFonts w:hint="eastAsia" w:ascii="宋体" w:hAnsi="宋体" w:eastAsia="宋体" w:cs="宋体"/>
                <w:sz w:val="21"/>
                <w:szCs w:val="21"/>
              </w:rPr>
              <w:t>⑴</w:t>
            </w:r>
            <w:r>
              <w:rPr>
                <w:rFonts w:hint="eastAsia" w:ascii="宋体" w:hAnsi="宋体" w:eastAsia="宋体" w:cs="宋体"/>
                <w:sz w:val="21"/>
                <w:szCs w:val="21"/>
              </w:rPr>
              <w:fldChar w:fldCharType="end"/>
            </w:r>
            <w:r>
              <w:rPr>
                <w:rFonts w:hint="eastAsia" w:ascii="宋体" w:hAnsi="宋体" w:eastAsia="宋体" w:cs="宋体"/>
                <w:sz w:val="21"/>
                <w:szCs w:val="21"/>
              </w:rPr>
              <w:t>、对灭火器剂贮存器进行秤重检查，灭火剂净重不得小于设计量的95%。</w:t>
            </w:r>
          </w:p>
          <w:p>
            <w:pP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2 \* GB2 </w:instrText>
            </w:r>
            <w:r>
              <w:rPr>
                <w:rFonts w:hint="eastAsia" w:ascii="宋体" w:hAnsi="宋体" w:eastAsia="宋体" w:cs="宋体"/>
                <w:sz w:val="21"/>
                <w:szCs w:val="21"/>
              </w:rPr>
              <w:fldChar w:fldCharType="separate"/>
            </w:r>
            <w:r>
              <w:rPr>
                <w:rFonts w:hint="eastAsia" w:ascii="宋体" w:hAnsi="宋体" w:eastAsia="宋体" w:cs="宋体"/>
                <w:sz w:val="21"/>
                <w:szCs w:val="21"/>
              </w:rPr>
              <w:t>⑵</w:t>
            </w:r>
            <w:r>
              <w:rPr>
                <w:rFonts w:hint="eastAsia" w:ascii="宋体" w:hAnsi="宋体" w:eastAsia="宋体" w:cs="宋体"/>
                <w:sz w:val="21"/>
                <w:szCs w:val="21"/>
              </w:rPr>
              <w:fldChar w:fldCharType="end"/>
            </w:r>
            <w:r>
              <w:rPr>
                <w:rFonts w:hint="eastAsia" w:ascii="宋体" w:hAnsi="宋体" w:eastAsia="宋体" w:cs="宋体"/>
                <w:sz w:val="21"/>
                <w:szCs w:val="21"/>
              </w:rPr>
              <w:t>、对每个防护区进行一次模拟自动启动试验，如有问题，则应对相关防护区进行一次模拟喷气试验。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trPr>
        <w:tc>
          <w:tcPr>
            <w:tcW w:w="984"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气体报警及联动控制系统</w:t>
            </w:r>
          </w:p>
        </w:tc>
        <w:tc>
          <w:tcPr>
            <w:tcW w:w="7625" w:type="dxa"/>
            <w:vAlign w:val="center"/>
          </w:tcPr>
          <w:p>
            <w:pPr>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信号显示功能</w:t>
            </w:r>
            <w:r>
              <w:rPr>
                <w:rFonts w:hint="eastAsia" w:ascii="宋体" w:hAnsi="宋体" w:eastAsia="宋体" w:cs="宋体"/>
                <w:sz w:val="21"/>
                <w:szCs w:val="21"/>
                <w:lang w:eastAsia="zh-CN"/>
              </w:rPr>
              <w:t>维护</w:t>
            </w:r>
          </w:p>
          <w:p>
            <w:pPr>
              <w:rPr>
                <w:rFonts w:hint="eastAsia" w:ascii="宋体" w:hAnsi="宋体" w:eastAsia="宋体" w:cs="宋体"/>
                <w:sz w:val="21"/>
                <w:szCs w:val="21"/>
              </w:rPr>
            </w:pPr>
            <w:r>
              <w:rPr>
                <w:rFonts w:hint="eastAsia" w:ascii="宋体" w:hAnsi="宋体" w:eastAsia="宋体" w:cs="宋体"/>
                <w:sz w:val="21"/>
                <w:szCs w:val="21"/>
                <w:lang w:eastAsia="zh-CN"/>
              </w:rPr>
              <w:t>维护</w:t>
            </w:r>
            <w:r>
              <w:rPr>
                <w:rFonts w:hint="eastAsia" w:ascii="宋体" w:hAnsi="宋体" w:eastAsia="宋体" w:cs="宋体"/>
                <w:sz w:val="21"/>
                <w:szCs w:val="21"/>
              </w:rPr>
              <w:t>消防控制设备在控制盘上显示动作信号是否正常（在</w:t>
            </w:r>
            <w:r>
              <w:rPr>
                <w:rFonts w:hint="eastAsia" w:ascii="宋体" w:hAnsi="宋体" w:eastAsia="宋体" w:cs="宋体"/>
                <w:sz w:val="21"/>
                <w:szCs w:val="21"/>
                <w:lang w:eastAsia="zh-CN"/>
              </w:rPr>
              <w:t>维护</w:t>
            </w:r>
            <w:r>
              <w:rPr>
                <w:rFonts w:hint="eastAsia" w:ascii="宋体" w:hAnsi="宋体" w:eastAsia="宋体" w:cs="宋体"/>
                <w:sz w:val="21"/>
                <w:szCs w:val="21"/>
              </w:rPr>
              <w:t>联动功能，启动设备时同时进行）。</w:t>
            </w:r>
          </w:p>
          <w:p>
            <w:pPr>
              <w:rPr>
                <w:rFonts w:hint="eastAsia" w:ascii="宋体" w:hAnsi="宋体" w:eastAsia="宋体" w:cs="宋体"/>
                <w:sz w:val="21"/>
                <w:szCs w:val="21"/>
              </w:rPr>
            </w:pPr>
            <w:r>
              <w:rPr>
                <w:rFonts w:hint="eastAsia" w:ascii="宋体" w:hAnsi="宋体" w:eastAsia="宋体" w:cs="宋体"/>
                <w:sz w:val="21"/>
                <w:szCs w:val="21"/>
                <w:lang w:eastAsia="zh-CN"/>
              </w:rPr>
              <w:t>维护</w:t>
            </w:r>
            <w:r>
              <w:rPr>
                <w:rFonts w:hint="eastAsia" w:ascii="宋体" w:hAnsi="宋体" w:eastAsia="宋体" w:cs="宋体"/>
                <w:sz w:val="21"/>
                <w:szCs w:val="21"/>
              </w:rPr>
              <w:t>控制器基本功能</w:t>
            </w:r>
            <w:r>
              <w:rPr>
                <w:rFonts w:hint="eastAsia" w:ascii="宋体" w:hAnsi="宋体" w:eastAsia="宋体" w:cs="宋体"/>
                <w:sz w:val="21"/>
                <w:szCs w:val="21"/>
                <w:lang w:eastAsia="zh-CN"/>
              </w:rPr>
              <w:t>维护</w:t>
            </w:r>
            <w:r>
              <w:rPr>
                <w:rFonts w:hint="eastAsia" w:ascii="宋体" w:hAnsi="宋体" w:eastAsia="宋体" w:cs="宋体"/>
                <w:sz w:val="21"/>
                <w:szCs w:val="21"/>
              </w:rPr>
              <w:t>：报警、故障、显示、记忆、控制、自检、主备电源转换以及备电充电、欠压报警等。</w:t>
            </w:r>
          </w:p>
          <w:p>
            <w:pPr>
              <w:rPr>
                <w:rFonts w:hint="eastAsia" w:ascii="宋体" w:hAnsi="宋体" w:eastAsia="宋体" w:cs="宋体"/>
                <w:sz w:val="21"/>
                <w:szCs w:val="21"/>
              </w:rPr>
            </w:pPr>
            <w:r>
              <w:rPr>
                <w:rFonts w:hint="eastAsia" w:ascii="宋体" w:hAnsi="宋体" w:eastAsia="宋体" w:cs="宋体"/>
                <w:sz w:val="21"/>
                <w:szCs w:val="21"/>
              </w:rPr>
              <w:t>消防联动控制柜的控制功能及联动功能</w:t>
            </w:r>
            <w:r>
              <w:rPr>
                <w:rFonts w:hint="eastAsia" w:ascii="宋体" w:hAnsi="宋体" w:eastAsia="宋体" w:cs="宋体"/>
                <w:sz w:val="21"/>
                <w:szCs w:val="21"/>
                <w:lang w:eastAsia="zh-CN"/>
              </w:rPr>
              <w:t>维护</w:t>
            </w:r>
          </w:p>
          <w:p>
            <w:pPr>
              <w:rPr>
                <w:rFonts w:hint="eastAsia" w:ascii="宋体" w:hAnsi="宋体" w:eastAsia="宋体" w:cs="宋体"/>
                <w:sz w:val="21"/>
                <w:szCs w:val="21"/>
              </w:rPr>
            </w:pPr>
            <w:r>
              <w:rPr>
                <w:rFonts w:hint="eastAsia" w:ascii="宋体" w:hAnsi="宋体" w:eastAsia="宋体" w:cs="宋体"/>
                <w:sz w:val="21"/>
                <w:szCs w:val="21"/>
              </w:rPr>
              <w:t>烟、温探测器联动、手动报警按钮联动、紧急按钮联动、启动电压、压力开关联动等</w:t>
            </w:r>
          </w:p>
          <w:p>
            <w:pPr>
              <w:rPr>
                <w:rFonts w:hint="eastAsia" w:ascii="宋体" w:hAnsi="宋体" w:eastAsia="宋体" w:cs="宋体"/>
                <w:sz w:val="21"/>
                <w:szCs w:val="21"/>
              </w:rPr>
            </w:pPr>
            <w:r>
              <w:rPr>
                <w:rFonts w:hint="eastAsia" w:ascii="宋体" w:hAnsi="宋体" w:eastAsia="宋体" w:cs="宋体"/>
                <w:sz w:val="21"/>
                <w:szCs w:val="21"/>
              </w:rPr>
              <w:t>气体启动延迟量测试。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3" w:hRule="atLeast"/>
        </w:trPr>
        <w:tc>
          <w:tcPr>
            <w:tcW w:w="984" w:type="dxa"/>
            <w:vAlign w:val="center"/>
          </w:tcPr>
          <w:p>
            <w:pPr>
              <w:ind w:left="-107" w:leftChars="-51" w:right="-107" w:rightChars="-51"/>
              <w:jc w:val="center"/>
              <w:rPr>
                <w:rFonts w:hint="eastAsia" w:ascii="宋体" w:hAnsi="宋体" w:eastAsia="宋体" w:cs="宋体"/>
                <w:sz w:val="21"/>
                <w:szCs w:val="21"/>
              </w:rPr>
            </w:pPr>
            <w:r>
              <w:rPr>
                <w:rFonts w:hint="eastAsia" w:ascii="宋体" w:hAnsi="宋体" w:eastAsia="宋体" w:cs="宋体"/>
                <w:sz w:val="21"/>
                <w:szCs w:val="21"/>
              </w:rPr>
              <w:t>应急照明</w:t>
            </w:r>
          </w:p>
          <w:p>
            <w:pPr>
              <w:ind w:left="-107" w:leftChars="-51" w:right="-107" w:rightChars="-51"/>
              <w:jc w:val="center"/>
              <w:rPr>
                <w:rFonts w:hint="eastAsia" w:ascii="宋体" w:hAnsi="宋体" w:eastAsia="宋体" w:cs="宋体"/>
                <w:sz w:val="21"/>
                <w:szCs w:val="21"/>
              </w:rPr>
            </w:pPr>
            <w:r>
              <w:rPr>
                <w:rFonts w:hint="eastAsia" w:ascii="宋体" w:hAnsi="宋体" w:eastAsia="宋体" w:cs="宋体"/>
                <w:sz w:val="21"/>
                <w:szCs w:val="21"/>
              </w:rPr>
              <w:t>疏散指示</w:t>
            </w:r>
          </w:p>
        </w:tc>
        <w:tc>
          <w:tcPr>
            <w:tcW w:w="7625" w:type="dxa"/>
            <w:vAlign w:val="center"/>
          </w:tcPr>
          <w:p>
            <w:pPr>
              <w:rPr>
                <w:rFonts w:hint="eastAsia" w:ascii="宋体" w:hAnsi="宋体" w:eastAsia="宋体" w:cs="宋体"/>
                <w:sz w:val="21"/>
                <w:szCs w:val="21"/>
              </w:rPr>
            </w:pPr>
            <w:r>
              <w:rPr>
                <w:rFonts w:hint="eastAsia" w:ascii="宋体" w:hAnsi="宋体" w:eastAsia="宋体" w:cs="宋体"/>
                <w:sz w:val="21"/>
                <w:szCs w:val="21"/>
              </w:rPr>
              <w:t>1、每月检查安全出口、疏散通道、重要场所的应急照明和疏散指示标志是否处于正常完好状态。</w:t>
            </w:r>
          </w:p>
          <w:p>
            <w:pPr>
              <w:rPr>
                <w:rFonts w:hint="eastAsia" w:ascii="宋体" w:hAnsi="宋体" w:eastAsia="宋体" w:cs="宋体"/>
                <w:sz w:val="21"/>
                <w:szCs w:val="21"/>
              </w:rPr>
            </w:pPr>
            <w:r>
              <w:rPr>
                <w:rFonts w:hint="eastAsia" w:ascii="宋体" w:hAnsi="宋体" w:eastAsia="宋体" w:cs="宋体"/>
                <w:sz w:val="21"/>
                <w:szCs w:val="21"/>
              </w:rPr>
              <w:t>2、每月试验应急照明和疏散指示灯的工作照度和疏散照度。</w:t>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3.对发现照度不足及损坏的照明设备进行更换。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82" w:hRule="atLeast"/>
        </w:trPr>
        <w:tc>
          <w:tcPr>
            <w:tcW w:w="984" w:type="dxa"/>
            <w:vAlign w:val="center"/>
          </w:tcPr>
          <w:p>
            <w:pPr>
              <w:ind w:left="-107" w:leftChars="-51" w:right="-107" w:rightChars="-51"/>
              <w:jc w:val="center"/>
              <w:rPr>
                <w:rFonts w:hint="eastAsia" w:ascii="宋体" w:hAnsi="宋体" w:eastAsia="宋体" w:cs="宋体"/>
                <w:sz w:val="21"/>
                <w:szCs w:val="21"/>
              </w:rPr>
            </w:pPr>
            <w:r>
              <w:rPr>
                <w:rFonts w:hint="eastAsia" w:ascii="宋体" w:hAnsi="宋体" w:eastAsia="宋体" w:cs="宋体"/>
                <w:sz w:val="21"/>
                <w:szCs w:val="21"/>
              </w:rPr>
              <w:t>消防通讯</w:t>
            </w:r>
          </w:p>
          <w:p>
            <w:pPr>
              <w:ind w:left="-107" w:leftChars="-51" w:right="-107" w:rightChars="-51"/>
              <w:jc w:val="center"/>
              <w:rPr>
                <w:rFonts w:hint="eastAsia" w:ascii="宋体" w:hAnsi="宋体" w:eastAsia="宋体" w:cs="宋体"/>
                <w:sz w:val="21"/>
                <w:szCs w:val="21"/>
              </w:rPr>
            </w:pPr>
            <w:r>
              <w:rPr>
                <w:rFonts w:hint="eastAsia" w:ascii="宋体" w:hAnsi="宋体" w:eastAsia="宋体" w:cs="宋体"/>
                <w:sz w:val="21"/>
                <w:szCs w:val="21"/>
              </w:rPr>
              <w:t>事故广播</w:t>
            </w:r>
          </w:p>
        </w:tc>
        <w:tc>
          <w:tcPr>
            <w:tcW w:w="7625" w:type="dxa"/>
            <w:vAlign w:val="center"/>
          </w:tcPr>
          <w:p>
            <w:pPr>
              <w:rPr>
                <w:rFonts w:hint="eastAsia" w:ascii="宋体" w:hAnsi="宋体" w:eastAsia="宋体" w:cs="宋体"/>
                <w:sz w:val="21"/>
                <w:szCs w:val="21"/>
              </w:rPr>
            </w:pPr>
            <w:r>
              <w:rPr>
                <w:rFonts w:hint="eastAsia" w:ascii="宋体" w:hAnsi="宋体" w:eastAsia="宋体" w:cs="宋体"/>
                <w:sz w:val="21"/>
                <w:szCs w:val="21"/>
              </w:rPr>
              <w:t>1、每月检查电话插孔、重要场所的对讲电话、播音设备、扬声器是否处于正常完好状态。</w:t>
            </w:r>
          </w:p>
          <w:p>
            <w:pPr>
              <w:rPr>
                <w:rFonts w:hint="eastAsia" w:ascii="宋体" w:hAnsi="宋体" w:eastAsia="宋体" w:cs="宋体"/>
                <w:sz w:val="21"/>
                <w:szCs w:val="21"/>
              </w:rPr>
            </w:pPr>
            <w:r>
              <w:rPr>
                <w:rFonts w:hint="eastAsia" w:ascii="宋体" w:hAnsi="宋体" w:eastAsia="宋体" w:cs="宋体"/>
                <w:sz w:val="21"/>
                <w:szCs w:val="21"/>
              </w:rPr>
              <w:t>2、每季度检查下列功能：</w:t>
            </w:r>
          </w:p>
          <w:p>
            <w:pPr>
              <w:rPr>
                <w:rFonts w:hint="eastAsia" w:ascii="宋体" w:hAnsi="宋体" w:eastAsia="宋体" w:cs="宋体"/>
                <w:sz w:val="21"/>
                <w:szCs w:val="21"/>
              </w:rPr>
            </w:pPr>
            <w:r>
              <w:rPr>
                <w:rFonts w:hint="eastAsia" w:ascii="宋体" w:hAnsi="宋体" w:eastAsia="宋体" w:cs="宋体"/>
                <w:sz w:val="21"/>
                <w:szCs w:val="21"/>
              </w:rPr>
              <w:t>⑴、试验电话插孔和对讲电话的通话质量。</w:t>
            </w:r>
          </w:p>
          <w:p>
            <w:pPr>
              <w:rPr>
                <w:rFonts w:hint="eastAsia" w:ascii="宋体" w:hAnsi="宋体" w:eastAsia="宋体" w:cs="宋体"/>
                <w:sz w:val="21"/>
                <w:szCs w:val="21"/>
              </w:rPr>
            </w:pPr>
            <w:r>
              <w:rPr>
                <w:rFonts w:hint="eastAsia" w:ascii="宋体" w:hAnsi="宋体" w:eastAsia="宋体" w:cs="宋体"/>
                <w:sz w:val="21"/>
                <w:szCs w:val="21"/>
              </w:rPr>
              <w:t>⑵、试验选层广播。。</w:t>
            </w:r>
          </w:p>
          <w:p>
            <w:pPr>
              <w:rPr>
                <w:rFonts w:hint="eastAsia" w:ascii="宋体" w:hAnsi="宋体" w:eastAsia="宋体" w:cs="宋体"/>
                <w:sz w:val="21"/>
                <w:szCs w:val="21"/>
              </w:rPr>
            </w:pPr>
            <w:r>
              <w:rPr>
                <w:rFonts w:hint="eastAsia" w:ascii="宋体" w:hAnsi="宋体" w:eastAsia="宋体" w:cs="宋体"/>
                <w:sz w:val="21"/>
                <w:szCs w:val="21"/>
              </w:rPr>
              <w:t>⑶、试验从背景音乐状态下强切至事故应急广播状态的功能。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0" w:hRule="atLeast"/>
        </w:trPr>
        <w:tc>
          <w:tcPr>
            <w:tcW w:w="984" w:type="dxa"/>
            <w:vAlign w:val="center"/>
          </w:tcPr>
          <w:p>
            <w:pPr>
              <w:jc w:val="center"/>
              <w:rPr>
                <w:rFonts w:hint="eastAsia" w:ascii="宋体" w:hAnsi="宋体" w:eastAsia="宋体" w:cs="宋体"/>
                <w:sz w:val="21"/>
                <w:szCs w:val="21"/>
              </w:rPr>
            </w:pPr>
            <w:r>
              <w:rPr>
                <w:rFonts w:hint="eastAsia" w:ascii="宋体" w:hAnsi="宋体" w:eastAsia="宋体" w:cs="宋体"/>
                <w:sz w:val="21"/>
                <w:szCs w:val="21"/>
              </w:rPr>
              <w:t>其他设施</w:t>
            </w:r>
          </w:p>
        </w:tc>
        <w:tc>
          <w:tcPr>
            <w:tcW w:w="7625" w:type="dxa"/>
            <w:vAlign w:val="center"/>
          </w:tcPr>
          <w:p>
            <w:pPr>
              <w:rPr>
                <w:rFonts w:hint="eastAsia" w:ascii="宋体" w:hAnsi="宋体" w:eastAsia="宋体" w:cs="宋体"/>
                <w:sz w:val="21"/>
                <w:szCs w:val="21"/>
              </w:rPr>
            </w:pPr>
            <w:r>
              <w:rPr>
                <w:rFonts w:hint="eastAsia" w:ascii="宋体" w:hAnsi="宋体" w:eastAsia="宋体" w:cs="宋体"/>
                <w:sz w:val="21"/>
                <w:szCs w:val="21"/>
              </w:rPr>
              <w:t>1、每月检查消防电梯迫降按钮、集水坑排水设备、缓降器、氧气或空气呼吸器、自救逃生设备，消防电源及切换设备是否处于正常完好状态。试验自备发电设施能否正常发电。</w:t>
            </w:r>
          </w:p>
          <w:p>
            <w:pPr>
              <w:rPr>
                <w:rFonts w:hint="eastAsia" w:ascii="宋体" w:hAnsi="宋体" w:eastAsia="宋体" w:cs="宋体"/>
                <w:sz w:val="21"/>
                <w:szCs w:val="21"/>
              </w:rPr>
            </w:pPr>
            <w:r>
              <w:rPr>
                <w:rFonts w:hint="eastAsia" w:ascii="宋体" w:hAnsi="宋体" w:eastAsia="宋体" w:cs="宋体"/>
                <w:sz w:val="21"/>
                <w:szCs w:val="21"/>
              </w:rPr>
              <w:t>2、每季度检查下列功能：</w:t>
            </w:r>
          </w:p>
          <w:p>
            <w:pPr>
              <w:rPr>
                <w:rFonts w:hint="eastAsia" w:ascii="宋体" w:hAnsi="宋体" w:eastAsia="宋体" w:cs="宋体"/>
                <w:sz w:val="21"/>
                <w:szCs w:val="21"/>
              </w:rPr>
            </w:pPr>
            <w:r>
              <w:rPr>
                <w:rFonts w:hint="eastAsia" w:ascii="宋体" w:hAnsi="宋体" w:eastAsia="宋体" w:cs="宋体"/>
                <w:sz w:val="21"/>
                <w:szCs w:val="21"/>
              </w:rPr>
              <w:t>⑴、试验消防电源的末端切换功能。</w:t>
            </w:r>
          </w:p>
          <w:p>
            <w:pPr>
              <w:rPr>
                <w:rFonts w:hint="eastAsia" w:ascii="宋体" w:hAnsi="宋体" w:eastAsia="宋体" w:cs="宋体"/>
                <w:sz w:val="21"/>
                <w:szCs w:val="21"/>
              </w:rPr>
            </w:pPr>
            <w:r>
              <w:rPr>
                <w:rFonts w:hint="eastAsia" w:ascii="宋体" w:hAnsi="宋体" w:eastAsia="宋体" w:cs="宋体"/>
                <w:sz w:val="21"/>
                <w:szCs w:val="21"/>
              </w:rPr>
              <w:t>⑵、切断非消防电源功能。</w:t>
            </w:r>
          </w:p>
          <w:p>
            <w:pPr>
              <w:rPr>
                <w:rFonts w:hint="eastAsia" w:ascii="宋体" w:hAnsi="宋体" w:eastAsia="宋体" w:cs="宋体"/>
                <w:sz w:val="21"/>
                <w:szCs w:val="21"/>
              </w:rPr>
            </w:pPr>
            <w:r>
              <w:rPr>
                <w:rFonts w:hint="eastAsia" w:ascii="宋体" w:hAnsi="宋体" w:eastAsia="宋体" w:cs="宋体"/>
                <w:sz w:val="21"/>
                <w:szCs w:val="21"/>
              </w:rPr>
              <w:t>⑶、试验消防电梯的紧急迫降功能。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0" w:hRule="atLeast"/>
        </w:trPr>
        <w:tc>
          <w:tcPr>
            <w:tcW w:w="984" w:type="dxa"/>
            <w:vAlign w:val="center"/>
          </w:tcPr>
          <w:p>
            <w:pPr>
              <w:ind w:left="-106" w:leftChars="-51" w:right="-107" w:rightChars="-51" w:hanging="1"/>
              <w:jc w:val="center"/>
              <w:rPr>
                <w:rFonts w:hint="eastAsia" w:ascii="宋体" w:hAnsi="宋体" w:eastAsia="宋体" w:cs="宋体"/>
                <w:sz w:val="21"/>
                <w:szCs w:val="21"/>
              </w:rPr>
            </w:pPr>
            <w:r>
              <w:rPr>
                <w:rFonts w:hint="eastAsia" w:ascii="宋体" w:hAnsi="宋体" w:eastAsia="宋体" w:cs="宋体"/>
                <w:sz w:val="21"/>
                <w:szCs w:val="21"/>
              </w:rPr>
              <w:t>移动灭火</w:t>
            </w:r>
          </w:p>
          <w:p>
            <w:pPr>
              <w:ind w:left="-106" w:leftChars="-51" w:right="-107" w:rightChars="-51" w:hanging="1"/>
              <w:jc w:val="center"/>
              <w:rPr>
                <w:rFonts w:hint="eastAsia" w:ascii="宋体" w:hAnsi="宋体" w:eastAsia="宋体" w:cs="宋体"/>
                <w:sz w:val="21"/>
                <w:szCs w:val="21"/>
              </w:rPr>
            </w:pPr>
            <w:r>
              <w:rPr>
                <w:rFonts w:hint="eastAsia" w:ascii="宋体" w:hAnsi="宋体" w:eastAsia="宋体" w:cs="宋体"/>
                <w:sz w:val="21"/>
                <w:szCs w:val="21"/>
              </w:rPr>
              <w:t>器材</w:t>
            </w:r>
          </w:p>
        </w:tc>
        <w:tc>
          <w:tcPr>
            <w:tcW w:w="7625" w:type="dxa"/>
            <w:vAlign w:val="center"/>
          </w:tcPr>
          <w:p>
            <w:pPr>
              <w:numPr>
                <w:ilvl w:val="0"/>
                <w:numId w:val="2"/>
              </w:numPr>
              <w:spacing w:line="340" w:lineRule="exact"/>
              <w:rPr>
                <w:rFonts w:hint="eastAsia" w:ascii="宋体" w:hAnsi="宋体" w:eastAsia="宋体" w:cs="宋体"/>
                <w:sz w:val="21"/>
                <w:szCs w:val="21"/>
              </w:rPr>
            </w:pPr>
            <w:r>
              <w:rPr>
                <w:rFonts w:hint="eastAsia" w:ascii="宋体" w:hAnsi="宋体" w:eastAsia="宋体" w:cs="宋体"/>
                <w:sz w:val="21"/>
                <w:szCs w:val="21"/>
              </w:rPr>
              <w:t>每月检查灭火器种类、数量、设置位置、标志等是否符合要求。</w:t>
            </w:r>
          </w:p>
          <w:p>
            <w:pPr>
              <w:numPr>
                <w:ilvl w:val="0"/>
                <w:numId w:val="2"/>
              </w:numPr>
              <w:spacing w:line="340" w:lineRule="exact"/>
              <w:rPr>
                <w:rFonts w:hint="eastAsia" w:ascii="宋体" w:hAnsi="宋体" w:eastAsia="宋体" w:cs="宋体"/>
                <w:sz w:val="21"/>
                <w:szCs w:val="21"/>
              </w:rPr>
            </w:pPr>
            <w:r>
              <w:rPr>
                <w:rFonts w:hint="eastAsia" w:ascii="宋体" w:hAnsi="宋体" w:eastAsia="宋体" w:cs="宋体"/>
                <w:sz w:val="21"/>
                <w:szCs w:val="21"/>
              </w:rPr>
              <w:t>每季度检查灭火器压力、重量、有效期等必要时做喷射试验。</w:t>
            </w:r>
          </w:p>
          <w:p>
            <w:pPr>
              <w:numPr>
                <w:ilvl w:val="0"/>
                <w:numId w:val="2"/>
              </w:numPr>
              <w:spacing w:line="340" w:lineRule="exact"/>
              <w:rPr>
                <w:rFonts w:hint="eastAsia" w:ascii="宋体" w:hAnsi="宋体" w:eastAsia="宋体" w:cs="宋体"/>
                <w:sz w:val="21"/>
                <w:szCs w:val="21"/>
              </w:rPr>
            </w:pPr>
            <w:r>
              <w:rPr>
                <w:rFonts w:hint="eastAsia" w:ascii="宋体" w:hAnsi="宋体" w:eastAsia="宋体" w:cs="宋体"/>
                <w:sz w:val="21"/>
                <w:szCs w:val="21"/>
                <w:lang w:eastAsia="zh-CN"/>
              </w:rPr>
              <w:t>每年度在合格的灭火器上粘膜合格标签。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84" w:type="dxa"/>
            <w:vAlign w:val="center"/>
          </w:tcPr>
          <w:p>
            <w:pPr>
              <w:ind w:left="-107" w:leftChars="-51" w:right="-107" w:rightChars="-51"/>
              <w:jc w:val="center"/>
              <w:rPr>
                <w:rFonts w:hint="eastAsia" w:ascii="宋体" w:hAnsi="宋体" w:eastAsia="宋体" w:cs="宋体"/>
                <w:sz w:val="21"/>
                <w:szCs w:val="21"/>
              </w:rPr>
            </w:pPr>
            <w:r>
              <w:rPr>
                <w:rFonts w:hint="eastAsia" w:ascii="宋体" w:hAnsi="宋体" w:eastAsia="宋体" w:cs="宋体"/>
                <w:sz w:val="21"/>
                <w:szCs w:val="21"/>
              </w:rPr>
              <w:t>档案文件</w:t>
            </w:r>
          </w:p>
        </w:tc>
        <w:tc>
          <w:tcPr>
            <w:tcW w:w="7625" w:type="dxa"/>
            <w:vAlign w:val="center"/>
          </w:tcPr>
          <w:p>
            <w:pPr>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建立</w:t>
            </w:r>
            <w:r>
              <w:rPr>
                <w:rFonts w:hint="eastAsia" w:ascii="宋体" w:hAnsi="宋体" w:eastAsia="宋体" w:cs="宋体"/>
                <w:sz w:val="21"/>
                <w:szCs w:val="21"/>
                <w:lang w:eastAsia="zh-CN"/>
              </w:rPr>
              <w:t>完善</w:t>
            </w:r>
            <w:r>
              <w:rPr>
                <w:rFonts w:hint="eastAsia" w:ascii="宋体" w:hAnsi="宋体" w:eastAsia="宋体" w:cs="宋体"/>
                <w:sz w:val="21"/>
                <w:szCs w:val="21"/>
              </w:rPr>
              <w:t>各类消防管理档案</w:t>
            </w:r>
            <w:r>
              <w:rPr>
                <w:rFonts w:hint="eastAsia" w:ascii="宋体" w:hAnsi="宋体" w:eastAsia="宋体" w:cs="宋体"/>
                <w:sz w:val="21"/>
                <w:szCs w:val="21"/>
                <w:lang w:eastAsia="zh-CN"/>
              </w:rPr>
              <w:t>、完善消防设施、器材台账、运行文件等。</w:t>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2.每月对消防标识、标牌、标签编号进行检查，发现标识模糊、缺失的增补完善。</w:t>
            </w:r>
          </w:p>
        </w:tc>
      </w:tr>
    </w:tbl>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（二）</w:t>
      </w:r>
      <w:r>
        <w:rPr>
          <w:rFonts w:hint="eastAsia" w:asciiTheme="minorEastAsia" w:hAnsiTheme="minorEastAsia" w:eastAsiaTheme="minorEastAsia" w:cstheme="minorEastAsia"/>
          <w:sz w:val="28"/>
          <w:szCs w:val="28"/>
        </w:rPr>
        <w:t>除本</w:t>
      </w:r>
      <w:r>
        <w:rPr>
          <w:rFonts w:hint="eastAsia" w:asciiTheme="minorEastAsia" w:hAnsiTheme="minorEastAsia" w:cstheme="minorEastAsia"/>
          <w:sz w:val="28"/>
          <w:szCs w:val="28"/>
          <w:lang w:val="en-US" w:eastAsia="zh-CN"/>
        </w:rPr>
        <w:t>服务标准及要求</w:t>
      </w:r>
      <w:r>
        <w:rPr>
          <w:rFonts w:hint="eastAsia" w:asciiTheme="minorEastAsia" w:hAnsiTheme="minorEastAsia" w:eastAsiaTheme="minorEastAsia" w:cstheme="minorEastAsia"/>
          <w:sz w:val="28"/>
          <w:szCs w:val="28"/>
        </w:rPr>
        <w:t>的特殊规定外，投标方所提供的项目研究标准，按照如下标准执行，要求所用标准必须是最新版本，如果这些标准有矛盾时，应按最高标准的条款执行或按双方商定的标准执行。如果投标方选用本技术招标书规定以外的标准时，需提交所替换标准相当或优于本技术规范书规定的标准的证明。</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1、《建筑消防设施的维护管理》（GB-25201-2010）；</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2、《建筑消防设施检测技术规程》（GA503-2004）；</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3、《火灾自动报警系统施工及验收规范》（GB50166-2007）；</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4、《建筑设计防火规范》（GB50016-2014）；</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5、《火灾自动报警系统设计规范》（GB50116-2013）；</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6、《自动喷水灭火系统设计规范》（GB50084-2001 2005年版）；</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7、《自动喷水灭火系统施工及验收规范》（GB50261-2005）；</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8、《气体灭火系统设计规范》（GB50370-2006）；</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9、《气体灭火系统施工及验收规范》（GB50263-2007）；</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10、《建筑灭火器配置验收及检查规范》（GB50444-2008）；</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11、《消防安全标志设置要求》（GB15630-2015）。</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12、其他消防技术标准的规定。</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13、消防设备安装使用维护说明书。</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0"/>
        <w:rPr>
          <w:rFonts w:hint="eastAsia" w:asciiTheme="minorEastAsia" w:hAnsiTheme="minorEastAsia"/>
          <w:b/>
          <w:sz w:val="28"/>
          <w:szCs w:val="28"/>
        </w:rPr>
      </w:pPr>
      <w:bookmarkStart w:id="0" w:name="_Toc477290690"/>
      <w:r>
        <w:rPr>
          <w:rFonts w:hint="eastAsia" w:asciiTheme="minorEastAsia" w:hAnsiTheme="minorEastAsia"/>
          <w:b/>
          <w:sz w:val="28"/>
          <w:szCs w:val="28"/>
          <w:lang w:eastAsia="zh-CN"/>
        </w:rPr>
        <w:t>四</w:t>
      </w:r>
      <w:r>
        <w:rPr>
          <w:rFonts w:hint="eastAsia" w:asciiTheme="minorEastAsia" w:hAnsiTheme="minorEastAsia"/>
          <w:b/>
          <w:sz w:val="28"/>
          <w:szCs w:val="28"/>
        </w:rPr>
        <w:t>、服务要求</w:t>
      </w:r>
      <w:bookmarkEnd w:id="0"/>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（一）乙方须按国家行业标准和消防设备保养要求进行全面、规范、有计划的预防性维修保养服务，确保消防系统的周、月、季、年定期维修保养工作到位，保障消防系统 设备的安全可靠运行。</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（二）乙方工作人员必须服从甲方项目负责人的领导和安排，遵守甲方的规章制度</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若发生违章等行为时，按附件1甲方的《办公场所消防系统维保项目考核扣分细则》标准进行扣罚。</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（三）维保方式要求</w:t>
      </w:r>
    </w:p>
    <w:p>
      <w:p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每次维保前，</w:t>
      </w:r>
      <w:r>
        <w:rPr>
          <w:rFonts w:hint="eastAsia" w:asciiTheme="minorEastAsia" w:hAnsiTheme="minorEastAsia" w:eastAsiaTheme="minorEastAsia" w:cstheme="minorEastAsia"/>
          <w:sz w:val="28"/>
          <w:szCs w:val="28"/>
          <w:lang w:val="en-US" w:eastAsia="zh-CN"/>
        </w:rPr>
        <w:t>乙方</w:t>
      </w:r>
      <w:r>
        <w:rPr>
          <w:rFonts w:hint="eastAsia" w:ascii="宋体" w:hAnsi="宋体" w:eastAsia="宋体" w:cs="宋体"/>
          <w:sz w:val="28"/>
          <w:szCs w:val="28"/>
          <w:lang w:eastAsia="zh-CN"/>
        </w:rPr>
        <w:t>应至少应提前</w:t>
      </w:r>
      <w:r>
        <w:rPr>
          <w:rFonts w:hint="eastAsia" w:ascii="宋体" w:hAnsi="宋体" w:eastAsia="宋体" w:cs="宋体"/>
          <w:sz w:val="28"/>
          <w:szCs w:val="28"/>
          <w:lang w:val="en-US" w:eastAsia="zh-CN"/>
        </w:rPr>
        <w:t>7</w:t>
      </w:r>
      <w:r>
        <w:rPr>
          <w:rFonts w:hint="eastAsia" w:ascii="宋体" w:hAnsi="宋体" w:eastAsia="宋体" w:cs="宋体"/>
          <w:sz w:val="28"/>
          <w:szCs w:val="28"/>
          <w:lang w:eastAsia="zh-CN"/>
        </w:rPr>
        <w:t>个工作日通知检测方，以便甲方做好维保工作的安排。</w:t>
      </w:r>
    </w:p>
    <w:p>
      <w:p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2、每次</w:t>
      </w:r>
      <w:r>
        <w:rPr>
          <w:rFonts w:hint="eastAsia" w:ascii="宋体" w:hAnsi="宋体" w:eastAsia="宋体" w:cs="宋体"/>
          <w:sz w:val="28"/>
          <w:szCs w:val="28"/>
          <w:lang w:eastAsia="zh-CN"/>
        </w:rPr>
        <w:t>维保</w:t>
      </w:r>
      <w:r>
        <w:rPr>
          <w:rFonts w:hint="eastAsia" w:asciiTheme="minorEastAsia" w:hAnsiTheme="minorEastAsia" w:eastAsiaTheme="minorEastAsia" w:cstheme="minorEastAsia"/>
          <w:sz w:val="28"/>
          <w:szCs w:val="28"/>
          <w:lang w:val="en-US" w:eastAsia="zh-CN"/>
        </w:rPr>
        <w:t>时，乙方工作人员应有相关人员陪同</w:t>
      </w:r>
      <w:r>
        <w:rPr>
          <w:rFonts w:hint="eastAsia" w:asciiTheme="minorEastAsia" w:hAnsiTheme="minorEastAsia" w:cstheme="minorEastAsia"/>
          <w:sz w:val="28"/>
          <w:szCs w:val="28"/>
          <w:lang w:val="en-US" w:eastAsia="zh-CN"/>
        </w:rPr>
        <w:t>方</w:t>
      </w:r>
      <w:r>
        <w:rPr>
          <w:rFonts w:hint="eastAsia" w:asciiTheme="minorEastAsia" w:hAnsiTheme="minorEastAsia" w:eastAsiaTheme="minorEastAsia" w:cstheme="minorEastAsia"/>
          <w:sz w:val="28"/>
          <w:szCs w:val="28"/>
          <w:lang w:val="en-US" w:eastAsia="zh-CN"/>
        </w:rPr>
        <w:t>能进入需要维护的各场所</w:t>
      </w:r>
      <w:r>
        <w:rPr>
          <w:rFonts w:hint="eastAsia" w:asciiTheme="minorEastAsia" w:hAnsiTheme="minorEastAsia" w:cstheme="minorEastAsia"/>
          <w:sz w:val="28"/>
          <w:szCs w:val="28"/>
          <w:lang w:val="en-US" w:eastAsia="zh-CN"/>
        </w:rPr>
        <w:t>。</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宋体" w:hAnsi="宋体" w:eastAsia="宋体" w:cs="宋体"/>
          <w:sz w:val="28"/>
          <w:szCs w:val="28"/>
          <w:lang w:val="en-US" w:eastAsia="zh-CN"/>
        </w:rPr>
        <w:t>3、每次维保后5个工作日内，</w:t>
      </w:r>
      <w:r>
        <w:rPr>
          <w:rFonts w:hint="eastAsia" w:asciiTheme="minorEastAsia" w:hAnsiTheme="minorEastAsia" w:eastAsiaTheme="minorEastAsia" w:cstheme="minorEastAsia"/>
          <w:sz w:val="28"/>
          <w:szCs w:val="28"/>
          <w:lang w:val="en-US" w:eastAsia="zh-CN"/>
        </w:rPr>
        <w:t>乙方</w:t>
      </w:r>
      <w:r>
        <w:rPr>
          <w:rFonts w:hint="eastAsia" w:asciiTheme="minorEastAsia" w:hAnsiTheme="minorEastAsia" w:cstheme="minorEastAsia"/>
          <w:sz w:val="28"/>
          <w:szCs w:val="28"/>
          <w:lang w:val="en-US" w:eastAsia="zh-CN"/>
        </w:rPr>
        <w:t>应</w:t>
      </w:r>
      <w:r>
        <w:rPr>
          <w:rFonts w:hint="eastAsia" w:asciiTheme="minorEastAsia" w:hAnsiTheme="minorEastAsia" w:eastAsiaTheme="minorEastAsia" w:cstheme="minorEastAsia"/>
          <w:sz w:val="28"/>
          <w:szCs w:val="28"/>
          <w:lang w:val="en-US" w:eastAsia="zh-CN"/>
        </w:rPr>
        <w:t>出具</w:t>
      </w:r>
      <w:r>
        <w:rPr>
          <w:rFonts w:hint="eastAsia" w:asciiTheme="minorEastAsia" w:hAnsiTheme="minorEastAsia" w:cstheme="minorEastAsia"/>
          <w:sz w:val="28"/>
          <w:szCs w:val="28"/>
          <w:lang w:val="en-US" w:eastAsia="zh-CN"/>
        </w:rPr>
        <w:t>定期</w:t>
      </w:r>
      <w:r>
        <w:rPr>
          <w:rFonts w:hint="eastAsia" w:asciiTheme="minorEastAsia" w:hAnsiTheme="minorEastAsia" w:eastAsiaTheme="minorEastAsia" w:cstheme="minorEastAsia"/>
          <w:sz w:val="28"/>
          <w:szCs w:val="28"/>
          <w:lang w:val="en-US" w:eastAsia="zh-CN"/>
        </w:rPr>
        <w:t>维护保养书面报告、汇总整理各区域发现问题、整改情况表单及对应图片报委托方。</w:t>
      </w:r>
    </w:p>
    <w:p>
      <w:pPr>
        <w:spacing w:line="360" w:lineRule="auto"/>
        <w:ind w:firstLine="560" w:firstLineChars="200"/>
        <w:outlineLvl w:val="1"/>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w:t>
      </w:r>
      <w:r>
        <w:rPr>
          <w:rFonts w:hint="eastAsia" w:asciiTheme="minorEastAsia" w:hAnsiTheme="minorEastAsia" w:cstheme="minorEastAsia"/>
          <w:sz w:val="28"/>
          <w:szCs w:val="28"/>
          <w:lang w:val="en-US" w:eastAsia="zh-CN"/>
        </w:rPr>
        <w:t>四</w:t>
      </w:r>
      <w:r>
        <w:rPr>
          <w:rFonts w:hint="eastAsia" w:asciiTheme="minorEastAsia" w:hAnsiTheme="minorEastAsia" w:eastAsiaTheme="minorEastAsia" w:cstheme="minorEastAsia"/>
          <w:sz w:val="28"/>
          <w:szCs w:val="28"/>
          <w:lang w:val="en-US" w:eastAsia="zh-CN"/>
        </w:rPr>
        <w:t>）故障突击抢修</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当维保单位接到甲方的故障通知书或电话通知时，应在1小时内派员对该故障进行排除。一般故障应该立即排除，严重故障应该在8小时内修复。当需超过24小时尚无法修复时，需书面通知甲方工作人员，增加日常管理人员与维保单位工作人员一同作好维修期间的安全防范。同时维保方增加技术力量，尽快修复故障。</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2、维修报告：每次巡回检查及维修后，填写《消防设施维护保养现场记录表》并经甲方设备使用单位值班人员或管理员核实签字认可。</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3、属于原施工单位质保期以内的维修，及时通知甲方联系质保单位维修，质保单位维修时为甲方做好监督，配合甲方做好维修质量验收。</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须提供维保人员的姓名、通迅号码并提供他们有效的特种设备作业人员资格证书复印件（须加盖聘用单位印章）。</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须提供24小时的应急响应服务，且能在接到故障或事故报警后60分钟内到达现场，并能提供正常连续的服务直至故障或事故排除。对非电子板原因的常见故障要求在8小时内排除，对电子板原因的故障应在普遍认可的合理时间内解决。</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如因使用不当造成消防设备故障或损坏，中标单位有责任负责及时将其修复或更换，使设备恢复安全、正常运行，费用双方另行协商确定。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0"/>
        <w:rPr>
          <w:rFonts w:hint="eastAsia" w:asciiTheme="minorEastAsia" w:hAnsiTheme="minorEastAsia"/>
          <w:b/>
          <w:sz w:val="28"/>
          <w:szCs w:val="28"/>
        </w:rPr>
      </w:pPr>
      <w:bookmarkStart w:id="1" w:name="_Toc477290691"/>
      <w:r>
        <w:rPr>
          <w:rFonts w:hint="eastAsia" w:asciiTheme="minorEastAsia" w:hAnsiTheme="minorEastAsia"/>
          <w:b/>
          <w:sz w:val="28"/>
          <w:szCs w:val="28"/>
          <w:lang w:eastAsia="zh-CN"/>
        </w:rPr>
        <w:t>五</w:t>
      </w:r>
      <w:r>
        <w:rPr>
          <w:rFonts w:hint="eastAsia" w:asciiTheme="minorEastAsia" w:hAnsiTheme="minorEastAsia"/>
          <w:b/>
          <w:sz w:val="28"/>
          <w:szCs w:val="28"/>
        </w:rPr>
        <w:t>、培训</w:t>
      </w:r>
      <w:bookmarkEnd w:id="1"/>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乙方负责培训指导甲方工作人员正确使用每个系统，每年培训不少于二次。并有培训教材、培训记录及培训人的签名。</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0"/>
        <w:rPr>
          <w:rFonts w:hint="eastAsia" w:asciiTheme="minorEastAsia" w:hAnsiTheme="minorEastAsia"/>
          <w:b/>
          <w:sz w:val="28"/>
          <w:szCs w:val="28"/>
          <w:lang w:val="en-US" w:eastAsia="zh-CN"/>
        </w:rPr>
      </w:pPr>
      <w:r>
        <w:rPr>
          <w:rFonts w:hint="eastAsia" w:asciiTheme="minorEastAsia" w:hAnsiTheme="minorEastAsia"/>
          <w:b/>
          <w:sz w:val="28"/>
          <w:szCs w:val="28"/>
          <w:lang w:val="en-US" w:eastAsia="zh-CN"/>
        </w:rPr>
        <w:t>六、其他</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除免费为甲方更换常用易损件外（附件2），每月免费为甲方更换单个在500元以下（含）的配件/设备，每月最多更换不超过1000元。超过部分甲方按乙方投标报价另行结算。更换条件原则上按同等条件更换。</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textAlignment w:val="auto"/>
        <w:outlineLvl w:val="0"/>
        <w:rPr>
          <w:rFonts w:hint="eastAsia" w:asciiTheme="minorEastAsia" w:hAnsiTheme="minorEastAsia"/>
          <w:b/>
          <w:sz w:val="28"/>
          <w:szCs w:val="28"/>
          <w:lang w:val="en-US" w:eastAsia="zh-CN"/>
        </w:rPr>
      </w:pPr>
      <w:r>
        <w:rPr>
          <w:rFonts w:hint="eastAsia" w:asciiTheme="minorEastAsia" w:hAnsiTheme="minorEastAsia"/>
          <w:b/>
          <w:sz w:val="28"/>
          <w:szCs w:val="28"/>
          <w:lang w:val="en-US" w:eastAsia="zh-CN"/>
        </w:rPr>
        <w:t>七、结算方式</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（一）单价：单价包括设计、制作、送货、安装及税费等所有费用，按中标报价表的单价以实际发生量据实结算。</w:t>
      </w:r>
    </w:p>
    <w:p>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（二）结算：以实际发生量据实结算。</w:t>
      </w:r>
    </w:p>
    <w:p>
      <w:pPr>
        <w:widowControl/>
        <w:spacing w:line="400" w:lineRule="exact"/>
        <w:jc w:val="left"/>
        <w:rPr>
          <w:rFonts w:hint="default" w:ascii="宋体" w:hAnsi="宋体" w:cs="宋体"/>
          <w:color w:val="000000"/>
          <w:spacing w:val="-8"/>
          <w:kern w:val="0"/>
          <w:sz w:val="24"/>
          <w:lang w:val="en-US" w:eastAsia="zh-CN"/>
        </w:rPr>
      </w:pPr>
    </w:p>
    <w:p>
      <w:pPr>
        <w:widowControl/>
        <w:spacing w:line="400" w:lineRule="exact"/>
        <w:jc w:val="left"/>
        <w:rPr>
          <w:rFonts w:hint="eastAsia" w:eastAsia="仿宋_GB2312"/>
          <w:b/>
          <w:bCs/>
          <w:kern w:val="0"/>
          <w:sz w:val="30"/>
          <w:szCs w:val="30"/>
        </w:rPr>
      </w:pPr>
    </w:p>
    <w:p>
      <w:pPr>
        <w:widowControl/>
        <w:spacing w:line="400" w:lineRule="exact"/>
        <w:jc w:val="left"/>
        <w:outlineLvl w:val="0"/>
        <w:rPr>
          <w:rFonts w:eastAsia="仿宋_GB2312"/>
          <w:b/>
          <w:bCs/>
          <w:kern w:val="0"/>
          <w:sz w:val="30"/>
          <w:szCs w:val="30"/>
        </w:rPr>
      </w:pPr>
      <w:r>
        <w:rPr>
          <w:rFonts w:hint="eastAsia" w:eastAsia="仿宋_GB2312"/>
          <w:b/>
          <w:bCs/>
          <w:kern w:val="0"/>
          <w:sz w:val="30"/>
          <w:szCs w:val="30"/>
        </w:rPr>
        <w:t>附件</w:t>
      </w:r>
      <w:r>
        <w:rPr>
          <w:rFonts w:eastAsia="仿宋_GB2312"/>
          <w:b/>
          <w:bCs/>
          <w:kern w:val="0"/>
          <w:sz w:val="30"/>
          <w:szCs w:val="30"/>
        </w:rPr>
        <w:t>1</w:t>
      </w:r>
      <w:r>
        <w:rPr>
          <w:rFonts w:hint="eastAsia" w:eastAsia="仿宋_GB2312"/>
          <w:b/>
          <w:bCs/>
          <w:kern w:val="0"/>
          <w:sz w:val="30"/>
          <w:szCs w:val="30"/>
        </w:rPr>
        <w:t>：</w:t>
      </w:r>
      <w:r>
        <w:rPr>
          <w:rFonts w:eastAsia="仿宋_GB2312"/>
          <w:b/>
          <w:bCs/>
          <w:kern w:val="0"/>
          <w:sz w:val="30"/>
          <w:szCs w:val="30"/>
        </w:rPr>
        <w:t xml:space="preserve"> </w:t>
      </w:r>
    </w:p>
    <w:p>
      <w:pPr>
        <w:widowControl/>
        <w:spacing w:line="400" w:lineRule="exact"/>
        <w:jc w:val="center"/>
        <w:outlineLvl w:val="0"/>
        <w:rPr>
          <w:b/>
          <w:sz w:val="32"/>
          <w:szCs w:val="32"/>
        </w:rPr>
      </w:pPr>
      <w:r>
        <w:rPr>
          <w:rFonts w:hint="eastAsia"/>
          <w:b/>
          <w:sz w:val="32"/>
          <w:szCs w:val="32"/>
        </w:rPr>
        <w:t>办公场所消防系统维保项目考核实施细则</w:t>
      </w:r>
    </w:p>
    <w:tbl>
      <w:tblPr>
        <w:tblStyle w:val="5"/>
        <w:tblpPr w:leftFromText="180" w:rightFromText="180" w:vertAnchor="text" w:horzAnchor="margin" w:tblpXSpec="center" w:tblpY="315"/>
        <w:tblOverlap w:val="never"/>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869"/>
        <w:gridCol w:w="3969"/>
        <w:gridCol w:w="1242"/>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tblHeader/>
        </w:trPr>
        <w:tc>
          <w:tcPr>
            <w:tcW w:w="817" w:type="dxa"/>
            <w:vAlign w:val="center"/>
          </w:tcPr>
          <w:p>
            <w:pPr>
              <w:widowControl/>
              <w:spacing w:line="400" w:lineRule="exact"/>
              <w:jc w:val="left"/>
              <w:rPr>
                <w:b/>
                <w:sz w:val="24"/>
              </w:rPr>
            </w:pPr>
            <w:r>
              <w:rPr>
                <w:rFonts w:hint="eastAsia"/>
                <w:b/>
                <w:sz w:val="24"/>
              </w:rPr>
              <w:t>序号</w:t>
            </w:r>
          </w:p>
        </w:tc>
        <w:tc>
          <w:tcPr>
            <w:tcW w:w="2869" w:type="dxa"/>
            <w:vAlign w:val="center"/>
          </w:tcPr>
          <w:p>
            <w:pPr>
              <w:widowControl/>
              <w:spacing w:line="400" w:lineRule="exact"/>
              <w:jc w:val="left"/>
              <w:rPr>
                <w:b/>
                <w:sz w:val="24"/>
              </w:rPr>
            </w:pPr>
            <w:r>
              <w:rPr>
                <w:rFonts w:hint="eastAsia"/>
                <w:b/>
                <w:sz w:val="24"/>
              </w:rPr>
              <w:t>考核内容及标准要求</w:t>
            </w:r>
          </w:p>
        </w:tc>
        <w:tc>
          <w:tcPr>
            <w:tcW w:w="3969" w:type="dxa"/>
            <w:vAlign w:val="center"/>
          </w:tcPr>
          <w:p>
            <w:pPr>
              <w:widowControl/>
              <w:spacing w:line="400" w:lineRule="exact"/>
              <w:jc w:val="left"/>
              <w:rPr>
                <w:b/>
                <w:sz w:val="24"/>
              </w:rPr>
            </w:pPr>
            <w:r>
              <w:rPr>
                <w:rFonts w:hint="eastAsia"/>
                <w:b/>
                <w:sz w:val="24"/>
              </w:rPr>
              <w:t>考核结果</w:t>
            </w:r>
          </w:p>
        </w:tc>
        <w:tc>
          <w:tcPr>
            <w:tcW w:w="1242" w:type="dxa"/>
            <w:vAlign w:val="center"/>
          </w:tcPr>
          <w:p>
            <w:pPr>
              <w:widowControl/>
              <w:spacing w:line="400" w:lineRule="exact"/>
              <w:jc w:val="left"/>
              <w:rPr>
                <w:b/>
                <w:sz w:val="24"/>
              </w:rPr>
            </w:pPr>
            <w:r>
              <w:rPr>
                <w:rFonts w:hint="eastAsia"/>
                <w:b/>
                <w:sz w:val="24"/>
              </w:rPr>
              <w:t>扣罚金额</w:t>
            </w:r>
          </w:p>
        </w:tc>
        <w:tc>
          <w:tcPr>
            <w:tcW w:w="709" w:type="dxa"/>
            <w:vAlign w:val="center"/>
          </w:tcPr>
          <w:p>
            <w:pPr>
              <w:widowControl/>
              <w:spacing w:line="400" w:lineRule="exact"/>
              <w:jc w:val="left"/>
              <w:rPr>
                <w:b/>
                <w:sz w:val="24"/>
              </w:rPr>
            </w:pPr>
            <w:r>
              <w:rPr>
                <w:rFonts w:hint="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817" w:type="dxa"/>
            <w:vMerge w:val="restart"/>
            <w:vAlign w:val="center"/>
          </w:tcPr>
          <w:p>
            <w:pPr>
              <w:widowControl/>
              <w:spacing w:line="400" w:lineRule="exact"/>
              <w:jc w:val="center"/>
              <w:rPr>
                <w:sz w:val="24"/>
              </w:rPr>
            </w:pPr>
            <w:r>
              <w:rPr>
                <w:sz w:val="24"/>
              </w:rPr>
              <w:t>1</w:t>
            </w:r>
          </w:p>
        </w:tc>
        <w:tc>
          <w:tcPr>
            <w:tcW w:w="2869" w:type="dxa"/>
            <w:vMerge w:val="restart"/>
            <w:vAlign w:val="center"/>
          </w:tcPr>
          <w:p>
            <w:pPr>
              <w:widowControl/>
              <w:spacing w:line="400" w:lineRule="exact"/>
              <w:jc w:val="left"/>
              <w:rPr>
                <w:sz w:val="24"/>
              </w:rPr>
            </w:pPr>
            <w:r>
              <w:rPr>
                <w:rFonts w:hint="eastAsia"/>
                <w:sz w:val="24"/>
              </w:rPr>
              <w:t>维保人员必须持证上岗（上岗证复印件报甲方备存），着装规范（着单位工装、有牌的要挂牌）。</w:t>
            </w:r>
          </w:p>
        </w:tc>
        <w:tc>
          <w:tcPr>
            <w:tcW w:w="3969" w:type="dxa"/>
            <w:vAlign w:val="center"/>
          </w:tcPr>
          <w:p>
            <w:pPr>
              <w:widowControl/>
              <w:spacing w:line="400" w:lineRule="exact"/>
              <w:jc w:val="left"/>
              <w:rPr>
                <w:sz w:val="24"/>
              </w:rPr>
            </w:pPr>
            <w:r>
              <w:rPr>
                <w:rFonts w:hint="eastAsia"/>
                <w:sz w:val="24"/>
              </w:rPr>
              <w:t>维保人员消防相关上岗证未拿到甲方报备</w:t>
            </w:r>
          </w:p>
        </w:tc>
        <w:tc>
          <w:tcPr>
            <w:tcW w:w="1242" w:type="dxa"/>
            <w:vAlign w:val="center"/>
          </w:tcPr>
          <w:p>
            <w:pPr>
              <w:widowControl/>
              <w:spacing w:line="400" w:lineRule="exact"/>
              <w:jc w:val="left"/>
              <w:rPr>
                <w:sz w:val="24"/>
              </w:rPr>
            </w:pPr>
            <w:r>
              <w:rPr>
                <w:sz w:val="24"/>
              </w:rPr>
              <w:t>50</w:t>
            </w:r>
          </w:p>
        </w:tc>
        <w:tc>
          <w:tcPr>
            <w:tcW w:w="709" w:type="dxa"/>
            <w:vMerge w:val="restart"/>
            <w:vAlign w:val="center"/>
          </w:tcPr>
          <w:p>
            <w:pPr>
              <w:widowControl/>
              <w:spacing w:line="400" w:lineRule="exact"/>
              <w:jc w:val="left"/>
              <w:rPr>
                <w:sz w:val="24"/>
              </w:rPr>
            </w:pPr>
            <w:r>
              <w:rPr>
                <w:rFonts w:hint="eastAsia"/>
                <w:sz w:val="24"/>
              </w:rPr>
              <w:t>元</w:t>
            </w:r>
            <w:r>
              <w:rPr>
                <w:sz w:val="24"/>
              </w:rPr>
              <w:t>/</w:t>
            </w:r>
            <w:r>
              <w:rPr>
                <w:rFonts w:hint="eastAsia"/>
                <w:sz w:val="24"/>
              </w:rPr>
              <w:t>人</w:t>
            </w:r>
          </w:p>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维保人员无证上岗</w:t>
            </w:r>
          </w:p>
        </w:tc>
        <w:tc>
          <w:tcPr>
            <w:tcW w:w="1242" w:type="dxa"/>
            <w:vAlign w:val="center"/>
          </w:tcPr>
          <w:p>
            <w:pPr>
              <w:widowControl/>
              <w:spacing w:line="400" w:lineRule="exact"/>
              <w:jc w:val="left"/>
              <w:rPr>
                <w:sz w:val="24"/>
              </w:rPr>
            </w:pPr>
            <w:r>
              <w:rPr>
                <w:sz w:val="24"/>
              </w:rPr>
              <w:t>500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维保人员着装不规范</w:t>
            </w:r>
          </w:p>
        </w:tc>
        <w:tc>
          <w:tcPr>
            <w:tcW w:w="1242" w:type="dxa"/>
            <w:vAlign w:val="center"/>
          </w:tcPr>
          <w:p>
            <w:pPr>
              <w:widowControl/>
              <w:spacing w:line="400" w:lineRule="exact"/>
              <w:jc w:val="left"/>
              <w:rPr>
                <w:sz w:val="24"/>
              </w:rPr>
            </w:pPr>
            <w:r>
              <w:rPr>
                <w:sz w:val="24"/>
              </w:rPr>
              <w:t>50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blHeader/>
        </w:trPr>
        <w:tc>
          <w:tcPr>
            <w:tcW w:w="817" w:type="dxa"/>
            <w:vMerge w:val="restart"/>
            <w:vAlign w:val="center"/>
          </w:tcPr>
          <w:p>
            <w:pPr>
              <w:widowControl/>
              <w:spacing w:line="400" w:lineRule="exact"/>
              <w:jc w:val="center"/>
              <w:rPr>
                <w:sz w:val="24"/>
              </w:rPr>
            </w:pPr>
            <w:r>
              <w:rPr>
                <w:sz w:val="24"/>
              </w:rPr>
              <w:t>2</w:t>
            </w:r>
          </w:p>
        </w:tc>
        <w:tc>
          <w:tcPr>
            <w:tcW w:w="2869" w:type="dxa"/>
            <w:vMerge w:val="restart"/>
            <w:vAlign w:val="center"/>
          </w:tcPr>
          <w:p>
            <w:pPr>
              <w:widowControl/>
              <w:spacing w:line="400" w:lineRule="exact"/>
              <w:jc w:val="left"/>
              <w:rPr>
                <w:sz w:val="24"/>
              </w:rPr>
            </w:pPr>
            <w:r>
              <w:rPr>
                <w:rFonts w:hint="eastAsia"/>
                <w:sz w:val="24"/>
              </w:rPr>
              <w:t>维保人员须经过甲方年度入场作业培训，听从甲方管理人员安排，提前一天（</w:t>
            </w:r>
            <w:r>
              <w:rPr>
                <w:sz w:val="24"/>
              </w:rPr>
              <w:t>24</w:t>
            </w:r>
            <w:r>
              <w:rPr>
                <w:rFonts w:hint="eastAsia"/>
                <w:sz w:val="24"/>
              </w:rPr>
              <w:t>小时）通知甲方做好维保通知，作业期间严禁与业方发生争吵。</w:t>
            </w:r>
          </w:p>
        </w:tc>
        <w:tc>
          <w:tcPr>
            <w:tcW w:w="3969" w:type="dxa"/>
            <w:vAlign w:val="center"/>
          </w:tcPr>
          <w:p>
            <w:pPr>
              <w:widowControl/>
              <w:spacing w:line="400" w:lineRule="exact"/>
              <w:jc w:val="left"/>
              <w:rPr>
                <w:sz w:val="24"/>
              </w:rPr>
            </w:pPr>
            <w:r>
              <w:rPr>
                <w:rFonts w:hint="eastAsia"/>
                <w:sz w:val="24"/>
              </w:rPr>
              <w:t>未经甲方培训，进场作业</w:t>
            </w:r>
          </w:p>
        </w:tc>
        <w:tc>
          <w:tcPr>
            <w:tcW w:w="1242" w:type="dxa"/>
            <w:vAlign w:val="center"/>
          </w:tcPr>
          <w:p>
            <w:pPr>
              <w:widowControl/>
              <w:spacing w:line="400" w:lineRule="exact"/>
              <w:jc w:val="left"/>
              <w:rPr>
                <w:sz w:val="24"/>
              </w:rPr>
            </w:pPr>
            <w:r>
              <w:rPr>
                <w:sz w:val="24"/>
              </w:rPr>
              <w:t>100</w:t>
            </w: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不服从甲方管理</w:t>
            </w:r>
          </w:p>
        </w:tc>
        <w:tc>
          <w:tcPr>
            <w:tcW w:w="1242" w:type="dxa"/>
            <w:vAlign w:val="center"/>
          </w:tcPr>
          <w:p>
            <w:pPr>
              <w:widowControl/>
              <w:spacing w:line="400" w:lineRule="exact"/>
              <w:jc w:val="left"/>
              <w:rPr>
                <w:sz w:val="24"/>
              </w:rPr>
            </w:pPr>
            <w:r>
              <w:rPr>
                <w:sz w:val="24"/>
              </w:rPr>
              <w:t>200</w:t>
            </w:r>
          </w:p>
        </w:tc>
        <w:tc>
          <w:tcPr>
            <w:tcW w:w="709" w:type="dxa"/>
            <w:vMerge w:val="restart"/>
            <w:vAlign w:val="center"/>
          </w:tcPr>
          <w:p>
            <w:pPr>
              <w:widowControl/>
              <w:spacing w:line="400" w:lineRule="exact"/>
              <w:jc w:val="left"/>
              <w:rPr>
                <w:sz w:val="24"/>
              </w:rPr>
            </w:pPr>
            <w:r>
              <w:rPr>
                <w:rFonts w:hint="eastAsia"/>
                <w:sz w:val="24"/>
              </w:rPr>
              <w:t>元</w:t>
            </w:r>
            <w:r>
              <w:rPr>
                <w:sz w:val="24"/>
              </w:rPr>
              <w:t>/</w:t>
            </w:r>
            <w:r>
              <w:rPr>
                <w:rFonts w:hint="eastAsia"/>
                <w:sz w:val="24"/>
              </w:rPr>
              <w:t>次</w:t>
            </w:r>
          </w:p>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未提前一天（</w:t>
            </w:r>
            <w:r>
              <w:rPr>
                <w:sz w:val="24"/>
              </w:rPr>
              <w:t>24</w:t>
            </w:r>
            <w:r>
              <w:rPr>
                <w:rFonts w:hint="eastAsia"/>
                <w:sz w:val="24"/>
              </w:rPr>
              <w:t>小时）通知作业计划</w:t>
            </w:r>
          </w:p>
        </w:tc>
        <w:tc>
          <w:tcPr>
            <w:tcW w:w="1242" w:type="dxa"/>
            <w:vAlign w:val="center"/>
          </w:tcPr>
          <w:p>
            <w:pPr>
              <w:widowControl/>
              <w:spacing w:line="400" w:lineRule="exact"/>
              <w:jc w:val="left"/>
              <w:rPr>
                <w:sz w:val="24"/>
              </w:rPr>
            </w:pPr>
            <w:r>
              <w:rPr>
                <w:sz w:val="24"/>
              </w:rPr>
              <w:t>200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作业期间与业主发生争吵</w:t>
            </w:r>
            <w:r>
              <w:rPr>
                <w:sz w:val="24"/>
              </w:rPr>
              <w:t xml:space="preserve"> </w:t>
            </w:r>
          </w:p>
        </w:tc>
        <w:tc>
          <w:tcPr>
            <w:tcW w:w="1242" w:type="dxa"/>
            <w:vAlign w:val="center"/>
          </w:tcPr>
          <w:p>
            <w:pPr>
              <w:widowControl/>
              <w:spacing w:line="400" w:lineRule="exact"/>
              <w:jc w:val="left"/>
              <w:rPr>
                <w:sz w:val="24"/>
              </w:rPr>
            </w:pPr>
            <w:r>
              <w:rPr>
                <w:sz w:val="24"/>
              </w:rPr>
              <w:t>500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blHeader/>
        </w:trPr>
        <w:tc>
          <w:tcPr>
            <w:tcW w:w="817" w:type="dxa"/>
            <w:vMerge w:val="restart"/>
            <w:vAlign w:val="center"/>
          </w:tcPr>
          <w:p>
            <w:pPr>
              <w:widowControl/>
              <w:spacing w:line="400" w:lineRule="exact"/>
              <w:jc w:val="center"/>
              <w:rPr>
                <w:sz w:val="24"/>
              </w:rPr>
            </w:pPr>
            <w:r>
              <w:rPr>
                <w:sz w:val="24"/>
              </w:rPr>
              <w:t>3</w:t>
            </w:r>
          </w:p>
        </w:tc>
        <w:tc>
          <w:tcPr>
            <w:tcW w:w="2869" w:type="dxa"/>
            <w:vMerge w:val="restart"/>
            <w:vAlign w:val="center"/>
          </w:tcPr>
          <w:p>
            <w:pPr>
              <w:widowControl/>
              <w:spacing w:line="400" w:lineRule="exact"/>
              <w:jc w:val="left"/>
              <w:rPr>
                <w:sz w:val="24"/>
              </w:rPr>
            </w:pPr>
            <w:r>
              <w:rPr>
                <w:rFonts w:hint="eastAsia"/>
                <w:sz w:val="24"/>
              </w:rPr>
              <w:t>维保结束后每次月</w:t>
            </w:r>
            <w:r>
              <w:rPr>
                <w:sz w:val="24"/>
              </w:rPr>
              <w:t>5</w:t>
            </w:r>
            <w:r>
              <w:rPr>
                <w:rFonts w:hint="eastAsia"/>
                <w:sz w:val="24"/>
              </w:rPr>
              <w:t>日前提交设备月度运行分析报告；每半年、年提交设备半年、年度运行分析报告。按维保合同要求，每次月</w:t>
            </w:r>
            <w:r>
              <w:rPr>
                <w:sz w:val="24"/>
              </w:rPr>
              <w:t>5</w:t>
            </w:r>
            <w:r>
              <w:rPr>
                <w:rFonts w:hint="eastAsia"/>
                <w:sz w:val="24"/>
              </w:rPr>
              <w:t>日前提供正规的维保发票（增值税专用发票）。</w:t>
            </w:r>
          </w:p>
        </w:tc>
        <w:tc>
          <w:tcPr>
            <w:tcW w:w="3969" w:type="dxa"/>
            <w:vAlign w:val="center"/>
          </w:tcPr>
          <w:p>
            <w:pPr>
              <w:widowControl/>
              <w:spacing w:line="400" w:lineRule="exact"/>
              <w:jc w:val="left"/>
              <w:rPr>
                <w:sz w:val="24"/>
              </w:rPr>
            </w:pPr>
            <w:r>
              <w:rPr>
                <w:rFonts w:hint="eastAsia"/>
                <w:sz w:val="24"/>
              </w:rPr>
              <w:t>未按时提交设备分析报告</w:t>
            </w:r>
          </w:p>
        </w:tc>
        <w:tc>
          <w:tcPr>
            <w:tcW w:w="1242" w:type="dxa"/>
            <w:vAlign w:val="center"/>
          </w:tcPr>
          <w:p>
            <w:pPr>
              <w:widowControl/>
              <w:spacing w:line="400" w:lineRule="exact"/>
              <w:jc w:val="left"/>
              <w:rPr>
                <w:sz w:val="24"/>
              </w:rPr>
            </w:pPr>
            <w:r>
              <w:rPr>
                <w:sz w:val="24"/>
              </w:rPr>
              <w:t>100</w:t>
            </w:r>
          </w:p>
        </w:tc>
        <w:tc>
          <w:tcPr>
            <w:tcW w:w="709" w:type="dxa"/>
            <w:vMerge w:val="restart"/>
            <w:vAlign w:val="center"/>
          </w:tcPr>
          <w:p>
            <w:pPr>
              <w:widowControl/>
              <w:spacing w:line="400" w:lineRule="exact"/>
              <w:jc w:val="left"/>
              <w:rPr>
                <w:sz w:val="24"/>
              </w:rPr>
            </w:pPr>
            <w:r>
              <w:rPr>
                <w:rFonts w:hint="eastAsia"/>
                <w:sz w:val="24"/>
              </w:rPr>
              <w:t>元</w:t>
            </w:r>
            <w:r>
              <w:rPr>
                <w:sz w:val="24"/>
              </w:rPr>
              <w:t>/</w:t>
            </w:r>
            <w:r>
              <w:rPr>
                <w:rFonts w:hint="eastAsia"/>
                <w:sz w:val="24"/>
              </w:rPr>
              <w:t>次</w:t>
            </w:r>
          </w:p>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未提交设备分析报告</w:t>
            </w:r>
          </w:p>
        </w:tc>
        <w:tc>
          <w:tcPr>
            <w:tcW w:w="1242" w:type="dxa"/>
            <w:vAlign w:val="center"/>
          </w:tcPr>
          <w:p>
            <w:pPr>
              <w:widowControl/>
              <w:spacing w:line="400" w:lineRule="exact"/>
              <w:jc w:val="left"/>
              <w:rPr>
                <w:sz w:val="24"/>
              </w:rPr>
            </w:pPr>
            <w:r>
              <w:rPr>
                <w:sz w:val="24"/>
              </w:rPr>
              <w:t>200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未按时提交维保发票</w:t>
            </w:r>
          </w:p>
        </w:tc>
        <w:tc>
          <w:tcPr>
            <w:tcW w:w="1242" w:type="dxa"/>
            <w:vAlign w:val="center"/>
          </w:tcPr>
          <w:p>
            <w:pPr>
              <w:widowControl/>
              <w:spacing w:line="400" w:lineRule="exact"/>
              <w:jc w:val="left"/>
              <w:rPr>
                <w:sz w:val="24"/>
              </w:rPr>
            </w:pPr>
            <w:r>
              <w:rPr>
                <w:sz w:val="24"/>
              </w:rPr>
              <w:t>200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提供非正规发票</w:t>
            </w:r>
          </w:p>
        </w:tc>
        <w:tc>
          <w:tcPr>
            <w:tcW w:w="1242" w:type="dxa"/>
            <w:vAlign w:val="center"/>
          </w:tcPr>
          <w:p>
            <w:pPr>
              <w:widowControl/>
              <w:spacing w:line="400" w:lineRule="exact"/>
              <w:jc w:val="left"/>
              <w:rPr>
                <w:sz w:val="24"/>
              </w:rPr>
            </w:pPr>
            <w:r>
              <w:rPr>
                <w:sz w:val="24"/>
              </w:rPr>
              <w:t>1000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blHeader/>
        </w:trPr>
        <w:tc>
          <w:tcPr>
            <w:tcW w:w="817" w:type="dxa"/>
            <w:vMerge w:val="restart"/>
            <w:vAlign w:val="center"/>
          </w:tcPr>
          <w:p>
            <w:pPr>
              <w:widowControl/>
              <w:spacing w:line="400" w:lineRule="exact"/>
              <w:jc w:val="center"/>
              <w:rPr>
                <w:sz w:val="24"/>
              </w:rPr>
            </w:pPr>
            <w:r>
              <w:rPr>
                <w:sz w:val="24"/>
              </w:rPr>
              <w:t>4</w:t>
            </w:r>
          </w:p>
        </w:tc>
        <w:tc>
          <w:tcPr>
            <w:tcW w:w="2869" w:type="dxa"/>
            <w:vMerge w:val="restart"/>
            <w:vAlign w:val="center"/>
          </w:tcPr>
          <w:p>
            <w:pPr>
              <w:widowControl/>
              <w:spacing w:line="400" w:lineRule="exact"/>
              <w:jc w:val="left"/>
              <w:rPr>
                <w:sz w:val="24"/>
              </w:rPr>
            </w:pPr>
            <w:r>
              <w:rPr>
                <w:rFonts w:hint="eastAsia"/>
                <w:sz w:val="24"/>
              </w:rPr>
              <w:t>每月对合同范围内消防设备进行一次保养</w:t>
            </w:r>
            <w:r>
              <w:rPr>
                <w:sz w:val="24"/>
              </w:rPr>
              <w:t>/</w:t>
            </w:r>
            <w:r>
              <w:rPr>
                <w:rFonts w:hint="eastAsia"/>
                <w:sz w:val="24"/>
              </w:rPr>
              <w:t>检测，并做记录。</w:t>
            </w:r>
          </w:p>
        </w:tc>
        <w:tc>
          <w:tcPr>
            <w:tcW w:w="3969" w:type="dxa"/>
            <w:vAlign w:val="center"/>
          </w:tcPr>
          <w:p>
            <w:pPr>
              <w:widowControl/>
              <w:spacing w:line="400" w:lineRule="exact"/>
              <w:jc w:val="left"/>
              <w:rPr>
                <w:sz w:val="24"/>
              </w:rPr>
            </w:pPr>
            <w:r>
              <w:rPr>
                <w:rFonts w:hint="eastAsia"/>
                <w:sz w:val="24"/>
              </w:rPr>
              <w:t>未按时进行月度保养</w:t>
            </w:r>
          </w:p>
        </w:tc>
        <w:tc>
          <w:tcPr>
            <w:tcW w:w="1242" w:type="dxa"/>
            <w:vAlign w:val="center"/>
          </w:tcPr>
          <w:p>
            <w:pPr>
              <w:widowControl/>
              <w:spacing w:line="400" w:lineRule="exact"/>
              <w:jc w:val="left"/>
              <w:rPr>
                <w:sz w:val="24"/>
              </w:rPr>
            </w:pPr>
            <w:r>
              <w:rPr>
                <w:sz w:val="24"/>
              </w:rPr>
              <w:t>400</w:t>
            </w: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保养结束未按时填写保养记录</w:t>
            </w:r>
          </w:p>
        </w:tc>
        <w:tc>
          <w:tcPr>
            <w:tcW w:w="1242" w:type="dxa"/>
            <w:vAlign w:val="center"/>
          </w:tcPr>
          <w:p>
            <w:pPr>
              <w:widowControl/>
              <w:spacing w:line="400" w:lineRule="exact"/>
              <w:jc w:val="left"/>
              <w:rPr>
                <w:sz w:val="24"/>
              </w:rPr>
            </w:pPr>
            <w:r>
              <w:rPr>
                <w:sz w:val="24"/>
              </w:rPr>
              <w:t>100</w:t>
            </w: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保养记录填写不规范</w:t>
            </w:r>
          </w:p>
        </w:tc>
        <w:tc>
          <w:tcPr>
            <w:tcW w:w="1242" w:type="dxa"/>
            <w:vAlign w:val="center"/>
          </w:tcPr>
          <w:p>
            <w:pPr>
              <w:widowControl/>
              <w:spacing w:line="400" w:lineRule="exact"/>
              <w:jc w:val="left"/>
              <w:rPr>
                <w:sz w:val="24"/>
              </w:rPr>
            </w:pPr>
            <w:r>
              <w:rPr>
                <w:sz w:val="24"/>
              </w:rPr>
              <w:t>50</w:t>
            </w: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blHeader/>
        </w:trPr>
        <w:tc>
          <w:tcPr>
            <w:tcW w:w="817" w:type="dxa"/>
            <w:vMerge w:val="restart"/>
            <w:vAlign w:val="center"/>
          </w:tcPr>
          <w:p>
            <w:pPr>
              <w:widowControl/>
              <w:spacing w:line="400" w:lineRule="exact"/>
              <w:jc w:val="center"/>
              <w:rPr>
                <w:sz w:val="24"/>
              </w:rPr>
            </w:pPr>
            <w:r>
              <w:rPr>
                <w:sz w:val="24"/>
              </w:rPr>
              <w:t>5</w:t>
            </w:r>
          </w:p>
        </w:tc>
        <w:tc>
          <w:tcPr>
            <w:tcW w:w="2869" w:type="dxa"/>
            <w:vMerge w:val="restart"/>
            <w:vAlign w:val="center"/>
          </w:tcPr>
          <w:p>
            <w:pPr>
              <w:widowControl/>
              <w:spacing w:line="400" w:lineRule="exact"/>
              <w:jc w:val="left"/>
              <w:rPr>
                <w:sz w:val="24"/>
              </w:rPr>
            </w:pPr>
            <w:r>
              <w:rPr>
                <w:rFonts w:hint="eastAsia"/>
                <w:sz w:val="24"/>
              </w:rPr>
              <w:t>协助甲方制定火灾</w:t>
            </w:r>
            <w:r>
              <w:rPr>
                <w:rFonts w:hint="eastAsia"/>
                <w:sz w:val="24"/>
                <w:lang w:eastAsia="zh-CN"/>
              </w:rPr>
              <w:t>事故</w:t>
            </w:r>
            <w:r>
              <w:rPr>
                <w:rFonts w:hint="eastAsia"/>
                <w:sz w:val="24"/>
              </w:rPr>
              <w:t>应急处理程序及</w:t>
            </w:r>
            <w:r>
              <w:rPr>
                <w:rFonts w:hint="eastAsia"/>
                <w:sz w:val="24"/>
                <w:lang w:eastAsia="zh-CN"/>
              </w:rPr>
              <w:t>应急</w:t>
            </w:r>
            <w:r>
              <w:rPr>
                <w:rFonts w:hint="eastAsia"/>
                <w:sz w:val="24"/>
              </w:rPr>
              <w:t>演练预案；每年不少于</w:t>
            </w:r>
            <w:r>
              <w:rPr>
                <w:sz w:val="24"/>
              </w:rPr>
              <w:t>2</w:t>
            </w:r>
            <w:r>
              <w:rPr>
                <w:rFonts w:hint="eastAsia"/>
                <w:sz w:val="24"/>
              </w:rPr>
              <w:t>次对甲方作业人员进行培训（提供课件）。</w:t>
            </w:r>
          </w:p>
        </w:tc>
        <w:tc>
          <w:tcPr>
            <w:tcW w:w="3969" w:type="dxa"/>
            <w:vAlign w:val="center"/>
          </w:tcPr>
          <w:p>
            <w:pPr>
              <w:widowControl/>
              <w:spacing w:line="400" w:lineRule="exact"/>
              <w:jc w:val="left"/>
              <w:rPr>
                <w:sz w:val="24"/>
              </w:rPr>
            </w:pPr>
            <w:r>
              <w:rPr>
                <w:rFonts w:hint="eastAsia"/>
                <w:sz w:val="24"/>
              </w:rPr>
              <w:t>未配合甲方制定火灾</w:t>
            </w:r>
            <w:r>
              <w:rPr>
                <w:rFonts w:hint="eastAsia"/>
                <w:sz w:val="24"/>
                <w:lang w:eastAsia="zh-CN"/>
              </w:rPr>
              <w:t>事故</w:t>
            </w:r>
            <w:r>
              <w:rPr>
                <w:rFonts w:hint="eastAsia"/>
                <w:sz w:val="24"/>
              </w:rPr>
              <w:t>应急处理程序及</w:t>
            </w:r>
            <w:r>
              <w:rPr>
                <w:rFonts w:hint="eastAsia"/>
                <w:sz w:val="24"/>
                <w:lang w:eastAsia="zh-CN"/>
              </w:rPr>
              <w:t>应急</w:t>
            </w:r>
            <w:r>
              <w:rPr>
                <w:rFonts w:hint="eastAsia"/>
                <w:sz w:val="24"/>
              </w:rPr>
              <w:t>演练预案</w:t>
            </w:r>
          </w:p>
        </w:tc>
        <w:tc>
          <w:tcPr>
            <w:tcW w:w="1242" w:type="dxa"/>
            <w:vAlign w:val="center"/>
          </w:tcPr>
          <w:p>
            <w:pPr>
              <w:widowControl/>
              <w:spacing w:line="400" w:lineRule="exact"/>
              <w:jc w:val="left"/>
              <w:rPr>
                <w:sz w:val="24"/>
              </w:rPr>
            </w:pPr>
            <w:r>
              <w:rPr>
                <w:sz w:val="24"/>
              </w:rPr>
              <w:t>500</w:t>
            </w: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每年低于</w:t>
            </w:r>
            <w:r>
              <w:rPr>
                <w:sz w:val="24"/>
              </w:rPr>
              <w:t>2</w:t>
            </w:r>
            <w:r>
              <w:rPr>
                <w:rFonts w:hint="eastAsia"/>
                <w:sz w:val="24"/>
              </w:rPr>
              <w:t>次对甲方作业人员进行培训</w:t>
            </w:r>
          </w:p>
        </w:tc>
        <w:tc>
          <w:tcPr>
            <w:tcW w:w="1242" w:type="dxa"/>
            <w:vAlign w:val="center"/>
          </w:tcPr>
          <w:p>
            <w:pPr>
              <w:widowControl/>
              <w:spacing w:line="400" w:lineRule="exact"/>
              <w:jc w:val="left"/>
              <w:rPr>
                <w:sz w:val="24"/>
              </w:rPr>
            </w:pPr>
            <w:r>
              <w:rPr>
                <w:sz w:val="24"/>
              </w:rPr>
              <w:t>400</w:t>
            </w:r>
          </w:p>
        </w:tc>
        <w:tc>
          <w:tcPr>
            <w:tcW w:w="709" w:type="dxa"/>
            <w:vMerge w:val="restart"/>
            <w:vAlign w:val="center"/>
          </w:tcPr>
          <w:p>
            <w:pPr>
              <w:widowControl/>
              <w:spacing w:line="400" w:lineRule="exact"/>
              <w:jc w:val="left"/>
              <w:rPr>
                <w:sz w:val="24"/>
              </w:rPr>
            </w:pPr>
            <w:r>
              <w:rPr>
                <w:rFonts w:hint="eastAsia"/>
                <w:sz w:val="24"/>
              </w:rPr>
              <w:t>元</w:t>
            </w:r>
            <w:r>
              <w:rPr>
                <w:sz w:val="24"/>
              </w:rPr>
              <w:t>/</w:t>
            </w:r>
            <w:r>
              <w:rPr>
                <w:rFonts w:hint="eastAsia"/>
                <w:sz w:val="24"/>
              </w:rPr>
              <w:t>次</w:t>
            </w:r>
          </w:p>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年度未对甲方作业人员进行培训</w:t>
            </w:r>
          </w:p>
        </w:tc>
        <w:tc>
          <w:tcPr>
            <w:tcW w:w="1242" w:type="dxa"/>
            <w:vAlign w:val="center"/>
          </w:tcPr>
          <w:p>
            <w:pPr>
              <w:widowControl/>
              <w:spacing w:line="400" w:lineRule="exact"/>
              <w:jc w:val="left"/>
              <w:rPr>
                <w:sz w:val="24"/>
              </w:rPr>
            </w:pPr>
            <w:r>
              <w:rPr>
                <w:sz w:val="24"/>
              </w:rPr>
              <w:t>1000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培训未提交课件</w:t>
            </w:r>
          </w:p>
        </w:tc>
        <w:tc>
          <w:tcPr>
            <w:tcW w:w="1242" w:type="dxa"/>
            <w:vAlign w:val="center"/>
          </w:tcPr>
          <w:p>
            <w:pPr>
              <w:widowControl/>
              <w:spacing w:line="400" w:lineRule="exact"/>
              <w:jc w:val="left"/>
              <w:rPr>
                <w:sz w:val="24"/>
              </w:rPr>
            </w:pPr>
            <w:r>
              <w:rPr>
                <w:sz w:val="24"/>
              </w:rPr>
              <w:t>200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blHeader/>
        </w:trPr>
        <w:tc>
          <w:tcPr>
            <w:tcW w:w="817" w:type="dxa"/>
            <w:vMerge w:val="restart"/>
            <w:vAlign w:val="center"/>
          </w:tcPr>
          <w:p>
            <w:pPr>
              <w:widowControl/>
              <w:spacing w:line="400" w:lineRule="exact"/>
              <w:jc w:val="center"/>
              <w:rPr>
                <w:sz w:val="24"/>
              </w:rPr>
            </w:pPr>
            <w:r>
              <w:rPr>
                <w:sz w:val="24"/>
              </w:rPr>
              <w:t>6</w:t>
            </w:r>
          </w:p>
        </w:tc>
        <w:tc>
          <w:tcPr>
            <w:tcW w:w="2869" w:type="dxa"/>
            <w:vMerge w:val="restart"/>
            <w:vAlign w:val="center"/>
          </w:tcPr>
          <w:p>
            <w:pPr>
              <w:widowControl/>
              <w:spacing w:line="400" w:lineRule="exact"/>
              <w:jc w:val="left"/>
              <w:rPr>
                <w:sz w:val="24"/>
              </w:rPr>
            </w:pPr>
            <w:r>
              <w:rPr>
                <w:rFonts w:hint="eastAsia"/>
                <w:sz w:val="24"/>
              </w:rPr>
              <w:t>维修、保养程序疏忽</w:t>
            </w:r>
          </w:p>
        </w:tc>
        <w:tc>
          <w:tcPr>
            <w:tcW w:w="3969" w:type="dxa"/>
            <w:vAlign w:val="center"/>
          </w:tcPr>
          <w:p>
            <w:pPr>
              <w:widowControl/>
              <w:spacing w:line="400" w:lineRule="exact"/>
              <w:jc w:val="left"/>
              <w:rPr>
                <w:sz w:val="24"/>
              </w:rPr>
            </w:pPr>
            <w:r>
              <w:rPr>
                <w:rFonts w:hint="eastAsia"/>
                <w:sz w:val="24"/>
              </w:rPr>
              <w:t>未造成任何不良后果</w:t>
            </w:r>
          </w:p>
        </w:tc>
        <w:tc>
          <w:tcPr>
            <w:tcW w:w="1242" w:type="dxa"/>
            <w:vAlign w:val="center"/>
          </w:tcPr>
          <w:p>
            <w:pPr>
              <w:widowControl/>
              <w:spacing w:line="400" w:lineRule="exact"/>
              <w:jc w:val="left"/>
              <w:rPr>
                <w:sz w:val="24"/>
              </w:rPr>
            </w:pPr>
            <w:r>
              <w:rPr>
                <w:sz w:val="24"/>
              </w:rPr>
              <w:t>200</w:t>
            </w: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维修完毕后消防未能恢复运行</w:t>
            </w:r>
          </w:p>
        </w:tc>
        <w:tc>
          <w:tcPr>
            <w:tcW w:w="1242" w:type="dxa"/>
            <w:vAlign w:val="center"/>
          </w:tcPr>
          <w:p>
            <w:pPr>
              <w:widowControl/>
              <w:spacing w:line="400" w:lineRule="exact"/>
              <w:jc w:val="left"/>
              <w:rPr>
                <w:sz w:val="24"/>
              </w:rPr>
            </w:pPr>
            <w:r>
              <w:rPr>
                <w:sz w:val="24"/>
              </w:rPr>
              <w:t>400</w:t>
            </w: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引起消防设备运行时发生误动作（未造成损失）或引起投诉</w:t>
            </w:r>
          </w:p>
        </w:tc>
        <w:tc>
          <w:tcPr>
            <w:tcW w:w="1242" w:type="dxa"/>
            <w:vAlign w:val="center"/>
          </w:tcPr>
          <w:p>
            <w:pPr>
              <w:widowControl/>
              <w:spacing w:line="400" w:lineRule="exact"/>
              <w:jc w:val="left"/>
              <w:rPr>
                <w:sz w:val="24"/>
              </w:rPr>
            </w:pPr>
            <w:r>
              <w:rPr>
                <w:sz w:val="24"/>
              </w:rPr>
              <w:t>600</w:t>
            </w: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blHeader/>
        </w:trPr>
        <w:tc>
          <w:tcPr>
            <w:tcW w:w="817" w:type="dxa"/>
            <w:vMerge w:val="restart"/>
            <w:vAlign w:val="center"/>
          </w:tcPr>
          <w:p>
            <w:pPr>
              <w:widowControl/>
              <w:spacing w:line="400" w:lineRule="exact"/>
              <w:jc w:val="center"/>
              <w:rPr>
                <w:sz w:val="24"/>
              </w:rPr>
            </w:pPr>
            <w:r>
              <w:rPr>
                <w:sz w:val="24"/>
              </w:rPr>
              <w:t>7</w:t>
            </w:r>
          </w:p>
        </w:tc>
        <w:tc>
          <w:tcPr>
            <w:tcW w:w="2869" w:type="dxa"/>
            <w:vMerge w:val="restart"/>
            <w:vAlign w:val="center"/>
          </w:tcPr>
          <w:p>
            <w:pPr>
              <w:widowControl/>
              <w:spacing w:line="400" w:lineRule="exact"/>
              <w:jc w:val="left"/>
              <w:rPr>
                <w:sz w:val="24"/>
              </w:rPr>
            </w:pPr>
            <w:r>
              <w:rPr>
                <w:rFonts w:hint="eastAsia"/>
                <w:sz w:val="24"/>
              </w:rPr>
              <w:t>保养不足</w:t>
            </w:r>
          </w:p>
        </w:tc>
        <w:tc>
          <w:tcPr>
            <w:tcW w:w="3969" w:type="dxa"/>
            <w:vAlign w:val="center"/>
          </w:tcPr>
          <w:p>
            <w:pPr>
              <w:widowControl/>
              <w:spacing w:line="400" w:lineRule="exact"/>
              <w:jc w:val="left"/>
              <w:rPr>
                <w:sz w:val="24"/>
              </w:rPr>
            </w:pPr>
            <w:r>
              <w:rPr>
                <w:rFonts w:hint="eastAsia"/>
                <w:sz w:val="24"/>
              </w:rPr>
              <w:t>未按保养计划进行保养；</w:t>
            </w:r>
            <w:r>
              <w:rPr>
                <w:sz w:val="24"/>
              </w:rPr>
              <w:t xml:space="preserve"> </w:t>
            </w:r>
          </w:p>
        </w:tc>
        <w:tc>
          <w:tcPr>
            <w:tcW w:w="1242" w:type="dxa"/>
            <w:vAlign w:val="center"/>
          </w:tcPr>
          <w:p>
            <w:pPr>
              <w:widowControl/>
              <w:spacing w:line="400" w:lineRule="exact"/>
              <w:jc w:val="left"/>
              <w:rPr>
                <w:sz w:val="24"/>
              </w:rPr>
            </w:pPr>
            <w:r>
              <w:rPr>
                <w:sz w:val="24"/>
              </w:rPr>
              <w:t>600</w:t>
            </w: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保养项目缺项或遗漏</w:t>
            </w:r>
          </w:p>
        </w:tc>
        <w:tc>
          <w:tcPr>
            <w:tcW w:w="1242" w:type="dxa"/>
            <w:vAlign w:val="center"/>
          </w:tcPr>
          <w:p>
            <w:pPr>
              <w:widowControl/>
              <w:spacing w:line="400" w:lineRule="exact"/>
              <w:jc w:val="left"/>
              <w:rPr>
                <w:sz w:val="24"/>
              </w:rPr>
            </w:pPr>
            <w:r>
              <w:rPr>
                <w:sz w:val="24"/>
              </w:rPr>
              <w:t>200</w:t>
            </w:r>
          </w:p>
        </w:tc>
        <w:tc>
          <w:tcPr>
            <w:tcW w:w="709" w:type="dxa"/>
            <w:vMerge w:val="restart"/>
            <w:vAlign w:val="center"/>
          </w:tcPr>
          <w:p>
            <w:pPr>
              <w:widowControl/>
              <w:spacing w:line="400" w:lineRule="exact"/>
              <w:jc w:val="left"/>
              <w:rPr>
                <w:sz w:val="24"/>
              </w:rPr>
            </w:pPr>
            <w:r>
              <w:rPr>
                <w:rFonts w:hint="eastAsia"/>
                <w:sz w:val="24"/>
              </w:rPr>
              <w:t>元</w:t>
            </w:r>
            <w:r>
              <w:rPr>
                <w:sz w:val="24"/>
              </w:rPr>
              <w:t>/</w:t>
            </w:r>
            <w:r>
              <w:rPr>
                <w:rFonts w:hint="eastAsia"/>
                <w:sz w:val="24"/>
              </w:rPr>
              <w:t>项</w:t>
            </w:r>
          </w:p>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消防设备在保养过程中，因欠缺或遗漏保养项目造成责任性火灾事故，未造成损失的</w:t>
            </w:r>
          </w:p>
        </w:tc>
        <w:tc>
          <w:tcPr>
            <w:tcW w:w="1242" w:type="dxa"/>
            <w:vAlign w:val="center"/>
          </w:tcPr>
          <w:p>
            <w:pPr>
              <w:widowControl/>
              <w:spacing w:line="400" w:lineRule="exact"/>
              <w:jc w:val="left"/>
              <w:rPr>
                <w:sz w:val="24"/>
              </w:rPr>
            </w:pPr>
            <w:r>
              <w:rPr>
                <w:sz w:val="24"/>
              </w:rPr>
              <w:t>1000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blHeader/>
        </w:trPr>
        <w:tc>
          <w:tcPr>
            <w:tcW w:w="817" w:type="dxa"/>
            <w:vMerge w:val="restart"/>
            <w:vAlign w:val="center"/>
          </w:tcPr>
          <w:p>
            <w:pPr>
              <w:widowControl/>
              <w:spacing w:line="400" w:lineRule="exact"/>
              <w:jc w:val="center"/>
              <w:rPr>
                <w:sz w:val="24"/>
              </w:rPr>
            </w:pPr>
            <w:r>
              <w:rPr>
                <w:sz w:val="24"/>
              </w:rPr>
              <w:t>8</w:t>
            </w:r>
          </w:p>
        </w:tc>
        <w:tc>
          <w:tcPr>
            <w:tcW w:w="2869" w:type="dxa"/>
            <w:vMerge w:val="restart"/>
            <w:vAlign w:val="center"/>
          </w:tcPr>
          <w:p>
            <w:pPr>
              <w:widowControl/>
              <w:spacing w:line="400" w:lineRule="exact"/>
              <w:jc w:val="left"/>
              <w:rPr>
                <w:sz w:val="24"/>
              </w:rPr>
            </w:pPr>
            <w:r>
              <w:rPr>
                <w:rFonts w:hint="eastAsia"/>
                <w:sz w:val="24"/>
              </w:rPr>
              <w:t>处理不当</w:t>
            </w:r>
          </w:p>
        </w:tc>
        <w:tc>
          <w:tcPr>
            <w:tcW w:w="3969" w:type="dxa"/>
            <w:vAlign w:val="center"/>
          </w:tcPr>
          <w:p>
            <w:pPr>
              <w:widowControl/>
              <w:spacing w:line="400" w:lineRule="exact"/>
              <w:jc w:val="left"/>
              <w:rPr>
                <w:sz w:val="24"/>
              </w:rPr>
            </w:pPr>
            <w:r>
              <w:rPr>
                <w:rFonts w:hint="eastAsia"/>
                <w:sz w:val="24"/>
              </w:rPr>
              <w:t>按到甲方维修通知，响应时间超过</w:t>
            </w:r>
            <w:r>
              <w:rPr>
                <w:sz w:val="24"/>
              </w:rPr>
              <w:t>1</w:t>
            </w:r>
            <w:r>
              <w:rPr>
                <w:rFonts w:hint="eastAsia"/>
                <w:sz w:val="24"/>
              </w:rPr>
              <w:t>小时</w:t>
            </w:r>
            <w:r>
              <w:rPr>
                <w:sz w:val="24"/>
              </w:rPr>
              <w:t xml:space="preserve"> </w:t>
            </w:r>
          </w:p>
        </w:tc>
        <w:tc>
          <w:tcPr>
            <w:tcW w:w="1242" w:type="dxa"/>
            <w:vAlign w:val="center"/>
          </w:tcPr>
          <w:p>
            <w:pPr>
              <w:widowControl/>
              <w:spacing w:line="400" w:lineRule="exact"/>
              <w:jc w:val="left"/>
              <w:rPr>
                <w:sz w:val="24"/>
              </w:rPr>
            </w:pPr>
            <w:r>
              <w:rPr>
                <w:sz w:val="24"/>
              </w:rPr>
              <w:t>100</w:t>
            </w:r>
          </w:p>
        </w:tc>
        <w:tc>
          <w:tcPr>
            <w:tcW w:w="709" w:type="dxa"/>
            <w:vMerge w:val="restart"/>
            <w:vAlign w:val="center"/>
          </w:tcPr>
          <w:p>
            <w:pPr>
              <w:widowControl/>
              <w:spacing w:line="400" w:lineRule="exact"/>
              <w:jc w:val="left"/>
              <w:rPr>
                <w:sz w:val="24"/>
              </w:rPr>
            </w:pPr>
            <w:r>
              <w:rPr>
                <w:rFonts w:hint="eastAsia"/>
                <w:sz w:val="24"/>
              </w:rPr>
              <w:t>元</w:t>
            </w:r>
            <w:r>
              <w:rPr>
                <w:sz w:val="24"/>
              </w:rPr>
              <w:t>/</w:t>
            </w:r>
            <w:r>
              <w:rPr>
                <w:rFonts w:hint="eastAsia"/>
                <w:sz w:val="24"/>
              </w:rPr>
              <w:t>次</w:t>
            </w:r>
          </w:p>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按到甲方维修通知，响应时间超过</w:t>
            </w:r>
            <w:r>
              <w:rPr>
                <w:sz w:val="24"/>
              </w:rPr>
              <w:t>8</w:t>
            </w:r>
            <w:r>
              <w:rPr>
                <w:rFonts w:hint="eastAsia"/>
                <w:sz w:val="24"/>
              </w:rPr>
              <w:t>小时</w:t>
            </w:r>
          </w:p>
        </w:tc>
        <w:tc>
          <w:tcPr>
            <w:tcW w:w="1242" w:type="dxa"/>
            <w:vAlign w:val="center"/>
          </w:tcPr>
          <w:p>
            <w:pPr>
              <w:widowControl/>
              <w:spacing w:line="400" w:lineRule="exact"/>
              <w:jc w:val="left"/>
              <w:rPr>
                <w:sz w:val="24"/>
              </w:rPr>
            </w:pPr>
            <w:r>
              <w:rPr>
                <w:sz w:val="24"/>
              </w:rPr>
              <w:t>400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维修故障过程中，因检查不全面，导致同类责任性故障</w:t>
            </w:r>
          </w:p>
        </w:tc>
        <w:tc>
          <w:tcPr>
            <w:tcW w:w="1242" w:type="dxa"/>
            <w:vAlign w:val="center"/>
          </w:tcPr>
          <w:p>
            <w:pPr>
              <w:widowControl/>
              <w:spacing w:line="400" w:lineRule="exact"/>
              <w:jc w:val="left"/>
              <w:rPr>
                <w:sz w:val="24"/>
              </w:rPr>
            </w:pPr>
            <w:r>
              <w:rPr>
                <w:sz w:val="24"/>
              </w:rPr>
              <w:t>600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trPr>
        <w:tc>
          <w:tcPr>
            <w:tcW w:w="817" w:type="dxa"/>
            <w:vMerge w:val="restart"/>
            <w:vAlign w:val="center"/>
          </w:tcPr>
          <w:p>
            <w:pPr>
              <w:widowControl/>
              <w:spacing w:line="400" w:lineRule="exact"/>
              <w:jc w:val="center"/>
              <w:rPr>
                <w:sz w:val="24"/>
              </w:rPr>
            </w:pPr>
            <w:r>
              <w:rPr>
                <w:sz w:val="24"/>
              </w:rPr>
              <w:t>9</w:t>
            </w:r>
          </w:p>
        </w:tc>
        <w:tc>
          <w:tcPr>
            <w:tcW w:w="2869" w:type="dxa"/>
            <w:vMerge w:val="restart"/>
            <w:vAlign w:val="center"/>
          </w:tcPr>
          <w:p>
            <w:pPr>
              <w:widowControl/>
              <w:spacing w:line="400" w:lineRule="exact"/>
              <w:jc w:val="left"/>
              <w:rPr>
                <w:sz w:val="24"/>
              </w:rPr>
            </w:pPr>
            <w:r>
              <w:rPr>
                <w:rFonts w:hint="eastAsia"/>
                <w:sz w:val="24"/>
              </w:rPr>
              <w:t>技术水平原因</w:t>
            </w:r>
          </w:p>
        </w:tc>
        <w:tc>
          <w:tcPr>
            <w:tcW w:w="3969" w:type="dxa"/>
            <w:vAlign w:val="center"/>
          </w:tcPr>
          <w:p>
            <w:pPr>
              <w:widowControl/>
              <w:spacing w:line="400" w:lineRule="exact"/>
              <w:jc w:val="left"/>
              <w:rPr>
                <w:sz w:val="24"/>
              </w:rPr>
            </w:pPr>
            <w:r>
              <w:rPr>
                <w:rFonts w:hint="eastAsia"/>
                <w:sz w:val="24"/>
              </w:rPr>
              <w:t>设备发生故障时，没有足够技术能力彻底解决，只能采取暂时性补救措施进行处理。</w:t>
            </w:r>
          </w:p>
        </w:tc>
        <w:tc>
          <w:tcPr>
            <w:tcW w:w="1242" w:type="dxa"/>
            <w:vAlign w:val="center"/>
          </w:tcPr>
          <w:p>
            <w:pPr>
              <w:widowControl/>
              <w:spacing w:line="400" w:lineRule="exact"/>
              <w:jc w:val="left"/>
              <w:rPr>
                <w:sz w:val="24"/>
              </w:rPr>
            </w:pPr>
            <w:r>
              <w:rPr>
                <w:sz w:val="24"/>
              </w:rPr>
              <w:t>200</w:t>
            </w:r>
          </w:p>
        </w:tc>
        <w:tc>
          <w:tcPr>
            <w:tcW w:w="709" w:type="dxa"/>
            <w:vMerge w:val="restart"/>
            <w:vAlign w:val="center"/>
          </w:tcPr>
          <w:p>
            <w:pPr>
              <w:widowControl/>
              <w:spacing w:line="400" w:lineRule="exact"/>
              <w:jc w:val="left"/>
              <w:rPr>
                <w:sz w:val="24"/>
              </w:rPr>
            </w:pPr>
            <w:r>
              <w:rPr>
                <w:rFonts w:hint="eastAsia"/>
                <w:sz w:val="24"/>
              </w:rPr>
              <w:t>元</w:t>
            </w:r>
            <w:r>
              <w:rPr>
                <w:sz w:val="24"/>
              </w:rPr>
              <w:t>/</w:t>
            </w:r>
            <w:r>
              <w:rPr>
                <w:rFonts w:hint="eastAsia"/>
                <w:sz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trPr>
        <w:tc>
          <w:tcPr>
            <w:tcW w:w="817" w:type="dxa"/>
            <w:vMerge w:val="continue"/>
            <w:vAlign w:val="center"/>
          </w:tcPr>
          <w:p>
            <w:pPr>
              <w:widowControl/>
              <w:spacing w:line="400" w:lineRule="exact"/>
              <w:jc w:val="center"/>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确定设备发生故障，但无法确定引发故障的原因</w:t>
            </w:r>
          </w:p>
        </w:tc>
        <w:tc>
          <w:tcPr>
            <w:tcW w:w="1242" w:type="dxa"/>
            <w:vAlign w:val="center"/>
          </w:tcPr>
          <w:p>
            <w:pPr>
              <w:widowControl/>
              <w:spacing w:line="400" w:lineRule="exact"/>
              <w:jc w:val="left"/>
              <w:rPr>
                <w:sz w:val="24"/>
              </w:rPr>
            </w:pPr>
            <w:r>
              <w:rPr>
                <w:sz w:val="24"/>
              </w:rPr>
              <w:t>500</w:t>
            </w:r>
          </w:p>
        </w:tc>
        <w:tc>
          <w:tcPr>
            <w:tcW w:w="709" w:type="dxa"/>
            <w:vMerge w:val="continue"/>
            <w:vAlign w:val="center"/>
          </w:tcPr>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tblHeader/>
        </w:trPr>
        <w:tc>
          <w:tcPr>
            <w:tcW w:w="817" w:type="dxa"/>
            <w:vAlign w:val="center"/>
          </w:tcPr>
          <w:p>
            <w:pPr>
              <w:widowControl/>
              <w:spacing w:line="400" w:lineRule="exact"/>
              <w:jc w:val="center"/>
              <w:rPr>
                <w:sz w:val="24"/>
              </w:rPr>
            </w:pPr>
            <w:r>
              <w:rPr>
                <w:sz w:val="24"/>
              </w:rPr>
              <w:t>10</w:t>
            </w:r>
          </w:p>
        </w:tc>
        <w:tc>
          <w:tcPr>
            <w:tcW w:w="2869" w:type="dxa"/>
            <w:vAlign w:val="center"/>
          </w:tcPr>
          <w:p>
            <w:pPr>
              <w:widowControl/>
              <w:spacing w:line="400" w:lineRule="exact"/>
              <w:jc w:val="left"/>
              <w:rPr>
                <w:sz w:val="24"/>
              </w:rPr>
            </w:pPr>
            <w:r>
              <w:rPr>
                <w:rFonts w:hint="eastAsia"/>
                <w:sz w:val="24"/>
              </w:rPr>
              <w:t>故障原因不明</w:t>
            </w:r>
          </w:p>
          <w:p>
            <w:pPr>
              <w:widowControl/>
              <w:spacing w:line="400" w:lineRule="exact"/>
              <w:jc w:val="left"/>
              <w:rPr>
                <w:sz w:val="24"/>
              </w:rPr>
            </w:pPr>
            <w:r>
              <w:rPr>
                <w:rFonts w:hint="eastAsia"/>
                <w:sz w:val="24"/>
              </w:rPr>
              <w:t>其它扣分项目</w:t>
            </w:r>
          </w:p>
        </w:tc>
        <w:tc>
          <w:tcPr>
            <w:tcW w:w="3969" w:type="dxa"/>
            <w:vAlign w:val="center"/>
          </w:tcPr>
          <w:p>
            <w:pPr>
              <w:widowControl/>
              <w:spacing w:line="400" w:lineRule="exact"/>
              <w:jc w:val="left"/>
              <w:rPr>
                <w:sz w:val="24"/>
              </w:rPr>
            </w:pPr>
            <w:r>
              <w:rPr>
                <w:rFonts w:hint="eastAsia"/>
                <w:sz w:val="24"/>
              </w:rPr>
              <w:t>因工作安排不当，施工前未做通知获得工程部消防班班长同意，产生噪音、异味及物品放置不当对客人造成影响，引起业主投诉。（接获业主投诉通知，判定确属保养公司责任。）</w:t>
            </w:r>
          </w:p>
        </w:tc>
        <w:tc>
          <w:tcPr>
            <w:tcW w:w="1242" w:type="dxa"/>
            <w:vAlign w:val="center"/>
          </w:tcPr>
          <w:p>
            <w:pPr>
              <w:widowControl/>
              <w:spacing w:line="400" w:lineRule="exact"/>
              <w:jc w:val="left"/>
              <w:rPr>
                <w:sz w:val="24"/>
              </w:rPr>
            </w:pPr>
            <w:r>
              <w:rPr>
                <w:sz w:val="24"/>
              </w:rPr>
              <w:t>600</w:t>
            </w:r>
          </w:p>
          <w:p>
            <w:pPr>
              <w:widowControl/>
              <w:spacing w:line="400" w:lineRule="exact"/>
              <w:jc w:val="left"/>
              <w:rPr>
                <w:sz w:val="24"/>
              </w:rPr>
            </w:pPr>
          </w:p>
        </w:tc>
        <w:tc>
          <w:tcPr>
            <w:tcW w:w="709" w:type="dxa"/>
            <w:vAlign w:val="center"/>
          </w:tcPr>
          <w:p>
            <w:pPr>
              <w:widowControl/>
              <w:spacing w:line="400" w:lineRule="exact"/>
              <w:jc w:val="left"/>
              <w:rPr>
                <w:sz w:val="24"/>
              </w:rPr>
            </w:pPr>
            <w:r>
              <w:rPr>
                <w:rFonts w:hint="eastAsia"/>
                <w:sz w:val="24"/>
              </w:rPr>
              <w:t>元</w:t>
            </w:r>
            <w:r>
              <w:rPr>
                <w:sz w:val="24"/>
              </w:rPr>
              <w:t>/</w:t>
            </w:r>
            <w:r>
              <w:rPr>
                <w:rFonts w:hint="eastAsia"/>
                <w:sz w:val="24"/>
              </w:rPr>
              <w:t>次</w:t>
            </w:r>
          </w:p>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blHeader/>
        </w:trPr>
        <w:tc>
          <w:tcPr>
            <w:tcW w:w="817" w:type="dxa"/>
            <w:vMerge w:val="restart"/>
            <w:vAlign w:val="center"/>
          </w:tcPr>
          <w:p>
            <w:pPr>
              <w:widowControl/>
              <w:spacing w:line="400" w:lineRule="exact"/>
              <w:jc w:val="center"/>
              <w:rPr>
                <w:sz w:val="24"/>
              </w:rPr>
            </w:pPr>
            <w:r>
              <w:rPr>
                <w:sz w:val="24"/>
              </w:rPr>
              <w:t>11</w:t>
            </w:r>
          </w:p>
        </w:tc>
        <w:tc>
          <w:tcPr>
            <w:tcW w:w="2869" w:type="dxa"/>
            <w:vMerge w:val="restart"/>
            <w:vAlign w:val="center"/>
          </w:tcPr>
          <w:p>
            <w:pPr>
              <w:widowControl/>
              <w:spacing w:line="400" w:lineRule="exact"/>
              <w:jc w:val="left"/>
              <w:rPr>
                <w:sz w:val="24"/>
              </w:rPr>
            </w:pPr>
            <w:r>
              <w:rPr>
                <w:rFonts w:hint="eastAsia"/>
                <w:sz w:val="24"/>
              </w:rPr>
              <w:t>重大情况扣分</w:t>
            </w:r>
          </w:p>
        </w:tc>
        <w:tc>
          <w:tcPr>
            <w:tcW w:w="3969" w:type="dxa"/>
            <w:vAlign w:val="center"/>
          </w:tcPr>
          <w:p>
            <w:pPr>
              <w:widowControl/>
              <w:spacing w:line="400" w:lineRule="exact"/>
              <w:jc w:val="left"/>
              <w:rPr>
                <w:sz w:val="24"/>
              </w:rPr>
            </w:pPr>
            <w:r>
              <w:rPr>
                <w:rFonts w:hint="eastAsia"/>
                <w:sz w:val="24"/>
              </w:rPr>
              <w:t>发生重大人身伤亡事故</w:t>
            </w:r>
          </w:p>
        </w:tc>
        <w:tc>
          <w:tcPr>
            <w:tcW w:w="1242" w:type="dxa"/>
            <w:vMerge w:val="restart"/>
            <w:vAlign w:val="center"/>
          </w:tcPr>
          <w:p>
            <w:pPr>
              <w:widowControl/>
              <w:spacing w:line="400" w:lineRule="exact"/>
              <w:jc w:val="left"/>
              <w:rPr>
                <w:sz w:val="24"/>
              </w:rPr>
            </w:pPr>
            <w:r>
              <w:rPr>
                <w:sz w:val="24"/>
              </w:rPr>
              <w:t>1000</w:t>
            </w:r>
          </w:p>
        </w:tc>
        <w:tc>
          <w:tcPr>
            <w:tcW w:w="709" w:type="dxa"/>
            <w:vMerge w:val="restart"/>
            <w:vAlign w:val="center"/>
          </w:tcPr>
          <w:p>
            <w:pPr>
              <w:widowControl/>
              <w:spacing w:line="400" w:lineRule="exact"/>
              <w:jc w:val="left"/>
              <w:rPr>
                <w:sz w:val="24"/>
              </w:rPr>
            </w:pPr>
            <w:r>
              <w:rPr>
                <w:rFonts w:hint="eastAsia"/>
                <w:sz w:val="24"/>
              </w:rPr>
              <w:t>元</w:t>
            </w:r>
            <w:r>
              <w:rPr>
                <w:sz w:val="24"/>
              </w:rPr>
              <w:t>/</w:t>
            </w:r>
            <w:r>
              <w:rPr>
                <w:rFonts w:hint="eastAsia"/>
                <w:sz w:val="24"/>
              </w:rPr>
              <w:t>项</w:t>
            </w:r>
          </w:p>
          <w:p>
            <w:pPr>
              <w:widowControl/>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blHeader/>
        </w:trPr>
        <w:tc>
          <w:tcPr>
            <w:tcW w:w="817" w:type="dxa"/>
            <w:vMerge w:val="continue"/>
            <w:vAlign w:val="center"/>
          </w:tcPr>
          <w:p>
            <w:pPr>
              <w:widowControl/>
              <w:spacing w:line="400" w:lineRule="exact"/>
              <w:jc w:val="left"/>
              <w:rPr>
                <w:sz w:val="24"/>
              </w:rPr>
            </w:pPr>
          </w:p>
        </w:tc>
        <w:tc>
          <w:tcPr>
            <w:tcW w:w="2869" w:type="dxa"/>
            <w:vMerge w:val="continue"/>
            <w:vAlign w:val="center"/>
          </w:tcPr>
          <w:p>
            <w:pPr>
              <w:widowControl/>
              <w:spacing w:line="400" w:lineRule="exact"/>
              <w:jc w:val="left"/>
              <w:rPr>
                <w:sz w:val="24"/>
              </w:rPr>
            </w:pPr>
          </w:p>
        </w:tc>
        <w:tc>
          <w:tcPr>
            <w:tcW w:w="3969" w:type="dxa"/>
            <w:vAlign w:val="center"/>
          </w:tcPr>
          <w:p>
            <w:pPr>
              <w:widowControl/>
              <w:spacing w:line="400" w:lineRule="exact"/>
              <w:jc w:val="left"/>
              <w:rPr>
                <w:sz w:val="24"/>
              </w:rPr>
            </w:pPr>
            <w:r>
              <w:rPr>
                <w:rFonts w:hint="eastAsia"/>
                <w:sz w:val="24"/>
              </w:rPr>
              <w:t>设备保养不到位，发生责任性火灾</w:t>
            </w:r>
          </w:p>
        </w:tc>
        <w:tc>
          <w:tcPr>
            <w:tcW w:w="1242" w:type="dxa"/>
            <w:vMerge w:val="continue"/>
            <w:vAlign w:val="center"/>
          </w:tcPr>
          <w:p>
            <w:pPr>
              <w:widowControl/>
              <w:spacing w:line="400" w:lineRule="exact"/>
              <w:jc w:val="left"/>
              <w:rPr>
                <w:sz w:val="24"/>
              </w:rPr>
            </w:pPr>
          </w:p>
        </w:tc>
        <w:tc>
          <w:tcPr>
            <w:tcW w:w="709" w:type="dxa"/>
            <w:vMerge w:val="continue"/>
            <w:vAlign w:val="center"/>
          </w:tcPr>
          <w:p>
            <w:pPr>
              <w:widowControl/>
              <w:spacing w:line="400" w:lineRule="exact"/>
              <w:jc w:val="left"/>
              <w:rPr>
                <w:sz w:val="24"/>
              </w:rPr>
            </w:pPr>
          </w:p>
        </w:tc>
      </w:tr>
    </w:tbl>
    <w:p>
      <w:pPr>
        <w:widowControl/>
        <w:spacing w:line="400" w:lineRule="exact"/>
        <w:jc w:val="left"/>
        <w:rPr>
          <w:sz w:val="24"/>
        </w:rPr>
      </w:pPr>
    </w:p>
    <w:p>
      <w:pPr>
        <w:widowControl/>
        <w:spacing w:line="400" w:lineRule="exact"/>
        <w:jc w:val="left"/>
        <w:rPr>
          <w:sz w:val="24"/>
        </w:rPr>
      </w:pPr>
    </w:p>
    <w:p>
      <w:pPr>
        <w:spacing w:line="460" w:lineRule="exact"/>
        <w:rPr>
          <w:rFonts w:ascii="宋体" w:hAnsi="宋体"/>
          <w:b/>
          <w:sz w:val="28"/>
          <w:szCs w:val="28"/>
        </w:rPr>
      </w:pPr>
      <w:r>
        <w:rPr>
          <w:rFonts w:hint="eastAsia" w:ascii="宋体" w:hAnsi="宋体"/>
          <w:b/>
          <w:sz w:val="28"/>
          <w:szCs w:val="28"/>
        </w:rPr>
        <w:t>附件2</w:t>
      </w:r>
    </w:p>
    <w:p>
      <w:pPr>
        <w:spacing w:line="460" w:lineRule="exact"/>
        <w:jc w:val="center"/>
        <w:outlineLvl w:val="0"/>
        <w:rPr>
          <w:rFonts w:hint="eastAsia" w:ascii="宋体" w:hAnsi="宋体"/>
          <w:b/>
          <w:sz w:val="36"/>
          <w:szCs w:val="36"/>
        </w:rPr>
      </w:pPr>
      <w:r>
        <w:rPr>
          <w:rFonts w:hint="eastAsia" w:ascii="宋体" w:hAnsi="宋体"/>
          <w:b/>
          <w:sz w:val="36"/>
          <w:szCs w:val="36"/>
        </w:rPr>
        <w:t>常用易损件免费更换维修材料表</w:t>
      </w:r>
    </w:p>
    <w:p>
      <w:pPr>
        <w:tabs>
          <w:tab w:val="left" w:pos="435"/>
        </w:tabs>
        <w:spacing w:line="360" w:lineRule="auto"/>
        <w:rPr>
          <w:rFonts w:hint="eastAsia"/>
        </w:rPr>
      </w:pPr>
      <w:r>
        <w:tab/>
      </w:r>
    </w:p>
    <w:tbl>
      <w:tblPr>
        <w:tblStyle w:val="5"/>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8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ind w:left="-204" w:leftChars="-97" w:right="-107" w:rightChars="-51" w:firstLine="232" w:firstLineChars="97"/>
              <w:jc w:val="center"/>
              <w:rPr>
                <w:rFonts w:hint="eastAsia" w:ascii="宋体" w:hAnsi="宋体" w:cs="Arial"/>
                <w:sz w:val="24"/>
              </w:rPr>
            </w:pPr>
            <w:r>
              <w:rPr>
                <w:rFonts w:hint="eastAsia" w:ascii="宋体" w:hAnsi="宋体" w:cs="Arial"/>
                <w:sz w:val="24"/>
              </w:rPr>
              <w:t>序号</w:t>
            </w:r>
          </w:p>
        </w:tc>
        <w:tc>
          <w:tcPr>
            <w:tcW w:w="837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品    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洒水喷头（20个以内）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2</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DN32及以下的水阀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3</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DN32及以下的管件（60m以内）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4</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防火阀中的微动开关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5</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防火阀中的手动拉线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6</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防火门上的小五金件（闭门器及顺序器除外）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7</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消火栓箱上的小五金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8</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密封填料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9</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密封垫纸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10</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压力表（1.6mpa以下）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11</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控制盘上指示灯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12</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控制盘上按钮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13</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控制盘上指示开关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14</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电线（Φ2.5mm</w:t>
            </w:r>
            <w:r>
              <w:rPr>
                <w:rFonts w:hint="eastAsia" w:ascii="宋体" w:hAnsi="宋体" w:cs="Arial"/>
                <w:szCs w:val="21"/>
                <w:vertAlign w:val="superscript"/>
              </w:rPr>
              <w:t>2</w:t>
            </w:r>
            <w:r>
              <w:rPr>
                <w:rFonts w:hint="eastAsia" w:ascii="宋体" w:hAnsi="宋体" w:cs="Arial"/>
                <w:szCs w:val="21"/>
              </w:rPr>
              <w:t>内及100m以内）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15</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线管（100米）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16</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常用螺栓、螺母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17</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控制箱保险管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18</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消防水系统管网密封胶垫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19</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机械润滑油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Arial"/>
                <w:sz w:val="24"/>
              </w:rPr>
            </w:pPr>
            <w:r>
              <w:rPr>
                <w:rFonts w:hint="eastAsia" w:ascii="宋体" w:hAnsi="宋体" w:cs="Arial"/>
                <w:sz w:val="24"/>
              </w:rPr>
              <w:t>20</w:t>
            </w:r>
          </w:p>
        </w:tc>
        <w:tc>
          <w:tcPr>
            <w:tcW w:w="837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Arial"/>
                <w:szCs w:val="21"/>
              </w:rPr>
            </w:pPr>
            <w:r>
              <w:rPr>
                <w:rFonts w:hint="eastAsia" w:ascii="宋体" w:hAnsi="宋体" w:cs="Arial"/>
                <w:szCs w:val="21"/>
              </w:rPr>
              <w:t>阻燃防腐漆(阀门)</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文鼎CS大黑">
    <w:altName w:val="宋体"/>
    <w:panose1 w:val="00000000000000000000"/>
    <w:charset w:val="86"/>
    <w:family w:val="swiss"/>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2"/>
    <w:multiLevelType w:val="multilevel"/>
    <w:tmpl w:val="00000002"/>
    <w:lvl w:ilvl="0" w:tentative="0">
      <w:start w:val="2"/>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0MDA0ZGU4NjAxYWNhMTc0NWM3MzEzMWJhMGI4NTMifQ=="/>
  </w:docVars>
  <w:rsids>
    <w:rsidRoot w:val="00000000"/>
    <w:rsid w:val="06DA71F4"/>
    <w:rsid w:val="093862B7"/>
    <w:rsid w:val="0B8A3026"/>
    <w:rsid w:val="0BD646C9"/>
    <w:rsid w:val="12BA0DAF"/>
    <w:rsid w:val="150778F9"/>
    <w:rsid w:val="16B6535D"/>
    <w:rsid w:val="176505BB"/>
    <w:rsid w:val="199A67EF"/>
    <w:rsid w:val="1C032126"/>
    <w:rsid w:val="1DE7074A"/>
    <w:rsid w:val="1EE530BC"/>
    <w:rsid w:val="1F635C65"/>
    <w:rsid w:val="247C6C98"/>
    <w:rsid w:val="27115A2F"/>
    <w:rsid w:val="282749C8"/>
    <w:rsid w:val="29285E17"/>
    <w:rsid w:val="2A1C70C3"/>
    <w:rsid w:val="2E9766BD"/>
    <w:rsid w:val="31633EAF"/>
    <w:rsid w:val="376847C2"/>
    <w:rsid w:val="38C935F1"/>
    <w:rsid w:val="3D375626"/>
    <w:rsid w:val="3D89204F"/>
    <w:rsid w:val="407A5528"/>
    <w:rsid w:val="40A345D5"/>
    <w:rsid w:val="40EE5B82"/>
    <w:rsid w:val="410F3BB2"/>
    <w:rsid w:val="41C13075"/>
    <w:rsid w:val="41C75D77"/>
    <w:rsid w:val="423060C1"/>
    <w:rsid w:val="437834EB"/>
    <w:rsid w:val="45013E33"/>
    <w:rsid w:val="4D6422B2"/>
    <w:rsid w:val="4FB72500"/>
    <w:rsid w:val="4FE33778"/>
    <w:rsid w:val="54C1789A"/>
    <w:rsid w:val="582A0C9A"/>
    <w:rsid w:val="60C93A21"/>
    <w:rsid w:val="6C36375E"/>
    <w:rsid w:val="71662296"/>
    <w:rsid w:val="765C479E"/>
    <w:rsid w:val="79EB11D3"/>
    <w:rsid w:val="7AAF021D"/>
    <w:rsid w:val="7CB3577A"/>
    <w:rsid w:val="7CCD4BFC"/>
    <w:rsid w:val="7E580216"/>
    <w:rsid w:val="7F5376B8"/>
    <w:rsid w:val="7FB91F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keepNext/>
      <w:keepLines/>
      <w:spacing w:line="576" w:lineRule="auto"/>
      <w:outlineLvl w:val="0"/>
    </w:pPr>
    <w:rPr>
      <w:b/>
      <w:bCs/>
      <w:kern w:val="44"/>
      <w:sz w:val="30"/>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next w:val="1"/>
    <w:qFormat/>
    <w:uiPriority w:val="0"/>
    <w:pPr>
      <w:widowControl w:val="0"/>
      <w:spacing w:before="100" w:beforeAutospacing="1" w:after="100" w:afterAutospacing="1"/>
      <w:ind w:left="420" w:leftChars="200"/>
      <w:jc w:val="both"/>
    </w:pPr>
    <w:rPr>
      <w:rFonts w:ascii="Calibri" w:hAnsi="Calibri" w:eastAsia="宋体" w:cs="Times New Roman"/>
      <w:kern w:val="2"/>
      <w:sz w:val="21"/>
      <w:szCs w:val="24"/>
      <w:lang w:val="en-US" w:eastAsia="zh-CN" w:bidi="ar-SA"/>
    </w:rPr>
  </w:style>
  <w:style w:type="paragraph" w:styleId="4">
    <w:name w:val="Plain Text"/>
    <w:basedOn w:val="1"/>
    <w:qFormat/>
    <w:uiPriority w:val="0"/>
    <w:pPr>
      <w:widowControl/>
      <w:spacing w:before="100" w:beforeAutospacing="1" w:after="100" w:afterAutospacing="1"/>
      <w:jc w:val="left"/>
    </w:pPr>
    <w:rPr>
      <w:rFonts w:ascii="宋体" w:hAnsi="宋体"/>
      <w:kern w:val="0"/>
      <w:sz w:val="24"/>
    </w:rPr>
  </w:style>
  <w:style w:type="character" w:styleId="7">
    <w:name w:val="Strong"/>
    <w:basedOn w:val="6"/>
    <w:qFormat/>
    <w:uiPriority w:val="0"/>
    <w:rPr>
      <w:b/>
      <w:bCs/>
    </w:rPr>
  </w:style>
  <w:style w:type="character" w:customStyle="1" w:styleId="8">
    <w:name w:val="font01"/>
    <w:basedOn w:val="6"/>
    <w:qFormat/>
    <w:uiPriority w:val="0"/>
    <w:rPr>
      <w:rFonts w:hint="eastAsia" w:ascii="仿宋" w:hAnsi="仿宋" w:eastAsia="仿宋" w:cs="仿宋"/>
      <w:color w:val="000000"/>
      <w:sz w:val="24"/>
      <w:szCs w:val="24"/>
      <w:u w:val="none"/>
    </w:rPr>
  </w:style>
  <w:style w:type="character" w:customStyle="1" w:styleId="9">
    <w:name w:val="wp_keywordlink_affiliate"/>
    <w:basedOn w:val="6"/>
    <w:qFormat/>
    <w:uiPriority w:val="0"/>
  </w:style>
  <w:style w:type="paragraph" w:customStyle="1" w:styleId="10">
    <w:name w:val="No Spacing"/>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7847</Words>
  <Characters>8368</Characters>
  <Lines>0</Lines>
  <Paragraphs>0</Paragraphs>
  <TotalTime>1</TotalTime>
  <ScaleCrop>false</ScaleCrop>
  <LinksUpToDate>false</LinksUpToDate>
  <CharactersWithSpaces>8403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黄柳军</cp:lastModifiedBy>
  <dcterms:modified xsi:type="dcterms:W3CDTF">2024-03-27T06:55:28Z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1C4E415B37C045A68B7FE8B1BA737C2B</vt:lpwstr>
  </property>
</Properties>
</file>