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cs="宋体"/>
          <w:b/>
          <w:bCs/>
          <w:sz w:val="44"/>
          <w:szCs w:val="44"/>
          <w:highlight w:val="none"/>
        </w:rPr>
      </w:pPr>
      <w:r>
        <w:rPr>
          <w:b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-947420</wp:posOffset>
            </wp:positionV>
            <wp:extent cx="8447405" cy="2895600"/>
            <wp:effectExtent l="0" t="0" r="10795" b="0"/>
            <wp:wrapNone/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480"/>
        </w:tabs>
        <w:adjustRightInd w:val="0"/>
        <w:snapToGrid w:val="0"/>
        <w:jc w:val="center"/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202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年数字电网科技公司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val="en-US" w:eastAsia="zh-CN"/>
        </w:rPr>
        <w:t>基础研发与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统一试验检测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val="en-US" w:eastAsia="zh-CN"/>
        </w:rPr>
        <w:t>实验室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软硬件设施配置项目</w:t>
      </w:r>
    </w:p>
    <w:p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  <w:highlight w:val="none"/>
        </w:rPr>
      </w:pPr>
      <w:r>
        <w:rPr>
          <w:b/>
          <w:sz w:val="44"/>
          <w:szCs w:val="44"/>
          <w:highlight w:val="none"/>
        </w:rPr>
        <w:t>技术规范书</w:t>
      </w:r>
    </w:p>
    <w:p>
      <w:pPr>
        <w:rPr>
          <w:rFonts w:hint="eastAsia"/>
          <w:b/>
          <w:sz w:val="32"/>
          <w:szCs w:val="32"/>
          <w:highlight w:val="none"/>
          <w:lang w:val="en-US" w:eastAsia="zh-CN"/>
        </w:rPr>
      </w:pPr>
    </w:p>
    <w:p>
      <w:pPr>
        <w:tabs>
          <w:tab w:val="left" w:pos="480"/>
        </w:tabs>
        <w:adjustRightInd w:val="0"/>
        <w:snapToGrid w:val="0"/>
        <w:jc w:val="center"/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202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年数字电网科技公司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val="en-US" w:eastAsia="zh-CN"/>
        </w:rPr>
        <w:t>电鸿产品实验室工作台与试验台</w:t>
      </w:r>
      <w:r>
        <w:rPr>
          <w:rFonts w:hint="eastAsia" w:ascii="宋体" w:hAnsi="宋体" w:cs="宋体"/>
          <w:b/>
          <w:bCs/>
          <w:sz w:val="44"/>
          <w:szCs w:val="44"/>
          <w:highlight w:val="none"/>
          <w:lang w:eastAsia="zh-CN"/>
        </w:rPr>
        <w:t>设施配置项目</w:t>
      </w:r>
    </w:p>
    <w:p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  <w:highlight w:val="none"/>
        </w:rPr>
      </w:pPr>
      <w:r>
        <w:rPr>
          <w:b/>
          <w:sz w:val="44"/>
          <w:szCs w:val="44"/>
          <w:highlight w:val="none"/>
        </w:rPr>
        <w:t>技术规范书</w:t>
      </w:r>
    </w:p>
    <w:p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  <w:highlight w:val="none"/>
        </w:rPr>
      </w:pPr>
    </w:p>
    <w:p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  <w:highlight w:val="none"/>
        </w:rPr>
      </w:pPr>
    </w:p>
    <w:p>
      <w:pPr>
        <w:rPr>
          <w:rFonts w:hint="eastAsia"/>
          <w:b/>
          <w:sz w:val="32"/>
          <w:szCs w:val="32"/>
          <w:highlight w:val="none"/>
          <w:lang w:val="en-US" w:eastAsia="zh-CN"/>
        </w:rPr>
      </w:pPr>
    </w:p>
    <w:p>
      <w:pPr>
        <w:rPr>
          <w:rFonts w:hint="eastAsia"/>
          <w:b/>
          <w:sz w:val="32"/>
          <w:szCs w:val="32"/>
          <w:highlight w:val="none"/>
          <w:lang w:val="en-US" w:eastAsia="zh-CN"/>
        </w:rPr>
      </w:pPr>
    </w:p>
    <w:p>
      <w:pPr>
        <w:rPr>
          <w:rFonts w:hint="eastAsia"/>
          <w:b/>
          <w:sz w:val="32"/>
          <w:szCs w:val="32"/>
          <w:highlight w:val="none"/>
          <w:lang w:val="en-US" w:eastAsia="zh-CN"/>
        </w:rPr>
      </w:pPr>
    </w:p>
    <w:p>
      <w:pPr>
        <w:rPr>
          <w:rFonts w:hint="eastAsia"/>
          <w:b/>
          <w:sz w:val="30"/>
          <w:szCs w:val="30"/>
          <w:highlight w:val="none"/>
        </w:rPr>
      </w:pPr>
    </w:p>
    <w:p>
      <w:pPr>
        <w:jc w:val="center"/>
        <w:rPr>
          <w:b/>
          <w:sz w:val="30"/>
          <w:szCs w:val="30"/>
          <w:highlight w:val="none"/>
        </w:rPr>
      </w:pPr>
    </w:p>
    <w:p>
      <w:pPr>
        <w:jc w:val="center"/>
        <w:rPr>
          <w:b/>
          <w:sz w:val="30"/>
          <w:szCs w:val="30"/>
          <w:highlight w:val="none"/>
        </w:rPr>
      </w:pPr>
    </w:p>
    <w:p>
      <w:pPr>
        <w:jc w:val="center"/>
        <w:rPr>
          <w:rFonts w:hint="default" w:eastAsia="宋体"/>
          <w:b/>
          <w:sz w:val="30"/>
          <w:szCs w:val="30"/>
          <w:highlight w:val="none"/>
          <w:lang w:val="en-US" w:eastAsia="zh-CN"/>
        </w:rPr>
      </w:pPr>
      <w:r>
        <w:rPr>
          <w:rFonts w:hint="eastAsia"/>
          <w:b/>
          <w:sz w:val="30"/>
          <w:szCs w:val="30"/>
          <w:highlight w:val="none"/>
          <w:lang w:val="en-US" w:eastAsia="zh-CN"/>
        </w:rPr>
        <w:t>南方电网数字电网科技（广东）有限公司</w:t>
      </w:r>
    </w:p>
    <w:p>
      <w:pPr>
        <w:jc w:val="center"/>
        <w:rPr>
          <w:b/>
          <w:sz w:val="30"/>
          <w:szCs w:val="30"/>
          <w:highlight w:val="none"/>
        </w:rPr>
      </w:pPr>
      <w:r>
        <w:rPr>
          <w:rFonts w:hint="eastAsia"/>
          <w:b/>
          <w:sz w:val="30"/>
          <w:szCs w:val="30"/>
          <w:highlight w:val="none"/>
        </w:rPr>
        <w:t>202</w:t>
      </w:r>
      <w:r>
        <w:rPr>
          <w:rFonts w:hint="eastAsia"/>
          <w:b/>
          <w:sz w:val="30"/>
          <w:szCs w:val="30"/>
          <w:highlight w:val="none"/>
          <w:lang w:val="en-US" w:eastAsia="zh-CN"/>
        </w:rPr>
        <w:t>4</w:t>
      </w:r>
      <w:r>
        <w:rPr>
          <w:b/>
          <w:sz w:val="30"/>
          <w:szCs w:val="30"/>
          <w:highlight w:val="none"/>
        </w:rPr>
        <w:t>年</w:t>
      </w:r>
      <w:r>
        <w:rPr>
          <w:rFonts w:hint="eastAsia"/>
          <w:b/>
          <w:sz w:val="30"/>
          <w:szCs w:val="30"/>
          <w:highlight w:val="none"/>
          <w:lang w:val="en-US" w:eastAsia="zh-CN"/>
        </w:rPr>
        <w:t>3</w:t>
      </w:r>
      <w:r>
        <w:rPr>
          <w:b/>
          <w:sz w:val="30"/>
          <w:szCs w:val="30"/>
          <w:highlight w:val="none"/>
        </w:rPr>
        <w:t>月</w:t>
      </w:r>
    </w:p>
    <w:p>
      <w:pPr>
        <w:rPr>
          <w:highlight w:val="none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>
      <w:pPr>
        <w:pStyle w:val="2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项目概况</w:t>
      </w:r>
    </w:p>
    <w:p>
      <w:pPr>
        <w:ind w:firstLine="480" w:firstLineChars="200"/>
      </w:pPr>
      <w:r>
        <w:rPr>
          <w:rFonts w:hint="eastAsia" w:ascii="宋体" w:hAnsi="宋体" w:eastAsia="宋体" w:cs="宋体"/>
          <w:highlight w:val="none"/>
        </w:rPr>
        <w:t>本</w:t>
      </w:r>
      <w:r>
        <w:rPr>
          <w:rFonts w:hint="eastAsia" w:ascii="宋体" w:hAnsi="宋体" w:eastAsia="宋体" w:cs="宋体"/>
          <w:highlight w:val="none"/>
          <w:lang w:val="en-US" w:eastAsia="zh-CN"/>
        </w:rPr>
        <w:t>技术规范书</w:t>
      </w:r>
      <w:r>
        <w:rPr>
          <w:rFonts w:hint="eastAsia" w:ascii="宋体" w:hAnsi="宋体" w:eastAsia="宋体" w:cs="宋体"/>
          <w:highlight w:val="none"/>
        </w:rPr>
        <w:t>适用于数字电网科技公司</w:t>
      </w:r>
      <w:r>
        <w:rPr>
          <w:rFonts w:hint="eastAsia" w:ascii="宋体" w:hAnsi="宋体" w:eastAsia="宋体" w:cs="宋体"/>
          <w:highlight w:val="none"/>
          <w:lang w:val="en-US" w:eastAsia="zh-CN"/>
        </w:rPr>
        <w:t>电鸿产品</w:t>
      </w:r>
      <w:r>
        <w:rPr>
          <w:rFonts w:hint="eastAsia" w:ascii="宋体" w:hAnsi="宋体" w:cs="宋体"/>
          <w:highlight w:val="none"/>
          <w:lang w:val="en-US" w:eastAsia="zh-CN"/>
        </w:rPr>
        <w:t>实验室工作台与试验台</w:t>
      </w:r>
      <w:r>
        <w:rPr>
          <w:rFonts w:hint="eastAsia" w:ascii="宋体" w:hAnsi="宋体" w:eastAsia="宋体" w:cs="宋体"/>
          <w:highlight w:val="none"/>
        </w:rPr>
        <w:t>设施配置</w:t>
      </w:r>
      <w:r>
        <w:rPr>
          <w:rFonts w:hint="eastAsia" w:ascii="宋体" w:hAnsi="宋体" w:eastAsia="宋体" w:cs="宋体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highlight w:val="none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具体性能指标参照下表。</w:t>
      </w:r>
    </w:p>
    <w:tbl>
      <w:tblPr>
        <w:tblStyle w:val="8"/>
        <w:tblW w:w="4847" w:type="pct"/>
        <w:tblInd w:w="12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1366"/>
        <w:gridCol w:w="3589"/>
        <w:gridCol w:w="25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lang w:val="en-US" w:eastAsia="zh-CN" w:bidi="ar"/>
              </w:rPr>
              <w:t>序号</w:t>
            </w:r>
          </w:p>
        </w:tc>
        <w:tc>
          <w:tcPr>
            <w:tcW w:w="8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性能指标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图示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试验台</w:t>
            </w:r>
          </w:p>
        </w:tc>
        <w:tc>
          <w:tcPr>
            <w:tcW w:w="2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尺寸：2100mm*750mm*800mm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材料：工业冷轧钢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特性：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防静电，带PVC防撞封边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桌板厚度≥50mm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横排三抽屉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带挂板和台板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带电源插座、灯关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承重大于1000Kg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桌面颜色：绿色，桌架颜色：灰色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drawing>
                <wp:inline distT="0" distB="0" distL="114300" distR="114300">
                  <wp:extent cx="1491615" cy="1621790"/>
                  <wp:effectExtent l="0" t="0" r="1905" b="8890"/>
                  <wp:docPr id="2" name="图片 2" descr="1710992882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71099288210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62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</w:trPr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工作台</w:t>
            </w:r>
          </w:p>
        </w:tc>
        <w:tc>
          <w:tcPr>
            <w:tcW w:w="2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尺寸：2100mm*750mm*800mm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材料：工业冷轧钢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特性：防静电，带PVC防撞封边；桌板厚度≥50mm；横排三抽屉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；承重大于1000Kg；桌面颜色为绿色，桌架颜色为灰色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drawing>
                <wp:inline distT="0" distB="0" distL="114300" distR="114300">
                  <wp:extent cx="1585595" cy="1028700"/>
                  <wp:effectExtent l="0" t="0" r="14605" b="7620"/>
                  <wp:docPr id="1" name="图片 1" descr="1710992721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71099272153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5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2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项目工期要求</w:t>
      </w:r>
    </w:p>
    <w:p>
      <w:pPr>
        <w:widowControl w:val="0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☆投标方应保证在合同签订之日起5天内软、硬件到货。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中标人必须按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招标方</w:t>
      </w:r>
      <w:r>
        <w:rPr>
          <w:rFonts w:hint="eastAsia" w:ascii="Times New Roman" w:hAnsi="Times New Roman" w:eastAsia="宋体" w:cs="Times New Roman"/>
          <w:color w:val="000000"/>
          <w:sz w:val="24"/>
        </w:rPr>
        <w:t>确认的进度计划组织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推进项目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，接受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招标方</w:t>
      </w:r>
      <w:r>
        <w:rPr>
          <w:rFonts w:hint="eastAsia" w:ascii="Times New Roman" w:hAnsi="Times New Roman" w:eastAsia="宋体" w:cs="Times New Roman"/>
          <w:color w:val="000000"/>
          <w:sz w:val="24"/>
        </w:rPr>
        <w:t>对研究进度的检查和监督。项目实际进度与经确认的进度计划不符合时，中标人应按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招标方</w:t>
      </w:r>
      <w:r>
        <w:rPr>
          <w:rFonts w:hint="eastAsia" w:ascii="Times New Roman" w:hAnsi="Times New Roman" w:eastAsia="宋体" w:cs="Times New Roman"/>
          <w:color w:val="000000"/>
          <w:sz w:val="24"/>
        </w:rPr>
        <w:t>的要求提出改进措施，经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招标方</w:t>
      </w:r>
      <w:r>
        <w:rPr>
          <w:rFonts w:hint="eastAsia" w:ascii="Times New Roman" w:hAnsi="Times New Roman" w:eastAsia="宋体" w:cs="Times New Roman"/>
          <w:color w:val="000000"/>
          <w:sz w:val="24"/>
        </w:rPr>
        <w:t>确认后执行。因中标人的原因导致项目实际进度与进度计划不符，中标人需实施改进措施且不得追加合同价款。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项目完成且结题后，项目计划终止。</w:t>
      </w:r>
    </w:p>
    <w:p>
      <w:pPr>
        <w:pStyle w:val="2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其它要求</w:t>
      </w:r>
    </w:p>
    <w:p>
      <w:pPr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报价内容应包括工作台等设施装备费、物流</w:t>
      </w:r>
      <w:bookmarkStart w:id="0" w:name="_GoBack"/>
      <w:bookmarkEnd w:id="0"/>
      <w:r>
        <w:rPr>
          <w:rFonts w:hint="eastAsia"/>
          <w:lang w:val="en-US" w:eastAsia="zh-CN"/>
        </w:rPr>
        <w:t>费、安装费，满足性能指标。</w:t>
      </w:r>
    </w:p>
    <w:p/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590" w:firstLineChars="25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590" w:firstLineChars="2550"/>
    </w:pPr>
    <w:r>
      <w:fldChar w:fldCharType="begin"/>
    </w:r>
    <w:r>
      <w:rPr>
        <w:rStyle w:val="10"/>
      </w:rPr>
      <w:instrText xml:space="preserve"> PAGE </w:instrText>
    </w:r>
    <w:r>
      <w:fldChar w:fldCharType="separate"/>
    </w:r>
    <w:r>
      <w:rPr>
        <w:rStyle w:val="10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5B3C31"/>
    <w:multiLevelType w:val="multilevel"/>
    <w:tmpl w:val="A05B3C31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E4666180"/>
    <w:multiLevelType w:val="singleLevel"/>
    <w:tmpl w:val="E466618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xNDdiMjY5MmE1YTBhYjI2ZTQzOGVmYzNiM2ZhMGMifQ=="/>
  </w:docVars>
  <w:rsids>
    <w:rsidRoot w:val="00000000"/>
    <w:rsid w:val="0E042561"/>
    <w:rsid w:val="19FF59D9"/>
    <w:rsid w:val="207E4B79"/>
    <w:rsid w:val="36B709B5"/>
    <w:rsid w:val="39E43CC2"/>
    <w:rsid w:val="3C3F022B"/>
    <w:rsid w:val="55A17901"/>
    <w:rsid w:val="604A6B44"/>
    <w:rsid w:val="69A35E18"/>
    <w:rsid w:val="74875835"/>
    <w:rsid w:val="75D95056"/>
    <w:rsid w:val="7C29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numPr>
        <w:ilvl w:val="0"/>
        <w:numId w:val="1"/>
      </w:numPr>
      <w:tabs>
        <w:tab w:val="left" w:pos="360"/>
      </w:tabs>
      <w:spacing w:before="340" w:after="200" w:line="578" w:lineRule="auto"/>
      <w:ind w:left="432" w:hanging="432"/>
      <w:outlineLvl w:val="0"/>
    </w:pPr>
    <w:rPr>
      <w:rFonts w:ascii="楷体_GB2312" w:eastAsia="楷体_GB2312"/>
      <w:b/>
      <w:kern w:val="44"/>
      <w:sz w:val="32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3"/>
    <w:basedOn w:val="1"/>
    <w:next w:val="1"/>
    <w:qFormat/>
    <w:uiPriority w:val="39"/>
    <w:pPr>
      <w:ind w:left="840" w:leftChars="400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iPriority w:val="39"/>
  </w:style>
  <w:style w:type="paragraph" w:styleId="7">
    <w:name w:val="toc 2"/>
    <w:basedOn w:val="1"/>
    <w:next w:val="1"/>
    <w:uiPriority w:val="39"/>
    <w:pPr>
      <w:ind w:left="420" w:leftChars="200"/>
    </w:pPr>
  </w:style>
  <w:style w:type="character" w:styleId="10">
    <w:name w:val="page number"/>
    <w:qFormat/>
    <w:uiPriority w:val="0"/>
  </w:style>
  <w:style w:type="character" w:customStyle="1" w:styleId="11">
    <w:name w:val="font31"/>
    <w:basedOn w:val="9"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  <w:style w:type="paragraph" w:customStyle="1" w:styleId="12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2024-03-21T00:56:00Z</dcterms:created>
  <dc:creator>Administrator</dc:creator>
  <cp:lastModifiedBy>Administrator</cp:lastModifiedBy>
  <dcterms:modified xsi:type="dcterms:W3CDTF">2024-03-22T02:15:30Z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217FCD7D0A8F4058A054222AF4A22D9A_12</vt:lpwstr>
  </property>
</Properties>
</file>