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80" w:lineRule="exact"/>
        <w:jc w:val="center"/>
        <w:rPr>
          <w:rFonts w:hint="eastAsia" w:ascii="黑体" w:hAnsi="黑体" w:eastAsia="黑体" w:cs="黑体"/>
          <w:color w:val="auto"/>
          <w:sz w:val="44"/>
          <w:szCs w:val="44"/>
        </w:rPr>
      </w:pPr>
      <w:r>
        <w:rPr>
          <w:rFonts w:hint="eastAsia" w:ascii="黑体" w:hAnsi="黑体" w:eastAsia="黑体" w:cs="黑体"/>
          <w:color w:val="auto"/>
          <w:sz w:val="44"/>
          <w:szCs w:val="44"/>
          <w:lang w:eastAsia="zh-CN"/>
        </w:rPr>
        <w:t>百色供电局2024年非生产场所施工改造可研设计项目</w:t>
      </w:r>
      <w:r>
        <w:rPr>
          <w:rFonts w:hint="eastAsia" w:ascii="黑体" w:hAnsi="黑体" w:eastAsia="黑体" w:cs="黑体"/>
          <w:color w:val="auto"/>
          <w:sz w:val="44"/>
          <w:szCs w:val="44"/>
        </w:rPr>
        <w:t>技术规范书</w:t>
      </w:r>
    </w:p>
    <w:p>
      <w:pPr>
        <w:adjustRightInd w:val="0"/>
        <w:snapToGrid w:val="0"/>
        <w:spacing w:line="580" w:lineRule="exact"/>
        <w:ind w:firstLine="560" w:firstLineChars="200"/>
        <w:jc w:val="left"/>
        <w:rPr>
          <w:rFonts w:hint="eastAsia" w:ascii="黑体" w:hAnsi="黑体" w:eastAsia="黑体" w:cs="黑体"/>
          <w:color w:val="auto"/>
          <w:sz w:val="28"/>
          <w:szCs w:val="28"/>
        </w:rPr>
      </w:pPr>
    </w:p>
    <w:p>
      <w:pPr>
        <w:adjustRightInd w:val="0"/>
        <w:snapToGrid w:val="0"/>
        <w:spacing w:line="580" w:lineRule="exact"/>
        <w:ind w:firstLine="562" w:firstLineChars="200"/>
        <w:jc w:val="left"/>
        <w:rPr>
          <w:rFonts w:hint="eastAsia" w:ascii="宋体" w:hAnsi="宋体" w:cs="宋体"/>
          <w:b/>
          <w:bCs/>
          <w:color w:val="auto"/>
          <w:sz w:val="28"/>
          <w:szCs w:val="28"/>
          <w:lang w:val="en-US" w:eastAsia="zh-CN"/>
        </w:rPr>
      </w:pPr>
      <w:r>
        <w:rPr>
          <w:rFonts w:hint="eastAsia" w:ascii="黑体" w:hAnsi="黑体" w:eastAsia="黑体" w:cs="黑体"/>
          <w:b/>
          <w:bCs/>
          <w:color w:val="auto"/>
          <w:sz w:val="28"/>
          <w:szCs w:val="28"/>
          <w:lang w:val="en-US" w:eastAsia="zh-CN"/>
        </w:rPr>
        <w:t>1</w:t>
      </w:r>
      <w:r>
        <w:rPr>
          <w:rFonts w:hint="eastAsia" w:ascii="黑体" w:hAnsi="黑体" w:eastAsia="黑体" w:cs="黑体"/>
          <w:b/>
          <w:bCs/>
          <w:color w:val="auto"/>
          <w:sz w:val="28"/>
          <w:szCs w:val="28"/>
        </w:rPr>
        <w:t>.工</w:t>
      </w:r>
      <w:r>
        <w:rPr>
          <w:rFonts w:hint="eastAsia" w:ascii="宋体" w:hAnsi="宋体" w:cs="宋体"/>
          <w:b/>
          <w:bCs/>
          <w:color w:val="auto"/>
          <w:sz w:val="28"/>
          <w:szCs w:val="28"/>
          <w:lang w:val="en-US" w:eastAsia="zh-CN"/>
        </w:rPr>
        <w:t>程业务范围</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1.1 负责</w:t>
      </w:r>
      <w:r>
        <w:rPr>
          <w:rFonts w:hint="eastAsia" w:cs="宋体"/>
          <w:color w:val="auto"/>
          <w:sz w:val="28"/>
          <w:szCs w:val="28"/>
          <w:lang w:val="en-US" w:eastAsia="zh-CN"/>
        </w:rPr>
        <w:t>百色</w:t>
      </w:r>
      <w:r>
        <w:rPr>
          <w:rFonts w:hint="eastAsia" w:ascii="宋体" w:hAnsi="宋体" w:cs="宋体"/>
          <w:color w:val="auto"/>
          <w:sz w:val="28"/>
          <w:szCs w:val="28"/>
          <w:lang w:val="en-US" w:eastAsia="zh-CN"/>
        </w:rPr>
        <w:t>供电局2024年非生产办公场所及附属设施（含建筑修善类改造、维修等项目）行政办公技改、修理项目设计。</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1.2 设计内容：项目的可行性研究（含投资估算）、初步概算设计、施工图设计（含预算计施工费预算）、设计变更（含变更预算）、竣工图编制、现场技术服务、设计配合结算及总结算报告编制、电子化移交。完善方案，各结算与工程有关的变更、修改等，包含全过程的可研、设计资料、服务及其他有关工作。</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1.3 服务有效期：自合同约定之日起至2024年12月31日</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工期要求：</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1.4.1 可行性研究（含投资估算书）：具体任务（委托书）下达后20个工作日提交；</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1.4.2 初步概算设计：具体任务（委托书）下达后20个工作日提交；</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1.4.3 施工图设计及预算：具体任务（委托书）下达后20个工作日提交；</w:t>
      </w:r>
    </w:p>
    <w:p>
      <w:pPr>
        <w:adjustRightInd w:val="0"/>
        <w:snapToGrid w:val="0"/>
        <w:spacing w:line="580" w:lineRule="exact"/>
        <w:ind w:firstLine="560" w:firstLineChars="200"/>
        <w:jc w:val="lef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1.4.4 竣工图文件：工程投运后30天内提交；</w:t>
      </w:r>
    </w:p>
    <w:p>
      <w:pPr>
        <w:adjustRightInd w:val="0"/>
        <w:snapToGrid w:val="0"/>
        <w:spacing w:line="580" w:lineRule="exact"/>
        <w:ind w:firstLine="562" w:firstLineChars="200"/>
        <w:jc w:val="lef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2.资质要求</w:t>
      </w:r>
    </w:p>
    <w:p>
      <w:pPr>
        <w:adjustRightInd w:val="0"/>
        <w:snapToGrid w:val="0"/>
        <w:spacing w:line="580" w:lineRule="exact"/>
        <w:ind w:firstLine="560" w:firstLineChars="200"/>
        <w:jc w:val="left"/>
        <w:rPr>
          <w:rFonts w:hint="eastAsia" w:cs="宋体"/>
          <w:color w:val="auto"/>
          <w:sz w:val="28"/>
          <w:szCs w:val="28"/>
          <w:lang w:val="en-US" w:eastAsia="zh-CN"/>
        </w:rPr>
      </w:pPr>
      <w:bookmarkStart w:id="0" w:name="_GoBack"/>
      <w:r>
        <w:rPr>
          <w:rFonts w:hint="eastAsia" w:ascii="宋体" w:hAnsi="宋体" w:cs="宋体"/>
          <w:color w:val="auto"/>
          <w:sz w:val="28"/>
          <w:szCs w:val="28"/>
          <w:lang w:val="en-US" w:eastAsia="zh-CN"/>
        </w:rPr>
        <w:t>2.1</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持新证单位：供应商投标人具备真实有效的工程设计综合资质，或建筑行业【乙】</w:t>
      </w:r>
      <w:r>
        <w:rPr>
          <w:rFonts w:hint="eastAsia" w:ascii="宋体" w:hAnsi="宋体" w:cs="宋体"/>
          <w:color w:val="auto"/>
          <w:sz w:val="28"/>
          <w:szCs w:val="28"/>
          <w:lang w:val="en-US" w:eastAsia="zh-CN"/>
        </w:rPr>
        <w:t>级及以上资质，或建筑工程专业【乙】</w:t>
      </w:r>
      <w:r>
        <w:rPr>
          <w:rFonts w:hint="eastAsia" w:ascii="宋体" w:hAnsi="宋体" w:cs="宋体"/>
          <w:color w:val="auto"/>
          <w:sz w:val="28"/>
          <w:szCs w:val="28"/>
          <w:lang w:val="en-US" w:eastAsia="zh-CN"/>
        </w:rPr>
        <w:t>级及以上资质</w:t>
      </w:r>
      <w:r>
        <w:rPr>
          <w:rFonts w:hint="eastAsia" w:cs="宋体"/>
          <w:color w:val="auto"/>
          <w:sz w:val="28"/>
          <w:szCs w:val="28"/>
          <w:lang w:val="en-US" w:eastAsia="zh-CN"/>
        </w:rPr>
        <w:t>。</w:t>
      </w:r>
      <w:bookmarkEnd w:id="0"/>
    </w:p>
    <w:p>
      <w:pPr>
        <w:pStyle w:val="2"/>
        <w:rPr>
          <w:rFonts w:hint="eastAsia"/>
          <w:lang w:val="en-US" w:eastAsia="zh-CN"/>
        </w:rPr>
      </w:pP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2.</w:t>
      </w:r>
      <w:r>
        <w:rPr>
          <w:rFonts w:hint="eastAsia" w:cs="宋体"/>
          <w:color w:val="auto"/>
          <w:sz w:val="28"/>
          <w:szCs w:val="28"/>
          <w:lang w:val="en-US" w:eastAsia="zh-CN"/>
        </w:rPr>
        <w:t>2</w:t>
      </w:r>
      <w:r>
        <w:rPr>
          <w:rFonts w:hint="eastAsia" w:ascii="宋体" w:hAnsi="宋体" w:cs="宋体"/>
          <w:color w:val="auto"/>
          <w:sz w:val="28"/>
          <w:szCs w:val="28"/>
          <w:lang w:val="en-US" w:eastAsia="zh-CN"/>
        </w:rPr>
        <w:t xml:space="preserve"> 设计总负责人持有真实有效的注册建筑</w:t>
      </w:r>
      <w:r>
        <w:rPr>
          <w:rFonts w:hint="eastAsia" w:cs="宋体"/>
          <w:color w:val="auto"/>
          <w:sz w:val="28"/>
          <w:szCs w:val="28"/>
          <w:lang w:val="en-US" w:eastAsia="zh-CN"/>
        </w:rPr>
        <w:t>工程师或注册</w:t>
      </w:r>
      <w:r>
        <w:rPr>
          <w:rFonts w:hint="eastAsia" w:ascii="宋体" w:hAnsi="宋体" w:cs="宋体"/>
          <w:color w:val="auto"/>
          <w:sz w:val="28"/>
          <w:szCs w:val="28"/>
          <w:lang w:val="en-US" w:eastAsia="zh-CN"/>
        </w:rPr>
        <w:t>结构工程师执业资格，并在供应商单位注册。</w:t>
      </w:r>
    </w:p>
    <w:p>
      <w:pPr>
        <w:adjustRightInd w:val="0"/>
        <w:snapToGrid w:val="0"/>
        <w:spacing w:line="580" w:lineRule="exact"/>
        <w:ind w:firstLine="562" w:firstLineChars="200"/>
        <w:jc w:val="lef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3.设计费计算方法</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3.1 根据《广西勘察设计收费指导标准(2020版)》 工程设计收费项目及标准执行。</w:t>
      </w:r>
    </w:p>
    <w:p>
      <w:pPr>
        <w:adjustRightInd w:val="0"/>
        <w:snapToGrid w:val="0"/>
        <w:spacing w:line="580" w:lineRule="exact"/>
        <w:ind w:firstLine="560" w:firstLineChars="200"/>
        <w:jc w:val="left"/>
        <w:rPr>
          <w:rFonts w:hint="eastAsia" w:cs="宋体"/>
          <w:color w:val="auto"/>
          <w:sz w:val="28"/>
          <w:szCs w:val="28"/>
          <w:lang w:val="en-US" w:eastAsia="zh-CN"/>
        </w:rPr>
      </w:pPr>
      <w:r>
        <w:rPr>
          <w:rFonts w:hint="eastAsia" w:cs="宋体"/>
          <w:color w:val="auto"/>
          <w:sz w:val="28"/>
          <w:szCs w:val="28"/>
          <w:lang w:val="en-US" w:eastAsia="zh-CN"/>
        </w:rPr>
        <w:t>3</w:t>
      </w:r>
      <w:r>
        <w:rPr>
          <w:rFonts w:hint="eastAsia" w:ascii="宋体" w:hAnsi="宋体" w:cs="宋体"/>
          <w:color w:val="auto"/>
          <w:sz w:val="28"/>
          <w:szCs w:val="28"/>
          <w:lang w:val="en-US" w:eastAsia="zh-CN"/>
        </w:rPr>
        <w:t>.2</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勘察设计费=审定的概（预）算中勘察设计费*（1-中标下浮率</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w:t>
      </w:r>
      <w:r>
        <w:rPr>
          <w:rFonts w:hint="eastAsia" w:cs="宋体"/>
          <w:color w:val="auto"/>
          <w:sz w:val="28"/>
          <w:szCs w:val="28"/>
          <w:lang w:val="en-US" w:eastAsia="zh-CN"/>
        </w:rPr>
        <w:t>。</w:t>
      </w:r>
    </w:p>
    <w:p>
      <w:pPr>
        <w:adjustRightInd w:val="0"/>
        <w:snapToGrid w:val="0"/>
        <w:spacing w:line="580" w:lineRule="exact"/>
        <w:ind w:firstLine="560" w:firstLineChars="200"/>
        <w:jc w:val="left"/>
        <w:rPr>
          <w:rFonts w:hint="eastAsia" w:ascii="宋体" w:hAnsi="宋体" w:cs="宋体"/>
          <w:color w:val="auto"/>
          <w:sz w:val="28"/>
          <w:szCs w:val="28"/>
          <w:lang w:val="en-US" w:eastAsia="zh-CN"/>
        </w:rPr>
      </w:pPr>
      <w:r>
        <w:rPr>
          <w:rFonts w:hint="eastAsia" w:cs="宋体"/>
          <w:color w:val="auto"/>
          <w:sz w:val="28"/>
          <w:szCs w:val="28"/>
          <w:lang w:val="en-US" w:eastAsia="zh-CN"/>
        </w:rPr>
        <w:t>3</w:t>
      </w:r>
      <w:r>
        <w:rPr>
          <w:rFonts w:hint="eastAsia" w:ascii="宋体" w:hAnsi="宋体" w:cs="宋体"/>
          <w:color w:val="auto"/>
          <w:sz w:val="28"/>
          <w:szCs w:val="28"/>
          <w:lang w:val="en-US" w:eastAsia="zh-CN"/>
        </w:rPr>
        <w:t>.3</w:t>
      </w:r>
      <w:r>
        <w:rPr>
          <w:rFonts w:hint="eastAsia" w:cs="宋体"/>
          <w:color w:val="auto"/>
          <w:sz w:val="28"/>
          <w:szCs w:val="28"/>
          <w:lang w:val="en-US" w:eastAsia="zh-CN"/>
        </w:rPr>
        <w:t xml:space="preserve"> </w:t>
      </w:r>
      <w:r>
        <w:rPr>
          <w:rFonts w:hint="eastAsia" w:ascii="宋体" w:hAnsi="宋体" w:cs="宋体"/>
          <w:color w:val="auto"/>
          <w:sz w:val="28"/>
          <w:szCs w:val="28"/>
          <w:lang w:val="en-US" w:eastAsia="zh-CN"/>
        </w:rPr>
        <w:t>前期费=审定的前期工作费*85%*(1-中标下浮率</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w:t>
      </w:r>
    </w:p>
    <w:p>
      <w:pPr>
        <w:adjustRightInd w:val="0"/>
        <w:snapToGrid w:val="0"/>
        <w:spacing w:line="580" w:lineRule="exact"/>
        <w:ind w:firstLine="560" w:firstLineChars="200"/>
        <w:jc w:val="left"/>
        <w:rPr>
          <w:rFonts w:ascii="黑体" w:hAnsi="黑体" w:eastAsia="黑体" w:cs="黑体"/>
          <w:color w:val="auto"/>
          <w:sz w:val="28"/>
          <w:szCs w:val="28"/>
        </w:rPr>
      </w:pPr>
      <w:r>
        <w:rPr>
          <w:rFonts w:hint="eastAsia" w:ascii="黑体" w:hAnsi="黑体" w:eastAsia="黑体" w:cs="黑体"/>
          <w:color w:val="auto"/>
          <w:sz w:val="28"/>
          <w:szCs w:val="28"/>
          <w:lang w:val="en-US" w:eastAsia="zh-CN"/>
        </w:rPr>
        <w:t>4</w:t>
      </w:r>
      <w:r>
        <w:rPr>
          <w:rFonts w:hint="eastAsia" w:ascii="黑体" w:hAnsi="黑体" w:eastAsia="黑体" w:cs="黑体"/>
          <w:color w:val="auto"/>
          <w:sz w:val="28"/>
          <w:szCs w:val="28"/>
        </w:rPr>
        <w:t>.工程设计依据及标准</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4</w:t>
      </w:r>
      <w:r>
        <w:rPr>
          <w:rFonts w:hint="eastAsia" w:ascii="宋体" w:hAnsi="宋体" w:cs="宋体"/>
          <w:color w:val="auto"/>
          <w:sz w:val="28"/>
          <w:szCs w:val="28"/>
        </w:rPr>
        <w:t>.1</w:t>
      </w:r>
      <w:r>
        <w:rPr>
          <w:rFonts w:hint="eastAsia" w:cs="宋体"/>
          <w:color w:val="auto"/>
          <w:sz w:val="28"/>
          <w:szCs w:val="28"/>
          <w:lang w:val="en-US" w:eastAsia="zh-CN"/>
        </w:rPr>
        <w:t xml:space="preserve"> </w:t>
      </w:r>
      <w:r>
        <w:rPr>
          <w:rFonts w:hint="eastAsia" w:ascii="宋体" w:hAnsi="宋体" w:cs="宋体"/>
          <w:color w:val="auto"/>
          <w:sz w:val="28"/>
          <w:szCs w:val="28"/>
        </w:rPr>
        <w:t>工程设计依据为：</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4</w:t>
      </w:r>
      <w:r>
        <w:rPr>
          <w:rFonts w:hint="eastAsia" w:ascii="宋体" w:hAnsi="宋体" w:cs="宋体"/>
          <w:color w:val="auto"/>
          <w:sz w:val="28"/>
          <w:szCs w:val="28"/>
        </w:rPr>
        <w:t>.2</w:t>
      </w:r>
      <w:r>
        <w:rPr>
          <w:rFonts w:hint="eastAsia" w:cs="宋体"/>
          <w:color w:val="auto"/>
          <w:sz w:val="28"/>
          <w:szCs w:val="28"/>
          <w:lang w:val="en-US" w:eastAsia="zh-CN"/>
        </w:rPr>
        <w:t xml:space="preserve"> </w:t>
      </w:r>
      <w:r>
        <w:rPr>
          <w:rFonts w:hint="eastAsia" w:ascii="宋体" w:hAnsi="宋体" w:cs="宋体"/>
          <w:color w:val="auto"/>
          <w:sz w:val="28"/>
          <w:szCs w:val="28"/>
        </w:rPr>
        <w:t>国家标准、行业标准、工程所在地省级地方标准、中国南方电网有限公司指定的企业标准。</w:t>
      </w:r>
    </w:p>
    <w:p>
      <w:pPr>
        <w:adjustRightInd w:val="0"/>
        <w:snapToGrid w:val="0"/>
        <w:spacing w:line="580" w:lineRule="exact"/>
        <w:ind w:firstLine="560" w:firstLineChars="200"/>
        <w:jc w:val="left"/>
        <w:rPr>
          <w:rFonts w:hint="eastAsia" w:cs="宋体"/>
          <w:color w:val="auto"/>
          <w:sz w:val="28"/>
          <w:szCs w:val="28"/>
          <w:lang w:val="en-US" w:eastAsia="zh-CN"/>
        </w:rPr>
      </w:pPr>
      <w:r>
        <w:rPr>
          <w:rFonts w:hint="eastAsia" w:cs="宋体"/>
          <w:color w:val="auto"/>
          <w:sz w:val="28"/>
          <w:szCs w:val="28"/>
          <w:lang w:val="en-US" w:eastAsia="zh-CN"/>
        </w:rPr>
        <w:t>4</w:t>
      </w:r>
      <w:r>
        <w:rPr>
          <w:rFonts w:hint="eastAsia" w:ascii="宋体" w:hAnsi="宋体" w:cs="宋体"/>
          <w:color w:val="auto"/>
          <w:sz w:val="28"/>
          <w:szCs w:val="28"/>
        </w:rPr>
        <w:t>.</w:t>
      </w:r>
      <w:r>
        <w:rPr>
          <w:rFonts w:hint="eastAsia" w:cs="宋体"/>
          <w:color w:val="auto"/>
          <w:sz w:val="28"/>
          <w:szCs w:val="28"/>
          <w:lang w:val="en-US" w:eastAsia="zh-CN"/>
        </w:rPr>
        <w:t xml:space="preserve">3 </w:t>
      </w:r>
      <w:r>
        <w:rPr>
          <w:rFonts w:hint="eastAsia" w:ascii="宋体" w:hAnsi="宋体" w:cs="宋体"/>
          <w:color w:val="auto"/>
          <w:sz w:val="28"/>
          <w:szCs w:val="28"/>
        </w:rPr>
        <w:t>设计必须符合本条约定的国家标准、规范；国家没有相应标准、规范时，可使用行业或工程所在地的省级标准、规范</w:t>
      </w:r>
      <w:r>
        <w:rPr>
          <w:rFonts w:hint="eastAsia" w:cs="宋体"/>
          <w:color w:val="auto"/>
          <w:sz w:val="28"/>
          <w:szCs w:val="28"/>
          <w:lang w:val="en-US" w:eastAsia="zh-CN"/>
        </w:rPr>
        <w:t>。</w:t>
      </w:r>
    </w:p>
    <w:p>
      <w:pPr>
        <w:adjustRightInd w:val="0"/>
        <w:snapToGrid w:val="0"/>
        <w:spacing w:line="580" w:lineRule="exact"/>
        <w:ind w:firstLine="562" w:firstLineChars="200"/>
        <w:jc w:val="left"/>
        <w:rPr>
          <w:rFonts w:hint="eastAsia" w:ascii="宋体" w:hAnsi="宋体" w:cs="宋体"/>
          <w:b/>
          <w:bCs/>
          <w:color w:val="auto"/>
          <w:sz w:val="28"/>
          <w:szCs w:val="28"/>
        </w:rPr>
      </w:pPr>
      <w:r>
        <w:rPr>
          <w:rFonts w:hint="eastAsia" w:cs="宋体"/>
          <w:b/>
          <w:bCs/>
          <w:color w:val="auto"/>
          <w:sz w:val="28"/>
          <w:szCs w:val="28"/>
          <w:lang w:val="en-US" w:eastAsia="zh-CN"/>
        </w:rPr>
        <w:t>5</w:t>
      </w:r>
      <w:r>
        <w:rPr>
          <w:rFonts w:hint="eastAsia" w:ascii="宋体" w:hAnsi="宋体" w:cs="宋体"/>
          <w:b/>
          <w:bCs/>
          <w:color w:val="auto"/>
          <w:sz w:val="28"/>
          <w:szCs w:val="28"/>
        </w:rPr>
        <w:t>. 技术要求</w:t>
      </w:r>
    </w:p>
    <w:p>
      <w:pPr>
        <w:adjustRightInd w:val="0"/>
        <w:snapToGrid w:val="0"/>
        <w:spacing w:line="580" w:lineRule="exact"/>
        <w:ind w:firstLine="560" w:firstLineChars="200"/>
        <w:jc w:val="left"/>
        <w:rPr>
          <w:rFonts w:hint="eastAsia"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.1 中国南方电网有限责任公司</w:t>
      </w:r>
      <w:r>
        <w:rPr>
          <w:rFonts w:hint="eastAsia" w:ascii="宋体" w:hAnsi="宋体" w:cs="宋体"/>
          <w:color w:val="auto"/>
          <w:sz w:val="28"/>
          <w:szCs w:val="28"/>
          <w:lang w:eastAsia="zh-CN"/>
        </w:rPr>
        <w:t>行政办公</w:t>
      </w:r>
      <w:r>
        <w:rPr>
          <w:rFonts w:hint="eastAsia" w:ascii="宋体" w:hAnsi="宋体" w:cs="宋体"/>
          <w:color w:val="auto"/>
          <w:sz w:val="28"/>
          <w:szCs w:val="28"/>
        </w:rPr>
        <w:t>项目管理制度、建设单位的质量、环境和职业健康安全管理体系文件、其他有关制度和规定。</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.2</w:t>
      </w:r>
      <w:r>
        <w:rPr>
          <w:rFonts w:hint="eastAsia" w:cs="宋体"/>
          <w:color w:val="auto"/>
          <w:sz w:val="28"/>
          <w:szCs w:val="28"/>
          <w:lang w:val="en-US" w:eastAsia="zh-CN"/>
        </w:rPr>
        <w:t xml:space="preserve"> </w:t>
      </w:r>
      <w:r>
        <w:rPr>
          <w:rFonts w:hint="eastAsia" w:ascii="宋体" w:hAnsi="宋体" w:cs="宋体"/>
          <w:color w:val="auto"/>
          <w:sz w:val="28"/>
          <w:szCs w:val="28"/>
        </w:rPr>
        <w:t>按照国家及行业现行的标准、规程、规范、技术条例、南方电网标准设计及典型造价进行设计工作，严格掌握设计标准，控制工程造价。</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w:t>
      </w:r>
      <w:r>
        <w:rPr>
          <w:rFonts w:hint="eastAsia" w:cs="宋体"/>
          <w:color w:val="auto"/>
          <w:sz w:val="28"/>
          <w:szCs w:val="28"/>
          <w:lang w:val="en-US" w:eastAsia="zh-CN"/>
        </w:rPr>
        <w:t xml:space="preserve">3 </w:t>
      </w:r>
      <w:r>
        <w:rPr>
          <w:rFonts w:hint="eastAsia" w:ascii="宋体" w:hAnsi="宋体" w:cs="宋体"/>
          <w:color w:val="auto"/>
          <w:sz w:val="28"/>
          <w:szCs w:val="28"/>
        </w:rPr>
        <w:t>按约定向甲方交付设计成果文件，并对该设计成果文件的完整性、准确性负责。</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w:t>
      </w:r>
      <w:r>
        <w:rPr>
          <w:rFonts w:hint="eastAsia" w:cs="宋体"/>
          <w:color w:val="auto"/>
          <w:sz w:val="28"/>
          <w:szCs w:val="28"/>
          <w:lang w:val="en-US" w:eastAsia="zh-CN"/>
        </w:rPr>
        <w:t xml:space="preserve">4 </w:t>
      </w:r>
      <w:r>
        <w:rPr>
          <w:rFonts w:hint="eastAsia" w:ascii="宋体" w:hAnsi="宋体" w:cs="宋体"/>
          <w:color w:val="auto"/>
          <w:sz w:val="28"/>
          <w:szCs w:val="28"/>
        </w:rPr>
        <w:t>设计文件完成后，负责规划报建等工作，并取得相关批文。</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w:t>
      </w:r>
      <w:r>
        <w:rPr>
          <w:rFonts w:hint="eastAsia" w:ascii="宋体" w:hAnsi="宋体" w:cs="宋体"/>
          <w:color w:val="auto"/>
          <w:sz w:val="28"/>
          <w:szCs w:val="28"/>
        </w:rPr>
        <w:t>.</w:t>
      </w:r>
      <w:r>
        <w:rPr>
          <w:rFonts w:hint="eastAsia" w:cs="宋体"/>
          <w:color w:val="auto"/>
          <w:sz w:val="28"/>
          <w:szCs w:val="28"/>
          <w:lang w:val="en-US" w:eastAsia="zh-CN"/>
        </w:rPr>
        <w:t xml:space="preserve">5 </w:t>
      </w:r>
      <w:r>
        <w:rPr>
          <w:rFonts w:hint="eastAsia" w:ascii="宋体" w:hAnsi="宋体" w:cs="宋体"/>
          <w:color w:val="auto"/>
          <w:sz w:val="28"/>
          <w:szCs w:val="28"/>
        </w:rPr>
        <w:t>在工程施工前，向施工单位和监理单位说明本工程设计意图，解释设计文件。</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5.6 </w:t>
      </w:r>
      <w:r>
        <w:rPr>
          <w:rFonts w:hint="eastAsia" w:ascii="宋体" w:hAnsi="宋体" w:cs="宋体"/>
          <w:color w:val="auto"/>
          <w:sz w:val="28"/>
          <w:szCs w:val="28"/>
        </w:rPr>
        <w:t>应按照合同的规定和投标书中有关质量方面的承诺进行设计的组织和具体实施，保证设计质量。</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5.7 </w:t>
      </w:r>
      <w:r>
        <w:rPr>
          <w:rFonts w:hint="eastAsia" w:ascii="宋体" w:hAnsi="宋体" w:cs="宋体"/>
          <w:color w:val="auto"/>
          <w:sz w:val="28"/>
          <w:szCs w:val="28"/>
        </w:rPr>
        <w:t>应按国家、行业规定和合同要求做好工程建设全过程的设计服务工作。</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5.8 </w:t>
      </w:r>
      <w:r>
        <w:rPr>
          <w:rFonts w:hint="eastAsia" w:ascii="宋体" w:hAnsi="宋体" w:cs="宋体"/>
          <w:color w:val="auto"/>
          <w:sz w:val="28"/>
          <w:szCs w:val="28"/>
        </w:rPr>
        <w:t>乙方</w:t>
      </w:r>
      <w:r>
        <w:rPr>
          <w:rFonts w:hint="eastAsia" w:cs="宋体"/>
          <w:color w:val="auto"/>
          <w:sz w:val="28"/>
          <w:szCs w:val="28"/>
          <w:lang w:eastAsia="zh-CN"/>
        </w:rPr>
        <w:t>应</w:t>
      </w:r>
      <w:r>
        <w:rPr>
          <w:rFonts w:hint="eastAsia" w:ascii="宋体" w:hAnsi="宋体" w:cs="宋体"/>
          <w:color w:val="auto"/>
          <w:sz w:val="28"/>
          <w:szCs w:val="28"/>
        </w:rPr>
        <w:t>办理设计责任险及自己在现场人员生命财产和有关设备的保险，并支付一切费用。</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5.9 </w:t>
      </w:r>
      <w:r>
        <w:rPr>
          <w:rFonts w:hint="eastAsia" w:ascii="宋体" w:hAnsi="宋体" w:cs="宋体"/>
          <w:color w:val="auto"/>
          <w:sz w:val="28"/>
          <w:szCs w:val="28"/>
        </w:rPr>
        <w:t>乙方需保护甲方提供的标准设计方案等资料的知识产权。未经甲方同意，乙方不得向第三方提供、转让甲方提交的文件、产品图纸、技术经济资料、标准设计方案等基础资料，不得用于本合同外的项目。</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5.10</w:t>
      </w:r>
      <w:r>
        <w:rPr>
          <w:rFonts w:hint="eastAsia" w:ascii="宋体" w:hAnsi="宋体" w:cs="宋体"/>
          <w:color w:val="auto"/>
          <w:sz w:val="28"/>
          <w:szCs w:val="28"/>
        </w:rPr>
        <w:t xml:space="preserve"> 负责主要设备及材料招标文件(技术部分)的编制。</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5.11 </w:t>
      </w:r>
      <w:r>
        <w:rPr>
          <w:rFonts w:hint="eastAsia" w:ascii="宋体" w:hAnsi="宋体" w:cs="宋体"/>
          <w:color w:val="auto"/>
          <w:sz w:val="28"/>
          <w:szCs w:val="28"/>
        </w:rPr>
        <w:t>乙方编制的概预算、变更预算等文件应符合甲方有关制度规定要求，并及时录入信息系统。</w:t>
      </w:r>
    </w:p>
    <w:p>
      <w:pPr>
        <w:adjustRightInd w:val="0"/>
        <w:snapToGrid w:val="0"/>
        <w:spacing w:line="580" w:lineRule="exact"/>
        <w:ind w:firstLine="560" w:firstLineChars="200"/>
        <w:jc w:val="left"/>
        <w:rPr>
          <w:rFonts w:hint="eastAsia" w:cs="宋体"/>
          <w:color w:val="auto"/>
          <w:sz w:val="28"/>
          <w:szCs w:val="28"/>
          <w:lang w:val="en-US" w:eastAsia="zh-CN"/>
        </w:rPr>
      </w:pPr>
      <w:r>
        <w:rPr>
          <w:rFonts w:hint="eastAsia" w:cs="宋体"/>
          <w:color w:val="auto"/>
          <w:sz w:val="28"/>
          <w:szCs w:val="28"/>
          <w:lang w:val="en-US" w:eastAsia="zh-CN"/>
        </w:rPr>
        <w:t xml:space="preserve">5.12 </w:t>
      </w:r>
      <w:r>
        <w:rPr>
          <w:rFonts w:hint="eastAsia" w:ascii="宋体" w:hAnsi="宋体" w:cs="宋体"/>
          <w:color w:val="auto"/>
          <w:sz w:val="28"/>
          <w:szCs w:val="28"/>
        </w:rPr>
        <w:t>甲方在进行本工程的施工招标、设备招标、工程结算等工作时，乙方应当协助甲方分解概预算，形成各项费用的费控目标；</w:t>
      </w:r>
      <w:r>
        <w:rPr>
          <w:rFonts w:hint="eastAsia" w:cs="宋体"/>
          <w:color w:val="auto"/>
          <w:sz w:val="28"/>
          <w:szCs w:val="28"/>
          <w:lang w:val="en-US" w:eastAsia="zh-CN"/>
        </w:rPr>
        <w:t xml:space="preserve">  </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5.13 </w:t>
      </w:r>
      <w:r>
        <w:rPr>
          <w:rFonts w:hint="eastAsia" w:ascii="宋体" w:hAnsi="宋体" w:cs="宋体"/>
          <w:color w:val="auto"/>
          <w:sz w:val="28"/>
          <w:szCs w:val="28"/>
        </w:rPr>
        <w:t>在工程实施过程中，乙方应按照本合同约定，及时出具设计变更及预算，配合施工各阶段工程量及变更工程量复核，核实实施后的设计变更费用及与设计相关的工程签证引起的费用变更，负责配合工程结算及总结算工作，并提供技术经济指标表。</w:t>
      </w:r>
    </w:p>
    <w:p>
      <w:pPr>
        <w:adjustRightInd w:val="0"/>
        <w:snapToGrid w:val="0"/>
        <w:spacing w:line="580" w:lineRule="exact"/>
        <w:ind w:firstLine="560" w:firstLineChars="200"/>
        <w:jc w:val="left"/>
        <w:rPr>
          <w:rFonts w:ascii="宋体" w:hAnsi="宋体" w:cs="宋体"/>
          <w:color w:val="auto"/>
          <w:sz w:val="28"/>
          <w:szCs w:val="28"/>
        </w:rPr>
      </w:pPr>
      <w:r>
        <w:rPr>
          <w:rFonts w:hint="eastAsia" w:cs="宋体"/>
          <w:color w:val="auto"/>
          <w:sz w:val="28"/>
          <w:szCs w:val="28"/>
          <w:lang w:val="en-US" w:eastAsia="zh-CN"/>
        </w:rPr>
        <w:t xml:space="preserve">5.14 </w:t>
      </w:r>
      <w:r>
        <w:rPr>
          <w:rFonts w:hint="eastAsia" w:ascii="宋体" w:hAnsi="宋体" w:cs="宋体"/>
          <w:color w:val="auto"/>
          <w:sz w:val="28"/>
          <w:szCs w:val="28"/>
        </w:rPr>
        <w:t>对设计文件出现的遗漏或错误负责修改或补充。</w:t>
      </w:r>
    </w:p>
    <w:p>
      <w:pPr>
        <w:adjustRightInd w:val="0"/>
        <w:snapToGrid w:val="0"/>
        <w:spacing w:line="580" w:lineRule="exact"/>
        <w:ind w:firstLine="560" w:firstLineChars="200"/>
        <w:jc w:val="left"/>
        <w:rPr>
          <w:rFonts w:hint="eastAsia" w:ascii="宋体" w:hAnsi="宋体" w:cs="宋体"/>
          <w:color w:val="auto"/>
          <w:kern w:val="0"/>
          <w:sz w:val="28"/>
          <w:szCs w:val="28"/>
        </w:rPr>
      </w:pPr>
      <w:r>
        <w:rPr>
          <w:rFonts w:hint="eastAsia" w:cs="宋体"/>
          <w:color w:val="auto"/>
          <w:sz w:val="28"/>
          <w:szCs w:val="28"/>
          <w:lang w:val="en-US" w:eastAsia="zh-CN"/>
        </w:rPr>
        <w:t xml:space="preserve">5.15 </w:t>
      </w:r>
      <w:r>
        <w:rPr>
          <w:rFonts w:hint="eastAsia" w:ascii="宋体" w:hAnsi="宋体" w:cs="宋体"/>
          <w:color w:val="auto"/>
          <w:sz w:val="28"/>
          <w:szCs w:val="28"/>
        </w:rPr>
        <w:t>乙方在合同履行期间应严格执行南方电网有限责任公司相关管理制度及规定，包括《中国南方电网有限责任公司电力事故事件调查规程》、《中国南方电网有限责任公司电力安全工作规程》、</w:t>
      </w:r>
      <w:r>
        <w:rPr>
          <w:rFonts w:hint="eastAsia" w:ascii="宋体" w:hAnsi="宋体" w:cs="宋体"/>
          <w:color w:val="auto"/>
          <w:sz w:val="28"/>
          <w:szCs w:val="28"/>
          <w:highlight w:val="none"/>
        </w:rPr>
        <w:t>《中国南方电网有限责任公司生产项目管理办法》及配套《生产项目承包商管理业务指导书》、《生产项</w:t>
      </w:r>
      <w:r>
        <w:rPr>
          <w:rFonts w:hint="eastAsia" w:ascii="宋体" w:hAnsi="宋体" w:cs="宋体"/>
          <w:color w:val="auto"/>
          <w:sz w:val="28"/>
          <w:szCs w:val="28"/>
        </w:rPr>
        <w:t>目实施过程管理业务指导书》等相关规定和指引，如有违反，乙方自愿按照相关规定，接受南方电网系统内通报批评、评标扣分、等级下调、承包商评价扣分、经济责任追究以及限制一定时期市场禁入等处理。</w:t>
      </w:r>
      <w:r>
        <w:rPr>
          <w:rFonts w:hint="eastAsia" w:ascii="宋体" w:hAnsi="宋体" w:cs="宋体"/>
          <w:color w:val="auto"/>
          <w:kern w:val="0"/>
          <w:sz w:val="28"/>
          <w:szCs w:val="28"/>
        </w:rPr>
        <w:t xml:space="preserve"> </w:t>
      </w:r>
    </w:p>
    <w:p>
      <w:pPr>
        <w:rPr>
          <w:rFonts w:hint="default"/>
          <w:lang w:val="en-US" w:eastAsia="zh-CN"/>
        </w:rPr>
      </w:pPr>
    </w:p>
    <w:p>
      <w:pPr>
        <w:pStyle w:val="2"/>
        <w:rPr>
          <w:rFonts w:hint="default" w:eastAsia="宋体"/>
          <w:lang w:val="en-US" w:eastAsia="zh-CN"/>
        </w:rPr>
      </w:pPr>
    </w:p>
    <w:sectPr>
      <w:headerReference r:id="rId3" w:type="default"/>
      <w:footerReference r:id="rId4" w:type="default"/>
      <w:pgSz w:w="11910" w:h="16840"/>
      <w:pgMar w:top="1420" w:right="1660" w:bottom="580" w:left="1680" w:header="891" w:footer="383"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b w:val="0"/>
        <w:sz w:val="20"/>
      </w:rPr>
    </w:pPr>
    <w:r>
      <mc:AlternateContent>
        <mc:Choice Requires="wps">
          <w:drawing>
            <wp:anchor distT="0" distB="0" distL="114300" distR="114300" simplePos="0" relativeHeight="251660288" behindDoc="1" locked="0" layoutInCell="1" allowOverlap="1">
              <wp:simplePos x="0" y="0"/>
              <wp:positionH relativeFrom="page">
                <wp:posOffset>3671570</wp:posOffset>
              </wp:positionH>
              <wp:positionV relativeFrom="page">
                <wp:posOffset>10257790</wp:posOffset>
              </wp:positionV>
              <wp:extent cx="215900" cy="1905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215900" cy="190500"/>
                      </a:xfrm>
                      <a:prstGeom prst="rect">
                        <a:avLst/>
                      </a:prstGeom>
                      <a:noFill/>
                      <a:ln w="9525">
                        <a:noFill/>
                      </a:ln>
                    </wps:spPr>
                    <wps:txbx>
                      <w:txbxContent>
                        <w:p>
                          <w:pPr>
                            <w:spacing w:before="0" w:line="300" w:lineRule="exact"/>
                            <w:ind w:left="40" w:right="0" w:firstLine="0"/>
                            <w:jc w:val="left"/>
                            <w:rPr>
                              <w:sz w:val="26"/>
                            </w:rPr>
                          </w:pPr>
                          <w:r>
                            <w:fldChar w:fldCharType="begin"/>
                          </w:r>
                          <w:r>
                            <w:rPr>
                              <w:sz w:val="26"/>
                            </w:rPr>
                            <w:instrText xml:space="preserve"> PAGE </w:instrText>
                          </w:r>
                          <w:r>
                            <w:fldChar w:fldCharType="separate"/>
                          </w:r>
                          <w:r>
                            <w:t>80</w:t>
                          </w:r>
                          <w:r>
                            <w:fldChar w:fldCharType="end"/>
                          </w:r>
                        </w:p>
                      </w:txbxContent>
                    </wps:txbx>
                    <wps:bodyPr lIns="0" tIns="0" rIns="0" bIns="0" upright="1"/>
                  </wps:wsp>
                </a:graphicData>
              </a:graphic>
            </wp:anchor>
          </w:drawing>
        </mc:Choice>
        <mc:Fallback>
          <w:pict>
            <v:shape id="文本框 1026" o:spid="_x0000_s1026" o:spt="202" type="#_x0000_t202" style="position:absolute;left:0pt;margin-left:289.1pt;margin-top:807.7pt;height:15pt;width:17pt;mso-position-horizontal-relative:page;mso-position-vertical-relative:page;z-index:-251656192;mso-width-relative:page;mso-height-relative:page;" filled="f" stroked="f" coordsize="21600,21600" o:gfxdata="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YUZabZAAAADQEA&#10;AA8AAAAAAAAAAQAgAAAAIgAAAGRycy9kb3ducmV2LnhtbFBLAQIUABQAAAAIAIdO4kAjsEYcpwEA&#10;AC8DAAAOAAAAAAAAAAEAIAAAACgBAABkcnMvZTJvRG9jLnhtbFBLBQYAAAAABgAGAFkBAABBBQAA&#10;AAA=&#10;">
              <v:fill on="f" focussize="0,0"/>
              <v:stroke on="f"/>
              <v:imagedata o:title=""/>
              <o:lock v:ext="edit" aspectratio="f"/>
              <v:textbox inset="0mm,0mm,0mm,0mm">
                <w:txbxContent>
                  <w:p>
                    <w:pPr>
                      <w:spacing w:before="0" w:line="300" w:lineRule="exact"/>
                      <w:ind w:left="40" w:right="0" w:firstLine="0"/>
                      <w:jc w:val="left"/>
                      <w:rPr>
                        <w:sz w:val="26"/>
                      </w:rPr>
                    </w:pPr>
                    <w:r>
                      <w:fldChar w:fldCharType="begin"/>
                    </w:r>
                    <w:r>
                      <w:rPr>
                        <w:sz w:val="26"/>
                      </w:rPr>
                      <w:instrText xml:space="preserve"> PAGE </w:instrText>
                    </w:r>
                    <w:r>
                      <w:fldChar w:fldCharType="separate"/>
                    </w:r>
                    <w:r>
                      <w:t>80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b w:val="0"/>
        <w:sz w:val="20"/>
      </w:rPr>
    </w:pPr>
    <w:r>
      <mc:AlternateContent>
        <mc:Choice Requires="wps">
          <w:drawing>
            <wp:anchor distT="0" distB="0" distL="114300" distR="114300" simplePos="0" relativeHeight="251659264" behindDoc="1" locked="0" layoutInCell="1" allowOverlap="1">
              <wp:simplePos x="0" y="0"/>
              <wp:positionH relativeFrom="page">
                <wp:posOffset>1143000</wp:posOffset>
              </wp:positionH>
              <wp:positionV relativeFrom="page">
                <wp:posOffset>688340</wp:posOffset>
              </wp:positionV>
              <wp:extent cx="5274310" cy="0"/>
              <wp:effectExtent l="0" t="0" r="0" b="0"/>
              <wp:wrapNone/>
              <wp:docPr id="1" name="直线 1025"/>
              <wp:cNvGraphicFramePr/>
              <a:graphic xmlns:a="http://schemas.openxmlformats.org/drawingml/2006/main">
                <a:graphicData uri="http://schemas.microsoft.com/office/word/2010/wordprocessingShape">
                  <wps:wsp>
                    <wps:cNvCnPr/>
                    <wps:spPr>
                      <a:xfrm>
                        <a:off x="0" y="0"/>
                        <a:ext cx="527431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直线 1025" o:spid="_x0000_s1026" o:spt="20" style="position:absolute;left:0pt;margin-left:90pt;margin-top:54.2pt;height:0pt;width:415.3pt;mso-position-horizontal-relative:page;mso-position-vertical-relative:page;z-index:-251657216;mso-width-relative:page;mso-height-relative:page;" filled="f" stroked="t" coordsize="21600,21600" o:gfxdata="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ZMQZtYAAAAMAQAADwAAAAAAAAABACAAAAAiAAAA&#10;ZHJzL2Rvd25yZXYueG1sUEsBAhQAFAAAAAgAh07iQJDgATbQAQAAkAMAAA4AAAAAAAAAAQAgAAAA&#10;JQEAAGRycy9lMm9Eb2MueG1sUEsFBgAAAAAGAAYAWQEAAGcFAAAAAA==&#10;">
              <v:fill on="f" focussize="0,0"/>
              <v:stroke weight="0.72pt" color="#000000" joinstyle="round"/>
              <v:imagedata o:title=""/>
              <o:lock v:ext="edit" aspectratio="f"/>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C4827"/>
    <w:rsid w:val="09B6263A"/>
    <w:rsid w:val="0B4607E9"/>
    <w:rsid w:val="0BD76C22"/>
    <w:rsid w:val="0D96512D"/>
    <w:rsid w:val="0E486A8A"/>
    <w:rsid w:val="114143DD"/>
    <w:rsid w:val="15181F5A"/>
    <w:rsid w:val="19AC7C6E"/>
    <w:rsid w:val="1A6113D2"/>
    <w:rsid w:val="1B157E34"/>
    <w:rsid w:val="1DBD5033"/>
    <w:rsid w:val="1DC07185"/>
    <w:rsid w:val="20A946D3"/>
    <w:rsid w:val="22F95664"/>
    <w:rsid w:val="23561A42"/>
    <w:rsid w:val="28130ABE"/>
    <w:rsid w:val="28FE0612"/>
    <w:rsid w:val="2A2C2D15"/>
    <w:rsid w:val="2CC038DB"/>
    <w:rsid w:val="31E25563"/>
    <w:rsid w:val="325D7320"/>
    <w:rsid w:val="331F6BE4"/>
    <w:rsid w:val="363C76FE"/>
    <w:rsid w:val="36490098"/>
    <w:rsid w:val="379121D8"/>
    <w:rsid w:val="39344DF5"/>
    <w:rsid w:val="39C721EE"/>
    <w:rsid w:val="3E122D28"/>
    <w:rsid w:val="3EEE37C1"/>
    <w:rsid w:val="4201663D"/>
    <w:rsid w:val="431112EE"/>
    <w:rsid w:val="47591B45"/>
    <w:rsid w:val="4986258B"/>
    <w:rsid w:val="4BA90176"/>
    <w:rsid w:val="51AA6585"/>
    <w:rsid w:val="57935B84"/>
    <w:rsid w:val="59492C10"/>
    <w:rsid w:val="597D76A0"/>
    <w:rsid w:val="5AC9532B"/>
    <w:rsid w:val="5D83710B"/>
    <w:rsid w:val="5E103CA7"/>
    <w:rsid w:val="5E7A42CE"/>
    <w:rsid w:val="603B26DF"/>
    <w:rsid w:val="648E51D6"/>
    <w:rsid w:val="674C1751"/>
    <w:rsid w:val="67E621B2"/>
    <w:rsid w:val="6880492F"/>
    <w:rsid w:val="72C132D3"/>
    <w:rsid w:val="76EB0E3A"/>
    <w:rsid w:val="77CC5C81"/>
    <w:rsid w:val="7DE15754"/>
    <w:rsid w:val="7E8345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5">
    <w:name w:val="Default Paragraph Font"/>
    <w:semiHidden/>
    <w:unhideWhenUsed/>
    <w:qFormat/>
    <w:uiPriority w:val="1"/>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qFormat/>
    <w:uiPriority w:val="1"/>
    <w:rPr>
      <w:rFonts w:ascii="宋体" w:hAnsi="宋体" w:eastAsia="宋体" w:cs="宋体"/>
      <w:b/>
      <w:bCs/>
      <w:sz w:val="24"/>
      <w:szCs w:val="24"/>
      <w:lang w:val="zh-CN" w:eastAsia="zh-CN" w:bidi="zh-CN"/>
    </w:rPr>
  </w:style>
  <w:style w:type="table" w:customStyle="1" w:styleId="6">
    <w:name w:val="Table Normal"/>
    <w:semiHidden/>
    <w:unhideWhenUsed/>
    <w:qFormat/>
    <w:uiPriority w:val="2"/>
    <w:tblPr>
      <w:tblLayout w:type="fixed"/>
      <w:tblCellMar>
        <w:top w:w="0" w:type="dxa"/>
        <w:left w:w="0" w:type="dxa"/>
        <w:bottom w:w="0" w:type="dxa"/>
        <w:right w:w="0" w:type="dxa"/>
      </w:tblCellMar>
    </w:tblPr>
  </w:style>
  <w:style w:type="paragraph" w:styleId="7">
    <w:name w:val="List Paragraph"/>
    <w:basedOn w:val="1"/>
    <w:qFormat/>
    <w:uiPriority w:val="1"/>
    <w:rPr>
      <w:lang w:val="zh-CN" w:eastAsia="zh-CN" w:bidi="zh-CN"/>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ScaleCrop>false</ScaleCrop>
  <LinksUpToDate>false</LinksUpToDate>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2020-04-23T12:01:00Z</dcterms:created>
  <dc:creator>admin5071</dc:creator>
  <cp:lastModifiedBy>张松彦</cp:lastModifiedBy>
  <dcterms:modified xsi:type="dcterms:W3CDTF">2024-03-26T12:12:54Z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LastSaved">
    <vt:filetime>2020-04-23T00:00:00Z</vt:filetime>
  </property>
  <property fmtid="{D5CDD505-2E9C-101B-9397-08002B2CF9AE}" pid="4" name="KSOProductBuildVer">
    <vt:lpwstr>2052-11.8.2.8696</vt:lpwstr>
  </property>
  <property fmtid="{D5CDD505-2E9C-101B-9397-08002B2CF9AE}" pid="5" name="ICV">
    <vt:lpwstr>B149B6598DCF4946A8741BEB49A721F7</vt:lpwstr>
  </property>
</Properties>
</file>