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widowControl/>
        <w:spacing w:before="120" w:after="120"/>
        <w:jc w:val="center"/>
        <w:rPr>
          <w:rFonts w:ascii="宋体" w:hAnsi="宋体"/>
          <w:color w:val="000000"/>
          <w:kern w:val="0"/>
          <w:sz w:val="32"/>
          <w:szCs w:val="32"/>
        </w:rPr>
      </w:pPr>
      <w:r>
        <w:rPr>
          <w:rFonts w:hint="eastAsia" w:ascii="宋体" w:hAnsi="宋体"/>
          <w:color w:val="000000"/>
          <w:kern w:val="0"/>
          <w:sz w:val="32"/>
          <w:szCs w:val="32"/>
        </w:rPr>
        <w:t>技术条件书</w:t>
      </w:r>
    </w:p>
    <w:p>
      <w:pPr>
        <w:pStyle w:val="3"/>
        <w:spacing w:before="0" w:after="0" w:line="413" w:lineRule="auto"/>
        <w:rPr>
          <w:rFonts w:ascii="宋体" w:hAnsi="宋体" w:eastAsia="宋体"/>
          <w:color w:val="000000"/>
          <w:sz w:val="24"/>
          <w:szCs w:val="24"/>
        </w:rPr>
      </w:pPr>
      <w:r>
        <w:rPr>
          <w:rFonts w:hint="eastAsia" w:ascii="宋体" w:hAnsi="宋体" w:eastAsia="宋体"/>
          <w:color w:val="000000"/>
          <w:sz w:val="24"/>
          <w:szCs w:val="24"/>
        </w:rPr>
        <w:t>一、技术（规范）标准</w:t>
      </w:r>
    </w:p>
    <w:p>
      <w:pPr>
        <w:pStyle w:val="4"/>
        <w:spacing w:line="360" w:lineRule="auto"/>
        <w:ind w:firstLine="420" w:firstLineChars="200"/>
        <w:rPr>
          <w:rFonts w:hint="eastAsia"/>
        </w:rPr>
      </w:pPr>
      <w:r>
        <w:rPr>
          <w:rFonts w:hint="eastAsia"/>
          <w:color w:val="000000"/>
          <w:lang w:eastAsia="zh-CN"/>
        </w:rPr>
        <w:t>2023年</w:t>
      </w:r>
      <w:r>
        <w:rPr>
          <w:rFonts w:hint="eastAsia"/>
          <w:color w:val="000000"/>
        </w:rPr>
        <w:t>社会责任实践报告编制应参照</w:t>
      </w:r>
      <w:r>
        <w:rPr>
          <w:rFonts w:hint="eastAsia"/>
        </w:rPr>
        <w:t>国务院国资委《关于中央企业履行社会责任的指导意见》（国资发研究〔</w:t>
      </w:r>
      <w:r>
        <w:t>2008</w:t>
      </w:r>
      <w:r>
        <w:rPr>
          <w:rFonts w:hint="eastAsia"/>
        </w:rPr>
        <w:t>〕</w:t>
      </w:r>
      <w:r>
        <w:t>1</w:t>
      </w:r>
      <w:r>
        <w:rPr>
          <w:rFonts w:hint="eastAsia"/>
        </w:rPr>
        <w:t>号）、全球可持续发展标准委员会《GRI 可持续发展报告标准》（GRI Standards）、社会责任报告编写指南（</w:t>
      </w:r>
      <w:r>
        <w:t>GB/T 36001-2015</w:t>
      </w:r>
      <w:r>
        <w:rPr>
          <w:rFonts w:hint="eastAsia"/>
        </w:rPr>
        <w:t xml:space="preserve">）、中国社会科学院《中国企业履行社会责任的指导意见》（CASS-CSR </w:t>
      </w:r>
      <w:r>
        <w:rPr>
          <w:rFonts w:hint="eastAsia"/>
          <w:lang w:val="en-US" w:eastAsia="zh-CN"/>
        </w:rPr>
        <w:t>4</w:t>
      </w:r>
      <w:r>
        <w:rPr>
          <w:rFonts w:hint="eastAsia"/>
        </w:rPr>
        <w:t>.0）</w:t>
      </w:r>
      <w:r>
        <w:rPr>
          <w:rFonts w:hint="eastAsia"/>
          <w:lang w:eastAsia="zh-CN"/>
        </w:rPr>
        <w:t>、</w:t>
      </w:r>
      <w:r>
        <w:rPr>
          <w:rFonts w:hint="eastAsia"/>
        </w:rPr>
        <w:t>南方电网公司社会责任指标体系（CSG-CSR 2.0）等国际和国内通用流行的社会责任标准等所编制。</w:t>
      </w:r>
    </w:p>
    <w:p>
      <w:pPr>
        <w:pStyle w:val="4"/>
        <w:rPr>
          <w:color w:val="000000"/>
        </w:rPr>
      </w:pPr>
    </w:p>
    <w:p>
      <w:pPr>
        <w:pStyle w:val="3"/>
        <w:spacing w:before="0" w:after="0" w:line="413" w:lineRule="auto"/>
        <w:rPr>
          <w:rFonts w:ascii="宋体" w:hAnsi="宋体" w:eastAsia="宋体"/>
          <w:color w:val="000000"/>
          <w:sz w:val="24"/>
          <w:szCs w:val="24"/>
        </w:rPr>
      </w:pPr>
      <w:r>
        <w:rPr>
          <w:rFonts w:hint="eastAsia" w:ascii="宋体" w:hAnsi="宋体" w:eastAsia="宋体"/>
          <w:color w:val="000000"/>
          <w:sz w:val="24"/>
          <w:szCs w:val="24"/>
        </w:rPr>
        <w:t>二、具体技术要求（如有）</w:t>
      </w:r>
    </w:p>
    <w:p>
      <w:pPr>
        <w:pStyle w:val="4"/>
        <w:spacing w:line="360" w:lineRule="auto"/>
        <w:ind w:firstLine="420" w:firstLineChars="200"/>
        <w:rPr>
          <w:color w:val="000000"/>
        </w:rPr>
      </w:pPr>
      <w:r>
        <w:rPr>
          <w:rFonts w:hint="eastAsia"/>
          <w:color w:val="000000"/>
        </w:rPr>
        <w:t>报告整体应达到中国社会科学院《中国企业履行社会责任的指导意见》（</w:t>
      </w:r>
      <w:r>
        <w:rPr>
          <w:rFonts w:hint="eastAsia"/>
          <w:color w:val="000000"/>
          <w:lang w:eastAsia="zh-CN"/>
        </w:rPr>
        <w:t>CASS-CSR 4.0</w:t>
      </w:r>
      <w:r>
        <w:rPr>
          <w:rFonts w:hint="eastAsia"/>
          <w:color w:val="000000"/>
        </w:rPr>
        <w:t xml:space="preserve">）星级报告的要求，根据CASS-CSR </w:t>
      </w:r>
      <w:r>
        <w:rPr>
          <w:rFonts w:hint="eastAsia"/>
          <w:color w:val="000000"/>
          <w:lang w:val="en-US" w:eastAsia="zh-CN"/>
        </w:rPr>
        <w:t>4</w:t>
      </w:r>
      <w:r>
        <w:rPr>
          <w:rFonts w:hint="eastAsia"/>
          <w:color w:val="000000"/>
        </w:rPr>
        <w:t>.0报告评价标准，报告具体应在以下七个方面达到的要求如下：</w:t>
      </w:r>
    </w:p>
    <w:p>
      <w:pPr>
        <w:pStyle w:val="4"/>
        <w:spacing w:line="360" w:lineRule="auto"/>
        <w:ind w:firstLine="420" w:firstLineChars="200"/>
        <w:rPr>
          <w:color w:val="000000"/>
        </w:rPr>
      </w:pPr>
      <w:r>
        <w:rPr>
          <w:rFonts w:hint="eastAsia"/>
          <w:color w:val="000000"/>
        </w:rPr>
        <w:t>⑴完整性</w:t>
      </w:r>
    </w:p>
    <w:p>
      <w:pPr>
        <w:pStyle w:val="4"/>
        <w:spacing w:line="360" w:lineRule="auto"/>
        <w:ind w:firstLine="420" w:firstLineChars="200"/>
        <w:rPr>
          <w:color w:val="000000"/>
        </w:rPr>
      </w:pPr>
      <w:r>
        <w:rPr>
          <w:rFonts w:hint="eastAsia"/>
          <w:color w:val="000000"/>
        </w:rPr>
        <w:t>报告议题的披露应涵盖经济、环境、社会领域的责任议题及行业所特有的议题，使利益相关方可评价机构在报告期间的表现。报告指标的披露，按照</w:t>
      </w:r>
      <w:r>
        <w:rPr>
          <w:rFonts w:hint="eastAsia"/>
          <w:color w:val="000000"/>
          <w:lang w:eastAsia="zh-CN"/>
        </w:rPr>
        <w:t>CASS-CSR 4.0</w:t>
      </w:r>
      <w:r>
        <w:rPr>
          <w:rFonts w:hint="eastAsia"/>
          <w:color w:val="000000"/>
        </w:rPr>
        <w:t>的要求，指标应包括</w:t>
      </w:r>
      <w:r>
        <w:rPr>
          <w:color w:val="000000"/>
        </w:rPr>
        <w:t>6</w:t>
      </w:r>
      <w:r>
        <w:rPr>
          <w:rFonts w:hint="eastAsia"/>
          <w:color w:val="000000"/>
        </w:rPr>
        <w:t>大部分：报告前言、责任管理、经济绩效、社会绩效、环境绩效和报告后记。每一部分对照</w:t>
      </w:r>
      <w:r>
        <w:rPr>
          <w:rFonts w:hint="eastAsia"/>
          <w:color w:val="000000"/>
          <w:lang w:eastAsia="zh-CN"/>
        </w:rPr>
        <w:t>CASS-CSR 4.0</w:t>
      </w:r>
      <w:r>
        <w:rPr>
          <w:rFonts w:hint="eastAsia"/>
          <w:color w:val="000000"/>
        </w:rPr>
        <w:t>的指标列表，确保核心指标披露的完整性。</w:t>
      </w:r>
    </w:p>
    <w:p>
      <w:pPr>
        <w:pStyle w:val="4"/>
        <w:spacing w:line="360" w:lineRule="auto"/>
        <w:ind w:firstLine="420" w:firstLineChars="200"/>
        <w:rPr>
          <w:color w:val="000000"/>
        </w:rPr>
      </w:pPr>
      <w:r>
        <w:rPr>
          <w:rFonts w:hint="eastAsia"/>
          <w:color w:val="000000"/>
        </w:rPr>
        <w:t>⑵实质性</w:t>
      </w:r>
    </w:p>
    <w:p>
      <w:pPr>
        <w:pStyle w:val="4"/>
        <w:spacing w:line="360" w:lineRule="auto"/>
        <w:ind w:firstLine="420" w:firstLineChars="200"/>
        <w:rPr>
          <w:color w:val="000000"/>
        </w:rPr>
      </w:pPr>
      <w:r>
        <w:rPr>
          <w:rFonts w:hint="eastAsia"/>
          <w:color w:val="000000"/>
        </w:rPr>
        <w:t>实质性是衡量报告价值的重要标尺。报告内容的披露应企业运营活动最为相关、对利益相关方具有重大或影响、具有不可替代性作用的关键议题，且叙述详细、论证充分，使利益相关方通过报告能获得他们想要关注的重要信息，了解到公司的行动和表现。比如客户关心的安全可靠供电、用电服务等议题，员工关心的保障员工权益、员工发展、员工关爱等方面的议题。报告可通过专门的利益相关方议题实质性调查的方式确定实质性议题，也可通过同行报告对标、媒体关注、利益相关方日常的沟通交流等方式，来确定实质性议题。</w:t>
      </w:r>
    </w:p>
    <w:p>
      <w:pPr>
        <w:pStyle w:val="4"/>
        <w:spacing w:line="360" w:lineRule="auto"/>
        <w:ind w:firstLine="420" w:firstLineChars="200"/>
        <w:rPr>
          <w:color w:val="000000"/>
        </w:rPr>
      </w:pPr>
      <w:r>
        <w:rPr>
          <w:rFonts w:hint="eastAsia"/>
          <w:color w:val="000000"/>
        </w:rPr>
        <w:t>⑶平衡性</w:t>
      </w:r>
    </w:p>
    <w:p>
      <w:pPr>
        <w:pStyle w:val="4"/>
        <w:spacing w:line="360" w:lineRule="auto"/>
        <w:ind w:firstLine="420" w:firstLineChars="200"/>
        <w:rPr>
          <w:color w:val="000000"/>
        </w:rPr>
      </w:pPr>
      <w:r>
        <w:rPr>
          <w:rFonts w:hint="eastAsia"/>
          <w:color w:val="000000"/>
        </w:rPr>
        <w:t>社会责任报告应中肯、客观地披露公司在报告期内的正面信息和负面信息，要避免在编制报告的过程中对企业的经济、社会、环境消极影响或损害的故意性遗漏，以确保利益相关方可以对企业的整体业绩进行正确的评价。如在报告时间范围内，公司发生了对利益相关方有较大影响的负面事件，报告不应回避，而应客观地披露事件的原因、造成的后果及公司的改进措施和计划。</w:t>
      </w:r>
    </w:p>
    <w:p>
      <w:pPr>
        <w:pStyle w:val="4"/>
        <w:spacing w:line="360" w:lineRule="auto"/>
        <w:ind w:firstLine="420" w:firstLineChars="200"/>
        <w:rPr>
          <w:color w:val="000000"/>
        </w:rPr>
      </w:pPr>
      <w:r>
        <w:rPr>
          <w:rFonts w:hint="eastAsia"/>
          <w:color w:val="000000"/>
        </w:rPr>
        <w:t>⑷可比性</w:t>
      </w:r>
    </w:p>
    <w:p>
      <w:pPr>
        <w:pStyle w:val="4"/>
        <w:spacing w:line="360" w:lineRule="auto"/>
        <w:ind w:firstLine="420" w:firstLineChars="200"/>
        <w:rPr>
          <w:color w:val="000000"/>
        </w:rPr>
      </w:pPr>
      <w:r>
        <w:rPr>
          <w:rFonts w:hint="eastAsia"/>
          <w:color w:val="000000"/>
        </w:rPr>
        <w:t>报告列示信息的方法应可让利益相关方分析公司绩效的长期变化，并与其他机构进行比较分析。尤其是关键绩效指标，通过与行业横向对标和与公司过去纵向对标的详细披露，利益相关方就可直观地了解到企业的表现。比如售电量、资产总额、利税总额等关键绩效数据都应披露公司与过去的纵向对比情况。</w:t>
      </w:r>
    </w:p>
    <w:p>
      <w:pPr>
        <w:pStyle w:val="4"/>
        <w:spacing w:line="360" w:lineRule="auto"/>
        <w:ind w:firstLine="420" w:firstLineChars="200"/>
        <w:rPr>
          <w:color w:val="000000"/>
        </w:rPr>
      </w:pPr>
      <w:r>
        <w:rPr>
          <w:rFonts w:hint="eastAsia"/>
          <w:color w:val="000000"/>
        </w:rPr>
        <w:t>⑸可读性</w:t>
      </w:r>
    </w:p>
    <w:p>
      <w:pPr>
        <w:pStyle w:val="4"/>
        <w:spacing w:line="360" w:lineRule="auto"/>
        <w:ind w:firstLine="420" w:firstLineChars="200"/>
        <w:rPr>
          <w:color w:val="000000"/>
        </w:rPr>
      </w:pPr>
      <w:r>
        <w:rPr>
          <w:rFonts w:hint="eastAsia"/>
          <w:color w:val="000000"/>
        </w:rPr>
        <w:t>报告的信息披露方式应易于读者理解和接受，体现在以下方面：结构清晰，条理清楚；语言流畅、简洁、通俗易懂；通过流程图、数据表、图片等使表达形式更加直观；对术语、缩略词等专业词汇做出解释；方便阅读和美观的排版设计等。总体目标是使信息便于利益相关方理解，并且容易获取。</w:t>
      </w:r>
    </w:p>
    <w:p>
      <w:pPr>
        <w:pStyle w:val="4"/>
        <w:spacing w:line="360" w:lineRule="auto"/>
        <w:ind w:firstLine="420" w:firstLineChars="200"/>
        <w:rPr>
          <w:color w:val="000000"/>
        </w:rPr>
      </w:pPr>
      <w:r>
        <w:rPr>
          <w:rFonts w:hint="eastAsia"/>
          <w:color w:val="000000"/>
        </w:rPr>
        <w:t>⑹创新性</w:t>
      </w:r>
    </w:p>
    <w:p>
      <w:pPr>
        <w:pStyle w:val="4"/>
        <w:spacing w:line="360" w:lineRule="auto"/>
        <w:ind w:firstLine="420" w:firstLineChars="200"/>
        <w:rPr>
          <w:color w:val="000000"/>
        </w:rPr>
      </w:pPr>
      <w:r>
        <w:rPr>
          <w:rFonts w:hint="eastAsia"/>
          <w:color w:val="000000"/>
        </w:rPr>
        <w:t>报告应结合行业特点、公司年度重点工作等，进行适度的创新，包括：报告框架、报告内容、报告语言、报告展现方式、报告编制过程等方面的创新。报告框架应在延续南方电网公司的框架结构，即报告核心内容遵从电力供应、绿色环保、经济绩效、社会和谐的框架的基础上，其他部分进行适度的创新。</w:t>
      </w:r>
    </w:p>
    <w:p>
      <w:pPr>
        <w:pStyle w:val="4"/>
        <w:spacing w:line="360" w:lineRule="auto"/>
        <w:ind w:firstLine="420" w:firstLineChars="200"/>
        <w:rPr>
          <w:color w:val="000000"/>
        </w:rPr>
      </w:pPr>
      <w:r>
        <w:rPr>
          <w:rFonts w:hint="eastAsia"/>
          <w:color w:val="000000"/>
        </w:rPr>
        <w:t>⑺过程性</w:t>
      </w:r>
    </w:p>
    <w:p>
      <w:pPr>
        <w:pStyle w:val="4"/>
        <w:spacing w:line="360" w:lineRule="auto"/>
        <w:ind w:firstLine="420" w:firstLineChars="200"/>
        <w:rPr>
          <w:color w:val="000000"/>
        </w:rPr>
      </w:pPr>
      <w:r>
        <w:rPr>
          <w:rFonts w:hint="eastAsia"/>
          <w:color w:val="000000"/>
        </w:rPr>
        <w:t>这是</w:t>
      </w:r>
      <w:r>
        <w:rPr>
          <w:rFonts w:hint="eastAsia"/>
          <w:color w:val="000000"/>
          <w:lang w:eastAsia="zh-CN"/>
        </w:rPr>
        <w:t>CASS-CSR 4.0</w:t>
      </w:r>
      <w:r>
        <w:rPr>
          <w:rFonts w:hint="eastAsia"/>
          <w:color w:val="000000"/>
        </w:rPr>
        <w:t>新增的一个评价标准。要求公司在社会责任报告编写和使用的全过程中对报告进行全方位的价值管理，充分发挥报告在利益相关方沟通、公司社会责任绩效监控的作用，将报告作为提升公司社会责任管理水平的有效工具。社会责任报告全生命周期管理涉及组织、参与、界定、启动、撰写、发布和反馈</w:t>
      </w:r>
      <w:r>
        <w:rPr>
          <w:color w:val="000000"/>
        </w:rPr>
        <w:t>7</w:t>
      </w:r>
      <w:r>
        <w:rPr>
          <w:rFonts w:hint="eastAsia"/>
          <w:color w:val="000000"/>
        </w:rPr>
        <w:t>个过程要素。</w:t>
      </w:r>
    </w:p>
    <w:p>
      <w:pPr>
        <w:pStyle w:val="4"/>
        <w:spacing w:line="360" w:lineRule="auto"/>
        <w:ind w:firstLine="420" w:firstLineChars="200"/>
        <w:rPr>
          <w:color w:val="000000"/>
        </w:rPr>
      </w:pPr>
      <w:r>
        <w:rPr>
          <w:rFonts w:hint="eastAsia"/>
          <w:color w:val="000000"/>
        </w:rPr>
        <w:t>报告应在7个环节上，严格按照</w:t>
      </w:r>
      <w:r>
        <w:rPr>
          <w:rFonts w:hint="eastAsia"/>
          <w:color w:val="000000"/>
          <w:lang w:eastAsia="zh-CN"/>
        </w:rPr>
        <w:t>CASS-CSR 4.0</w:t>
      </w:r>
      <w:r>
        <w:rPr>
          <w:rFonts w:hint="eastAsia"/>
          <w:color w:val="000000"/>
        </w:rPr>
        <w:t>的相关要求，促进报告编制整个过程的规范化，并对过程信息进行记录，以便报告的过程性评价。</w:t>
      </w:r>
    </w:p>
    <w:p>
      <w:pPr>
        <w:pStyle w:val="4"/>
        <w:spacing w:line="360" w:lineRule="auto"/>
        <w:ind w:firstLine="420" w:firstLineChars="200"/>
        <w:rPr>
          <w:color w:val="000000"/>
        </w:rPr>
      </w:pPr>
      <w:r>
        <w:rPr>
          <w:rFonts w:hint="eastAsia"/>
          <w:color w:val="000000"/>
        </w:rPr>
        <w:t>项目应符合国务院国资委《关于中央企业履行社会责任的指导意见》、中国社科院《中国企业社会责任报告编写指南》（CASS-CSR</w:t>
      </w:r>
      <w:r>
        <w:rPr>
          <w:rFonts w:hint="eastAsia"/>
          <w:color w:val="000000"/>
          <w:lang w:val="en-US" w:eastAsia="zh-CN"/>
        </w:rPr>
        <w:t xml:space="preserve"> 4</w:t>
      </w:r>
      <w:r>
        <w:rPr>
          <w:rFonts w:hint="eastAsia"/>
          <w:color w:val="000000"/>
        </w:rPr>
        <w:t>.0）、</w:t>
      </w:r>
      <w:r>
        <w:rPr>
          <w:rFonts w:hint="eastAsia"/>
        </w:rPr>
        <w:t>全球可持续发展标准委员会《GRI 可持续发展报告标准》</w:t>
      </w:r>
      <w:r>
        <w:rPr>
          <w:rFonts w:hint="eastAsia"/>
          <w:color w:val="000000"/>
        </w:rPr>
        <w:t>的有关要求，并在20</w:t>
      </w:r>
      <w:r>
        <w:rPr>
          <w:rFonts w:hint="eastAsia"/>
          <w:color w:val="000000"/>
          <w:lang w:val="en-US" w:eastAsia="zh-CN"/>
        </w:rPr>
        <w:t>22</w:t>
      </w:r>
      <w:bookmarkStart w:id="0" w:name="_GoBack"/>
      <w:bookmarkEnd w:id="0"/>
      <w:r>
        <w:rPr>
          <w:rFonts w:hint="eastAsia"/>
          <w:color w:val="000000"/>
        </w:rPr>
        <w:t>年报告的基础上有所创新，展现公司责任形象。</w:t>
      </w:r>
    </w:p>
    <w:p>
      <w:pPr>
        <w:pStyle w:val="4"/>
        <w:spacing w:line="360" w:lineRule="auto"/>
        <w:ind w:firstLine="420" w:firstLineChars="200"/>
        <w:rPr>
          <w:color w:val="00000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C87"/>
    <w:rsid w:val="000016C1"/>
    <w:rsid w:val="000117E2"/>
    <w:rsid w:val="00011BCA"/>
    <w:rsid w:val="0001261E"/>
    <w:rsid w:val="00014FD5"/>
    <w:rsid w:val="00015118"/>
    <w:rsid w:val="0001712F"/>
    <w:rsid w:val="000236D6"/>
    <w:rsid w:val="000261C4"/>
    <w:rsid w:val="000306FC"/>
    <w:rsid w:val="000307FD"/>
    <w:rsid w:val="00030C21"/>
    <w:rsid w:val="00035F20"/>
    <w:rsid w:val="000402F6"/>
    <w:rsid w:val="00040B3B"/>
    <w:rsid w:val="000412C3"/>
    <w:rsid w:val="000427A6"/>
    <w:rsid w:val="00050D79"/>
    <w:rsid w:val="00051839"/>
    <w:rsid w:val="0005317B"/>
    <w:rsid w:val="00053A23"/>
    <w:rsid w:val="000621AF"/>
    <w:rsid w:val="00064765"/>
    <w:rsid w:val="000708A8"/>
    <w:rsid w:val="0007666D"/>
    <w:rsid w:val="00077F82"/>
    <w:rsid w:val="00080382"/>
    <w:rsid w:val="00080EAD"/>
    <w:rsid w:val="00081061"/>
    <w:rsid w:val="000813F4"/>
    <w:rsid w:val="0008209D"/>
    <w:rsid w:val="0008297D"/>
    <w:rsid w:val="00083F1F"/>
    <w:rsid w:val="00084C53"/>
    <w:rsid w:val="00090BF7"/>
    <w:rsid w:val="0009185E"/>
    <w:rsid w:val="00094F11"/>
    <w:rsid w:val="000951D9"/>
    <w:rsid w:val="00095D8D"/>
    <w:rsid w:val="0009694C"/>
    <w:rsid w:val="00097259"/>
    <w:rsid w:val="00097DBD"/>
    <w:rsid w:val="000A36F8"/>
    <w:rsid w:val="000A5515"/>
    <w:rsid w:val="000A68F9"/>
    <w:rsid w:val="000A6B53"/>
    <w:rsid w:val="000B5586"/>
    <w:rsid w:val="000C0DB7"/>
    <w:rsid w:val="000C1D57"/>
    <w:rsid w:val="000C3CC0"/>
    <w:rsid w:val="000C50F4"/>
    <w:rsid w:val="000C7C39"/>
    <w:rsid w:val="000D0C61"/>
    <w:rsid w:val="000D58C5"/>
    <w:rsid w:val="000E2FEC"/>
    <w:rsid w:val="000E7BDD"/>
    <w:rsid w:val="000F218E"/>
    <w:rsid w:val="00100D0E"/>
    <w:rsid w:val="00101023"/>
    <w:rsid w:val="00101036"/>
    <w:rsid w:val="00102354"/>
    <w:rsid w:val="001044AA"/>
    <w:rsid w:val="00106366"/>
    <w:rsid w:val="00116199"/>
    <w:rsid w:val="00121A72"/>
    <w:rsid w:val="00122A05"/>
    <w:rsid w:val="0012680F"/>
    <w:rsid w:val="00127D59"/>
    <w:rsid w:val="00132BA4"/>
    <w:rsid w:val="0013518F"/>
    <w:rsid w:val="00137374"/>
    <w:rsid w:val="0014405B"/>
    <w:rsid w:val="001447E4"/>
    <w:rsid w:val="001470DE"/>
    <w:rsid w:val="001479B2"/>
    <w:rsid w:val="00150B8F"/>
    <w:rsid w:val="00155C17"/>
    <w:rsid w:val="00156EE0"/>
    <w:rsid w:val="0016052C"/>
    <w:rsid w:val="001625EC"/>
    <w:rsid w:val="00164EE1"/>
    <w:rsid w:val="0016597E"/>
    <w:rsid w:val="00173287"/>
    <w:rsid w:val="0017464B"/>
    <w:rsid w:val="00181568"/>
    <w:rsid w:val="001845CF"/>
    <w:rsid w:val="00192339"/>
    <w:rsid w:val="001938EE"/>
    <w:rsid w:val="001940EE"/>
    <w:rsid w:val="00194501"/>
    <w:rsid w:val="001969A5"/>
    <w:rsid w:val="001A05B2"/>
    <w:rsid w:val="001A16DC"/>
    <w:rsid w:val="001A2AE0"/>
    <w:rsid w:val="001A3146"/>
    <w:rsid w:val="001A5203"/>
    <w:rsid w:val="001A7729"/>
    <w:rsid w:val="001B1868"/>
    <w:rsid w:val="001B67C0"/>
    <w:rsid w:val="001B6CCA"/>
    <w:rsid w:val="001B7F7B"/>
    <w:rsid w:val="001C31E5"/>
    <w:rsid w:val="001C44C4"/>
    <w:rsid w:val="001C6B5D"/>
    <w:rsid w:val="001D0C99"/>
    <w:rsid w:val="001D37DF"/>
    <w:rsid w:val="001D4981"/>
    <w:rsid w:val="001E1D84"/>
    <w:rsid w:val="001E4089"/>
    <w:rsid w:val="001E6132"/>
    <w:rsid w:val="001F0D89"/>
    <w:rsid w:val="001F51A3"/>
    <w:rsid w:val="001F5C08"/>
    <w:rsid w:val="00201F7E"/>
    <w:rsid w:val="00203BB9"/>
    <w:rsid w:val="002048CA"/>
    <w:rsid w:val="00210649"/>
    <w:rsid w:val="00210D28"/>
    <w:rsid w:val="00211DE4"/>
    <w:rsid w:val="00213252"/>
    <w:rsid w:val="002144CD"/>
    <w:rsid w:val="00216CE9"/>
    <w:rsid w:val="00221466"/>
    <w:rsid w:val="00236F8C"/>
    <w:rsid w:val="002376AC"/>
    <w:rsid w:val="00241220"/>
    <w:rsid w:val="00242BB6"/>
    <w:rsid w:val="00244309"/>
    <w:rsid w:val="0025271A"/>
    <w:rsid w:val="00254352"/>
    <w:rsid w:val="00256799"/>
    <w:rsid w:val="0025683C"/>
    <w:rsid w:val="00260B79"/>
    <w:rsid w:val="00265BB0"/>
    <w:rsid w:val="00267DAF"/>
    <w:rsid w:val="0027085E"/>
    <w:rsid w:val="002743B7"/>
    <w:rsid w:val="00274834"/>
    <w:rsid w:val="002751B6"/>
    <w:rsid w:val="002755B0"/>
    <w:rsid w:val="002758D2"/>
    <w:rsid w:val="00275AB0"/>
    <w:rsid w:val="00276907"/>
    <w:rsid w:val="002815D3"/>
    <w:rsid w:val="002819BE"/>
    <w:rsid w:val="00281A7F"/>
    <w:rsid w:val="00282EB3"/>
    <w:rsid w:val="002849A0"/>
    <w:rsid w:val="00290E60"/>
    <w:rsid w:val="002911F3"/>
    <w:rsid w:val="00296FEE"/>
    <w:rsid w:val="00297CC2"/>
    <w:rsid w:val="002A138C"/>
    <w:rsid w:val="002A5FC2"/>
    <w:rsid w:val="002A7639"/>
    <w:rsid w:val="002A7932"/>
    <w:rsid w:val="002B0F92"/>
    <w:rsid w:val="002B22D5"/>
    <w:rsid w:val="002B3D68"/>
    <w:rsid w:val="002B403F"/>
    <w:rsid w:val="002B74B4"/>
    <w:rsid w:val="002C2156"/>
    <w:rsid w:val="002C3680"/>
    <w:rsid w:val="002C613A"/>
    <w:rsid w:val="002C7D45"/>
    <w:rsid w:val="002D6E2B"/>
    <w:rsid w:val="002E11BD"/>
    <w:rsid w:val="002F1129"/>
    <w:rsid w:val="002F2AB6"/>
    <w:rsid w:val="002F410A"/>
    <w:rsid w:val="002F43D5"/>
    <w:rsid w:val="002F6BA9"/>
    <w:rsid w:val="002F7AD9"/>
    <w:rsid w:val="0030184A"/>
    <w:rsid w:val="00301EDD"/>
    <w:rsid w:val="0030592E"/>
    <w:rsid w:val="00306042"/>
    <w:rsid w:val="003068E2"/>
    <w:rsid w:val="00307F87"/>
    <w:rsid w:val="00310D00"/>
    <w:rsid w:val="00310D9E"/>
    <w:rsid w:val="00313A74"/>
    <w:rsid w:val="0031411C"/>
    <w:rsid w:val="003260E7"/>
    <w:rsid w:val="00327DEA"/>
    <w:rsid w:val="003312D9"/>
    <w:rsid w:val="0033175B"/>
    <w:rsid w:val="00333626"/>
    <w:rsid w:val="00335D88"/>
    <w:rsid w:val="00336BAC"/>
    <w:rsid w:val="003370B0"/>
    <w:rsid w:val="003417A1"/>
    <w:rsid w:val="00341CF5"/>
    <w:rsid w:val="00345139"/>
    <w:rsid w:val="00347B02"/>
    <w:rsid w:val="00351584"/>
    <w:rsid w:val="00351FB1"/>
    <w:rsid w:val="00354604"/>
    <w:rsid w:val="00355803"/>
    <w:rsid w:val="00355E65"/>
    <w:rsid w:val="0035602D"/>
    <w:rsid w:val="00357F85"/>
    <w:rsid w:val="00361037"/>
    <w:rsid w:val="003638C4"/>
    <w:rsid w:val="0036582D"/>
    <w:rsid w:val="0036648A"/>
    <w:rsid w:val="00371A59"/>
    <w:rsid w:val="00380DAD"/>
    <w:rsid w:val="0038373B"/>
    <w:rsid w:val="00385DF0"/>
    <w:rsid w:val="003872A6"/>
    <w:rsid w:val="00391026"/>
    <w:rsid w:val="003915E5"/>
    <w:rsid w:val="003915F3"/>
    <w:rsid w:val="00392571"/>
    <w:rsid w:val="003A0E8E"/>
    <w:rsid w:val="003A4808"/>
    <w:rsid w:val="003A5BFF"/>
    <w:rsid w:val="003A73A0"/>
    <w:rsid w:val="003B51C6"/>
    <w:rsid w:val="003B5DAB"/>
    <w:rsid w:val="003B7362"/>
    <w:rsid w:val="003C348E"/>
    <w:rsid w:val="003C3AD8"/>
    <w:rsid w:val="003D1ED5"/>
    <w:rsid w:val="003D2ABE"/>
    <w:rsid w:val="003D4CF7"/>
    <w:rsid w:val="003D5BA1"/>
    <w:rsid w:val="003E2205"/>
    <w:rsid w:val="003E3EF7"/>
    <w:rsid w:val="003E4C6B"/>
    <w:rsid w:val="003E4DBC"/>
    <w:rsid w:val="003E5E70"/>
    <w:rsid w:val="003F12A8"/>
    <w:rsid w:val="003F1C0B"/>
    <w:rsid w:val="003F6CB4"/>
    <w:rsid w:val="00400A33"/>
    <w:rsid w:val="0040691F"/>
    <w:rsid w:val="00410567"/>
    <w:rsid w:val="0041592A"/>
    <w:rsid w:val="004169F8"/>
    <w:rsid w:val="00417CF0"/>
    <w:rsid w:val="00422540"/>
    <w:rsid w:val="004229E1"/>
    <w:rsid w:val="00422A74"/>
    <w:rsid w:val="00423DBB"/>
    <w:rsid w:val="0043382A"/>
    <w:rsid w:val="004342E8"/>
    <w:rsid w:val="00437F7D"/>
    <w:rsid w:val="00441196"/>
    <w:rsid w:val="00441B1A"/>
    <w:rsid w:val="004428C3"/>
    <w:rsid w:val="00442906"/>
    <w:rsid w:val="00443215"/>
    <w:rsid w:val="004441E5"/>
    <w:rsid w:val="00444CB3"/>
    <w:rsid w:val="004465B2"/>
    <w:rsid w:val="00451E83"/>
    <w:rsid w:val="00462449"/>
    <w:rsid w:val="0046424D"/>
    <w:rsid w:val="004648EA"/>
    <w:rsid w:val="00464D75"/>
    <w:rsid w:val="004660CB"/>
    <w:rsid w:val="004670EA"/>
    <w:rsid w:val="004717E4"/>
    <w:rsid w:val="00471AEF"/>
    <w:rsid w:val="0047488A"/>
    <w:rsid w:val="0048023A"/>
    <w:rsid w:val="00481BC5"/>
    <w:rsid w:val="00482F4E"/>
    <w:rsid w:val="00485474"/>
    <w:rsid w:val="00485493"/>
    <w:rsid w:val="004910C3"/>
    <w:rsid w:val="004925A0"/>
    <w:rsid w:val="004A09F6"/>
    <w:rsid w:val="004A391D"/>
    <w:rsid w:val="004A4722"/>
    <w:rsid w:val="004A4C18"/>
    <w:rsid w:val="004A7A86"/>
    <w:rsid w:val="004B45B0"/>
    <w:rsid w:val="004B4C24"/>
    <w:rsid w:val="004B6132"/>
    <w:rsid w:val="004B7027"/>
    <w:rsid w:val="004C1DE2"/>
    <w:rsid w:val="004C1EA6"/>
    <w:rsid w:val="004C23E4"/>
    <w:rsid w:val="004C26CF"/>
    <w:rsid w:val="004C2FB7"/>
    <w:rsid w:val="004C44B9"/>
    <w:rsid w:val="004C4A0E"/>
    <w:rsid w:val="004C63CD"/>
    <w:rsid w:val="004D19CB"/>
    <w:rsid w:val="004D236B"/>
    <w:rsid w:val="004D2508"/>
    <w:rsid w:val="004D6657"/>
    <w:rsid w:val="004D77BE"/>
    <w:rsid w:val="004E037C"/>
    <w:rsid w:val="004E1A53"/>
    <w:rsid w:val="004E2F59"/>
    <w:rsid w:val="004E45F4"/>
    <w:rsid w:val="004E526E"/>
    <w:rsid w:val="004E7234"/>
    <w:rsid w:val="004F024E"/>
    <w:rsid w:val="004F1EC2"/>
    <w:rsid w:val="004F4208"/>
    <w:rsid w:val="004F59B7"/>
    <w:rsid w:val="00500A4D"/>
    <w:rsid w:val="0050129D"/>
    <w:rsid w:val="00501E38"/>
    <w:rsid w:val="00502F28"/>
    <w:rsid w:val="00503CEE"/>
    <w:rsid w:val="00503DF1"/>
    <w:rsid w:val="00504315"/>
    <w:rsid w:val="00504CCD"/>
    <w:rsid w:val="0051007C"/>
    <w:rsid w:val="00517C47"/>
    <w:rsid w:val="005211F5"/>
    <w:rsid w:val="0052133D"/>
    <w:rsid w:val="00521C85"/>
    <w:rsid w:val="00522B04"/>
    <w:rsid w:val="00524640"/>
    <w:rsid w:val="00524AB5"/>
    <w:rsid w:val="00530D1D"/>
    <w:rsid w:val="00534AC8"/>
    <w:rsid w:val="00537165"/>
    <w:rsid w:val="00540684"/>
    <w:rsid w:val="00542777"/>
    <w:rsid w:val="005448E2"/>
    <w:rsid w:val="0054514E"/>
    <w:rsid w:val="005459DC"/>
    <w:rsid w:val="00546ACD"/>
    <w:rsid w:val="005515AF"/>
    <w:rsid w:val="00557F8F"/>
    <w:rsid w:val="00561F8B"/>
    <w:rsid w:val="005636B7"/>
    <w:rsid w:val="00563CAE"/>
    <w:rsid w:val="005646C9"/>
    <w:rsid w:val="00570958"/>
    <w:rsid w:val="00570E55"/>
    <w:rsid w:val="00574280"/>
    <w:rsid w:val="005754BF"/>
    <w:rsid w:val="00581BA7"/>
    <w:rsid w:val="00584255"/>
    <w:rsid w:val="00585609"/>
    <w:rsid w:val="00590BFC"/>
    <w:rsid w:val="005A0554"/>
    <w:rsid w:val="005A3881"/>
    <w:rsid w:val="005B3421"/>
    <w:rsid w:val="005B3BDF"/>
    <w:rsid w:val="005B6C95"/>
    <w:rsid w:val="005C08E9"/>
    <w:rsid w:val="005C1F23"/>
    <w:rsid w:val="005C3483"/>
    <w:rsid w:val="005C3891"/>
    <w:rsid w:val="005C409A"/>
    <w:rsid w:val="005C5CDE"/>
    <w:rsid w:val="005D090B"/>
    <w:rsid w:val="005D1819"/>
    <w:rsid w:val="005E45A3"/>
    <w:rsid w:val="005E671F"/>
    <w:rsid w:val="005E7522"/>
    <w:rsid w:val="005F685D"/>
    <w:rsid w:val="005F6992"/>
    <w:rsid w:val="005F7DF1"/>
    <w:rsid w:val="00600CF4"/>
    <w:rsid w:val="00602440"/>
    <w:rsid w:val="00603A47"/>
    <w:rsid w:val="00603E53"/>
    <w:rsid w:val="00604973"/>
    <w:rsid w:val="0060673E"/>
    <w:rsid w:val="00607DC9"/>
    <w:rsid w:val="0061231F"/>
    <w:rsid w:val="00612DB9"/>
    <w:rsid w:val="006140C5"/>
    <w:rsid w:val="0062442C"/>
    <w:rsid w:val="00625FBD"/>
    <w:rsid w:val="00626631"/>
    <w:rsid w:val="00632B79"/>
    <w:rsid w:val="00634DA8"/>
    <w:rsid w:val="00634FE9"/>
    <w:rsid w:val="0063623B"/>
    <w:rsid w:val="00636FA8"/>
    <w:rsid w:val="006401D5"/>
    <w:rsid w:val="006429B3"/>
    <w:rsid w:val="00642DD3"/>
    <w:rsid w:val="0064494B"/>
    <w:rsid w:val="00644B7F"/>
    <w:rsid w:val="00645E5B"/>
    <w:rsid w:val="00651C87"/>
    <w:rsid w:val="00651E56"/>
    <w:rsid w:val="00652A48"/>
    <w:rsid w:val="006539A7"/>
    <w:rsid w:val="00660CCB"/>
    <w:rsid w:val="00667870"/>
    <w:rsid w:val="00673C99"/>
    <w:rsid w:val="0067412E"/>
    <w:rsid w:val="0067519A"/>
    <w:rsid w:val="00675F65"/>
    <w:rsid w:val="00677C88"/>
    <w:rsid w:val="006807AF"/>
    <w:rsid w:val="00681A00"/>
    <w:rsid w:val="006832D9"/>
    <w:rsid w:val="0068493A"/>
    <w:rsid w:val="00684E4D"/>
    <w:rsid w:val="006947B4"/>
    <w:rsid w:val="00695B33"/>
    <w:rsid w:val="00695DB8"/>
    <w:rsid w:val="00696431"/>
    <w:rsid w:val="006A7991"/>
    <w:rsid w:val="006B0AD4"/>
    <w:rsid w:val="006B2040"/>
    <w:rsid w:val="006B2D4E"/>
    <w:rsid w:val="006B55D9"/>
    <w:rsid w:val="006B759D"/>
    <w:rsid w:val="006C3050"/>
    <w:rsid w:val="006C3B23"/>
    <w:rsid w:val="006C53C4"/>
    <w:rsid w:val="006C6044"/>
    <w:rsid w:val="006C6790"/>
    <w:rsid w:val="006C793E"/>
    <w:rsid w:val="006D03ED"/>
    <w:rsid w:val="006D09E3"/>
    <w:rsid w:val="006D1219"/>
    <w:rsid w:val="006D2342"/>
    <w:rsid w:val="006D2C3D"/>
    <w:rsid w:val="006D48AB"/>
    <w:rsid w:val="006D547A"/>
    <w:rsid w:val="006D6603"/>
    <w:rsid w:val="006D6E5C"/>
    <w:rsid w:val="006E125B"/>
    <w:rsid w:val="006E35A3"/>
    <w:rsid w:val="006E48B0"/>
    <w:rsid w:val="006E4AD3"/>
    <w:rsid w:val="006E4E56"/>
    <w:rsid w:val="006E57CB"/>
    <w:rsid w:val="006E6704"/>
    <w:rsid w:val="006E7F08"/>
    <w:rsid w:val="007017C4"/>
    <w:rsid w:val="00702B60"/>
    <w:rsid w:val="00707967"/>
    <w:rsid w:val="00707AF6"/>
    <w:rsid w:val="007119ED"/>
    <w:rsid w:val="00712518"/>
    <w:rsid w:val="0071264A"/>
    <w:rsid w:val="00716F08"/>
    <w:rsid w:val="00720A3D"/>
    <w:rsid w:val="0072327B"/>
    <w:rsid w:val="0072380D"/>
    <w:rsid w:val="007269B6"/>
    <w:rsid w:val="00727727"/>
    <w:rsid w:val="00730DA3"/>
    <w:rsid w:val="0073206F"/>
    <w:rsid w:val="007326E3"/>
    <w:rsid w:val="007327F2"/>
    <w:rsid w:val="0074345C"/>
    <w:rsid w:val="00743645"/>
    <w:rsid w:val="00746878"/>
    <w:rsid w:val="0074697D"/>
    <w:rsid w:val="0075315C"/>
    <w:rsid w:val="00754026"/>
    <w:rsid w:val="00760BA2"/>
    <w:rsid w:val="00761BFF"/>
    <w:rsid w:val="00761C09"/>
    <w:rsid w:val="00766065"/>
    <w:rsid w:val="00767E14"/>
    <w:rsid w:val="00770DD6"/>
    <w:rsid w:val="00791590"/>
    <w:rsid w:val="00791B37"/>
    <w:rsid w:val="00792C1E"/>
    <w:rsid w:val="00795BEF"/>
    <w:rsid w:val="00796673"/>
    <w:rsid w:val="007A2199"/>
    <w:rsid w:val="007A2342"/>
    <w:rsid w:val="007A3B0F"/>
    <w:rsid w:val="007A5C33"/>
    <w:rsid w:val="007B0E48"/>
    <w:rsid w:val="007B6E14"/>
    <w:rsid w:val="007C1A45"/>
    <w:rsid w:val="007C1E1E"/>
    <w:rsid w:val="007C24C5"/>
    <w:rsid w:val="007C529E"/>
    <w:rsid w:val="007C62CC"/>
    <w:rsid w:val="007D7871"/>
    <w:rsid w:val="007E08E8"/>
    <w:rsid w:val="007E1B75"/>
    <w:rsid w:val="007F19CD"/>
    <w:rsid w:val="007F1FAB"/>
    <w:rsid w:val="007F3C28"/>
    <w:rsid w:val="007F4FF1"/>
    <w:rsid w:val="007F7179"/>
    <w:rsid w:val="008017AE"/>
    <w:rsid w:val="008019C2"/>
    <w:rsid w:val="008035ED"/>
    <w:rsid w:val="0080666B"/>
    <w:rsid w:val="00810315"/>
    <w:rsid w:val="00812254"/>
    <w:rsid w:val="00826F01"/>
    <w:rsid w:val="00827A25"/>
    <w:rsid w:val="008302F0"/>
    <w:rsid w:val="00831BD0"/>
    <w:rsid w:val="008335C7"/>
    <w:rsid w:val="00837542"/>
    <w:rsid w:val="008408C4"/>
    <w:rsid w:val="0084150B"/>
    <w:rsid w:val="00843FE2"/>
    <w:rsid w:val="00845288"/>
    <w:rsid w:val="00846863"/>
    <w:rsid w:val="008477FF"/>
    <w:rsid w:val="00851FF8"/>
    <w:rsid w:val="008562DC"/>
    <w:rsid w:val="0085769D"/>
    <w:rsid w:val="008579D8"/>
    <w:rsid w:val="00857D54"/>
    <w:rsid w:val="00861FD4"/>
    <w:rsid w:val="00872873"/>
    <w:rsid w:val="008731C6"/>
    <w:rsid w:val="00874346"/>
    <w:rsid w:val="00876729"/>
    <w:rsid w:val="0087722B"/>
    <w:rsid w:val="00877827"/>
    <w:rsid w:val="008818BD"/>
    <w:rsid w:val="008832E5"/>
    <w:rsid w:val="00884CDD"/>
    <w:rsid w:val="00885DE4"/>
    <w:rsid w:val="00891820"/>
    <w:rsid w:val="008943E9"/>
    <w:rsid w:val="00896A5D"/>
    <w:rsid w:val="008970AE"/>
    <w:rsid w:val="008A0EE3"/>
    <w:rsid w:val="008A1B18"/>
    <w:rsid w:val="008A6253"/>
    <w:rsid w:val="008B258D"/>
    <w:rsid w:val="008B3D0E"/>
    <w:rsid w:val="008B5BE3"/>
    <w:rsid w:val="008B61FE"/>
    <w:rsid w:val="008C3BC0"/>
    <w:rsid w:val="008C4274"/>
    <w:rsid w:val="008C469B"/>
    <w:rsid w:val="008C5512"/>
    <w:rsid w:val="008C61DE"/>
    <w:rsid w:val="008D25AF"/>
    <w:rsid w:val="008D26D5"/>
    <w:rsid w:val="008D4D7E"/>
    <w:rsid w:val="008D5AC7"/>
    <w:rsid w:val="008D6C51"/>
    <w:rsid w:val="008D72F5"/>
    <w:rsid w:val="008E1D25"/>
    <w:rsid w:val="008E36B9"/>
    <w:rsid w:val="008F2E8D"/>
    <w:rsid w:val="008F3461"/>
    <w:rsid w:val="008F4672"/>
    <w:rsid w:val="008F5E6A"/>
    <w:rsid w:val="008F65F1"/>
    <w:rsid w:val="00901A36"/>
    <w:rsid w:val="00903106"/>
    <w:rsid w:val="00903745"/>
    <w:rsid w:val="00903FD8"/>
    <w:rsid w:val="00910437"/>
    <w:rsid w:val="00910979"/>
    <w:rsid w:val="00911B5B"/>
    <w:rsid w:val="00912E95"/>
    <w:rsid w:val="00915CD2"/>
    <w:rsid w:val="00923C99"/>
    <w:rsid w:val="00925FB8"/>
    <w:rsid w:val="00927839"/>
    <w:rsid w:val="0093490A"/>
    <w:rsid w:val="00934ECD"/>
    <w:rsid w:val="00940D87"/>
    <w:rsid w:val="00943526"/>
    <w:rsid w:val="0094395E"/>
    <w:rsid w:val="009440C0"/>
    <w:rsid w:val="00945AD6"/>
    <w:rsid w:val="0094600D"/>
    <w:rsid w:val="00952FF4"/>
    <w:rsid w:val="00953257"/>
    <w:rsid w:val="00953C59"/>
    <w:rsid w:val="00954CBB"/>
    <w:rsid w:val="009565A0"/>
    <w:rsid w:val="00957D7A"/>
    <w:rsid w:val="00962050"/>
    <w:rsid w:val="00966288"/>
    <w:rsid w:val="009717F8"/>
    <w:rsid w:val="009727C3"/>
    <w:rsid w:val="0097744F"/>
    <w:rsid w:val="0097748C"/>
    <w:rsid w:val="0098252A"/>
    <w:rsid w:val="009954AC"/>
    <w:rsid w:val="009962BD"/>
    <w:rsid w:val="009A0332"/>
    <w:rsid w:val="009A24D0"/>
    <w:rsid w:val="009A3B02"/>
    <w:rsid w:val="009A45CD"/>
    <w:rsid w:val="009B0727"/>
    <w:rsid w:val="009B2424"/>
    <w:rsid w:val="009B3433"/>
    <w:rsid w:val="009B51CB"/>
    <w:rsid w:val="009B64AC"/>
    <w:rsid w:val="009B7311"/>
    <w:rsid w:val="009C198C"/>
    <w:rsid w:val="009C334B"/>
    <w:rsid w:val="009C40BA"/>
    <w:rsid w:val="009C71B7"/>
    <w:rsid w:val="009D1D49"/>
    <w:rsid w:val="009D4CD1"/>
    <w:rsid w:val="009D7338"/>
    <w:rsid w:val="009D77DB"/>
    <w:rsid w:val="009E5E2F"/>
    <w:rsid w:val="009F3D29"/>
    <w:rsid w:val="009F3EDA"/>
    <w:rsid w:val="00A04898"/>
    <w:rsid w:val="00A0497F"/>
    <w:rsid w:val="00A06A67"/>
    <w:rsid w:val="00A11D84"/>
    <w:rsid w:val="00A1232D"/>
    <w:rsid w:val="00A128F7"/>
    <w:rsid w:val="00A13F0D"/>
    <w:rsid w:val="00A14702"/>
    <w:rsid w:val="00A20896"/>
    <w:rsid w:val="00A2234E"/>
    <w:rsid w:val="00A22E6F"/>
    <w:rsid w:val="00A24178"/>
    <w:rsid w:val="00A24209"/>
    <w:rsid w:val="00A27A21"/>
    <w:rsid w:val="00A27FDE"/>
    <w:rsid w:val="00A30EA8"/>
    <w:rsid w:val="00A31D1E"/>
    <w:rsid w:val="00A34FBC"/>
    <w:rsid w:val="00A357DA"/>
    <w:rsid w:val="00A367F8"/>
    <w:rsid w:val="00A42E7F"/>
    <w:rsid w:val="00A46C59"/>
    <w:rsid w:val="00A500A9"/>
    <w:rsid w:val="00A5098D"/>
    <w:rsid w:val="00A51230"/>
    <w:rsid w:val="00A51906"/>
    <w:rsid w:val="00A536BE"/>
    <w:rsid w:val="00A547EB"/>
    <w:rsid w:val="00A5514D"/>
    <w:rsid w:val="00A570E7"/>
    <w:rsid w:val="00A631B3"/>
    <w:rsid w:val="00A64403"/>
    <w:rsid w:val="00A64ED5"/>
    <w:rsid w:val="00A66C73"/>
    <w:rsid w:val="00A70B42"/>
    <w:rsid w:val="00A74663"/>
    <w:rsid w:val="00A75340"/>
    <w:rsid w:val="00A75EBD"/>
    <w:rsid w:val="00A84E9C"/>
    <w:rsid w:val="00A85692"/>
    <w:rsid w:val="00A87CC5"/>
    <w:rsid w:val="00A910A0"/>
    <w:rsid w:val="00A94AFC"/>
    <w:rsid w:val="00A9758D"/>
    <w:rsid w:val="00A9797C"/>
    <w:rsid w:val="00AA1C4B"/>
    <w:rsid w:val="00AA203A"/>
    <w:rsid w:val="00AA4581"/>
    <w:rsid w:val="00AA7B43"/>
    <w:rsid w:val="00AB2A89"/>
    <w:rsid w:val="00AB4E39"/>
    <w:rsid w:val="00AB7677"/>
    <w:rsid w:val="00AB7FF4"/>
    <w:rsid w:val="00AC3BE2"/>
    <w:rsid w:val="00AC695D"/>
    <w:rsid w:val="00AC6B50"/>
    <w:rsid w:val="00AD0DF8"/>
    <w:rsid w:val="00AD20B4"/>
    <w:rsid w:val="00AD39E3"/>
    <w:rsid w:val="00AD4300"/>
    <w:rsid w:val="00AD4912"/>
    <w:rsid w:val="00AD7E3A"/>
    <w:rsid w:val="00AE2D20"/>
    <w:rsid w:val="00AF3277"/>
    <w:rsid w:val="00AF38C5"/>
    <w:rsid w:val="00AF5A59"/>
    <w:rsid w:val="00AF5C85"/>
    <w:rsid w:val="00B00085"/>
    <w:rsid w:val="00B01D38"/>
    <w:rsid w:val="00B02252"/>
    <w:rsid w:val="00B02F88"/>
    <w:rsid w:val="00B032B2"/>
    <w:rsid w:val="00B04432"/>
    <w:rsid w:val="00B057DF"/>
    <w:rsid w:val="00B1037D"/>
    <w:rsid w:val="00B10CC5"/>
    <w:rsid w:val="00B21C05"/>
    <w:rsid w:val="00B21DFB"/>
    <w:rsid w:val="00B24A35"/>
    <w:rsid w:val="00B27569"/>
    <w:rsid w:val="00B27D42"/>
    <w:rsid w:val="00B31059"/>
    <w:rsid w:val="00B37DE8"/>
    <w:rsid w:val="00B40A32"/>
    <w:rsid w:val="00B41FE0"/>
    <w:rsid w:val="00B4504C"/>
    <w:rsid w:val="00B450F6"/>
    <w:rsid w:val="00B54B85"/>
    <w:rsid w:val="00B56AFC"/>
    <w:rsid w:val="00B61066"/>
    <w:rsid w:val="00B610A8"/>
    <w:rsid w:val="00B62011"/>
    <w:rsid w:val="00B647AE"/>
    <w:rsid w:val="00B708F5"/>
    <w:rsid w:val="00B70EDC"/>
    <w:rsid w:val="00B712F0"/>
    <w:rsid w:val="00B71337"/>
    <w:rsid w:val="00B73380"/>
    <w:rsid w:val="00B7719F"/>
    <w:rsid w:val="00B80261"/>
    <w:rsid w:val="00B814C2"/>
    <w:rsid w:val="00B81892"/>
    <w:rsid w:val="00B81C4E"/>
    <w:rsid w:val="00B85F3F"/>
    <w:rsid w:val="00B917B6"/>
    <w:rsid w:val="00B929FF"/>
    <w:rsid w:val="00BA2B3D"/>
    <w:rsid w:val="00BA3874"/>
    <w:rsid w:val="00BA4485"/>
    <w:rsid w:val="00BA5700"/>
    <w:rsid w:val="00BB0ABD"/>
    <w:rsid w:val="00BB137F"/>
    <w:rsid w:val="00BB13BC"/>
    <w:rsid w:val="00BB5A04"/>
    <w:rsid w:val="00BC0FCE"/>
    <w:rsid w:val="00BC1CF2"/>
    <w:rsid w:val="00BC32A4"/>
    <w:rsid w:val="00BC47D3"/>
    <w:rsid w:val="00BC7157"/>
    <w:rsid w:val="00BD4F69"/>
    <w:rsid w:val="00BE1C47"/>
    <w:rsid w:val="00BE4EB3"/>
    <w:rsid w:val="00BF0854"/>
    <w:rsid w:val="00BF1104"/>
    <w:rsid w:val="00BF16DD"/>
    <w:rsid w:val="00BF1D78"/>
    <w:rsid w:val="00BF2A30"/>
    <w:rsid w:val="00BF41E9"/>
    <w:rsid w:val="00BF5986"/>
    <w:rsid w:val="00BF5C6F"/>
    <w:rsid w:val="00C0127E"/>
    <w:rsid w:val="00C06A59"/>
    <w:rsid w:val="00C06D21"/>
    <w:rsid w:val="00C13664"/>
    <w:rsid w:val="00C15B0F"/>
    <w:rsid w:val="00C1666E"/>
    <w:rsid w:val="00C214EF"/>
    <w:rsid w:val="00C21608"/>
    <w:rsid w:val="00C22A99"/>
    <w:rsid w:val="00C2338A"/>
    <w:rsid w:val="00C253C2"/>
    <w:rsid w:val="00C26C9C"/>
    <w:rsid w:val="00C32477"/>
    <w:rsid w:val="00C3420A"/>
    <w:rsid w:val="00C35337"/>
    <w:rsid w:val="00C37A8F"/>
    <w:rsid w:val="00C53916"/>
    <w:rsid w:val="00C57095"/>
    <w:rsid w:val="00C6110C"/>
    <w:rsid w:val="00C64AC2"/>
    <w:rsid w:val="00C741DE"/>
    <w:rsid w:val="00C77D3F"/>
    <w:rsid w:val="00C82FB7"/>
    <w:rsid w:val="00C840A9"/>
    <w:rsid w:val="00C900F5"/>
    <w:rsid w:val="00C917AF"/>
    <w:rsid w:val="00C93E7A"/>
    <w:rsid w:val="00CA2447"/>
    <w:rsid w:val="00CA6064"/>
    <w:rsid w:val="00CA6930"/>
    <w:rsid w:val="00CB264D"/>
    <w:rsid w:val="00CB2C34"/>
    <w:rsid w:val="00CB39AD"/>
    <w:rsid w:val="00CB460A"/>
    <w:rsid w:val="00CB5093"/>
    <w:rsid w:val="00CB53E6"/>
    <w:rsid w:val="00CB6722"/>
    <w:rsid w:val="00CC2B3D"/>
    <w:rsid w:val="00CC2BD9"/>
    <w:rsid w:val="00CC69CE"/>
    <w:rsid w:val="00CD0276"/>
    <w:rsid w:val="00CD0963"/>
    <w:rsid w:val="00CD17DC"/>
    <w:rsid w:val="00CD48E2"/>
    <w:rsid w:val="00CD593A"/>
    <w:rsid w:val="00CD5A80"/>
    <w:rsid w:val="00CD5C7A"/>
    <w:rsid w:val="00CE1B08"/>
    <w:rsid w:val="00CE3353"/>
    <w:rsid w:val="00CE523C"/>
    <w:rsid w:val="00CF0432"/>
    <w:rsid w:val="00CF210B"/>
    <w:rsid w:val="00CF2C9E"/>
    <w:rsid w:val="00CF2D13"/>
    <w:rsid w:val="00CF4E1E"/>
    <w:rsid w:val="00CF7087"/>
    <w:rsid w:val="00CF741B"/>
    <w:rsid w:val="00D00E0A"/>
    <w:rsid w:val="00D06D8A"/>
    <w:rsid w:val="00D077B8"/>
    <w:rsid w:val="00D14B10"/>
    <w:rsid w:val="00D16B26"/>
    <w:rsid w:val="00D17E0D"/>
    <w:rsid w:val="00D235D3"/>
    <w:rsid w:val="00D25F70"/>
    <w:rsid w:val="00D31D60"/>
    <w:rsid w:val="00D34FEB"/>
    <w:rsid w:val="00D3631F"/>
    <w:rsid w:val="00D41307"/>
    <w:rsid w:val="00D42D80"/>
    <w:rsid w:val="00D43892"/>
    <w:rsid w:val="00D44E95"/>
    <w:rsid w:val="00D552BB"/>
    <w:rsid w:val="00D57924"/>
    <w:rsid w:val="00D61C35"/>
    <w:rsid w:val="00D6439A"/>
    <w:rsid w:val="00D6563A"/>
    <w:rsid w:val="00D66120"/>
    <w:rsid w:val="00D707CF"/>
    <w:rsid w:val="00D71A26"/>
    <w:rsid w:val="00D73533"/>
    <w:rsid w:val="00D75321"/>
    <w:rsid w:val="00D75355"/>
    <w:rsid w:val="00D77466"/>
    <w:rsid w:val="00D77FF5"/>
    <w:rsid w:val="00D80549"/>
    <w:rsid w:val="00D828C4"/>
    <w:rsid w:val="00D84533"/>
    <w:rsid w:val="00D860FE"/>
    <w:rsid w:val="00D905A9"/>
    <w:rsid w:val="00D909F8"/>
    <w:rsid w:val="00D94D0C"/>
    <w:rsid w:val="00DA05CF"/>
    <w:rsid w:val="00DA1324"/>
    <w:rsid w:val="00DA33ED"/>
    <w:rsid w:val="00DA3423"/>
    <w:rsid w:val="00DA4FA6"/>
    <w:rsid w:val="00DB1523"/>
    <w:rsid w:val="00DB304A"/>
    <w:rsid w:val="00DB705C"/>
    <w:rsid w:val="00DC2DC7"/>
    <w:rsid w:val="00DC2E5F"/>
    <w:rsid w:val="00DC2E61"/>
    <w:rsid w:val="00DC55AD"/>
    <w:rsid w:val="00DC5D44"/>
    <w:rsid w:val="00DD0966"/>
    <w:rsid w:val="00DD2801"/>
    <w:rsid w:val="00DD3BC1"/>
    <w:rsid w:val="00DE1062"/>
    <w:rsid w:val="00DF5527"/>
    <w:rsid w:val="00E025BB"/>
    <w:rsid w:val="00E050C4"/>
    <w:rsid w:val="00E0656C"/>
    <w:rsid w:val="00E07146"/>
    <w:rsid w:val="00E11054"/>
    <w:rsid w:val="00E13DF8"/>
    <w:rsid w:val="00E157D3"/>
    <w:rsid w:val="00E168DD"/>
    <w:rsid w:val="00E16BF7"/>
    <w:rsid w:val="00E17BC8"/>
    <w:rsid w:val="00E214AC"/>
    <w:rsid w:val="00E21C1D"/>
    <w:rsid w:val="00E223E1"/>
    <w:rsid w:val="00E2410D"/>
    <w:rsid w:val="00E27AA1"/>
    <w:rsid w:val="00E27C46"/>
    <w:rsid w:val="00E32B49"/>
    <w:rsid w:val="00E349B1"/>
    <w:rsid w:val="00E371FB"/>
    <w:rsid w:val="00E37523"/>
    <w:rsid w:val="00E41155"/>
    <w:rsid w:val="00E41E2E"/>
    <w:rsid w:val="00E43145"/>
    <w:rsid w:val="00E43723"/>
    <w:rsid w:val="00E5235B"/>
    <w:rsid w:val="00E52CA9"/>
    <w:rsid w:val="00E53907"/>
    <w:rsid w:val="00E53B1F"/>
    <w:rsid w:val="00E54625"/>
    <w:rsid w:val="00E606EB"/>
    <w:rsid w:val="00E64808"/>
    <w:rsid w:val="00E64E0A"/>
    <w:rsid w:val="00E677F4"/>
    <w:rsid w:val="00E708F6"/>
    <w:rsid w:val="00E70D42"/>
    <w:rsid w:val="00E72C8E"/>
    <w:rsid w:val="00E82708"/>
    <w:rsid w:val="00E85B6C"/>
    <w:rsid w:val="00E85CEA"/>
    <w:rsid w:val="00E86F2D"/>
    <w:rsid w:val="00E86F94"/>
    <w:rsid w:val="00E90786"/>
    <w:rsid w:val="00E928F2"/>
    <w:rsid w:val="00E95DDD"/>
    <w:rsid w:val="00E97200"/>
    <w:rsid w:val="00EA1807"/>
    <w:rsid w:val="00EA4324"/>
    <w:rsid w:val="00EA5E6E"/>
    <w:rsid w:val="00EA6BBD"/>
    <w:rsid w:val="00EB0CC0"/>
    <w:rsid w:val="00EB252B"/>
    <w:rsid w:val="00EC3F98"/>
    <w:rsid w:val="00EC4F26"/>
    <w:rsid w:val="00EC574C"/>
    <w:rsid w:val="00EC7C16"/>
    <w:rsid w:val="00EE1230"/>
    <w:rsid w:val="00EE4364"/>
    <w:rsid w:val="00EF4331"/>
    <w:rsid w:val="00F0492B"/>
    <w:rsid w:val="00F057F4"/>
    <w:rsid w:val="00F07EC4"/>
    <w:rsid w:val="00F100F9"/>
    <w:rsid w:val="00F108A6"/>
    <w:rsid w:val="00F14954"/>
    <w:rsid w:val="00F172FE"/>
    <w:rsid w:val="00F214C8"/>
    <w:rsid w:val="00F23AD2"/>
    <w:rsid w:val="00F244C6"/>
    <w:rsid w:val="00F255CF"/>
    <w:rsid w:val="00F259A4"/>
    <w:rsid w:val="00F25ABC"/>
    <w:rsid w:val="00F27531"/>
    <w:rsid w:val="00F30D42"/>
    <w:rsid w:val="00F328F6"/>
    <w:rsid w:val="00F3358E"/>
    <w:rsid w:val="00F35934"/>
    <w:rsid w:val="00F36FA0"/>
    <w:rsid w:val="00F37972"/>
    <w:rsid w:val="00F40C48"/>
    <w:rsid w:val="00F417C9"/>
    <w:rsid w:val="00F46C9C"/>
    <w:rsid w:val="00F47CC4"/>
    <w:rsid w:val="00F56A43"/>
    <w:rsid w:val="00F603BB"/>
    <w:rsid w:val="00F6115D"/>
    <w:rsid w:val="00F62097"/>
    <w:rsid w:val="00F66294"/>
    <w:rsid w:val="00F66A3C"/>
    <w:rsid w:val="00F70176"/>
    <w:rsid w:val="00F75D39"/>
    <w:rsid w:val="00F77A4A"/>
    <w:rsid w:val="00F8293D"/>
    <w:rsid w:val="00F83FEF"/>
    <w:rsid w:val="00F843FB"/>
    <w:rsid w:val="00F85E64"/>
    <w:rsid w:val="00F87A9C"/>
    <w:rsid w:val="00F904AC"/>
    <w:rsid w:val="00F93077"/>
    <w:rsid w:val="00F93088"/>
    <w:rsid w:val="00F9492D"/>
    <w:rsid w:val="00F979DB"/>
    <w:rsid w:val="00F97C70"/>
    <w:rsid w:val="00FA1B5E"/>
    <w:rsid w:val="00FA211A"/>
    <w:rsid w:val="00FA48F1"/>
    <w:rsid w:val="00FA4EC8"/>
    <w:rsid w:val="00FA5927"/>
    <w:rsid w:val="00FA719A"/>
    <w:rsid w:val="00FB28F6"/>
    <w:rsid w:val="00FB2DB1"/>
    <w:rsid w:val="00FB57D1"/>
    <w:rsid w:val="00FB613E"/>
    <w:rsid w:val="00FD0D20"/>
    <w:rsid w:val="00FD2098"/>
    <w:rsid w:val="00FD6090"/>
    <w:rsid w:val="00FD66A2"/>
    <w:rsid w:val="00FD7CDD"/>
    <w:rsid w:val="00FE0357"/>
    <w:rsid w:val="00FE0711"/>
    <w:rsid w:val="00FE1C6D"/>
    <w:rsid w:val="00FE1D43"/>
    <w:rsid w:val="00FE245E"/>
    <w:rsid w:val="00FE4933"/>
    <w:rsid w:val="00FE4BAA"/>
    <w:rsid w:val="00FE6445"/>
    <w:rsid w:val="00FE7DEF"/>
    <w:rsid w:val="00FF705E"/>
    <w:rsid w:val="00FF77D7"/>
    <w:rsid w:val="00FF7DF1"/>
    <w:rsid w:val="0ECB7039"/>
    <w:rsid w:val="10A86769"/>
    <w:rsid w:val="11A66991"/>
    <w:rsid w:val="2B9F0684"/>
    <w:rsid w:val="344404EA"/>
    <w:rsid w:val="38D13346"/>
    <w:rsid w:val="49622A97"/>
    <w:rsid w:val="4AA95488"/>
    <w:rsid w:val="4CDF1DE2"/>
    <w:rsid w:val="51FF1DCB"/>
    <w:rsid w:val="69A7160D"/>
    <w:rsid w:val="743E4555"/>
    <w:rsid w:val="761A0F60"/>
    <w:rsid w:val="7EC236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0"/>
    <w:qFormat/>
    <w:uiPriority w:val="0"/>
    <w:pPr>
      <w:keepNext/>
      <w:keepLines/>
      <w:spacing w:before="260" w:after="260" w:line="416" w:lineRule="auto"/>
      <w:outlineLvl w:val="1"/>
    </w:pPr>
    <w:rPr>
      <w:rFonts w:ascii="Arial" w:hAnsi="Arial" w:eastAsia="黑体"/>
      <w:b/>
      <w:bCs/>
      <w:sz w:val="32"/>
      <w:szCs w:val="32"/>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4">
    <w:name w:val="Plain Text"/>
    <w:basedOn w:val="1"/>
    <w:link w:val="12"/>
    <w:qFormat/>
    <w:uiPriority w:val="0"/>
    <w:rPr>
      <w:rFonts w:ascii="宋体" w:hAnsi="Courier New"/>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9">
    <w:name w:val="标题 1 Char"/>
    <w:basedOn w:val="8"/>
    <w:link w:val="2"/>
    <w:qFormat/>
    <w:uiPriority w:val="0"/>
    <w:rPr>
      <w:rFonts w:ascii="Times New Roman" w:hAnsi="Times New Roman" w:eastAsia="宋体" w:cs="Times New Roman"/>
      <w:b/>
      <w:bCs/>
      <w:kern w:val="44"/>
      <w:sz w:val="44"/>
      <w:szCs w:val="44"/>
    </w:rPr>
  </w:style>
  <w:style w:type="character" w:customStyle="1" w:styleId="10">
    <w:name w:val="标题 2 Char"/>
    <w:basedOn w:val="8"/>
    <w:link w:val="3"/>
    <w:qFormat/>
    <w:uiPriority w:val="0"/>
    <w:rPr>
      <w:rFonts w:ascii="Arial" w:hAnsi="Arial" w:eastAsia="黑体" w:cs="Times New Roman"/>
      <w:b/>
      <w:bCs/>
      <w:sz w:val="32"/>
      <w:szCs w:val="32"/>
    </w:rPr>
  </w:style>
  <w:style w:type="character" w:customStyle="1" w:styleId="11">
    <w:name w:val="纯文本 Char"/>
    <w:basedOn w:val="8"/>
    <w:semiHidden/>
    <w:qFormat/>
    <w:uiPriority w:val="99"/>
    <w:rPr>
      <w:rFonts w:ascii="宋体" w:hAnsi="Courier New" w:eastAsia="宋体" w:cs="Courier New"/>
      <w:szCs w:val="21"/>
    </w:rPr>
  </w:style>
  <w:style w:type="character" w:customStyle="1" w:styleId="12">
    <w:name w:val="纯文本 Char1"/>
    <w:link w:val="4"/>
    <w:qFormat/>
    <w:uiPriority w:val="0"/>
    <w:rPr>
      <w:rFonts w:ascii="宋体" w:hAnsi="Courier New" w:eastAsia="宋体" w:cs="Times New Roman"/>
      <w:szCs w:val="20"/>
    </w:rPr>
  </w:style>
  <w:style w:type="character" w:customStyle="1" w:styleId="13">
    <w:name w:val="页眉 Char"/>
    <w:basedOn w:val="8"/>
    <w:link w:val="6"/>
    <w:qFormat/>
    <w:uiPriority w:val="99"/>
    <w:rPr>
      <w:rFonts w:ascii="Times New Roman" w:hAnsi="Times New Roman" w:eastAsia="宋体" w:cs="Times New Roman"/>
      <w:sz w:val="18"/>
      <w:szCs w:val="18"/>
    </w:rPr>
  </w:style>
  <w:style w:type="character" w:customStyle="1" w:styleId="14">
    <w:name w:val="页脚 Char"/>
    <w:basedOn w:val="8"/>
    <w:link w:val="5"/>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798</Words>
  <Characters>846</Characters>
  <Lines>211</Lines>
  <Paragraphs>86</Paragraphs>
  <TotalTime>1</TotalTime>
  <ScaleCrop>false</ScaleCrop>
  <LinksUpToDate>false</LinksUpToDate>
  <CharactersWithSpaces>1558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2015-12-11T01:30:00Z</dcterms:created>
  <dc:creator>侯慧梅</dc:creator>
  <cp:lastModifiedBy>党建部文书（侯慧梅）</cp:lastModifiedBy>
  <dcterms:modified xsi:type="dcterms:W3CDTF">2024-03-29T03:40:14Z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7013E93977F04D149A86788E516DB5F6</vt:lpwstr>
  </property>
</Properties>
</file>