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147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5"/>
        <w:gridCol w:w="2074"/>
        <w:gridCol w:w="5700"/>
        <w:gridCol w:w="736"/>
        <w:gridCol w:w="764"/>
        <w:gridCol w:w="1747"/>
        <w:gridCol w:w="1501"/>
        <w:gridCol w:w="14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jc w:val="center"/>
        </w:trPr>
        <w:tc>
          <w:tcPr>
            <w:tcW w:w="14727" w:type="dxa"/>
            <w:gridSpan w:val="8"/>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8539" w:type="dxa"/>
            <w:gridSpan w:val="3"/>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项目名称：天生桥二级电站大坝溢流闸启闭机工作桥结构安全鉴定</w:t>
            </w:r>
          </w:p>
        </w:tc>
        <w:tc>
          <w:tcPr>
            <w:tcW w:w="736" w:type="dxa"/>
            <w:tcBorders>
              <w:top w:val="nil"/>
              <w:left w:val="nil"/>
              <w:bottom w:val="nil"/>
              <w:right w:val="nil"/>
            </w:tcBorders>
            <w:shd w:val="clear" w:color="auto" w:fill="auto"/>
            <w:vAlign w:val="center"/>
          </w:tcPr>
          <w:p>
            <w:pPr>
              <w:rPr>
                <w:rFonts w:hint="eastAsia" w:ascii="宋体" w:hAnsi="宋体" w:eastAsia="宋体" w:cs="宋体"/>
                <w:b/>
                <w:bCs/>
                <w:i w:val="0"/>
                <w:iCs w:val="0"/>
                <w:color w:val="000000"/>
                <w:sz w:val="18"/>
                <w:szCs w:val="18"/>
                <w:u w:val="none"/>
              </w:rPr>
            </w:pPr>
          </w:p>
        </w:tc>
        <w:tc>
          <w:tcPr>
            <w:tcW w:w="5452" w:type="dxa"/>
            <w:gridSpan w:val="4"/>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报价单位：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检测项目</w:t>
            </w:r>
          </w:p>
        </w:tc>
        <w:tc>
          <w:tcPr>
            <w:tcW w:w="5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具体内容及要求</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含税单价（元）</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含税合价(元)</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07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图纸、资料核查</w:t>
            </w:r>
          </w:p>
        </w:tc>
        <w:tc>
          <w:tcPr>
            <w:tcW w:w="5700"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核查勘察报告、设计文件、检测报告等，检查图纸与现场符合情况。</w:t>
            </w:r>
          </w:p>
        </w:tc>
        <w:tc>
          <w:tcPr>
            <w:tcW w:w="736"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检测范围详见图纸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07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巡视巡查</w:t>
            </w:r>
          </w:p>
        </w:tc>
        <w:tc>
          <w:tcPr>
            <w:tcW w:w="5700"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检查主体结构链接的缺陷、变形、损伤情况</w:t>
            </w:r>
          </w:p>
        </w:tc>
        <w:tc>
          <w:tcPr>
            <w:tcW w:w="736"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4"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07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结构检测</w:t>
            </w:r>
          </w:p>
        </w:tc>
        <w:tc>
          <w:tcPr>
            <w:tcW w:w="5700"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1、主梁、柱、板等构件尺寸检测</w:t>
            </w:r>
          </w:p>
        </w:tc>
        <w:tc>
          <w:tcPr>
            <w:tcW w:w="736"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4"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0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u w:val="none"/>
              </w:rPr>
            </w:pPr>
          </w:p>
        </w:tc>
        <w:tc>
          <w:tcPr>
            <w:tcW w:w="5700"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2、构件混凝土强度检测，通过回弹法检测构件混凝土强度</w:t>
            </w:r>
          </w:p>
        </w:tc>
        <w:tc>
          <w:tcPr>
            <w:tcW w:w="736"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4"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20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u w:val="none"/>
              </w:rPr>
            </w:pPr>
          </w:p>
        </w:tc>
        <w:tc>
          <w:tcPr>
            <w:tcW w:w="5700"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3、构件钢筋配置检测：无损检测</w:t>
            </w:r>
          </w:p>
        </w:tc>
        <w:tc>
          <w:tcPr>
            <w:tcW w:w="736"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4"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207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hint="eastAsia" w:ascii="宋体" w:hAnsi="宋体" w:eastAsia="宋体" w:cs="宋体"/>
                <w:i w:val="0"/>
                <w:iCs w:val="0"/>
                <w:color w:val="000000"/>
                <w:sz w:val="18"/>
                <w:szCs w:val="18"/>
                <w:u w:val="none"/>
              </w:rPr>
            </w:pPr>
          </w:p>
        </w:tc>
        <w:tc>
          <w:tcPr>
            <w:tcW w:w="5700"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4、构件变形检测：通过现场检测，了解梁、柱变形情况</w:t>
            </w:r>
          </w:p>
        </w:tc>
        <w:tc>
          <w:tcPr>
            <w:tcW w:w="736"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4"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207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承重构件承载力验算</w:t>
            </w:r>
          </w:p>
        </w:tc>
        <w:tc>
          <w:tcPr>
            <w:tcW w:w="5700"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根据结构的使用载荷变化情况，选取典型构件，进行承载力复核验算</w:t>
            </w:r>
          </w:p>
        </w:tc>
        <w:tc>
          <w:tcPr>
            <w:tcW w:w="736"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4"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2074"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安全评价</w:t>
            </w:r>
          </w:p>
        </w:tc>
        <w:tc>
          <w:tcPr>
            <w:tcW w:w="5700"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构件安全性鉴定评估</w:t>
            </w:r>
          </w:p>
        </w:tc>
        <w:tc>
          <w:tcPr>
            <w:tcW w:w="736"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4" w:type="dxa"/>
            <w:tcBorders>
              <w:top w:val="single" w:color="000000" w:sz="4" w:space="0"/>
              <w:left w:val="nil"/>
              <w:bottom w:val="single" w:color="000000" w:sz="4" w:space="0"/>
              <w:right w:val="single" w:color="000000" w:sz="4" w:space="0"/>
            </w:tcBorders>
            <w:shd w:val="clear" w:color="FFFFFF"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4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8" w:hRule="atLeast"/>
          <w:jc w:val="center"/>
        </w:trPr>
        <w:tc>
          <w:tcPr>
            <w:tcW w:w="14727"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18"/>
                <w:szCs w:val="18"/>
                <w:u w:val="none"/>
                <w:lang w:val="en-US" w:eastAsia="zh-CN" w:bidi="ar"/>
              </w:rPr>
              <w:t>项目概况：</w:t>
            </w:r>
            <w:r>
              <w:rPr>
                <w:rStyle w:val="6"/>
                <w:sz w:val="18"/>
                <w:szCs w:val="18"/>
                <w:lang w:val="en-US" w:eastAsia="zh-CN" w:bidi="ar"/>
              </w:rPr>
              <w:t>天生桥二级电站#1-#9溢流闸启闭机共安装18台设备机房，2024年计划改造为整体连通式机房，因此需按照《既有建筑鉴定与加固通用规范（GB55021-2021）》、《既有建筑维护与改造通用规范（GB55022-2021）》对#1-#9溢流闸启闭机工作桥结构开展安全检测鉴定。</w:t>
            </w:r>
            <w:r>
              <w:rPr>
                <w:rStyle w:val="7"/>
                <w:sz w:val="18"/>
                <w:szCs w:val="18"/>
                <w:lang w:val="en-US" w:eastAsia="zh-CN" w:bidi="ar"/>
              </w:rPr>
              <w:br w:type="textWrapping"/>
            </w:r>
            <w:r>
              <w:rPr>
                <w:rStyle w:val="7"/>
                <w:sz w:val="18"/>
                <w:szCs w:val="18"/>
                <w:lang w:val="en-US" w:eastAsia="zh-CN" w:bidi="ar"/>
              </w:rPr>
              <w:t>项目地点：</w:t>
            </w:r>
            <w:r>
              <w:rPr>
                <w:rStyle w:val="6"/>
                <w:sz w:val="18"/>
                <w:szCs w:val="18"/>
                <w:lang w:val="en-US" w:eastAsia="zh-CN" w:bidi="ar"/>
              </w:rPr>
              <w:t>贵州省黔西南州安龙县天生桥二级电站大坝区域（距离兴义约70km）</w:t>
            </w:r>
            <w:r>
              <w:rPr>
                <w:rStyle w:val="6"/>
                <w:sz w:val="18"/>
                <w:szCs w:val="18"/>
                <w:lang w:val="en-US" w:eastAsia="zh-CN" w:bidi="ar"/>
              </w:rPr>
              <w:br w:type="textWrapping"/>
            </w:r>
            <w:r>
              <w:rPr>
                <w:rStyle w:val="7"/>
                <w:sz w:val="18"/>
                <w:szCs w:val="18"/>
                <w:lang w:val="en-US" w:eastAsia="zh-CN" w:bidi="ar"/>
              </w:rPr>
              <w:t>项目工期：</w:t>
            </w:r>
            <w:r>
              <w:rPr>
                <w:rStyle w:val="6"/>
                <w:sz w:val="18"/>
                <w:szCs w:val="18"/>
                <w:lang w:val="en-US" w:eastAsia="zh-CN" w:bidi="ar"/>
              </w:rPr>
              <w:t>自合同签订后15天完成所有检测内容并出具书面检测报告。</w:t>
            </w:r>
            <w:r>
              <w:rPr>
                <w:rStyle w:val="7"/>
                <w:sz w:val="18"/>
                <w:szCs w:val="18"/>
                <w:lang w:val="en-US" w:eastAsia="zh-CN" w:bidi="ar"/>
              </w:rPr>
              <w:br w:type="textWrapping"/>
            </w:r>
            <w:r>
              <w:rPr>
                <w:rStyle w:val="7"/>
                <w:sz w:val="18"/>
                <w:szCs w:val="18"/>
                <w:lang w:val="en-US" w:eastAsia="zh-CN" w:bidi="ar"/>
              </w:rPr>
              <w:t>承包方式：</w:t>
            </w:r>
            <w:r>
              <w:rPr>
                <w:rStyle w:val="6"/>
                <w:sz w:val="18"/>
                <w:szCs w:val="18"/>
                <w:lang w:val="en-US" w:eastAsia="zh-CN" w:bidi="ar"/>
              </w:rPr>
              <w:t>报价包括人工费、设备费、材料费、管理费、交通运输费、税金、利润及其它所有费用。</w:t>
            </w:r>
            <w:r>
              <w:rPr>
                <w:rStyle w:val="6"/>
                <w:sz w:val="18"/>
                <w:szCs w:val="18"/>
                <w:lang w:val="en-US" w:eastAsia="zh-CN" w:bidi="ar"/>
              </w:rPr>
              <w:br w:type="textWrapping"/>
            </w:r>
            <w:r>
              <w:rPr>
                <w:rStyle w:val="7"/>
                <w:sz w:val="18"/>
                <w:szCs w:val="18"/>
                <w:lang w:val="en-US" w:eastAsia="zh-CN" w:bidi="ar"/>
              </w:rPr>
              <w:t>资质要求：</w:t>
            </w:r>
            <w:r>
              <w:rPr>
                <w:rStyle w:val="7"/>
                <w:sz w:val="18"/>
                <w:szCs w:val="18"/>
                <w:lang w:val="en-US" w:eastAsia="zh-CN" w:bidi="ar"/>
              </w:rPr>
              <w:br w:type="textWrapping"/>
            </w:r>
            <w:r>
              <w:rPr>
                <w:rStyle w:val="6"/>
                <w:sz w:val="18"/>
                <w:szCs w:val="18"/>
                <w:lang w:val="en-US" w:eastAsia="zh-CN" w:bidi="ar"/>
              </w:rPr>
              <w:t>（1）乙方应具有国家或省级监督管理部门颁发的检验检测机构资质认定证书，证书授权的检测产品或类别、检测项目或参数、检测范围应满足本项目检测要求；</w:t>
            </w:r>
            <w:r>
              <w:rPr>
                <w:rStyle w:val="6"/>
                <w:sz w:val="18"/>
                <w:szCs w:val="18"/>
                <w:lang w:val="en-US" w:eastAsia="zh-CN" w:bidi="ar"/>
              </w:rPr>
              <w:br w:type="textWrapping"/>
            </w:r>
            <w:r>
              <w:rPr>
                <w:rStyle w:val="7"/>
                <w:sz w:val="18"/>
                <w:szCs w:val="18"/>
                <w:lang w:val="en-US" w:eastAsia="zh-CN" w:bidi="ar"/>
              </w:rPr>
              <w:t>结算价款：</w:t>
            </w:r>
            <w:r>
              <w:rPr>
                <w:rStyle w:val="6"/>
                <w:sz w:val="18"/>
                <w:szCs w:val="18"/>
                <w:lang w:val="en-US" w:eastAsia="zh-CN" w:bidi="ar"/>
              </w:rPr>
              <w:t>项目总价（含税，</w:t>
            </w:r>
            <w:r>
              <w:rPr>
                <w:rStyle w:val="6"/>
                <w:rFonts w:hint="eastAsia"/>
                <w:sz w:val="18"/>
                <w:szCs w:val="18"/>
                <w:lang w:val="en-US" w:eastAsia="zh-CN" w:bidi="ar"/>
              </w:rPr>
              <w:t>税率：6</w:t>
            </w:r>
            <w:bookmarkStart w:id="0" w:name="_GoBack"/>
            <w:bookmarkEnd w:id="0"/>
            <w:r>
              <w:rPr>
                <w:rStyle w:val="6"/>
                <w:rFonts w:hint="eastAsia"/>
                <w:sz w:val="18"/>
                <w:szCs w:val="18"/>
                <w:lang w:val="en-US" w:eastAsia="zh-CN" w:bidi="ar"/>
              </w:rPr>
              <w:t>%</w:t>
            </w:r>
            <w:r>
              <w:rPr>
                <w:rStyle w:val="6"/>
                <w:sz w:val="18"/>
                <w:szCs w:val="18"/>
                <w:lang w:val="en-US" w:eastAsia="zh-CN" w:bidi="ar"/>
              </w:rPr>
              <w:t>）为人民币:</w:t>
            </w:r>
            <w:r>
              <w:rPr>
                <w:rStyle w:val="8"/>
                <w:sz w:val="18"/>
                <w:szCs w:val="18"/>
                <w:lang w:val="en-US" w:eastAsia="zh-CN" w:bidi="ar"/>
              </w:rPr>
              <w:t>（￥0.00元）</w:t>
            </w:r>
            <w:r>
              <w:rPr>
                <w:rStyle w:val="6"/>
                <w:sz w:val="18"/>
                <w:szCs w:val="18"/>
                <w:lang w:val="en-US" w:eastAsia="zh-CN" w:bidi="ar"/>
              </w:rPr>
              <w:t>。</w:t>
            </w:r>
            <w:r>
              <w:rPr>
                <w:rStyle w:val="6"/>
                <w:sz w:val="18"/>
                <w:szCs w:val="18"/>
                <w:lang w:val="en-US" w:eastAsia="zh-CN" w:bidi="ar"/>
              </w:rPr>
              <w:br w:type="textWrapping"/>
            </w:r>
            <w:r>
              <w:rPr>
                <w:rStyle w:val="7"/>
                <w:sz w:val="18"/>
                <w:szCs w:val="18"/>
                <w:lang w:val="en-US" w:eastAsia="zh-CN" w:bidi="ar"/>
              </w:rPr>
              <w:t>付款方式：</w:t>
            </w:r>
            <w:r>
              <w:rPr>
                <w:rStyle w:val="6"/>
                <w:sz w:val="18"/>
                <w:szCs w:val="18"/>
                <w:lang w:val="en-US" w:eastAsia="zh-CN" w:bidi="ar"/>
              </w:rPr>
              <w:t>本项目不支付预付款，乙方完成所有检测内容并出具书面检测报告，提供最终结算价款全额的增值税专用发票给甲方审核合格后，甲方在60天内一次性支付结算价款。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0" w:type="auto"/>
            <w:gridSpan w:val="8"/>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制表：</w:t>
            </w:r>
            <w:r>
              <w:rPr>
                <w:rStyle w:val="8"/>
                <w:sz w:val="18"/>
                <w:szCs w:val="18"/>
                <w:lang w:val="en-US" w:eastAsia="zh-CN" w:bidi="ar"/>
              </w:rPr>
              <w:t xml:space="preserve">           </w:t>
            </w:r>
            <w:r>
              <w:rPr>
                <w:rStyle w:val="6"/>
                <w:sz w:val="18"/>
                <w:szCs w:val="18"/>
                <w:lang w:val="en-US" w:eastAsia="zh-CN" w:bidi="ar"/>
              </w:rPr>
              <w:t xml:space="preserve">                                         审核：</w:t>
            </w:r>
            <w:r>
              <w:rPr>
                <w:rStyle w:val="8"/>
                <w:sz w:val="18"/>
                <w:szCs w:val="18"/>
                <w:lang w:val="en-US" w:eastAsia="zh-CN" w:bidi="ar"/>
              </w:rPr>
              <w:t xml:space="preserve">           </w:t>
            </w:r>
            <w:r>
              <w:rPr>
                <w:rStyle w:val="6"/>
                <w:sz w:val="18"/>
                <w:szCs w:val="18"/>
                <w:lang w:val="en-US" w:eastAsia="zh-CN" w:bidi="ar"/>
              </w:rPr>
              <w:t xml:space="preserve">                                                日期：</w:t>
            </w:r>
            <w:r>
              <w:rPr>
                <w:rStyle w:val="8"/>
                <w:sz w:val="18"/>
                <w:szCs w:val="18"/>
                <w:lang w:val="en-US" w:eastAsia="zh-CN" w:bidi="ar"/>
              </w:rPr>
              <w:t xml:space="preserve">             </w:t>
            </w:r>
            <w:r>
              <w:rPr>
                <w:rStyle w:val="6"/>
                <w:sz w:val="18"/>
                <w:szCs w:val="18"/>
                <w:lang w:val="en-US" w:eastAsia="zh-CN" w:bidi="ar"/>
              </w:rPr>
              <w:t xml:space="preserve">  </w:t>
            </w:r>
            <w:r>
              <w:rPr>
                <w:rStyle w:val="6"/>
                <w:lang w:val="en-US" w:eastAsia="zh-CN" w:bidi="ar"/>
              </w:rPr>
              <w:t xml:space="preserve">    </w:t>
            </w:r>
          </w:p>
        </w:tc>
      </w:tr>
    </w:tbl>
    <w:p>
      <w:pPr>
        <w:tabs>
          <w:tab w:val="left" w:pos="1192"/>
        </w:tabs>
        <w:rPr>
          <w:rFonts w:hint="eastAsia" w:eastAsiaTheme="minorEastAsia"/>
          <w:lang w:eastAsia="zh-CN"/>
        </w:rPr>
      </w:pPr>
    </w:p>
    <w:sectPr>
      <w:pgSz w:w="16838" w:h="11906" w:orient="landscape"/>
      <w:pgMar w:top="1800" w:right="1440" w:bottom="1800" w:left="1440" w:header="1077"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28B417C4"/>
    <w:rsid w:val="213E15EF"/>
    <w:rsid w:val="28B417C4"/>
    <w:rsid w:val="578D1D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autoRedefine/>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6">
    <w:name w:val="font71"/>
    <w:basedOn w:val="5"/>
    <w:uiPriority w:val="0"/>
    <w:rPr>
      <w:rFonts w:hint="eastAsia" w:ascii="宋体" w:hAnsi="宋体" w:eastAsia="宋体" w:cs="宋体"/>
      <w:color w:val="000000"/>
      <w:sz w:val="20"/>
      <w:szCs w:val="20"/>
      <w:u w:val="none"/>
    </w:rPr>
  </w:style>
  <w:style w:type="character" w:customStyle="1" w:styleId="7">
    <w:name w:val="font61"/>
    <w:basedOn w:val="5"/>
    <w:uiPriority w:val="0"/>
    <w:rPr>
      <w:rFonts w:hint="eastAsia" w:ascii="宋体" w:hAnsi="宋体" w:eastAsia="宋体" w:cs="宋体"/>
      <w:b/>
      <w:bCs/>
      <w:color w:val="000000"/>
      <w:sz w:val="20"/>
      <w:szCs w:val="20"/>
      <w:u w:val="none"/>
    </w:rPr>
  </w:style>
  <w:style w:type="character" w:customStyle="1" w:styleId="8">
    <w:name w:val="font101"/>
    <w:basedOn w:val="5"/>
    <w:uiPriority w:val="0"/>
    <w:rPr>
      <w:rFonts w:hint="eastAsia" w:ascii="宋体" w:hAnsi="宋体" w:eastAsia="宋体" w:cs="宋体"/>
      <w:color w:val="000000"/>
      <w:sz w:val="20"/>
      <w:szCs w:val="20"/>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2024-04-01T08:43:00Z</dcterms:created>
  <dc:creator>汪柳林</dc:creator>
  <cp:lastModifiedBy>汪柳林</cp:lastModifiedBy>
  <dcterms:modified xsi:type="dcterms:W3CDTF">2024-04-01T09:12:45Z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6ECD26B15C5F496DBCCF558D2669288D_11</vt:lpwstr>
  </property>
</Properties>
</file>