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hd w:val="clear"/>
        <w:jc w:val="center"/>
        <w:rPr>
          <w:rFonts w:ascii="隶书" w:eastAsia="隶书"/>
          <w:color w:val="auto"/>
          <w:sz w:val="56"/>
          <w:szCs w:val="56"/>
          <w:highlight w:val="none"/>
        </w:rPr>
      </w:pPr>
    </w:p>
    <w:p>
      <w:pPr>
        <w:pStyle w:val="8"/>
        <w:shd w:val="clear"/>
        <w:jc w:val="center"/>
        <w:rPr>
          <w:rFonts w:ascii="隶书" w:eastAsia="隶书"/>
          <w:color w:val="auto"/>
          <w:sz w:val="56"/>
          <w:szCs w:val="56"/>
          <w:highlight w:val="none"/>
        </w:rPr>
      </w:pPr>
    </w:p>
    <w:p>
      <w:pPr>
        <w:pStyle w:val="18"/>
        <w:shd w:val="clear"/>
        <w:rPr>
          <w:rFonts w:hint="eastAsia" w:ascii="黑体" w:hAnsi="黑体" w:eastAsia="黑体" w:cs="黑体"/>
          <w:b/>
          <w:bCs/>
          <w:color w:val="auto"/>
          <w:szCs w:val="52"/>
          <w:highlight w:val="none"/>
        </w:rPr>
      </w:pPr>
      <w:r>
        <w:rPr>
          <w:rFonts w:hint="eastAsia" w:ascii="黑体" w:hAnsi="黑体" w:eastAsia="黑体" w:cs="黑体"/>
          <w:b/>
          <w:bCs/>
          <w:color w:val="auto"/>
          <w:szCs w:val="52"/>
          <w:highlight w:val="none"/>
          <w:lang w:val="en-US" w:eastAsia="zh-CN"/>
        </w:rPr>
        <w:t>数字电网科技公司2024年新产品新技术鉴定服务项目</w:t>
      </w:r>
    </w:p>
    <w:p>
      <w:pPr>
        <w:pStyle w:val="8"/>
        <w:shd w:val="clear"/>
        <w:jc w:val="center"/>
        <w:rPr>
          <w:rFonts w:ascii="隶书" w:eastAsia="隶书"/>
          <w:color w:val="auto"/>
          <w:sz w:val="48"/>
          <w:szCs w:val="48"/>
          <w:highlight w:val="none"/>
        </w:rPr>
      </w:pPr>
    </w:p>
    <w:p>
      <w:pPr>
        <w:pStyle w:val="8"/>
        <w:shd w:val="clear"/>
        <w:jc w:val="center"/>
        <w:rPr>
          <w:rFonts w:ascii="隶书" w:eastAsia="隶书"/>
          <w:color w:val="auto"/>
          <w:sz w:val="48"/>
          <w:szCs w:val="48"/>
          <w:highlight w:val="none"/>
        </w:rPr>
      </w:pPr>
      <w:bookmarkStart w:id="24" w:name="_GoBack"/>
      <w:bookmarkEnd w:id="24"/>
    </w:p>
    <w:p>
      <w:pPr>
        <w:pStyle w:val="8"/>
        <w:shd w:val="clear"/>
        <w:jc w:val="center"/>
        <w:rPr>
          <w:rFonts w:ascii="黑体" w:hAnsi="黑体" w:eastAsia="黑体" w:cs="黑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黑体" w:hAnsi="黑体" w:eastAsia="黑体" w:cs="黑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shd w:val="clear"/>
        <w:spacing w:before="156" w:beforeLines="50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shd w:val="clear"/>
        <w:spacing w:before="156" w:beforeLines="50"/>
        <w:jc w:val="center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shd w:val="clear"/>
        <w:spacing w:before="156" w:beforeLines="50"/>
        <w:jc w:val="center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shd w:val="clear"/>
        <w:spacing w:before="156" w:beforeLines="50"/>
        <w:jc w:val="center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shd w:val="clear"/>
        <w:spacing w:before="156" w:beforeLines="50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shd w:val="clear"/>
        <w:spacing w:before="156" w:beforeLines="50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outlineLvl w:val="9"/>
        <w:rPr>
          <w:rFonts w:asciiTheme="minorEastAsia" w:hAnsiTheme="minorEastAsia" w:eastAsiaTheme="minorEastAsia" w:cstheme="minorEastAsia"/>
          <w:bCs/>
          <w:color w:val="auto"/>
          <w:sz w:val="44"/>
          <w:szCs w:val="36"/>
          <w:highlight w:val="none"/>
        </w:rPr>
      </w:pPr>
      <w:bookmarkStart w:id="0" w:name="_Toc6059"/>
      <w:bookmarkStart w:id="1" w:name="_Toc29868"/>
      <w:bookmarkStart w:id="2" w:name="_Toc26266"/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outlineLvl w:val="9"/>
        <w:rPr>
          <w:rStyle w:val="21"/>
          <w:rFonts w:hint="eastAsia" w:ascii="黑体" w:hAnsi="黑体" w:eastAsia="黑体" w:cs="黑体"/>
          <w:color w:val="auto"/>
          <w:highlight w:val="none"/>
          <w:lang w:val="en-US" w:eastAsia="zh-CN"/>
        </w:rPr>
      </w:pPr>
      <w:r>
        <w:rPr>
          <w:rStyle w:val="21"/>
          <w:rFonts w:hint="eastAsia" w:ascii="黑体" w:hAnsi="黑体" w:eastAsia="黑体" w:cs="黑体"/>
          <w:color w:val="auto"/>
          <w:highlight w:val="none"/>
          <w:lang w:val="en-US" w:eastAsia="zh-CN"/>
        </w:rPr>
        <w:t>二〇二四年三月</w:t>
      </w:r>
    </w:p>
    <w:p>
      <w:pPr>
        <w:pStyle w:val="2"/>
        <w:rPr>
          <w:rStyle w:val="21"/>
          <w:rFonts w:hint="eastAsia" w:ascii="黑体" w:hAnsi="黑体" w:eastAsia="黑体" w:cs="黑体"/>
          <w:color w:val="auto"/>
          <w:highlight w:val="none"/>
          <w:lang w:val="en-US" w:eastAsia="zh-CN"/>
        </w:rPr>
      </w:pPr>
    </w:p>
    <w:p>
      <w:pPr>
        <w:pStyle w:val="3"/>
        <w:rPr>
          <w:rStyle w:val="21"/>
          <w:rFonts w:hint="eastAsia" w:ascii="黑体" w:hAnsi="黑体" w:eastAsia="黑体" w:cs="黑体"/>
          <w:color w:val="auto"/>
          <w:highlight w:val="none"/>
          <w:lang w:val="en-US" w:eastAsia="zh-CN"/>
        </w:rPr>
      </w:pPr>
    </w:p>
    <w:p/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outlineLvl w:val="9"/>
        <w:rPr>
          <w:rFonts w:asciiTheme="minorEastAsia" w:hAnsiTheme="minorEastAsia" w:eastAsiaTheme="minorEastAsia" w:cstheme="minorEastAsia"/>
          <w:bCs/>
          <w:color w:val="auto"/>
          <w:sz w:val="44"/>
          <w:szCs w:val="36"/>
          <w:highlight w:val="none"/>
        </w:rPr>
      </w:pPr>
    </w:p>
    <w:bookmarkEnd w:id="0"/>
    <w:bookmarkEnd w:id="1"/>
    <w:bookmarkEnd w:id="2"/>
    <w:p>
      <w:pPr>
        <w:shd w:val="clear"/>
        <w:spacing w:line="480" w:lineRule="auto"/>
        <w:jc w:val="center"/>
        <w:outlineLvl w:val="0"/>
        <w:rPr>
          <w:rFonts w:hint="eastAsia" w:ascii="宋体" w:hAnsi="宋体"/>
          <w:b/>
          <w:color w:val="auto"/>
          <w:sz w:val="32"/>
          <w:highlight w:val="none"/>
        </w:rPr>
      </w:pPr>
      <w:bookmarkStart w:id="3" w:name="_Toc266713645"/>
      <w:bookmarkStart w:id="4" w:name="_Toc32342"/>
      <w:bookmarkStart w:id="5" w:name="_Toc9243"/>
      <w:bookmarkStart w:id="6" w:name="_Toc17611"/>
      <w:bookmarkStart w:id="7" w:name="_Toc19589"/>
    </w:p>
    <w:p>
      <w:pPr>
        <w:shd w:val="clear"/>
        <w:spacing w:line="480" w:lineRule="auto"/>
        <w:jc w:val="center"/>
        <w:outlineLvl w:val="0"/>
        <w:rPr>
          <w:rFonts w:ascii="宋体" w:hAnsi="宋体"/>
          <w:b/>
          <w:color w:val="auto"/>
          <w:sz w:val="32"/>
          <w:highlight w:val="none"/>
        </w:rPr>
      </w:pPr>
      <w:r>
        <w:rPr>
          <w:rFonts w:hint="eastAsia" w:ascii="宋体" w:hAnsi="宋体"/>
          <w:b/>
          <w:color w:val="auto"/>
          <w:sz w:val="32"/>
          <w:highlight w:val="none"/>
        </w:rPr>
        <w:t>总则</w:t>
      </w:r>
      <w:bookmarkEnd w:id="3"/>
      <w:bookmarkEnd w:id="4"/>
      <w:bookmarkEnd w:id="5"/>
      <w:bookmarkEnd w:id="6"/>
      <w:bookmarkEnd w:id="7"/>
    </w:p>
    <w:p>
      <w:pPr>
        <w:numPr>
          <w:ilvl w:val="0"/>
          <w:numId w:val="2"/>
        </w:numPr>
        <w:shd w:val="clear"/>
        <w:spacing w:line="360" w:lineRule="auto"/>
        <w:rPr>
          <w:rFonts w:hint="eastAsia"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本文件为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“</w:t>
      </w:r>
      <w:r>
        <w:rPr>
          <w:rFonts w:hint="eastAsia" w:ascii="宋体" w:hAnsi="宋体"/>
          <w:b/>
          <w:sz w:val="24"/>
          <w:szCs w:val="24"/>
        </w:rPr>
        <w:t>基于WAPI安全自主可控的通信技术的变电站智能巡检终端</w:t>
      </w:r>
      <w:r>
        <w:rPr>
          <w:rFonts w:hint="eastAsia" w:ascii="宋体" w:hAnsi="宋体"/>
          <w:b/>
          <w:sz w:val="24"/>
          <w:szCs w:val="24"/>
          <w:lang w:eastAsia="zh-CN"/>
        </w:rPr>
        <w:t>”</w:t>
      </w:r>
      <w:r>
        <w:rPr>
          <w:rFonts w:hint="eastAsia" w:ascii="宋体" w:hAnsi="宋体"/>
          <w:b/>
          <w:bCs w:val="0"/>
          <w:color w:val="auto"/>
          <w:sz w:val="24"/>
          <w:highlight w:val="none"/>
        </w:rPr>
        <w:t>新产品新技术鉴定服务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采购</w:t>
      </w:r>
      <w:r>
        <w:rPr>
          <w:rFonts w:hint="eastAsia" w:ascii="宋体" w:hAnsi="宋体"/>
          <w:bCs/>
          <w:color w:val="auto"/>
          <w:sz w:val="24"/>
          <w:highlight w:val="none"/>
        </w:rPr>
        <w:t>技术文件。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本文件所描述的各</w:t>
      </w:r>
      <w:r>
        <w:rPr>
          <w:rFonts w:hint="eastAsia" w:hAnsi="宋体"/>
          <w:bCs/>
          <w:color w:val="auto"/>
          <w:sz w:val="24"/>
          <w:highlight w:val="none"/>
        </w:rPr>
        <w:t>项技术要求</w:t>
      </w:r>
      <w:r>
        <w:rPr>
          <w:rFonts w:hint="eastAsia" w:ascii="宋体" w:hAnsi="宋体"/>
          <w:bCs/>
          <w:color w:val="auto"/>
          <w:sz w:val="24"/>
          <w:highlight w:val="none"/>
        </w:rPr>
        <w:t>仅供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报价人</w:t>
      </w:r>
      <w:r>
        <w:rPr>
          <w:rFonts w:hint="eastAsia" w:ascii="宋体" w:hAnsi="宋体"/>
          <w:bCs/>
          <w:color w:val="auto"/>
          <w:sz w:val="24"/>
          <w:highlight w:val="none"/>
        </w:rPr>
        <w:t>编制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报价技术</w:t>
      </w:r>
      <w:r>
        <w:rPr>
          <w:rFonts w:hint="eastAsia" w:ascii="宋体" w:hAnsi="宋体"/>
          <w:bCs/>
          <w:color w:val="auto"/>
          <w:sz w:val="24"/>
          <w:highlight w:val="none"/>
        </w:rPr>
        <w:t>文件之用。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本文件仅描述基本的技术需求，并未对一切技术细节做出规定，也未充分引述有关标准和技术条文，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报价人</w:t>
      </w:r>
      <w:r>
        <w:rPr>
          <w:rFonts w:hint="eastAsia" w:ascii="宋体" w:hAnsi="宋体"/>
          <w:bCs/>
          <w:color w:val="auto"/>
          <w:sz w:val="24"/>
          <w:highlight w:val="none"/>
        </w:rPr>
        <w:t>应根据需求目标提供进一步具体的可满足要求的</w:t>
      </w:r>
      <w:r>
        <w:rPr>
          <w:rFonts w:hint="eastAsia" w:hAnsi="宋体"/>
          <w:bCs/>
          <w:color w:val="auto"/>
          <w:sz w:val="24"/>
          <w:highlight w:val="none"/>
        </w:rPr>
        <w:t>技术</w:t>
      </w:r>
      <w:r>
        <w:rPr>
          <w:rFonts w:hint="eastAsia" w:ascii="宋体" w:hAnsi="宋体"/>
          <w:bCs/>
          <w:color w:val="auto"/>
          <w:sz w:val="24"/>
          <w:highlight w:val="none"/>
        </w:rPr>
        <w:t>指标。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highlight w:val="none"/>
        </w:rPr>
        <w:t>技术文件要求文字精练、数据准确、表述及图示清晰明确，具有针对性。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报价人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在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技术文件中应对本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文件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逐项予以说明和答复,应如实反映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报价人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与本技术规范书的技术差异。如果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报价人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没有提出技术差异，而在执行合同的过程中，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采购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方发现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报价人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提供的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与其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技术文件的条文存在差异，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采购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方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将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追究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报价人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违约责任</w:t>
      </w:r>
      <w:r>
        <w:rPr>
          <w:rFonts w:hint="eastAsia" w:ascii="宋体" w:hAnsi="宋体"/>
          <w:bCs/>
          <w:color w:val="auto"/>
          <w:sz w:val="24"/>
          <w:highlight w:val="none"/>
        </w:rPr>
        <w:t>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报价人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应在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技术部分按本技术规范书的要求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内容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如实详细填写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报价人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的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范围及明细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，并在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报价人报价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部分按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此范围及明细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进行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分项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报价，如发现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总报价与分项报价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有矛盾之处，将按有利于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eastAsia="zh-CN"/>
        </w:rPr>
        <w:t>采购方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的条款执行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报价人</w:t>
      </w:r>
      <w:r>
        <w:rPr>
          <w:rFonts w:hint="eastAsia" w:ascii="宋体" w:hAnsi="宋体"/>
          <w:bCs/>
          <w:color w:val="auto"/>
          <w:sz w:val="24"/>
          <w:highlight w:val="none"/>
        </w:rPr>
        <w:t>必须仔细阅读本技术规范书的全部条款，并作出明确响应。技术规范书中的条款及要求均为采购方最低需求，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报价人</w:t>
      </w:r>
      <w:r>
        <w:rPr>
          <w:rFonts w:hint="eastAsia" w:ascii="宋体" w:hAnsi="宋体"/>
          <w:bCs/>
          <w:color w:val="auto"/>
          <w:sz w:val="24"/>
          <w:highlight w:val="none"/>
        </w:rPr>
        <w:t>必须满足，若有一项不满足将否决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highlight w:val="none"/>
        </w:rPr>
        <w:t>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szCs w:val="22"/>
          <w:highlight w:val="none"/>
        </w:rPr>
      </w:pP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本技术规范书未尽事宜，由买、卖双方协商确定。</w:t>
      </w:r>
    </w:p>
    <w:p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本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技术规范书</w:t>
      </w:r>
      <w:r>
        <w:rPr>
          <w:rFonts w:hint="eastAsia" w:ascii="宋体" w:hAnsi="宋体"/>
          <w:bCs/>
          <w:color w:val="auto"/>
          <w:sz w:val="24"/>
          <w:highlight w:val="none"/>
        </w:rPr>
        <w:t>的最终解释权归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采购方</w:t>
      </w:r>
      <w:r>
        <w:rPr>
          <w:rFonts w:hint="eastAsia" w:ascii="宋体" w:hAnsi="宋体"/>
          <w:bCs/>
          <w:color w:val="auto"/>
          <w:sz w:val="24"/>
          <w:highlight w:val="none"/>
        </w:rPr>
        <w:t>。</w:t>
      </w:r>
    </w:p>
    <w:p>
      <w:pPr>
        <w:pStyle w:val="22"/>
        <w:shd w:val="clear"/>
        <w:spacing w:before="312"/>
        <w:rPr>
          <w:color w:val="auto"/>
          <w:szCs w:val="22"/>
          <w:highlight w:val="none"/>
        </w:rPr>
      </w:pPr>
      <w:r>
        <w:rPr>
          <w:rFonts w:hint="eastAsia"/>
          <w:color w:val="auto"/>
          <w:szCs w:val="22"/>
          <w:highlight w:val="none"/>
        </w:rPr>
        <w:br w:type="page"/>
      </w:r>
    </w:p>
    <w:p>
      <w:pPr>
        <w:pStyle w:val="22"/>
        <w:shd w:val="clear"/>
        <w:spacing w:before="312"/>
        <w:outlineLvl w:val="0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bookmarkStart w:id="8" w:name="_Toc10716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1  标的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标包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概况</w:t>
      </w:r>
      <w:bookmarkEnd w:id="8"/>
      <w:bookmarkStart w:id="9" w:name="_Toc7301"/>
      <w:bookmarkStart w:id="10" w:name="_Toc17049"/>
    </w:p>
    <w:bookmarkEnd w:id="9"/>
    <w:bookmarkEnd w:id="10"/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9"/>
        <w:gridCol w:w="1577"/>
        <w:gridCol w:w="515"/>
        <w:gridCol w:w="1531"/>
        <w:gridCol w:w="3153"/>
        <w:gridCol w:w="12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9" w:type="dxa"/>
            <w:vAlign w:val="center"/>
          </w:tcPr>
          <w:p>
            <w:pPr>
              <w:shd w:val="clear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标的</w:t>
            </w:r>
          </w:p>
        </w:tc>
        <w:tc>
          <w:tcPr>
            <w:tcW w:w="1577" w:type="dxa"/>
            <w:vAlign w:val="center"/>
          </w:tcPr>
          <w:p>
            <w:pPr>
              <w:shd w:val="clear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标的名称</w:t>
            </w:r>
          </w:p>
        </w:tc>
        <w:tc>
          <w:tcPr>
            <w:tcW w:w="515" w:type="dxa"/>
            <w:vAlign w:val="center"/>
          </w:tcPr>
          <w:p>
            <w:pPr>
              <w:shd w:val="clear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标包</w:t>
            </w:r>
          </w:p>
        </w:tc>
        <w:tc>
          <w:tcPr>
            <w:tcW w:w="1531" w:type="dxa"/>
            <w:vAlign w:val="center"/>
          </w:tcPr>
          <w:p>
            <w:pPr>
              <w:shd w:val="clear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标包名称</w:t>
            </w:r>
          </w:p>
        </w:tc>
        <w:tc>
          <w:tcPr>
            <w:tcW w:w="3153" w:type="dxa"/>
            <w:vAlign w:val="center"/>
          </w:tcPr>
          <w:p>
            <w:pPr>
              <w:shd w:val="clear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主要工作内容</w:t>
            </w:r>
          </w:p>
        </w:tc>
        <w:tc>
          <w:tcPr>
            <w:tcW w:w="1225" w:type="dxa"/>
            <w:vAlign w:val="center"/>
          </w:tcPr>
          <w:p>
            <w:pPr>
              <w:shd w:val="clear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完成期限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9" w:type="dxa"/>
            <w:vAlign w:val="center"/>
          </w:tcPr>
          <w:p>
            <w:pPr>
              <w:shd w:val="clear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577" w:type="dxa"/>
            <w:vAlign w:val="center"/>
          </w:tcPr>
          <w:p>
            <w:pPr>
              <w:shd w:val="clea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</w:rPr>
              <w:t>基于WAPI安全自主可控的通信技术的变电站智能巡检终端</w:t>
            </w:r>
          </w:p>
        </w:tc>
        <w:tc>
          <w:tcPr>
            <w:tcW w:w="515" w:type="dxa"/>
            <w:vAlign w:val="center"/>
          </w:tcPr>
          <w:p>
            <w:pPr>
              <w:pStyle w:val="8"/>
              <w:shd w:val="clear"/>
              <w:jc w:val="center"/>
              <w:rPr>
                <w:rFonts w:hint="default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hAnsi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1</w:t>
            </w:r>
          </w:p>
        </w:tc>
        <w:tc>
          <w:tcPr>
            <w:tcW w:w="1531" w:type="dxa"/>
            <w:vAlign w:val="center"/>
          </w:tcPr>
          <w:p>
            <w:pPr>
              <w:pStyle w:val="8"/>
              <w:shd w:val="clear"/>
              <w:jc w:val="both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基于WAPI安全自主可控的通信技术的变电站智能巡检终端</w:t>
            </w:r>
          </w:p>
        </w:tc>
        <w:tc>
          <w:tcPr>
            <w:tcW w:w="3153" w:type="dxa"/>
            <w:vAlign w:val="center"/>
          </w:tcPr>
          <w:p>
            <w:pPr>
              <w:pStyle w:val="8"/>
              <w:shd w:val="clear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对</w:t>
            </w:r>
            <w:r>
              <w:rPr>
                <w:rFonts w:hint="eastAsia" w:hAnsi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珠海</w:t>
            </w: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供电局</w:t>
            </w:r>
            <w:r>
              <w:rPr>
                <w:rFonts w:hint="eastAsia" w:hAnsi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《</w:t>
            </w: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基于WAPI安全自主可控的通信技术的变电站智能巡检终端</w:t>
            </w:r>
            <w:r>
              <w:rPr>
                <w:rFonts w:hint="eastAsia" w:hAnsi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》</w:t>
            </w: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新技术产品提供新产品新技术鉴定服务（含专家技术鉴定服务和咨询服务等），出具《新产品新技术鉴定验收证书》。</w:t>
            </w:r>
          </w:p>
        </w:tc>
        <w:tc>
          <w:tcPr>
            <w:tcW w:w="1225" w:type="dxa"/>
            <w:vAlign w:val="center"/>
          </w:tcPr>
          <w:p>
            <w:pPr>
              <w:shd w:val="clea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202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月31日前</w:t>
            </w:r>
          </w:p>
        </w:tc>
      </w:tr>
    </w:tbl>
    <w:p>
      <w:pPr>
        <w:pStyle w:val="22"/>
        <w:shd w:val="clear"/>
        <w:spacing w:before="312"/>
        <w:outlineLvl w:val="0"/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</w:pPr>
      <w:bookmarkStart w:id="11" w:name="_Toc15062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 xml:space="preserve">2  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技术服务内容</w:t>
      </w:r>
      <w:bookmarkEnd w:id="11"/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2.1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建立专业技术鉴定服务团队完成新产品技术鉴定工作</w:t>
      </w:r>
      <w:r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  <w:t>，建立健全相关领域专家委员会，建立专家库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。</w:t>
      </w:r>
    </w:p>
    <w:p>
      <w:pPr>
        <w:shd w:val="clear"/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2.2</w:t>
      </w:r>
      <w:r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  <w:t>按要求提供技术鉴定相关服务保障措施和服务计划表、合理的实施方案和时间进度表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。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2.3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对提交文件进行形式审查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，并提出形式审查意见。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2.4</w:t>
      </w:r>
      <w:r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  <w:t>解答技术鉴定委托方的质询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。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2.5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组织专家开展技术鉴定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会议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，提供专家技术鉴定服务和咨询服务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。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2.6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出具相应的新产品技术鉴定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意见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及清单等辅证。</w:t>
      </w:r>
    </w:p>
    <w:p>
      <w:pPr>
        <w:pStyle w:val="22"/>
        <w:shd w:val="clear"/>
        <w:spacing w:before="312"/>
        <w:outlineLvl w:val="0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bookmarkStart w:id="12" w:name="_Toc10515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3  技术服务的要求</w:t>
      </w:r>
      <w:bookmarkEnd w:id="12"/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3.1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投标方具备完善的新产品新技术评价管理体系，在进行新产品新技术鉴定过程中能保证评价结论公信力，出具评价结论公正。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 xml:space="preserve">3.2 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技术鉴定会议由不少于7位专家组成，投标方组织相关领域的研究开发、生产制造等方面专家进行鉴定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服务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，并保证人员素质和服务质量达标。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3.3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技术鉴定工作从提出技术鉴定申请和提供技术文件资料起，至202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年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月31日前完成技术鉴定，并以出具《新产品新技术鉴定验收证书》为完成标的。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3.4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不得将业务进行转包或分包。</w:t>
      </w:r>
    </w:p>
    <w:p>
      <w:pPr>
        <w:pStyle w:val="22"/>
        <w:shd w:val="clear"/>
        <w:spacing w:before="312"/>
        <w:outlineLvl w:val="0"/>
        <w:rPr>
          <w:rFonts w:asciiTheme="minorEastAsia" w:hAnsiTheme="minorEastAsia" w:eastAsiaTheme="minorEastAsia" w:cstheme="minorEastAsia"/>
          <w:color w:val="auto"/>
          <w:highlight w:val="none"/>
        </w:rPr>
      </w:pPr>
      <w:bookmarkStart w:id="13" w:name="_Toc5584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 xml:space="preserve">  投标技术文件要求</w:t>
      </w:r>
      <w:bookmarkEnd w:id="13"/>
      <w:bookmarkStart w:id="14" w:name="_Toc8189"/>
      <w:bookmarkStart w:id="15" w:name="_Toc11892"/>
    </w:p>
    <w:bookmarkEnd w:id="14"/>
    <w:bookmarkEnd w:id="15"/>
    <w:p>
      <w:pPr>
        <w:shd w:val="clear"/>
        <w:spacing w:line="360" w:lineRule="auto"/>
        <w:outlineLvl w:val="1"/>
        <w:rPr>
          <w:rFonts w:ascii="黑体" w:hAnsi="黑体" w:eastAsia="黑体" w:cs="黑体"/>
          <w:bCs/>
          <w:color w:val="auto"/>
          <w:sz w:val="24"/>
          <w:highlight w:val="none"/>
        </w:rPr>
      </w:pPr>
      <w:bookmarkStart w:id="16" w:name="_Toc6258"/>
      <w:r>
        <w:rPr>
          <w:rFonts w:hint="eastAsia" w:ascii="黑体" w:hAnsi="黑体" w:eastAsia="黑体" w:cs="黑体"/>
          <w:bCs/>
          <w:color w:val="auto"/>
          <w:sz w:val="24"/>
          <w:highlight w:val="none"/>
          <w:lang w:val="en-US" w:eastAsia="zh-CN"/>
        </w:rPr>
        <w:t>4.</w:t>
      </w:r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1 技术方案</w:t>
      </w:r>
      <w:bookmarkEnd w:id="16"/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报价人应提供详尽的技术方案，包含质量保障措施、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业务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流程等。</w:t>
      </w:r>
    </w:p>
    <w:p>
      <w:pPr>
        <w:shd w:val="clear"/>
        <w:spacing w:line="360" w:lineRule="auto"/>
        <w:outlineLvl w:val="1"/>
        <w:rPr>
          <w:rFonts w:ascii="黑体" w:hAnsi="黑体" w:eastAsia="黑体" w:cs="黑体"/>
          <w:bCs/>
          <w:color w:val="auto"/>
          <w:sz w:val="24"/>
          <w:highlight w:val="none"/>
        </w:rPr>
      </w:pPr>
      <w:bookmarkStart w:id="17" w:name="_Toc10351"/>
      <w:bookmarkStart w:id="18" w:name="_Toc12714"/>
      <w:r>
        <w:rPr>
          <w:rFonts w:hint="eastAsia" w:ascii="黑体" w:hAnsi="黑体" w:eastAsia="黑体" w:cs="黑体"/>
          <w:bCs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.2 项目管理实施</w:t>
      </w:r>
      <w:bookmarkEnd w:id="17"/>
      <w:bookmarkEnd w:id="18"/>
    </w:p>
    <w:p>
      <w:pPr>
        <w:numPr>
          <w:ilvl w:val="0"/>
          <w:numId w:val="3"/>
        </w:numPr>
        <w:shd w:val="clear"/>
        <w:spacing w:line="360" w:lineRule="auto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项目人员组织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介绍项目人员组织情况、职责分工，运行机制。</w:t>
      </w:r>
    </w:p>
    <w:p>
      <w:pPr>
        <w:numPr>
          <w:ilvl w:val="0"/>
          <w:numId w:val="3"/>
        </w:numPr>
        <w:shd w:val="clear"/>
        <w:spacing w:line="360" w:lineRule="auto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项目进度及保障措施</w:t>
      </w:r>
    </w:p>
    <w:p>
      <w:pPr>
        <w:numPr>
          <w:ilvl w:val="0"/>
          <w:numId w:val="3"/>
        </w:numPr>
        <w:shd w:val="clear"/>
        <w:spacing w:line="360" w:lineRule="auto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项目交付项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报价人根据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技术服务内容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应提交给采购方的交付文件等。</w:t>
      </w:r>
    </w:p>
    <w:p>
      <w:pPr>
        <w:shd w:val="clear"/>
        <w:spacing w:line="360" w:lineRule="auto"/>
        <w:outlineLvl w:val="1"/>
        <w:rPr>
          <w:rFonts w:hint="eastAsia" w:ascii="黑体" w:hAnsi="黑体" w:eastAsia="黑体" w:cs="黑体"/>
          <w:bCs/>
          <w:color w:val="auto"/>
          <w:sz w:val="24"/>
          <w:highlight w:val="none"/>
        </w:rPr>
      </w:pPr>
      <w:bookmarkStart w:id="19" w:name="_Toc6529"/>
      <w:r>
        <w:rPr>
          <w:rFonts w:hint="eastAsia" w:ascii="黑体" w:hAnsi="黑体" w:eastAsia="黑体" w:cs="黑体"/>
          <w:bCs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.3 项目技术支撑能力</w:t>
      </w:r>
      <w:bookmarkEnd w:id="19"/>
    </w:p>
    <w:p>
      <w:pPr>
        <w:shd w:val="clear"/>
        <w:spacing w:line="360" w:lineRule="auto"/>
        <w:ind w:firstLine="480" w:firstLineChars="200"/>
        <w:outlineLvl w:val="1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(1)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项目经验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该部分填写类似项目经验、合同情况。</w:t>
      </w:r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bookmarkStart w:id="20" w:name="_Toc26912"/>
      <w:bookmarkStart w:id="21" w:name="_Toc25058"/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(2)技术支持</w:t>
      </w:r>
      <w:bookmarkEnd w:id="20"/>
      <w:bookmarkEnd w:id="21"/>
    </w:p>
    <w:p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报价人要明确所能提供的服务内容，服务方式，服务承诺等情况。</w:t>
      </w:r>
    </w:p>
    <w:p>
      <w:pPr>
        <w:shd w:val="clear"/>
        <w:spacing w:line="360" w:lineRule="auto"/>
        <w:outlineLvl w:val="1"/>
        <w:rPr>
          <w:rFonts w:ascii="黑体" w:hAnsi="黑体" w:eastAsia="黑体" w:cs="黑体"/>
          <w:bCs/>
          <w:color w:val="auto"/>
          <w:sz w:val="24"/>
          <w:highlight w:val="none"/>
        </w:rPr>
      </w:pPr>
      <w:bookmarkStart w:id="22" w:name="_Toc16369"/>
      <w:r>
        <w:rPr>
          <w:rFonts w:hint="eastAsia" w:ascii="黑体" w:hAnsi="黑体" w:eastAsia="黑体" w:cs="黑体"/>
          <w:bCs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.</w:t>
      </w:r>
      <w:bookmarkEnd w:id="22"/>
      <w:bookmarkStart w:id="23" w:name="_Toc8161"/>
      <w:r>
        <w:rPr>
          <w:rFonts w:hint="eastAsia" w:ascii="黑体" w:hAnsi="黑体" w:eastAsia="黑体" w:cs="黑体"/>
          <w:bCs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 xml:space="preserve"> 其它补充说明</w:t>
      </w:r>
      <w:bookmarkEnd w:id="23"/>
    </w:p>
    <w:p>
      <w:pPr>
        <w:numPr>
          <w:ilvl w:val="0"/>
          <w:numId w:val="4"/>
        </w:numPr>
        <w:shd w:val="clear"/>
        <w:spacing w:line="360" w:lineRule="auto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报价人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认为实现本文件的相关内容存在技术类或其它类风险，请详细说明，并提供相应的对策。</w:t>
      </w:r>
    </w:p>
    <w:p>
      <w:pPr>
        <w:numPr>
          <w:ilvl w:val="0"/>
          <w:numId w:val="4"/>
        </w:numPr>
        <w:shd w:val="clear"/>
        <w:spacing w:line="360" w:lineRule="auto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报价人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认为需要为本项目提供的其它任何资料信息。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290358"/>
    <w:multiLevelType w:val="singleLevel"/>
    <w:tmpl w:val="87290358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12C290B"/>
    <w:multiLevelType w:val="singleLevel"/>
    <w:tmpl w:val="D12C290B"/>
    <w:lvl w:ilvl="0" w:tentative="0">
      <w:start w:val="1"/>
      <w:numFmt w:val="decimal"/>
      <w:pStyle w:val="17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5E537055"/>
    <w:multiLevelType w:val="singleLevel"/>
    <w:tmpl w:val="5E53705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5E539446"/>
    <w:multiLevelType w:val="singleLevel"/>
    <w:tmpl w:val="5E539446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3MTBiMDBiY2Y2Mzg0ZGY2M2YyNGM2NTllMGMxYTQifQ=="/>
  </w:docVars>
  <w:rsids>
    <w:rsidRoot w:val="56112EA9"/>
    <w:rsid w:val="000C764F"/>
    <w:rsid w:val="0086790A"/>
    <w:rsid w:val="00A36D9C"/>
    <w:rsid w:val="00DE6232"/>
    <w:rsid w:val="01417E64"/>
    <w:rsid w:val="01565F86"/>
    <w:rsid w:val="017705FB"/>
    <w:rsid w:val="01D35542"/>
    <w:rsid w:val="027C11FC"/>
    <w:rsid w:val="0295401A"/>
    <w:rsid w:val="0303051E"/>
    <w:rsid w:val="041E2657"/>
    <w:rsid w:val="044514F2"/>
    <w:rsid w:val="044607DE"/>
    <w:rsid w:val="04593618"/>
    <w:rsid w:val="047B7BC4"/>
    <w:rsid w:val="049C7C9A"/>
    <w:rsid w:val="04BF0B83"/>
    <w:rsid w:val="04FE4EAD"/>
    <w:rsid w:val="05312146"/>
    <w:rsid w:val="05395645"/>
    <w:rsid w:val="054B3781"/>
    <w:rsid w:val="056D4E14"/>
    <w:rsid w:val="06F52B3B"/>
    <w:rsid w:val="075626D2"/>
    <w:rsid w:val="07C94E02"/>
    <w:rsid w:val="07D43977"/>
    <w:rsid w:val="080B7B0D"/>
    <w:rsid w:val="08306EBA"/>
    <w:rsid w:val="08AB080B"/>
    <w:rsid w:val="09F078C2"/>
    <w:rsid w:val="0A9773AF"/>
    <w:rsid w:val="0B5E7643"/>
    <w:rsid w:val="0B715FA9"/>
    <w:rsid w:val="0B7D1AC3"/>
    <w:rsid w:val="0B9B6C9A"/>
    <w:rsid w:val="0BD1033B"/>
    <w:rsid w:val="0BFD7548"/>
    <w:rsid w:val="0C5E1872"/>
    <w:rsid w:val="0C8C1EEF"/>
    <w:rsid w:val="0CA42F0B"/>
    <w:rsid w:val="0CEC4CFB"/>
    <w:rsid w:val="0D090C53"/>
    <w:rsid w:val="0D0C14ED"/>
    <w:rsid w:val="0D4A0605"/>
    <w:rsid w:val="0D6039E5"/>
    <w:rsid w:val="0DD4603A"/>
    <w:rsid w:val="0DDE0C6E"/>
    <w:rsid w:val="0E670CF6"/>
    <w:rsid w:val="0E884E6D"/>
    <w:rsid w:val="0EB63FD3"/>
    <w:rsid w:val="0EC81CAE"/>
    <w:rsid w:val="0F9C2440"/>
    <w:rsid w:val="0FBF064C"/>
    <w:rsid w:val="0FDB32CA"/>
    <w:rsid w:val="10011F66"/>
    <w:rsid w:val="10811A74"/>
    <w:rsid w:val="10972384"/>
    <w:rsid w:val="11380F24"/>
    <w:rsid w:val="11402C86"/>
    <w:rsid w:val="1178213A"/>
    <w:rsid w:val="118130B9"/>
    <w:rsid w:val="118E381A"/>
    <w:rsid w:val="12BB43B9"/>
    <w:rsid w:val="12CD0F99"/>
    <w:rsid w:val="12E31879"/>
    <w:rsid w:val="133B0193"/>
    <w:rsid w:val="13566E57"/>
    <w:rsid w:val="13A42991"/>
    <w:rsid w:val="14226099"/>
    <w:rsid w:val="14421D4B"/>
    <w:rsid w:val="147F0C66"/>
    <w:rsid w:val="148404CD"/>
    <w:rsid w:val="14E80E3B"/>
    <w:rsid w:val="153B7463"/>
    <w:rsid w:val="1558413F"/>
    <w:rsid w:val="155E4129"/>
    <w:rsid w:val="159E2286"/>
    <w:rsid w:val="15DE301C"/>
    <w:rsid w:val="1615119E"/>
    <w:rsid w:val="16382D15"/>
    <w:rsid w:val="16CE51A3"/>
    <w:rsid w:val="16F75EAC"/>
    <w:rsid w:val="16F77748"/>
    <w:rsid w:val="17C03CC4"/>
    <w:rsid w:val="17C5148E"/>
    <w:rsid w:val="18543146"/>
    <w:rsid w:val="19B54AE3"/>
    <w:rsid w:val="1A164159"/>
    <w:rsid w:val="1A316175"/>
    <w:rsid w:val="1A830B36"/>
    <w:rsid w:val="1ADD4B0E"/>
    <w:rsid w:val="1B544749"/>
    <w:rsid w:val="1B843116"/>
    <w:rsid w:val="1BF021DF"/>
    <w:rsid w:val="1BFA3C82"/>
    <w:rsid w:val="1C672B50"/>
    <w:rsid w:val="1C9C3206"/>
    <w:rsid w:val="1D3C734D"/>
    <w:rsid w:val="1D8D437A"/>
    <w:rsid w:val="1DA01B05"/>
    <w:rsid w:val="1F45052A"/>
    <w:rsid w:val="1FBD1E67"/>
    <w:rsid w:val="1FD20C3C"/>
    <w:rsid w:val="1FD8526A"/>
    <w:rsid w:val="1FD9003C"/>
    <w:rsid w:val="1FE921AB"/>
    <w:rsid w:val="2023582D"/>
    <w:rsid w:val="209D2E2F"/>
    <w:rsid w:val="20C63E3C"/>
    <w:rsid w:val="21630E97"/>
    <w:rsid w:val="216337ED"/>
    <w:rsid w:val="21CA3C88"/>
    <w:rsid w:val="22586A0B"/>
    <w:rsid w:val="22AB3CC4"/>
    <w:rsid w:val="22E90D13"/>
    <w:rsid w:val="234277A0"/>
    <w:rsid w:val="234B187D"/>
    <w:rsid w:val="235B7824"/>
    <w:rsid w:val="23A116F1"/>
    <w:rsid w:val="23AE35D1"/>
    <w:rsid w:val="24A069D0"/>
    <w:rsid w:val="24C9435F"/>
    <w:rsid w:val="24EA7C79"/>
    <w:rsid w:val="24ED319F"/>
    <w:rsid w:val="250F564D"/>
    <w:rsid w:val="252B1EB7"/>
    <w:rsid w:val="256870E0"/>
    <w:rsid w:val="25E42BF8"/>
    <w:rsid w:val="2639712F"/>
    <w:rsid w:val="265249D6"/>
    <w:rsid w:val="26877BF1"/>
    <w:rsid w:val="269F5118"/>
    <w:rsid w:val="26BF74C3"/>
    <w:rsid w:val="26EC1AF1"/>
    <w:rsid w:val="275D5D26"/>
    <w:rsid w:val="275F7D29"/>
    <w:rsid w:val="27D34242"/>
    <w:rsid w:val="27F81146"/>
    <w:rsid w:val="281A157A"/>
    <w:rsid w:val="289352A5"/>
    <w:rsid w:val="28A8423A"/>
    <w:rsid w:val="28BE48E2"/>
    <w:rsid w:val="295D095A"/>
    <w:rsid w:val="29EC5B99"/>
    <w:rsid w:val="29F81415"/>
    <w:rsid w:val="2A2E088F"/>
    <w:rsid w:val="2A441357"/>
    <w:rsid w:val="2A4D516F"/>
    <w:rsid w:val="2A874401"/>
    <w:rsid w:val="2A89001F"/>
    <w:rsid w:val="2B0B4F52"/>
    <w:rsid w:val="2B6721B0"/>
    <w:rsid w:val="2B6D01DF"/>
    <w:rsid w:val="2BA03769"/>
    <w:rsid w:val="2BD3124D"/>
    <w:rsid w:val="2C112C5C"/>
    <w:rsid w:val="2C191EA0"/>
    <w:rsid w:val="2C9E4EF3"/>
    <w:rsid w:val="2CA3124A"/>
    <w:rsid w:val="2CC46550"/>
    <w:rsid w:val="2D8F39A1"/>
    <w:rsid w:val="2D94572F"/>
    <w:rsid w:val="2DAC4578"/>
    <w:rsid w:val="2DB36870"/>
    <w:rsid w:val="2DEA6350"/>
    <w:rsid w:val="2E260032"/>
    <w:rsid w:val="2E2E5B4F"/>
    <w:rsid w:val="2E380045"/>
    <w:rsid w:val="2E8130E5"/>
    <w:rsid w:val="2EC278D4"/>
    <w:rsid w:val="2EE16229"/>
    <w:rsid w:val="2EE670A0"/>
    <w:rsid w:val="2EF2438F"/>
    <w:rsid w:val="2EFA1D2E"/>
    <w:rsid w:val="2EFB704A"/>
    <w:rsid w:val="2F2E6BFF"/>
    <w:rsid w:val="2FBC128A"/>
    <w:rsid w:val="2FC241F2"/>
    <w:rsid w:val="2FE56DED"/>
    <w:rsid w:val="2FF720A0"/>
    <w:rsid w:val="30045C2F"/>
    <w:rsid w:val="30A7367B"/>
    <w:rsid w:val="30DF2B6C"/>
    <w:rsid w:val="310463AC"/>
    <w:rsid w:val="31267BCB"/>
    <w:rsid w:val="313E1E7A"/>
    <w:rsid w:val="31B01E0F"/>
    <w:rsid w:val="32653DEB"/>
    <w:rsid w:val="32887BF4"/>
    <w:rsid w:val="330E4E8B"/>
    <w:rsid w:val="33161353"/>
    <w:rsid w:val="334E3954"/>
    <w:rsid w:val="33727E3B"/>
    <w:rsid w:val="33EB5673"/>
    <w:rsid w:val="34255CC8"/>
    <w:rsid w:val="347E10AE"/>
    <w:rsid w:val="348D5B05"/>
    <w:rsid w:val="35347AD0"/>
    <w:rsid w:val="3559362F"/>
    <w:rsid w:val="35831D37"/>
    <w:rsid w:val="358955C5"/>
    <w:rsid w:val="358A1AD4"/>
    <w:rsid w:val="358B06A1"/>
    <w:rsid w:val="35DF4389"/>
    <w:rsid w:val="35E41FA9"/>
    <w:rsid w:val="360B40D3"/>
    <w:rsid w:val="3661221B"/>
    <w:rsid w:val="36A667E3"/>
    <w:rsid w:val="36DA1F19"/>
    <w:rsid w:val="376F4CD4"/>
    <w:rsid w:val="37A433E0"/>
    <w:rsid w:val="37AE0477"/>
    <w:rsid w:val="38004B22"/>
    <w:rsid w:val="384629CE"/>
    <w:rsid w:val="386E54D8"/>
    <w:rsid w:val="38721237"/>
    <w:rsid w:val="38D05FCB"/>
    <w:rsid w:val="38E74863"/>
    <w:rsid w:val="390A3500"/>
    <w:rsid w:val="39140E3A"/>
    <w:rsid w:val="39394001"/>
    <w:rsid w:val="395B5F73"/>
    <w:rsid w:val="395C5711"/>
    <w:rsid w:val="39665E8E"/>
    <w:rsid w:val="39855B4F"/>
    <w:rsid w:val="398C2739"/>
    <w:rsid w:val="39E07316"/>
    <w:rsid w:val="39E974DB"/>
    <w:rsid w:val="3A907B0F"/>
    <w:rsid w:val="3B411800"/>
    <w:rsid w:val="3B673936"/>
    <w:rsid w:val="3C4C5078"/>
    <w:rsid w:val="3C865BA4"/>
    <w:rsid w:val="3DDE3626"/>
    <w:rsid w:val="3E4B7171"/>
    <w:rsid w:val="3E931C31"/>
    <w:rsid w:val="3EB90139"/>
    <w:rsid w:val="3F9923B3"/>
    <w:rsid w:val="401C5798"/>
    <w:rsid w:val="40794199"/>
    <w:rsid w:val="407B2591"/>
    <w:rsid w:val="408A19B3"/>
    <w:rsid w:val="40F0643B"/>
    <w:rsid w:val="40FF550C"/>
    <w:rsid w:val="410217F6"/>
    <w:rsid w:val="419C13AE"/>
    <w:rsid w:val="41A73FEA"/>
    <w:rsid w:val="41B40E40"/>
    <w:rsid w:val="42A30678"/>
    <w:rsid w:val="42A37264"/>
    <w:rsid w:val="42DF02D2"/>
    <w:rsid w:val="44267E6C"/>
    <w:rsid w:val="445D01EE"/>
    <w:rsid w:val="446425F3"/>
    <w:rsid w:val="44693523"/>
    <w:rsid w:val="44C917FC"/>
    <w:rsid w:val="44E04C68"/>
    <w:rsid w:val="457F7435"/>
    <w:rsid w:val="45AD67D6"/>
    <w:rsid w:val="45CF1EF0"/>
    <w:rsid w:val="45FB1433"/>
    <w:rsid w:val="463D215F"/>
    <w:rsid w:val="46B71F8C"/>
    <w:rsid w:val="46E41C62"/>
    <w:rsid w:val="47097B32"/>
    <w:rsid w:val="47194E6E"/>
    <w:rsid w:val="47382C50"/>
    <w:rsid w:val="47F359F7"/>
    <w:rsid w:val="48205CF0"/>
    <w:rsid w:val="487243E9"/>
    <w:rsid w:val="48AE5D4E"/>
    <w:rsid w:val="48B02A52"/>
    <w:rsid w:val="495670F4"/>
    <w:rsid w:val="496522AD"/>
    <w:rsid w:val="49F22A9F"/>
    <w:rsid w:val="4A3233F0"/>
    <w:rsid w:val="4A4B4604"/>
    <w:rsid w:val="4A566A25"/>
    <w:rsid w:val="4A7A1254"/>
    <w:rsid w:val="4A9A3B4D"/>
    <w:rsid w:val="4AA711DF"/>
    <w:rsid w:val="4AC97A44"/>
    <w:rsid w:val="4ADF4CFB"/>
    <w:rsid w:val="4B18258B"/>
    <w:rsid w:val="4C3F54C3"/>
    <w:rsid w:val="4C755063"/>
    <w:rsid w:val="4C9C6495"/>
    <w:rsid w:val="4CA55517"/>
    <w:rsid w:val="4CE147A6"/>
    <w:rsid w:val="4CE42B1C"/>
    <w:rsid w:val="4CF766DE"/>
    <w:rsid w:val="4D235E70"/>
    <w:rsid w:val="4DBF3FC8"/>
    <w:rsid w:val="4DDB7BC5"/>
    <w:rsid w:val="4E287A4C"/>
    <w:rsid w:val="4EC54607"/>
    <w:rsid w:val="4EDE6AF3"/>
    <w:rsid w:val="4F436D5A"/>
    <w:rsid w:val="4FB838C0"/>
    <w:rsid w:val="50692104"/>
    <w:rsid w:val="50C4507C"/>
    <w:rsid w:val="50E83C80"/>
    <w:rsid w:val="50E84976"/>
    <w:rsid w:val="51A9285C"/>
    <w:rsid w:val="51CA3DA4"/>
    <w:rsid w:val="52A26B88"/>
    <w:rsid w:val="52D27864"/>
    <w:rsid w:val="52F864C1"/>
    <w:rsid w:val="5377673A"/>
    <w:rsid w:val="53CD308F"/>
    <w:rsid w:val="544B4DE2"/>
    <w:rsid w:val="545D3BCA"/>
    <w:rsid w:val="54945A86"/>
    <w:rsid w:val="54C17E31"/>
    <w:rsid w:val="54E75E4E"/>
    <w:rsid w:val="54EC5F00"/>
    <w:rsid w:val="5554635E"/>
    <w:rsid w:val="55BB08CE"/>
    <w:rsid w:val="55F5265A"/>
    <w:rsid w:val="56112EA9"/>
    <w:rsid w:val="56634F6B"/>
    <w:rsid w:val="56DC5381"/>
    <w:rsid w:val="56FE5647"/>
    <w:rsid w:val="572004CE"/>
    <w:rsid w:val="576E3E36"/>
    <w:rsid w:val="57AA3B02"/>
    <w:rsid w:val="57D62605"/>
    <w:rsid w:val="5877260C"/>
    <w:rsid w:val="58A64419"/>
    <w:rsid w:val="594A6C48"/>
    <w:rsid w:val="59B261E8"/>
    <w:rsid w:val="59BD7DED"/>
    <w:rsid w:val="59E4535B"/>
    <w:rsid w:val="5AE252E1"/>
    <w:rsid w:val="5B3D6948"/>
    <w:rsid w:val="5B413B2B"/>
    <w:rsid w:val="5B6578FE"/>
    <w:rsid w:val="5BAC42C7"/>
    <w:rsid w:val="5C4E6A70"/>
    <w:rsid w:val="5C871AE3"/>
    <w:rsid w:val="5CBC1717"/>
    <w:rsid w:val="5DAB53AF"/>
    <w:rsid w:val="5DB65080"/>
    <w:rsid w:val="5DB924C9"/>
    <w:rsid w:val="5E0B23A4"/>
    <w:rsid w:val="5E7F2B1D"/>
    <w:rsid w:val="5E9479C8"/>
    <w:rsid w:val="5E9F37EA"/>
    <w:rsid w:val="5EFC4DAC"/>
    <w:rsid w:val="5EFF55AD"/>
    <w:rsid w:val="5F322F86"/>
    <w:rsid w:val="5F354A2E"/>
    <w:rsid w:val="5F3A2B4A"/>
    <w:rsid w:val="5F8D2A0A"/>
    <w:rsid w:val="5F9A2498"/>
    <w:rsid w:val="5FE42408"/>
    <w:rsid w:val="602F6B9B"/>
    <w:rsid w:val="60446F8A"/>
    <w:rsid w:val="60865787"/>
    <w:rsid w:val="60A8111F"/>
    <w:rsid w:val="60B802FB"/>
    <w:rsid w:val="61633BDA"/>
    <w:rsid w:val="61B23647"/>
    <w:rsid w:val="61B74473"/>
    <w:rsid w:val="61E33B45"/>
    <w:rsid w:val="624205F5"/>
    <w:rsid w:val="62542CC4"/>
    <w:rsid w:val="626A1418"/>
    <w:rsid w:val="62974434"/>
    <w:rsid w:val="630015B9"/>
    <w:rsid w:val="63595690"/>
    <w:rsid w:val="63627A53"/>
    <w:rsid w:val="63952BF2"/>
    <w:rsid w:val="63FE5340"/>
    <w:rsid w:val="640B1F26"/>
    <w:rsid w:val="64132F2C"/>
    <w:rsid w:val="64657E8E"/>
    <w:rsid w:val="64AC103B"/>
    <w:rsid w:val="64D432EB"/>
    <w:rsid w:val="650664D0"/>
    <w:rsid w:val="65355760"/>
    <w:rsid w:val="65697FAC"/>
    <w:rsid w:val="666908C2"/>
    <w:rsid w:val="673113AB"/>
    <w:rsid w:val="67593ED7"/>
    <w:rsid w:val="67C471DB"/>
    <w:rsid w:val="67FD2500"/>
    <w:rsid w:val="680A5633"/>
    <w:rsid w:val="68AC152E"/>
    <w:rsid w:val="695323C7"/>
    <w:rsid w:val="69EA7D86"/>
    <w:rsid w:val="69F05CEA"/>
    <w:rsid w:val="6A2D0FBD"/>
    <w:rsid w:val="6A8D4544"/>
    <w:rsid w:val="6ABC1891"/>
    <w:rsid w:val="6ABC77B2"/>
    <w:rsid w:val="6B023115"/>
    <w:rsid w:val="6C37560D"/>
    <w:rsid w:val="6D2B4CBE"/>
    <w:rsid w:val="6D401C96"/>
    <w:rsid w:val="6D4A0BE9"/>
    <w:rsid w:val="6D85389F"/>
    <w:rsid w:val="6DE047D4"/>
    <w:rsid w:val="6E06100F"/>
    <w:rsid w:val="6E22444C"/>
    <w:rsid w:val="6E5B1FD7"/>
    <w:rsid w:val="6EB40B09"/>
    <w:rsid w:val="706B20E6"/>
    <w:rsid w:val="708F1B04"/>
    <w:rsid w:val="70E237AF"/>
    <w:rsid w:val="710C1A65"/>
    <w:rsid w:val="712A3D63"/>
    <w:rsid w:val="71497715"/>
    <w:rsid w:val="718469A4"/>
    <w:rsid w:val="71C94BB9"/>
    <w:rsid w:val="71D14AD5"/>
    <w:rsid w:val="727B49E7"/>
    <w:rsid w:val="729E4393"/>
    <w:rsid w:val="73303C63"/>
    <w:rsid w:val="734A4E61"/>
    <w:rsid w:val="7377313A"/>
    <w:rsid w:val="73A151D8"/>
    <w:rsid w:val="73D7627B"/>
    <w:rsid w:val="73EC0C6E"/>
    <w:rsid w:val="73FA6E86"/>
    <w:rsid w:val="742F4229"/>
    <w:rsid w:val="744F7DDF"/>
    <w:rsid w:val="74572EAA"/>
    <w:rsid w:val="74C35E58"/>
    <w:rsid w:val="74E106B7"/>
    <w:rsid w:val="7507754B"/>
    <w:rsid w:val="75700D85"/>
    <w:rsid w:val="75715F41"/>
    <w:rsid w:val="76497732"/>
    <w:rsid w:val="76890F73"/>
    <w:rsid w:val="76DB6DC9"/>
    <w:rsid w:val="770F4753"/>
    <w:rsid w:val="7792777C"/>
    <w:rsid w:val="78376D79"/>
    <w:rsid w:val="78C21DEE"/>
    <w:rsid w:val="78E46BD7"/>
    <w:rsid w:val="790428F9"/>
    <w:rsid w:val="7953312B"/>
    <w:rsid w:val="79EC1569"/>
    <w:rsid w:val="7A126AE1"/>
    <w:rsid w:val="7A8335E6"/>
    <w:rsid w:val="7ABE2378"/>
    <w:rsid w:val="7AFB3926"/>
    <w:rsid w:val="7BFC3589"/>
    <w:rsid w:val="7C185614"/>
    <w:rsid w:val="7C257594"/>
    <w:rsid w:val="7CD02D3B"/>
    <w:rsid w:val="7CFC62DE"/>
    <w:rsid w:val="7D34019C"/>
    <w:rsid w:val="7D73421D"/>
    <w:rsid w:val="7E3523C7"/>
    <w:rsid w:val="7E352FE9"/>
    <w:rsid w:val="7E6214B0"/>
    <w:rsid w:val="7E894768"/>
    <w:rsid w:val="7EB61EE5"/>
    <w:rsid w:val="7F7A0DF4"/>
    <w:rsid w:val="7FCE0606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hAnsi="Arial" w:eastAsia="黑体" w:cs="宋体"/>
      <w:kern w:val="0"/>
      <w:sz w:val="28"/>
    </w:rPr>
  </w:style>
  <w:style w:type="paragraph" w:styleId="6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toc 2"/>
    <w:basedOn w:val="1"/>
    <w:next w:val="1"/>
    <w:qFormat/>
    <w:uiPriority w:val="0"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Hyperlink"/>
    <w:basedOn w:val="15"/>
    <w:qFormat/>
    <w:uiPriority w:val="0"/>
  </w:style>
  <w:style w:type="paragraph" w:customStyle="1" w:styleId="17">
    <w:name w:val="标题1"/>
    <w:basedOn w:val="5"/>
    <w:next w:val="1"/>
    <w:qFormat/>
    <w:uiPriority w:val="0"/>
    <w:pPr>
      <w:numPr>
        <w:ilvl w:val="0"/>
        <w:numId w:val="1"/>
      </w:numPr>
    </w:pPr>
    <w:rPr>
      <w:rFonts w:hAnsi="黑体"/>
    </w:rPr>
  </w:style>
  <w:style w:type="paragraph" w:customStyle="1" w:styleId="18">
    <w:name w:val="首页项目名称"/>
    <w:link w:val="20"/>
    <w:qFormat/>
    <w:uiPriority w:val="0"/>
    <w:pPr>
      <w:jc w:val="center"/>
    </w:pPr>
    <w:rPr>
      <w:rFonts w:ascii="Times New Roman" w:hAnsi="Times New Roman" w:eastAsia="隶书" w:cs="Times New Roman"/>
      <w:sz w:val="52"/>
      <w:lang w:val="en-US" w:eastAsia="zh-CN" w:bidi="ar-SA"/>
    </w:rPr>
  </w:style>
  <w:style w:type="paragraph" w:customStyle="1" w:styleId="19">
    <w:name w:val="首页日期"/>
    <w:basedOn w:val="1"/>
    <w:link w:val="21"/>
    <w:qFormat/>
    <w:uiPriority w:val="0"/>
    <w:pPr>
      <w:jc w:val="center"/>
    </w:pPr>
    <w:rPr>
      <w:rFonts w:eastAsia="楷体"/>
      <w:sz w:val="32"/>
    </w:rPr>
  </w:style>
  <w:style w:type="character" w:customStyle="1" w:styleId="20">
    <w:name w:val="首页项目名称 Char"/>
    <w:link w:val="18"/>
    <w:qFormat/>
    <w:uiPriority w:val="0"/>
    <w:rPr>
      <w:rFonts w:ascii="Times New Roman" w:hAnsi="Times New Roman" w:eastAsia="隶书"/>
      <w:sz w:val="52"/>
    </w:rPr>
  </w:style>
  <w:style w:type="character" w:customStyle="1" w:styleId="21">
    <w:name w:val="首页日期 Char"/>
    <w:link w:val="19"/>
    <w:qFormat/>
    <w:uiPriority w:val="0"/>
    <w:rPr>
      <w:rFonts w:ascii="Times New Roman" w:hAnsi="Times New Roman" w:eastAsia="楷体"/>
      <w:sz w:val="32"/>
    </w:rPr>
  </w:style>
  <w:style w:type="paragraph" w:customStyle="1" w:styleId="22">
    <w:name w:val="一标题"/>
    <w:link w:val="23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  <w:style w:type="character" w:customStyle="1" w:styleId="23">
    <w:name w:val="一标题 Char"/>
    <w:link w:val="22"/>
    <w:qFormat/>
    <w:uiPriority w:val="0"/>
    <w:rPr>
      <w:rFonts w:ascii="宋体" w:hAnsi="宋体" w:eastAsia="宋体" w:cs="Times New Roman"/>
      <w:b/>
      <w:sz w:val="24"/>
    </w:rPr>
  </w:style>
  <w:style w:type="paragraph" w:styleId="2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2036</Words>
  <Characters>1503</Characters>
  <Lines>12</Lines>
  <Paragraphs>7</Paragraphs>
  <TotalTime>9</TotalTime>
  <ScaleCrop>false</ScaleCrop>
  <LinksUpToDate>false</LinksUpToDate>
  <CharactersWithSpaces>3532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2020-01-03T01:39:00Z</dcterms:created>
  <dc:creator>shenpeiyi</dc:creator>
  <cp:lastModifiedBy>DFA8FAAA4EFC45B1AD3DA9150A51E519</cp:lastModifiedBy>
  <dcterms:modified xsi:type="dcterms:W3CDTF">2024-03-25T08:09:16Z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3317EBCBD4C54A21B4E6945624AF628A</vt:lpwstr>
  </property>
</Properties>
</file>